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45463" cy="1243583"/>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345463" cy="1243583"/>
                    </a:xfrm>
                    <a:prstGeom prst="rect">
                      <a:avLst/>
                    </a:prstGeom>
                  </pic:spPr>
                </pic:pic>
              </a:graphicData>
            </a:graphic>
          </wp:inline>
        </w:drawing>
      </w:r>
      <w:r>
        <w:rPr>
          <w:rFonts w:ascii="Times New Roman"/>
        </w:rPr>
      </w:r>
    </w:p>
    <w:p>
      <w:pPr>
        <w:pStyle w:val="BodyText"/>
        <w:spacing w:before="1"/>
        <w:rPr>
          <w:rFonts w:ascii="Times New Roman"/>
          <w:sz w:val="11"/>
        </w:rPr>
      </w:pPr>
      <w:r>
        <w:rPr/>
        <w:pict>
          <v:group style="position:absolute;margin-left:50.580002pt;margin-top:8.370pt;width:488.35pt;height:1.5pt;mso-position-horizontal-relative:page;mso-position-vertical-relative:paragraph;z-index:-251658240;mso-wrap-distance-left:0;mso-wrap-distance-right:0" coordorigin="1012,167" coordsize="9767,30">
            <v:line style="position:absolute" from="1012,182" to="8228,182" stroked="true" strokeweight="1.5pt" strokecolor="#000000">
              <v:stroke dashstyle="solid"/>
            </v:line>
            <v:line style="position:absolute" from="8214,182" to="10778,182" stroked="true" strokeweight="1.5pt" strokecolor="#000000">
              <v:stroke dashstyle="solid"/>
            </v:line>
            <w10:wrap type="topAndBottom"/>
          </v:group>
        </w:pict>
      </w:r>
    </w:p>
    <w:p>
      <w:pPr>
        <w:pStyle w:val="BodyText"/>
        <w:rPr>
          <w:rFonts w:ascii="Times New Roman"/>
        </w:rPr>
      </w:pPr>
    </w:p>
    <w:p>
      <w:pPr>
        <w:spacing w:before="246"/>
        <w:ind w:left="234" w:right="0" w:firstLine="0"/>
        <w:jc w:val="left"/>
        <w:rPr>
          <w:b/>
          <w:sz w:val="32"/>
        </w:rPr>
      </w:pPr>
      <w:r>
        <w:rPr>
          <w:b/>
          <w:color w:val="6A709F"/>
          <w:sz w:val="32"/>
        </w:rPr>
        <w:t>Let it grow: how monetary policy can support sustainable economic growth</w:t>
      </w:r>
    </w:p>
    <w:p>
      <w:pPr>
        <w:spacing w:before="274"/>
        <w:ind w:left="234" w:right="0" w:firstLine="0"/>
        <w:jc w:val="left"/>
        <w:rPr>
          <w:sz w:val="24"/>
        </w:rPr>
      </w:pPr>
      <w:r>
        <w:rPr>
          <w:sz w:val="24"/>
        </w:rPr>
        <w:t>Speech given by</w:t>
      </w:r>
    </w:p>
    <w:p>
      <w:pPr>
        <w:spacing w:before="138"/>
        <w:ind w:left="234" w:right="0" w:firstLine="0"/>
        <w:jc w:val="left"/>
        <w:rPr>
          <w:sz w:val="24"/>
        </w:rPr>
      </w:pPr>
      <w:r>
        <w:rPr>
          <w:sz w:val="24"/>
        </w:rPr>
        <w:t>Andrew Sentance, External Member of the Monetary Policy Committee, Bank of England</w:t>
      </w:r>
    </w:p>
    <w:p>
      <w:pPr>
        <w:pStyle w:val="BodyText"/>
        <w:rPr>
          <w:sz w:val="26"/>
        </w:rPr>
      </w:pPr>
    </w:p>
    <w:p>
      <w:pPr>
        <w:pStyle w:val="BodyText"/>
        <w:rPr>
          <w:sz w:val="22"/>
        </w:rPr>
      </w:pPr>
    </w:p>
    <w:p>
      <w:pPr>
        <w:spacing w:line="360" w:lineRule="auto" w:before="0"/>
        <w:ind w:left="233" w:right="4417" w:firstLine="0"/>
        <w:jc w:val="left"/>
        <w:rPr>
          <w:sz w:val="24"/>
        </w:rPr>
      </w:pPr>
      <w:r>
        <w:rPr>
          <w:sz w:val="24"/>
        </w:rPr>
        <w:t>To the CBI East of England Annual Lunch, Suffolk 22 March 2011</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rPr>
          <w:sz w:val="21"/>
        </w:rPr>
      </w:pPr>
    </w:p>
    <w:p>
      <w:pPr>
        <w:pStyle w:val="BodyText"/>
        <w:ind w:left="234" w:right="748"/>
      </w:pPr>
      <w:r>
        <w:rPr/>
        <w:t>I would like to thank Tomasz Wieladek and Adrian Chiu for research assistance and I am also grateful for helpful comments from other colleagues.  The views expressed are my own and do not necessarily</w:t>
      </w:r>
      <w:r>
        <w:rPr>
          <w:spacing w:val="-5"/>
        </w:rPr>
        <w:t> </w:t>
      </w:r>
      <w:r>
        <w:rPr/>
        <w:t>reflect</w:t>
      </w:r>
      <w:r>
        <w:rPr>
          <w:spacing w:val="-4"/>
        </w:rPr>
        <w:t> </w:t>
      </w:r>
      <w:r>
        <w:rPr/>
        <w:t>those</w:t>
      </w:r>
      <w:r>
        <w:rPr>
          <w:spacing w:val="-5"/>
        </w:rPr>
        <w:t> </w:t>
      </w:r>
      <w:r>
        <w:rPr/>
        <w:t>of</w:t>
      </w:r>
      <w:r>
        <w:rPr>
          <w:spacing w:val="-4"/>
        </w:rPr>
        <w:t> </w:t>
      </w:r>
      <w:r>
        <w:rPr/>
        <w:t>the</w:t>
      </w:r>
      <w:r>
        <w:rPr>
          <w:spacing w:val="-4"/>
        </w:rPr>
        <w:t> </w:t>
      </w:r>
      <w:r>
        <w:rPr/>
        <w:t>Bank</w:t>
      </w:r>
      <w:r>
        <w:rPr>
          <w:spacing w:val="-5"/>
        </w:rPr>
        <w:t> </w:t>
      </w:r>
      <w:r>
        <w:rPr/>
        <w:t>of</w:t>
      </w:r>
      <w:r>
        <w:rPr>
          <w:spacing w:val="-4"/>
        </w:rPr>
        <w:t> </w:t>
      </w:r>
      <w:r>
        <w:rPr/>
        <w:t>England</w:t>
      </w:r>
      <w:r>
        <w:rPr>
          <w:spacing w:val="-5"/>
        </w:rPr>
        <w:t> </w:t>
      </w:r>
      <w:r>
        <w:rPr/>
        <w:t>or</w:t>
      </w:r>
      <w:r>
        <w:rPr>
          <w:spacing w:val="-3"/>
        </w:rPr>
        <w:t> </w:t>
      </w:r>
      <w:r>
        <w:rPr/>
        <w:t>other</w:t>
      </w:r>
      <w:r>
        <w:rPr>
          <w:spacing w:val="-4"/>
        </w:rPr>
        <w:t> </w:t>
      </w:r>
      <w:r>
        <w:rPr/>
        <w:t>members</w:t>
      </w:r>
      <w:r>
        <w:rPr>
          <w:spacing w:val="-5"/>
        </w:rPr>
        <w:t> </w:t>
      </w:r>
      <w:r>
        <w:rPr/>
        <w:t>of</w:t>
      </w:r>
      <w:r>
        <w:rPr>
          <w:spacing w:val="-4"/>
        </w:rPr>
        <w:t> </w:t>
      </w:r>
      <w:r>
        <w:rPr/>
        <w:t>the</w:t>
      </w:r>
      <w:r>
        <w:rPr>
          <w:spacing w:val="-5"/>
        </w:rPr>
        <w:t> </w:t>
      </w:r>
      <w:r>
        <w:rPr/>
        <w:t>Monetary</w:t>
      </w:r>
      <w:r>
        <w:rPr>
          <w:spacing w:val="-4"/>
        </w:rPr>
        <w:t> </w:t>
      </w:r>
      <w:r>
        <w:rPr/>
        <w:t>Policy</w:t>
      </w:r>
      <w:r>
        <w:rPr>
          <w:spacing w:val="-4"/>
        </w:rPr>
        <w:t> </w:t>
      </w:r>
      <w:r>
        <w:rPr/>
        <w:t>Committee.</w:t>
      </w:r>
    </w:p>
    <w:p>
      <w:pPr>
        <w:spacing w:after="0"/>
        <w:sectPr>
          <w:footerReference w:type="default" r:id="rId5"/>
          <w:type w:val="continuous"/>
          <w:pgSz w:w="11900" w:h="16840"/>
          <w:pgMar w:footer="1385" w:top="1140" w:bottom="1580" w:left="900" w:right="1020"/>
        </w:sectPr>
      </w:pPr>
    </w:p>
    <w:p>
      <w:pPr>
        <w:pStyle w:val="BodyText"/>
        <w:spacing w:line="360" w:lineRule="auto" w:before="76"/>
        <w:ind w:left="233" w:right="138"/>
      </w:pPr>
      <w:r>
        <w:rPr/>
        <w:t>Good afternoon, ladies and gentlemen. I am delighted to have the opportunity to address this year’s CBI East of England annual lunch.  In my time as a member of the Monetary Policy Committee, I have particularly appreciated the opportunity to talk to businesses and business groups around the UK. As an economist with strong roots in the business world, I place great weight on the input that the MPC receives from the business community, which we get from a wide variety of sources – including business surveys and the reports from the Bank’s Agents. But there is no substitute for visiting individual companies and meeting business groups to gauge economic sentiment at the grass roots level around the country. It is a great strength of the MPC that regional visits are a key part of the activities of all members of the Committee. And in the four and a half years I have spent as a member of the Committee, I estimate that I have visited around 140 individual businesses and talked to around 100 business groups – across England, Scotland, Wales and Northern</w:t>
      </w:r>
      <w:r>
        <w:rPr>
          <w:spacing w:val="-1"/>
        </w:rPr>
        <w:t> </w:t>
      </w:r>
      <w:r>
        <w:rPr/>
        <w:t>Ireland.</w:t>
      </w:r>
      <w:r>
        <w:rPr>
          <w:vertAlign w:val="superscript"/>
        </w:rPr>
        <w:t>1</w:t>
      </w:r>
    </w:p>
    <w:p>
      <w:pPr>
        <w:pStyle w:val="BodyText"/>
        <w:rPr>
          <w:sz w:val="30"/>
        </w:rPr>
      </w:pPr>
    </w:p>
    <w:p>
      <w:pPr>
        <w:pStyle w:val="BodyText"/>
        <w:spacing w:line="360" w:lineRule="auto"/>
        <w:ind w:left="233" w:right="121"/>
      </w:pPr>
      <w:r>
        <w:rPr/>
        <w:t>There are two reasons why I am particularly pleased to speak at today’s lunch. First of all, the East of England is my home region as I live in Essex and have done so for over a quarter of a century now. Second, I am always delighted to speak on a CBI platform as the seven and a half years that I spent as a CBI economist in the late 1980s and the early 1990s was a very important and formative period in my career. I have a great respect for the work of the CBI which remains the pre-eminent business organisation in the UK.</w:t>
      </w:r>
    </w:p>
    <w:p>
      <w:pPr>
        <w:pStyle w:val="BodyText"/>
        <w:rPr>
          <w:sz w:val="30"/>
        </w:rPr>
      </w:pPr>
    </w:p>
    <w:p>
      <w:pPr>
        <w:pStyle w:val="BodyText"/>
        <w:spacing w:line="360" w:lineRule="auto"/>
        <w:ind w:left="233" w:right="121"/>
      </w:pPr>
      <w:r>
        <w:rPr/>
        <w:t>That period I spent working in the CBI’s Economics Department about twenty years ago was also a period of major economic turbulence in the UK. I joined the CBI in September 1986, just as the “Lawson Boom” was getting underway. And I was the CBI’s Director of Economic Affairs from 1989 until the end of 1993 as boom turned to bust and the UK economy went through the last major recession before the global financial crisis of 2008/9. We also went through a great deal of upheaval on the policy front – with a major surge in inflation in the 1980s, joining the ERM in 1990 and then leaving it two years later, and also having to deal with a very large public sector deficit in the wake of the early 1990s recession. Perhaps when I was appointed to the MPC in 2006, twenty years after I joined the CBI, alarm bells should have been ringing in the business community. Both my periods of involvement with national economic policy-making have coincided with periods of major economic turbulence in the UK economy! Maybe you can take some comfort from the fact that my term on the MPC finishes at the end of May – which should usher in a calmer period for the UK economy and policy-making if past experience is any guide!</w:t>
      </w:r>
    </w:p>
    <w:p>
      <w:pPr>
        <w:pStyle w:val="BodyText"/>
        <w:rPr>
          <w:sz w:val="30"/>
        </w:rPr>
      </w:pPr>
    </w:p>
    <w:p>
      <w:pPr>
        <w:pStyle w:val="BodyText"/>
        <w:spacing w:line="360" w:lineRule="auto"/>
        <w:ind w:left="233" w:right="183"/>
      </w:pPr>
      <w:r>
        <w:rPr/>
        <w:t>From a personal point-of-view, however, this has been a fascinating period to be involved with UK economic policy-making. In my view, the actions taken by the MPC from the autumn of 2008 and through 2009 played a key role in stabilising the UK economy in the face of the negative and destructive forces created by the global financial crisis. But now that we have passed the worst phase of that crisis, a reassessment of policy is needed. I have been arguing for some time that we should be gradually removing some of the monetary</w:t>
      </w:r>
    </w:p>
    <w:p>
      <w:pPr>
        <w:pStyle w:val="BodyText"/>
        <w:spacing w:before="1"/>
        <w:rPr>
          <w:sz w:val="23"/>
        </w:rPr>
      </w:pPr>
      <w:r>
        <w:rPr/>
        <w:pict>
          <v:shape style="position:absolute;margin-left:56.700001pt;margin-top:15.492729pt;width:144pt;height:.1pt;mso-position-horizontal-relative:page;mso-position-vertical-relative:paragraph;z-index:-251657216;mso-wrap-distance-left:0;mso-wrap-distance-right:0" coordorigin="1134,310" coordsize="2880,0" path="m1134,310l4014,310e" filled="false" stroked="true" strokeweight=".48001pt" strokecolor="#000000">
            <v:path arrowok="t"/>
            <v:stroke dashstyle="solid"/>
            <w10:wrap type="topAndBottom"/>
          </v:shape>
        </w:pict>
      </w:r>
    </w:p>
    <w:p>
      <w:pPr>
        <w:spacing w:before="32"/>
        <w:ind w:left="234" w:right="165" w:hanging="1"/>
        <w:jc w:val="left"/>
        <w:rPr>
          <w:sz w:val="16"/>
        </w:rPr>
      </w:pPr>
      <w:r>
        <w:rPr>
          <w:position w:val="8"/>
          <w:sz w:val="10"/>
        </w:rPr>
        <w:t>1 </w:t>
      </w:r>
      <w:r>
        <w:rPr>
          <w:sz w:val="16"/>
        </w:rPr>
        <w:t>MPC members typically undertake 2-day regional visits which include around 4 in-depth discussions with individual companies and 3 meetings with groups of business executives. Since I joined the Committee in October 2006, I have undertaken 35 regional visits of this sort.</w:t>
      </w:r>
    </w:p>
    <w:p>
      <w:pPr>
        <w:spacing w:after="0"/>
        <w:jc w:val="left"/>
        <w:rPr>
          <w:sz w:val="16"/>
        </w:rPr>
        <w:sectPr>
          <w:footerReference w:type="default" r:id="rId7"/>
          <w:pgSz w:w="11900" w:h="16840"/>
          <w:pgMar w:footer="1340" w:header="0" w:top="1540" w:bottom="1540" w:left="900" w:right="1020"/>
        </w:sectPr>
      </w:pPr>
    </w:p>
    <w:p>
      <w:pPr>
        <w:pStyle w:val="BodyText"/>
        <w:spacing w:line="360" w:lineRule="auto" w:before="76"/>
        <w:ind w:left="234" w:right="484"/>
        <w:jc w:val="both"/>
      </w:pPr>
      <w:r>
        <w:rPr/>
        <w:t>stimulus provided in the depths of the recession by raising interest rates to reflect the improvement in the economy at home and abroad and to counter the rather worrying tendency of inflation to run significantly above the 2% target set by the government.</w:t>
      </w:r>
    </w:p>
    <w:p>
      <w:pPr>
        <w:pStyle w:val="BodyText"/>
        <w:rPr>
          <w:sz w:val="30"/>
        </w:rPr>
      </w:pPr>
    </w:p>
    <w:p>
      <w:pPr>
        <w:pStyle w:val="BodyText"/>
        <w:spacing w:line="360" w:lineRule="auto"/>
        <w:ind w:left="234" w:right="145"/>
      </w:pPr>
      <w:r>
        <w:rPr/>
        <w:t>In recent months, however, there have been concerns about the sustainability of the UK economic recovery which might seem to weaken this case for higher interest rates. The GDP data for the final quarter of last year were disappointing, even allowing for the impact of the snow, and there are worries about the impact of fiscal tightening as it begins to have an impact through public spending restraint and higher VAT. There are also concerns about volatility on the international scene, with political instability in the Middle East and North Africa and the effects of the earthquake and tsunami on Japan, the world’s third largest economy.</w:t>
      </w:r>
    </w:p>
    <w:p>
      <w:pPr>
        <w:pStyle w:val="BodyText"/>
        <w:spacing w:before="11"/>
        <w:rPr>
          <w:sz w:val="29"/>
        </w:rPr>
      </w:pPr>
    </w:p>
    <w:p>
      <w:pPr>
        <w:pStyle w:val="BodyText"/>
        <w:spacing w:line="360" w:lineRule="auto"/>
        <w:ind w:left="234" w:right="432"/>
      </w:pPr>
      <w:r>
        <w:rPr/>
        <w:t>In today’s speech I want to discuss the growth of the UK economy over the current recovery and how it should be reflected in the MPC’s decisions on monetary policy. I will aim to cover three topics: first, the progress of the economic recovery to date; second, the prospects for UK economic growth looking ahead over the next couple of years; and third, and most crucially, the role of monetary policy in supporting sustainable economic growth in the UK economy over the economic cycle.</w:t>
      </w:r>
    </w:p>
    <w:p>
      <w:pPr>
        <w:pStyle w:val="BodyText"/>
        <w:spacing w:before="1"/>
        <w:rPr>
          <w:sz w:val="30"/>
        </w:rPr>
      </w:pPr>
    </w:p>
    <w:p>
      <w:pPr>
        <w:pStyle w:val="Heading1"/>
      </w:pPr>
      <w:r>
        <w:rPr/>
        <w:t>The current recovery – progress to date</w:t>
      </w:r>
    </w:p>
    <w:p>
      <w:pPr>
        <w:pStyle w:val="BodyText"/>
        <w:rPr>
          <w:b/>
          <w:sz w:val="22"/>
        </w:rPr>
      </w:pPr>
    </w:p>
    <w:p>
      <w:pPr>
        <w:pStyle w:val="BodyText"/>
        <w:spacing w:before="11"/>
        <w:rPr>
          <w:b/>
          <w:sz w:val="17"/>
        </w:rPr>
      </w:pPr>
    </w:p>
    <w:p>
      <w:pPr>
        <w:pStyle w:val="BodyText"/>
        <w:spacing w:line="360" w:lineRule="auto"/>
        <w:ind w:left="234" w:right="165"/>
      </w:pPr>
      <w:r>
        <w:rPr/>
        <w:t>Economic recoveries are normally uneven – particularly in their early stages – and we should not be surprised to see significant fluctuations in the GDP growth rate from quarter to quarter. We have seen this in previous recoveries, with the quarterly rises in GDP fluctuating from zero to 1.5% in the first three years of the 1980s recovery and from -0.2% to 1.4% in the equivalent period when the UK economy was recovering in the early 1990s.</w:t>
      </w:r>
      <w:r>
        <w:rPr>
          <w:vertAlign w:val="superscript"/>
        </w:rPr>
        <w:t>2</w:t>
      </w:r>
      <w:r>
        <w:rPr>
          <w:vertAlign w:val="baseline"/>
        </w:rPr>
        <w:t> In this context, the performance of the UK economy over the recovery so far does not look unusual. Before the snow arrived at the end of the year, we had four quarters of economic growth in which the rise in GDP fluctuated from 0.3% to 1.0%. In fact, until the snow-affected fourth quarter, the growth of the UK economy over the first year of this recovery was stronger than in the equivalent period of the early 1980s and early 1990s recoveries. As Chart 1 shows, UK GDP grew by 2.5% in the year following the trough of output in the third quarter of 2009, compared with 2.0% growth following the trough in the early 1980s and a rise of just 0.5% in GDP in 1991/92.</w:t>
      </w:r>
      <w:r>
        <w:rPr>
          <w:vertAlign w:val="superscript"/>
        </w:rPr>
        <w:t>3</w:t>
      </w:r>
      <w:r>
        <w:rPr>
          <w:vertAlign w:val="baseline"/>
        </w:rPr>
        <w:t> Manufacturing industry has performed particularly strongly, benefiting from the global recovery and a competitive pound, and the recent annual growth of manufacturing output has been the strongest recorded since</w:t>
      </w:r>
      <w:r>
        <w:rPr>
          <w:spacing w:val="-10"/>
          <w:vertAlign w:val="baseline"/>
        </w:rPr>
        <w:t> </w:t>
      </w:r>
      <w:r>
        <w:rPr>
          <w:vertAlign w:val="baseline"/>
        </w:rPr>
        <w:t>1994.</w:t>
      </w:r>
    </w:p>
    <w:p>
      <w:pPr>
        <w:pStyle w:val="BodyText"/>
      </w:pPr>
    </w:p>
    <w:p>
      <w:pPr>
        <w:pStyle w:val="BodyText"/>
      </w:pPr>
    </w:p>
    <w:p>
      <w:pPr>
        <w:pStyle w:val="BodyText"/>
      </w:pPr>
    </w:p>
    <w:p>
      <w:pPr>
        <w:pStyle w:val="BodyText"/>
      </w:pPr>
    </w:p>
    <w:p>
      <w:pPr>
        <w:pStyle w:val="BodyText"/>
      </w:pPr>
    </w:p>
    <w:p>
      <w:pPr>
        <w:pStyle w:val="BodyText"/>
        <w:spacing w:before="1"/>
        <w:rPr>
          <w:sz w:val="27"/>
        </w:rPr>
      </w:pPr>
      <w:r>
        <w:rPr/>
        <w:pict>
          <v:shape style="position:absolute;margin-left:56.700001pt;margin-top:17.81167pt;width:144pt;height:.1pt;mso-position-horizontal-relative:page;mso-position-vertical-relative:paragraph;z-index:-251656192;mso-wrap-distance-left:0;mso-wrap-distance-right:0" coordorigin="1134,356" coordsize="2880,0" path="m1134,356l4014,356e" filled="false" stroked="true" strokeweight=".47998pt" strokecolor="#000000">
            <v:path arrowok="t"/>
            <v:stroke dashstyle="solid"/>
            <w10:wrap type="topAndBottom"/>
          </v:shape>
        </w:pict>
      </w:r>
    </w:p>
    <w:p>
      <w:pPr>
        <w:spacing w:before="32"/>
        <w:ind w:left="233" w:right="243" w:firstLine="0"/>
        <w:jc w:val="left"/>
        <w:rPr>
          <w:sz w:val="16"/>
        </w:rPr>
      </w:pPr>
      <w:r>
        <w:rPr>
          <w:position w:val="8"/>
          <w:sz w:val="10"/>
        </w:rPr>
        <w:t>2 </w:t>
      </w:r>
      <w:r>
        <w:rPr>
          <w:sz w:val="16"/>
        </w:rPr>
        <w:t>Initial estimates of GDP growth made in the 1980s and 1990s were even more volatile, with quarterly GDP changes fluctuating from - 1.8% to +2.3% in the first three years of the 1980s recovery and from -0.8% to +1.2% in the early phase of the 1990s recovery.</w:t>
      </w:r>
    </w:p>
    <w:p>
      <w:pPr>
        <w:spacing w:line="184" w:lineRule="exact" w:before="2"/>
        <w:ind w:left="233" w:right="145" w:firstLine="0"/>
        <w:jc w:val="left"/>
        <w:rPr>
          <w:sz w:val="16"/>
        </w:rPr>
      </w:pPr>
      <w:r>
        <w:rPr>
          <w:position w:val="8"/>
          <w:sz w:val="10"/>
        </w:rPr>
        <w:t>3 </w:t>
      </w:r>
      <w:r>
        <w:rPr>
          <w:sz w:val="16"/>
        </w:rPr>
        <w:t>Growth was stronger in the first year of sustained recovery in the second half of 1992 and the first half of 1993, but this was later in the cycle (ie longer after the cyclical peak) than the other periods shown in Chart 1.</w:t>
      </w:r>
    </w:p>
    <w:p>
      <w:pPr>
        <w:spacing w:after="0" w:line="184" w:lineRule="exact"/>
        <w:jc w:val="left"/>
        <w:rPr>
          <w:sz w:val="16"/>
        </w:rPr>
        <w:sectPr>
          <w:footerReference w:type="default" r:id="rId8"/>
          <w:pgSz w:w="11900" w:h="16840"/>
          <w:pgMar w:footer="1340" w:header="0" w:top="1540" w:bottom="1540" w:left="900" w:right="1020"/>
          <w:pgNumType w:start="3"/>
        </w:sectPr>
      </w:pPr>
    </w:p>
    <w:p>
      <w:pPr>
        <w:pStyle w:val="BodyText"/>
      </w:pPr>
    </w:p>
    <w:p>
      <w:pPr>
        <w:pStyle w:val="BodyText"/>
        <w:spacing w:before="7" w:after="1"/>
        <w:rPr>
          <w:sz w:val="11"/>
        </w:rPr>
      </w:pPr>
    </w:p>
    <w:tbl>
      <w:tblPr>
        <w:tblW w:w="0" w:type="auto"/>
        <w:jc w:val="left"/>
        <w:tblInd w:w="1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99"/>
        <w:gridCol w:w="2027"/>
        <w:gridCol w:w="1759"/>
        <w:gridCol w:w="852"/>
      </w:tblGrid>
      <w:tr>
        <w:trPr>
          <w:trHeight w:val="860" w:hRule="atLeast"/>
        </w:trPr>
        <w:tc>
          <w:tcPr>
            <w:tcW w:w="7337" w:type="dxa"/>
            <w:gridSpan w:val="4"/>
            <w:tcBorders>
              <w:top w:val="single" w:sz="4" w:space="0" w:color="000000"/>
              <w:left w:val="single" w:sz="4" w:space="0" w:color="000000"/>
              <w:bottom w:val="single" w:sz="4" w:space="0" w:color="000000"/>
              <w:right w:val="single" w:sz="4" w:space="0" w:color="000000"/>
            </w:tcBorders>
          </w:tcPr>
          <w:p>
            <w:pPr>
              <w:pStyle w:val="TableParagraph"/>
              <w:spacing w:before="168"/>
              <w:ind w:left="107"/>
              <w:rPr>
                <w:b/>
                <w:sz w:val="20"/>
              </w:rPr>
            </w:pPr>
            <w:r>
              <w:rPr>
                <w:b/>
                <w:sz w:val="20"/>
              </w:rPr>
              <w:t>Chart 1 – Early recoveries compared</w:t>
            </w:r>
          </w:p>
          <w:p>
            <w:pPr>
              <w:pStyle w:val="TableParagraph"/>
              <w:spacing w:before="169"/>
              <w:ind w:left="107"/>
              <w:rPr>
                <w:sz w:val="20"/>
              </w:rPr>
            </w:pPr>
            <w:r>
              <w:rPr>
                <w:sz w:val="20"/>
              </w:rPr>
              <w:t>Annual percentage growth in the four quarters after cycle trough</w:t>
            </w:r>
          </w:p>
        </w:tc>
      </w:tr>
      <w:tr>
        <w:trPr>
          <w:trHeight w:val="376" w:hRule="atLeast"/>
        </w:trPr>
        <w:tc>
          <w:tcPr>
            <w:tcW w:w="2699" w:type="dxa"/>
            <w:tcBorders>
              <w:top w:val="single" w:sz="4" w:space="0" w:color="000000"/>
              <w:left w:val="single" w:sz="4" w:space="0" w:color="000000"/>
            </w:tcBorders>
          </w:tcPr>
          <w:p>
            <w:pPr>
              <w:pStyle w:val="TableParagraph"/>
              <w:rPr>
                <w:rFonts w:ascii="Times New Roman"/>
                <w:sz w:val="18"/>
              </w:rPr>
            </w:pPr>
          </w:p>
        </w:tc>
        <w:tc>
          <w:tcPr>
            <w:tcW w:w="2027" w:type="dxa"/>
            <w:tcBorders>
              <w:top w:val="single" w:sz="4" w:space="0" w:color="000000"/>
            </w:tcBorders>
          </w:tcPr>
          <w:p>
            <w:pPr>
              <w:pStyle w:val="TableParagraph"/>
              <w:rPr>
                <w:rFonts w:ascii="Times New Roman"/>
                <w:sz w:val="18"/>
              </w:rPr>
            </w:pPr>
          </w:p>
        </w:tc>
        <w:tc>
          <w:tcPr>
            <w:tcW w:w="1759" w:type="dxa"/>
            <w:tcBorders>
              <w:top w:val="single" w:sz="4" w:space="0" w:color="000000"/>
            </w:tcBorders>
          </w:tcPr>
          <w:p>
            <w:pPr>
              <w:pStyle w:val="TableParagraph"/>
              <w:rPr>
                <w:rFonts w:ascii="Times New Roman"/>
                <w:sz w:val="18"/>
              </w:rPr>
            </w:pPr>
          </w:p>
        </w:tc>
        <w:tc>
          <w:tcPr>
            <w:tcW w:w="852" w:type="dxa"/>
            <w:tcBorders>
              <w:top w:val="single" w:sz="4" w:space="0" w:color="000000"/>
              <w:right w:val="single" w:sz="4" w:space="0" w:color="000000"/>
            </w:tcBorders>
          </w:tcPr>
          <w:p>
            <w:pPr>
              <w:pStyle w:val="TableParagraph"/>
              <w:spacing w:before="9"/>
              <w:rPr>
                <w:sz w:val="15"/>
              </w:rPr>
            </w:pPr>
          </w:p>
          <w:p>
            <w:pPr>
              <w:pStyle w:val="TableParagraph"/>
              <w:spacing w:line="174" w:lineRule="exact"/>
              <w:ind w:right="149"/>
              <w:jc w:val="right"/>
              <w:rPr>
                <w:b/>
                <w:sz w:val="16"/>
              </w:rPr>
            </w:pPr>
            <w:r>
              <w:rPr>
                <w:b/>
                <w:sz w:val="16"/>
              </w:rPr>
              <w:t>5.0</w:t>
            </w:r>
          </w:p>
        </w:tc>
      </w:tr>
      <w:tr>
        <w:trPr>
          <w:trHeight w:val="313" w:hRule="atLeast"/>
        </w:trPr>
        <w:tc>
          <w:tcPr>
            <w:tcW w:w="2699" w:type="dxa"/>
            <w:tcBorders>
              <w:left w:val="single" w:sz="4" w:space="0" w:color="000000"/>
            </w:tcBorders>
          </w:tcPr>
          <w:p>
            <w:pPr>
              <w:pStyle w:val="TableParagraph"/>
              <w:spacing w:before="8"/>
              <w:ind w:left="843"/>
              <w:rPr>
                <w:b/>
                <w:sz w:val="16"/>
              </w:rPr>
            </w:pPr>
            <w:r>
              <w:rPr>
                <w:b/>
                <w:w w:val="105"/>
                <w:sz w:val="16"/>
              </w:rPr>
              <w:t>1980s (81Q1-82Q1)</w:t>
            </w:r>
          </w:p>
        </w:tc>
        <w:tc>
          <w:tcPr>
            <w:tcW w:w="2027" w:type="dxa"/>
          </w:tcPr>
          <w:p>
            <w:pPr>
              <w:pStyle w:val="TableParagraph"/>
              <w:rPr>
                <w:rFonts w:ascii="Times New Roman"/>
                <w:sz w:val="18"/>
              </w:rPr>
            </w:pPr>
          </w:p>
        </w:tc>
        <w:tc>
          <w:tcPr>
            <w:tcW w:w="1759" w:type="dxa"/>
          </w:tcPr>
          <w:p>
            <w:pPr>
              <w:pStyle w:val="TableParagraph"/>
              <w:rPr>
                <w:rFonts w:ascii="Times New Roman"/>
                <w:sz w:val="18"/>
              </w:rPr>
            </w:pPr>
          </w:p>
        </w:tc>
        <w:tc>
          <w:tcPr>
            <w:tcW w:w="852" w:type="dxa"/>
            <w:tcBorders>
              <w:right w:val="single" w:sz="4" w:space="0" w:color="000000"/>
            </w:tcBorders>
          </w:tcPr>
          <w:p>
            <w:pPr>
              <w:pStyle w:val="TableParagraph"/>
              <w:spacing w:line="157" w:lineRule="exact" w:before="137"/>
              <w:ind w:right="149"/>
              <w:jc w:val="right"/>
              <w:rPr>
                <w:b/>
                <w:sz w:val="16"/>
              </w:rPr>
            </w:pPr>
            <w:r>
              <w:rPr>
                <w:b/>
                <w:sz w:val="16"/>
              </w:rPr>
              <w:t>4.5</w:t>
            </w:r>
          </w:p>
        </w:tc>
      </w:tr>
      <w:tr>
        <w:trPr>
          <w:trHeight w:val="479" w:hRule="atLeast"/>
        </w:trPr>
        <w:tc>
          <w:tcPr>
            <w:tcW w:w="2699" w:type="dxa"/>
            <w:tcBorders>
              <w:left w:val="single" w:sz="4" w:space="0" w:color="000000"/>
            </w:tcBorders>
          </w:tcPr>
          <w:p>
            <w:pPr>
              <w:pStyle w:val="TableParagraph"/>
              <w:spacing w:line="175" w:lineRule="exact"/>
              <w:ind w:left="843"/>
              <w:rPr>
                <w:b/>
                <w:sz w:val="16"/>
              </w:rPr>
            </w:pPr>
            <w:r>
              <w:rPr>
                <w:b/>
                <w:w w:val="105"/>
                <w:sz w:val="16"/>
              </w:rPr>
              <w:t>1990s (91Q3-92Q3)</w:t>
            </w:r>
          </w:p>
          <w:p>
            <w:pPr>
              <w:pStyle w:val="TableParagraph"/>
              <w:spacing w:line="171" w:lineRule="exact" w:before="113"/>
              <w:ind w:left="843"/>
              <w:rPr>
                <w:b/>
                <w:sz w:val="16"/>
              </w:rPr>
            </w:pPr>
            <w:r>
              <w:rPr>
                <w:b/>
                <w:w w:val="105"/>
                <w:sz w:val="16"/>
              </w:rPr>
              <w:t>Current (09Q3-10Q3)</w:t>
            </w:r>
          </w:p>
        </w:tc>
        <w:tc>
          <w:tcPr>
            <w:tcW w:w="2027" w:type="dxa"/>
          </w:tcPr>
          <w:p>
            <w:pPr>
              <w:pStyle w:val="TableParagraph"/>
              <w:rPr>
                <w:rFonts w:ascii="Times New Roman"/>
                <w:sz w:val="18"/>
              </w:rPr>
            </w:pPr>
          </w:p>
        </w:tc>
        <w:tc>
          <w:tcPr>
            <w:tcW w:w="1759" w:type="dxa"/>
          </w:tcPr>
          <w:p>
            <w:pPr>
              <w:pStyle w:val="TableParagraph"/>
              <w:rPr>
                <w:rFonts w:ascii="Times New Roman"/>
                <w:sz w:val="18"/>
              </w:rPr>
            </w:pPr>
          </w:p>
        </w:tc>
        <w:tc>
          <w:tcPr>
            <w:tcW w:w="852" w:type="dxa"/>
            <w:tcBorders>
              <w:right w:val="single" w:sz="4" w:space="0" w:color="000000"/>
            </w:tcBorders>
          </w:tcPr>
          <w:p>
            <w:pPr>
              <w:pStyle w:val="TableParagraph"/>
              <w:spacing w:before="154"/>
              <w:ind w:right="149"/>
              <w:jc w:val="right"/>
              <w:rPr>
                <w:b/>
                <w:sz w:val="16"/>
              </w:rPr>
            </w:pPr>
            <w:r>
              <w:rPr>
                <w:b/>
                <w:sz w:val="16"/>
              </w:rPr>
              <w:t>4.0</w:t>
            </w:r>
          </w:p>
        </w:tc>
      </w:tr>
      <w:tr>
        <w:trPr>
          <w:trHeight w:val="264" w:hRule="atLeast"/>
        </w:trPr>
        <w:tc>
          <w:tcPr>
            <w:tcW w:w="2699" w:type="dxa"/>
            <w:tcBorders>
              <w:left w:val="single" w:sz="4" w:space="0" w:color="000000"/>
            </w:tcBorders>
          </w:tcPr>
          <w:p>
            <w:pPr>
              <w:pStyle w:val="TableParagraph"/>
              <w:rPr>
                <w:rFonts w:ascii="Times New Roman"/>
                <w:sz w:val="18"/>
              </w:rPr>
            </w:pPr>
          </w:p>
        </w:tc>
        <w:tc>
          <w:tcPr>
            <w:tcW w:w="2027" w:type="dxa"/>
          </w:tcPr>
          <w:p>
            <w:pPr>
              <w:pStyle w:val="TableParagraph"/>
              <w:rPr>
                <w:rFonts w:ascii="Times New Roman"/>
                <w:sz w:val="18"/>
              </w:rPr>
            </w:pPr>
          </w:p>
        </w:tc>
        <w:tc>
          <w:tcPr>
            <w:tcW w:w="1759" w:type="dxa"/>
          </w:tcPr>
          <w:p>
            <w:pPr>
              <w:pStyle w:val="TableParagraph"/>
              <w:rPr>
                <w:rFonts w:ascii="Times New Roman"/>
                <w:sz w:val="18"/>
              </w:rPr>
            </w:pPr>
          </w:p>
        </w:tc>
        <w:tc>
          <w:tcPr>
            <w:tcW w:w="852" w:type="dxa"/>
            <w:tcBorders>
              <w:right w:val="single" w:sz="4" w:space="0" w:color="000000"/>
            </w:tcBorders>
          </w:tcPr>
          <w:p>
            <w:pPr>
              <w:pStyle w:val="TableParagraph"/>
              <w:spacing w:before="5"/>
              <w:ind w:right="149"/>
              <w:jc w:val="right"/>
              <w:rPr>
                <w:b/>
                <w:sz w:val="16"/>
              </w:rPr>
            </w:pPr>
            <w:r>
              <w:rPr>
                <w:b/>
                <w:sz w:val="16"/>
              </w:rPr>
              <w:t>3.5</w:t>
            </w:r>
          </w:p>
        </w:tc>
      </w:tr>
      <w:tr>
        <w:trPr>
          <w:trHeight w:val="331" w:hRule="atLeast"/>
        </w:trPr>
        <w:tc>
          <w:tcPr>
            <w:tcW w:w="2699" w:type="dxa"/>
            <w:tcBorders>
              <w:left w:val="single" w:sz="4" w:space="0" w:color="000000"/>
            </w:tcBorders>
          </w:tcPr>
          <w:p>
            <w:pPr>
              <w:pStyle w:val="TableParagraph"/>
              <w:rPr>
                <w:rFonts w:ascii="Times New Roman"/>
                <w:sz w:val="18"/>
              </w:rPr>
            </w:pPr>
          </w:p>
        </w:tc>
        <w:tc>
          <w:tcPr>
            <w:tcW w:w="2027" w:type="dxa"/>
          </w:tcPr>
          <w:p>
            <w:pPr>
              <w:pStyle w:val="TableParagraph"/>
              <w:rPr>
                <w:rFonts w:ascii="Times New Roman"/>
                <w:sz w:val="18"/>
              </w:rPr>
            </w:pPr>
          </w:p>
        </w:tc>
        <w:tc>
          <w:tcPr>
            <w:tcW w:w="1759" w:type="dxa"/>
          </w:tcPr>
          <w:p>
            <w:pPr>
              <w:pStyle w:val="TableParagraph"/>
              <w:rPr>
                <w:rFonts w:ascii="Times New Roman"/>
                <w:sz w:val="18"/>
              </w:rPr>
            </w:pPr>
          </w:p>
        </w:tc>
        <w:tc>
          <w:tcPr>
            <w:tcW w:w="852" w:type="dxa"/>
            <w:tcBorders>
              <w:right w:val="single" w:sz="4" w:space="0" w:color="000000"/>
            </w:tcBorders>
          </w:tcPr>
          <w:p>
            <w:pPr>
              <w:pStyle w:val="TableParagraph"/>
              <w:spacing w:before="73"/>
              <w:ind w:right="149"/>
              <w:jc w:val="right"/>
              <w:rPr>
                <w:b/>
                <w:sz w:val="16"/>
              </w:rPr>
            </w:pPr>
            <w:r>
              <w:rPr>
                <w:b/>
                <w:sz w:val="16"/>
              </w:rPr>
              <w:t>3.0</w:t>
            </w:r>
          </w:p>
        </w:tc>
      </w:tr>
      <w:tr>
        <w:trPr>
          <w:trHeight w:val="331" w:hRule="atLeast"/>
        </w:trPr>
        <w:tc>
          <w:tcPr>
            <w:tcW w:w="2699" w:type="dxa"/>
            <w:tcBorders>
              <w:left w:val="single" w:sz="4" w:space="0" w:color="000000"/>
            </w:tcBorders>
          </w:tcPr>
          <w:p>
            <w:pPr>
              <w:pStyle w:val="TableParagraph"/>
              <w:rPr>
                <w:rFonts w:ascii="Times New Roman"/>
                <w:sz w:val="18"/>
              </w:rPr>
            </w:pPr>
          </w:p>
        </w:tc>
        <w:tc>
          <w:tcPr>
            <w:tcW w:w="2027" w:type="dxa"/>
          </w:tcPr>
          <w:p>
            <w:pPr>
              <w:pStyle w:val="TableParagraph"/>
              <w:rPr>
                <w:rFonts w:ascii="Times New Roman"/>
                <w:sz w:val="18"/>
              </w:rPr>
            </w:pPr>
          </w:p>
        </w:tc>
        <w:tc>
          <w:tcPr>
            <w:tcW w:w="1759" w:type="dxa"/>
          </w:tcPr>
          <w:p>
            <w:pPr>
              <w:pStyle w:val="TableParagraph"/>
              <w:rPr>
                <w:rFonts w:ascii="Times New Roman"/>
                <w:sz w:val="18"/>
              </w:rPr>
            </w:pPr>
          </w:p>
        </w:tc>
        <w:tc>
          <w:tcPr>
            <w:tcW w:w="852" w:type="dxa"/>
            <w:tcBorders>
              <w:right w:val="single" w:sz="4" w:space="0" w:color="000000"/>
            </w:tcBorders>
          </w:tcPr>
          <w:p>
            <w:pPr>
              <w:pStyle w:val="TableParagraph"/>
              <w:spacing w:before="72"/>
              <w:ind w:right="149"/>
              <w:jc w:val="right"/>
              <w:rPr>
                <w:b/>
                <w:sz w:val="16"/>
              </w:rPr>
            </w:pPr>
            <w:r>
              <w:rPr>
                <w:b/>
                <w:sz w:val="16"/>
              </w:rPr>
              <w:t>2.5</w:t>
            </w:r>
          </w:p>
        </w:tc>
      </w:tr>
      <w:tr>
        <w:trPr>
          <w:trHeight w:val="331" w:hRule="atLeast"/>
        </w:trPr>
        <w:tc>
          <w:tcPr>
            <w:tcW w:w="2699" w:type="dxa"/>
            <w:tcBorders>
              <w:left w:val="single" w:sz="4" w:space="0" w:color="000000"/>
            </w:tcBorders>
          </w:tcPr>
          <w:p>
            <w:pPr>
              <w:pStyle w:val="TableParagraph"/>
              <w:rPr>
                <w:rFonts w:ascii="Times New Roman"/>
                <w:sz w:val="18"/>
              </w:rPr>
            </w:pPr>
          </w:p>
        </w:tc>
        <w:tc>
          <w:tcPr>
            <w:tcW w:w="2027" w:type="dxa"/>
          </w:tcPr>
          <w:p>
            <w:pPr>
              <w:pStyle w:val="TableParagraph"/>
              <w:rPr>
                <w:rFonts w:ascii="Times New Roman"/>
                <w:sz w:val="18"/>
              </w:rPr>
            </w:pPr>
          </w:p>
        </w:tc>
        <w:tc>
          <w:tcPr>
            <w:tcW w:w="1759" w:type="dxa"/>
          </w:tcPr>
          <w:p>
            <w:pPr>
              <w:pStyle w:val="TableParagraph"/>
              <w:rPr>
                <w:rFonts w:ascii="Times New Roman"/>
                <w:sz w:val="18"/>
              </w:rPr>
            </w:pPr>
          </w:p>
        </w:tc>
        <w:tc>
          <w:tcPr>
            <w:tcW w:w="852" w:type="dxa"/>
            <w:tcBorders>
              <w:right w:val="single" w:sz="4" w:space="0" w:color="000000"/>
            </w:tcBorders>
          </w:tcPr>
          <w:p>
            <w:pPr>
              <w:pStyle w:val="TableParagraph"/>
              <w:spacing w:before="72"/>
              <w:ind w:right="149"/>
              <w:jc w:val="right"/>
              <w:rPr>
                <w:b/>
                <w:sz w:val="16"/>
              </w:rPr>
            </w:pPr>
            <w:r>
              <w:rPr>
                <w:b/>
                <w:sz w:val="16"/>
              </w:rPr>
              <w:t>2.0</w:t>
            </w:r>
          </w:p>
        </w:tc>
      </w:tr>
      <w:tr>
        <w:trPr>
          <w:trHeight w:val="331" w:hRule="atLeast"/>
        </w:trPr>
        <w:tc>
          <w:tcPr>
            <w:tcW w:w="2699" w:type="dxa"/>
            <w:tcBorders>
              <w:left w:val="single" w:sz="4" w:space="0" w:color="000000"/>
            </w:tcBorders>
          </w:tcPr>
          <w:p>
            <w:pPr>
              <w:pStyle w:val="TableParagraph"/>
              <w:rPr>
                <w:rFonts w:ascii="Times New Roman"/>
                <w:sz w:val="18"/>
              </w:rPr>
            </w:pPr>
          </w:p>
        </w:tc>
        <w:tc>
          <w:tcPr>
            <w:tcW w:w="2027" w:type="dxa"/>
          </w:tcPr>
          <w:p>
            <w:pPr>
              <w:pStyle w:val="TableParagraph"/>
              <w:rPr>
                <w:rFonts w:ascii="Times New Roman"/>
                <w:sz w:val="18"/>
              </w:rPr>
            </w:pPr>
          </w:p>
        </w:tc>
        <w:tc>
          <w:tcPr>
            <w:tcW w:w="1759" w:type="dxa"/>
          </w:tcPr>
          <w:p>
            <w:pPr>
              <w:pStyle w:val="TableParagraph"/>
              <w:rPr>
                <w:rFonts w:ascii="Times New Roman"/>
                <w:sz w:val="18"/>
              </w:rPr>
            </w:pPr>
          </w:p>
        </w:tc>
        <w:tc>
          <w:tcPr>
            <w:tcW w:w="852" w:type="dxa"/>
            <w:tcBorders>
              <w:right w:val="single" w:sz="4" w:space="0" w:color="000000"/>
            </w:tcBorders>
          </w:tcPr>
          <w:p>
            <w:pPr>
              <w:pStyle w:val="TableParagraph"/>
              <w:spacing w:before="72"/>
              <w:ind w:right="149"/>
              <w:jc w:val="right"/>
              <w:rPr>
                <w:b/>
                <w:sz w:val="16"/>
              </w:rPr>
            </w:pPr>
            <w:r>
              <w:rPr>
                <w:b/>
                <w:sz w:val="16"/>
              </w:rPr>
              <w:t>1.5</w:t>
            </w:r>
          </w:p>
        </w:tc>
      </w:tr>
      <w:tr>
        <w:trPr>
          <w:trHeight w:val="331" w:hRule="atLeast"/>
        </w:trPr>
        <w:tc>
          <w:tcPr>
            <w:tcW w:w="2699" w:type="dxa"/>
            <w:tcBorders>
              <w:left w:val="single" w:sz="4" w:space="0" w:color="000000"/>
            </w:tcBorders>
          </w:tcPr>
          <w:p>
            <w:pPr>
              <w:pStyle w:val="TableParagraph"/>
              <w:rPr>
                <w:rFonts w:ascii="Times New Roman"/>
                <w:sz w:val="18"/>
              </w:rPr>
            </w:pPr>
          </w:p>
        </w:tc>
        <w:tc>
          <w:tcPr>
            <w:tcW w:w="2027" w:type="dxa"/>
          </w:tcPr>
          <w:p>
            <w:pPr>
              <w:pStyle w:val="TableParagraph"/>
              <w:rPr>
                <w:rFonts w:ascii="Times New Roman"/>
                <w:sz w:val="18"/>
              </w:rPr>
            </w:pPr>
          </w:p>
        </w:tc>
        <w:tc>
          <w:tcPr>
            <w:tcW w:w="1759" w:type="dxa"/>
          </w:tcPr>
          <w:p>
            <w:pPr>
              <w:pStyle w:val="TableParagraph"/>
              <w:rPr>
                <w:rFonts w:ascii="Times New Roman"/>
                <w:sz w:val="18"/>
              </w:rPr>
            </w:pPr>
          </w:p>
        </w:tc>
        <w:tc>
          <w:tcPr>
            <w:tcW w:w="852" w:type="dxa"/>
            <w:tcBorders>
              <w:right w:val="single" w:sz="4" w:space="0" w:color="000000"/>
            </w:tcBorders>
          </w:tcPr>
          <w:p>
            <w:pPr>
              <w:pStyle w:val="TableParagraph"/>
              <w:spacing w:before="72"/>
              <w:ind w:right="149"/>
              <w:jc w:val="right"/>
              <w:rPr>
                <w:b/>
                <w:sz w:val="16"/>
              </w:rPr>
            </w:pPr>
            <w:r>
              <w:rPr>
                <w:b/>
                <w:sz w:val="16"/>
              </w:rPr>
              <w:t>1.0</w:t>
            </w:r>
          </w:p>
        </w:tc>
      </w:tr>
      <w:tr>
        <w:trPr>
          <w:trHeight w:val="331" w:hRule="atLeast"/>
        </w:trPr>
        <w:tc>
          <w:tcPr>
            <w:tcW w:w="2699" w:type="dxa"/>
            <w:tcBorders>
              <w:left w:val="single" w:sz="4" w:space="0" w:color="000000"/>
            </w:tcBorders>
          </w:tcPr>
          <w:p>
            <w:pPr>
              <w:pStyle w:val="TableParagraph"/>
              <w:rPr>
                <w:rFonts w:ascii="Times New Roman"/>
                <w:sz w:val="18"/>
              </w:rPr>
            </w:pPr>
          </w:p>
        </w:tc>
        <w:tc>
          <w:tcPr>
            <w:tcW w:w="2027" w:type="dxa"/>
          </w:tcPr>
          <w:p>
            <w:pPr>
              <w:pStyle w:val="TableParagraph"/>
              <w:rPr>
                <w:rFonts w:ascii="Times New Roman"/>
                <w:sz w:val="18"/>
              </w:rPr>
            </w:pPr>
          </w:p>
        </w:tc>
        <w:tc>
          <w:tcPr>
            <w:tcW w:w="1759" w:type="dxa"/>
          </w:tcPr>
          <w:p>
            <w:pPr>
              <w:pStyle w:val="TableParagraph"/>
              <w:rPr>
                <w:rFonts w:ascii="Times New Roman"/>
                <w:sz w:val="18"/>
              </w:rPr>
            </w:pPr>
          </w:p>
        </w:tc>
        <w:tc>
          <w:tcPr>
            <w:tcW w:w="852" w:type="dxa"/>
            <w:tcBorders>
              <w:right w:val="single" w:sz="4" w:space="0" w:color="000000"/>
            </w:tcBorders>
          </w:tcPr>
          <w:p>
            <w:pPr>
              <w:pStyle w:val="TableParagraph"/>
              <w:spacing w:before="72"/>
              <w:ind w:right="149"/>
              <w:jc w:val="right"/>
              <w:rPr>
                <w:b/>
                <w:sz w:val="16"/>
              </w:rPr>
            </w:pPr>
            <w:r>
              <w:rPr>
                <w:b/>
                <w:sz w:val="16"/>
              </w:rPr>
              <w:t>0.5</w:t>
            </w:r>
          </w:p>
        </w:tc>
      </w:tr>
      <w:tr>
        <w:trPr>
          <w:trHeight w:val="268" w:hRule="atLeast"/>
        </w:trPr>
        <w:tc>
          <w:tcPr>
            <w:tcW w:w="2699" w:type="dxa"/>
            <w:tcBorders>
              <w:left w:val="single" w:sz="4" w:space="0" w:color="000000"/>
            </w:tcBorders>
          </w:tcPr>
          <w:p>
            <w:pPr>
              <w:pStyle w:val="TableParagraph"/>
              <w:rPr>
                <w:rFonts w:ascii="Times New Roman"/>
                <w:sz w:val="18"/>
              </w:rPr>
            </w:pPr>
          </w:p>
        </w:tc>
        <w:tc>
          <w:tcPr>
            <w:tcW w:w="2027" w:type="dxa"/>
          </w:tcPr>
          <w:p>
            <w:pPr>
              <w:pStyle w:val="TableParagraph"/>
              <w:rPr>
                <w:rFonts w:ascii="Times New Roman"/>
                <w:sz w:val="18"/>
              </w:rPr>
            </w:pPr>
          </w:p>
        </w:tc>
        <w:tc>
          <w:tcPr>
            <w:tcW w:w="1759" w:type="dxa"/>
          </w:tcPr>
          <w:p>
            <w:pPr>
              <w:pStyle w:val="TableParagraph"/>
              <w:rPr>
                <w:rFonts w:ascii="Times New Roman"/>
                <w:sz w:val="18"/>
              </w:rPr>
            </w:pPr>
          </w:p>
        </w:tc>
        <w:tc>
          <w:tcPr>
            <w:tcW w:w="852" w:type="dxa"/>
            <w:tcBorders>
              <w:right w:val="single" w:sz="4" w:space="0" w:color="000000"/>
            </w:tcBorders>
          </w:tcPr>
          <w:p>
            <w:pPr>
              <w:pStyle w:val="TableParagraph"/>
              <w:spacing w:line="175" w:lineRule="exact" w:before="72"/>
              <w:ind w:right="149"/>
              <w:jc w:val="right"/>
              <w:rPr>
                <w:b/>
                <w:sz w:val="16"/>
              </w:rPr>
            </w:pPr>
            <w:r>
              <w:rPr>
                <w:b/>
                <w:sz w:val="16"/>
              </w:rPr>
              <w:t>0.0</w:t>
            </w:r>
          </w:p>
        </w:tc>
      </w:tr>
      <w:tr>
        <w:trPr>
          <w:trHeight w:val="433" w:hRule="atLeast"/>
        </w:trPr>
        <w:tc>
          <w:tcPr>
            <w:tcW w:w="2699" w:type="dxa"/>
            <w:tcBorders>
              <w:left w:val="single" w:sz="4" w:space="0" w:color="000000"/>
              <w:bottom w:val="single" w:sz="4" w:space="0" w:color="000000"/>
            </w:tcBorders>
          </w:tcPr>
          <w:p>
            <w:pPr>
              <w:pStyle w:val="TableParagraph"/>
              <w:spacing w:before="9"/>
              <w:ind w:left="1128" w:right="1160"/>
              <w:jc w:val="center"/>
              <w:rPr>
                <w:b/>
                <w:sz w:val="16"/>
              </w:rPr>
            </w:pPr>
            <w:r>
              <w:rPr>
                <w:b/>
                <w:w w:val="105"/>
                <w:sz w:val="16"/>
              </w:rPr>
              <w:t>GDP</w:t>
            </w:r>
          </w:p>
        </w:tc>
        <w:tc>
          <w:tcPr>
            <w:tcW w:w="2027" w:type="dxa"/>
            <w:tcBorders>
              <w:bottom w:val="single" w:sz="4" w:space="0" w:color="000000"/>
            </w:tcBorders>
          </w:tcPr>
          <w:p>
            <w:pPr>
              <w:pStyle w:val="TableParagraph"/>
              <w:spacing w:before="9"/>
              <w:ind w:left="245"/>
              <w:rPr>
                <w:b/>
                <w:sz w:val="16"/>
              </w:rPr>
            </w:pPr>
            <w:r>
              <w:rPr>
                <w:b/>
                <w:w w:val="105"/>
                <w:sz w:val="16"/>
              </w:rPr>
              <w:t>Manufacturing</w:t>
            </w:r>
          </w:p>
        </w:tc>
        <w:tc>
          <w:tcPr>
            <w:tcW w:w="1759" w:type="dxa"/>
            <w:tcBorders>
              <w:bottom w:val="single" w:sz="4" w:space="0" w:color="000000"/>
            </w:tcBorders>
          </w:tcPr>
          <w:p>
            <w:pPr>
              <w:pStyle w:val="TableParagraph"/>
              <w:spacing w:before="9"/>
              <w:ind w:left="640"/>
              <w:rPr>
                <w:b/>
                <w:sz w:val="16"/>
              </w:rPr>
            </w:pPr>
            <w:r>
              <w:rPr>
                <w:b/>
                <w:w w:val="105"/>
                <w:sz w:val="16"/>
              </w:rPr>
              <w:t>Services</w:t>
            </w:r>
          </w:p>
        </w:tc>
        <w:tc>
          <w:tcPr>
            <w:tcW w:w="852" w:type="dxa"/>
            <w:tcBorders>
              <w:bottom w:val="single" w:sz="4" w:space="0" w:color="000000"/>
              <w:right w:val="single" w:sz="4" w:space="0" w:color="000000"/>
            </w:tcBorders>
          </w:tcPr>
          <w:p>
            <w:pPr>
              <w:pStyle w:val="TableParagraph"/>
              <w:rPr>
                <w:rFonts w:ascii="Times New Roman"/>
                <w:sz w:val="18"/>
              </w:rPr>
            </w:pPr>
          </w:p>
        </w:tc>
      </w:tr>
      <w:tr>
        <w:trPr>
          <w:trHeight w:val="460" w:hRule="atLeast"/>
        </w:trPr>
        <w:tc>
          <w:tcPr>
            <w:tcW w:w="7337" w:type="dxa"/>
            <w:gridSpan w:val="4"/>
            <w:tcBorders>
              <w:top w:val="single" w:sz="4" w:space="0" w:color="000000"/>
              <w:left w:val="single" w:sz="4" w:space="0" w:color="000000"/>
              <w:bottom w:val="single" w:sz="4" w:space="0" w:color="000000"/>
              <w:right w:val="single" w:sz="4" w:space="0" w:color="000000"/>
            </w:tcBorders>
          </w:tcPr>
          <w:p>
            <w:pPr>
              <w:pStyle w:val="TableParagraph"/>
              <w:spacing w:before="8"/>
              <w:rPr>
                <w:sz w:val="16"/>
              </w:rPr>
            </w:pPr>
          </w:p>
          <w:p>
            <w:pPr>
              <w:pStyle w:val="TableParagraph"/>
              <w:ind w:left="107"/>
              <w:rPr>
                <w:sz w:val="18"/>
              </w:rPr>
            </w:pPr>
            <w:r>
              <w:rPr>
                <w:sz w:val="18"/>
              </w:rPr>
              <w:t>Source: ONS</w:t>
            </w:r>
          </w:p>
        </w:tc>
      </w:tr>
    </w:tbl>
    <w:p>
      <w:pPr>
        <w:pStyle w:val="BodyText"/>
        <w:spacing w:before="6"/>
        <w:rPr>
          <w:sz w:val="27"/>
        </w:rPr>
      </w:pPr>
    </w:p>
    <w:p>
      <w:pPr>
        <w:pStyle w:val="BodyText"/>
        <w:spacing w:line="360" w:lineRule="auto" w:before="94"/>
        <w:ind w:left="233" w:right="183"/>
      </w:pPr>
      <w:r>
        <w:rPr/>
        <w:pict>
          <v:group style="position:absolute;margin-left:125.580002pt;margin-top:-232.939804pt;width:330.3pt;height:168.4pt;mso-position-horizontal-relative:page;mso-position-vertical-relative:paragraph;z-index:-253603840" coordorigin="2512,-4659" coordsize="6606,3368">
            <v:rect style="position:absolute;left:2886;top:-2635;width:480;height:1290" filled="true" fillcolor="#333399" stroked="false">
              <v:fill type="solid"/>
            </v:rect>
            <v:rect style="position:absolute;left:3366;top:-1675;width:495;height:330" filled="true" fillcolor="#993300" stroked="false">
              <v:fill type="solid"/>
            </v:rect>
            <v:rect style="position:absolute;left:3860;top:-3025;width:480;height:1680" filled="true" fillcolor="#99cc00" stroked="false">
              <v:fill type="solid"/>
            </v:rect>
            <v:rect style="position:absolute;left:5076;top:-2379;width:480;height:1035" filled="true" fillcolor="#333399" stroked="false">
              <v:fill type="solid"/>
            </v:rect>
            <v:rect style="position:absolute;left:5556;top:-2275;width:480;height:930" filled="true" fillcolor="#993300" stroked="false">
              <v:fill type="solid"/>
            </v:rect>
            <v:rect style="position:absolute;left:6036;top:-4479;width:495;height:3135" filled="true" fillcolor="#99cc00" stroked="false">
              <v:fill type="solid"/>
            </v:rect>
            <v:rect style="position:absolute;left:7250;top:-2080;width:480;height:736" filled="true" fillcolor="#333399" stroked="false">
              <v:fill type="solid"/>
            </v:rect>
            <v:rect style="position:absolute;left:7730;top:-1570;width:495;height:226" filled="true" fillcolor="#993300" stroked="false">
              <v:fill type="solid"/>
            </v:rect>
            <v:rect style="position:absolute;left:8224;top:-2799;width:480;height:1455" filled="true" fillcolor="#99cc00" stroked="false">
              <v:fill type="solid"/>
            </v:rect>
            <v:line style="position:absolute" from="9073,-4652" to="9073,-1292" stroked="true" strokeweight=".78pt" strokecolor="#000000">
              <v:stroke dashstyle="solid"/>
            </v:line>
            <v:shape style="position:absolute;left:9072;top:-4659;width:46;height:3315" coordorigin="9072,-4659" coordsize="46,3315" path="m9118,-1360l9072,-1360,9072,-1344,9118,-1344,9118,-1360m9118,-1690l9072,-1690,9072,-1674,9118,-1674,9118,-1690m9118,-2020l9072,-2020,9072,-2004,9118,-2004,9118,-2020m9118,-2349l9072,-2349,9072,-2334,9118,-2334,9118,-2349m9118,-2679l9072,-2679,9072,-2664,9118,-2664,9118,-2679m9118,-3009l9072,-3009,9072,-2994,9118,-2994,9118,-3009m9118,-3339l9072,-3339,9072,-3324,9118,-3324,9118,-3339m9118,-3669l9072,-3669,9072,-3654,9118,-3654,9118,-3669m9118,-3999l9072,-3999,9072,-3984,9118,-3984,9118,-3999m9118,-4329l9072,-4329,9072,-4313,9118,-4313,9118,-4329m9118,-4659l9072,-4659,9072,-4643,9118,-4643,9118,-4659e" filled="true" fillcolor="#000000" stroked="false">
              <v:path arrowok="t"/>
              <v:fill type="solid"/>
            </v:shape>
            <v:line style="position:absolute" from="2519,-1352" to="9072,-1352" stroked="true" strokeweight=".78003pt" strokecolor="#000000">
              <v:stroke dashstyle="solid"/>
            </v:line>
            <v:shape style="position:absolute;left:2511;top:-1352;width:4379;height:60" coordorigin="2512,-1352" coordsize="4379,60" path="m2526,-1352l2512,-1352,2512,-1292,2526,-1292,2526,-1352m4716,-1352l4700,-1352,4700,-1292,4716,-1292,4716,-1352m6890,-1352l6875,-1352,6875,-1292,6890,-1292,6890,-1352e" filled="true" fillcolor="#000000" stroked="false">
              <v:path arrowok="t"/>
              <v:fill type="solid"/>
            </v:shape>
            <v:rect style="position:absolute;left:3006;top:-4494;width:90;height:105" filled="true" fillcolor="#333399" stroked="false">
              <v:fill type="solid"/>
            </v:rect>
            <v:rect style="position:absolute;left:3006;top:-4194;width:90;height:89" filled="true" fillcolor="#993300" stroked="false">
              <v:fill type="solid"/>
            </v:rect>
            <v:rect style="position:absolute;left:3006;top:-3895;width:90;height:90" filled="true" fillcolor="#99cc00" stroked="false">
              <v:fill type="solid"/>
            </v:rect>
            <w10:wrap type="none"/>
          </v:group>
        </w:pict>
      </w:r>
      <w:r>
        <w:rPr/>
        <w:t>However, confidence in the progress of the recovery has been affected by the most recent GDP release which showed a fall in output in the final quarter of last year. We know that growth in December was heavily affected by the snowy weather but there are also concerns that the economy may have slowed for other reasons. We would have to wait until April for the next quarter’s GDP data, but even when this arrives it will be a very provisional estimate. So it makes sense to look at other data sources to gauge the pace of recovery – notably the employment figures and business survey information, which also have the benefit of being less subject to data revision.</w:t>
      </w:r>
    </w:p>
    <w:p>
      <w:pPr>
        <w:pStyle w:val="BodyText"/>
        <w:rPr>
          <w:sz w:val="30"/>
        </w:rPr>
      </w:pPr>
    </w:p>
    <w:p>
      <w:pPr>
        <w:pStyle w:val="BodyText"/>
        <w:spacing w:line="360" w:lineRule="auto" w:before="1"/>
        <w:ind w:left="233" w:right="124"/>
      </w:pPr>
      <w:r>
        <w:rPr/>
        <w:t>The employment data broadly support the view that the underlying momentum of growth has remained healthy despite the impact of December’s weather on activity levels. Unlike the early 1980s and the early 1990s, when unemployment continued to rise in the early phases of the recovery and the jobless rate rose to over 10%, we have seen a much earlier turnaround in employment in this recovery. Employment picked up in the first half of last year and has risen by nearly 300,000 since last winter.</w:t>
      </w:r>
      <w:r>
        <w:rPr>
          <w:vertAlign w:val="superscript"/>
        </w:rPr>
        <w:t>4</w:t>
      </w:r>
      <w:r>
        <w:rPr>
          <w:vertAlign w:val="baseline"/>
        </w:rPr>
        <w:t> More recently, jobs growth</w:t>
      </w:r>
      <w:r>
        <w:rPr>
          <w:spacing w:val="-35"/>
          <w:vertAlign w:val="baseline"/>
        </w:rPr>
        <w:t> </w:t>
      </w:r>
      <w:r>
        <w:rPr>
          <w:vertAlign w:val="baseline"/>
        </w:rPr>
        <w:t>has eased off with falling public sector employment offsetting increases in the private sector. But the official Labour Force Survey unemployment rate has remained at around 8% or just below since the recovery started in the second half of 2009. Indeed, the most recent figure we have for unemployment – the claimant count number for February - indicates the lowest jobless total on that measure for almost two</w:t>
      </w:r>
      <w:r>
        <w:rPr>
          <w:spacing w:val="-19"/>
          <w:vertAlign w:val="baseline"/>
        </w:rPr>
        <w:t> </w:t>
      </w:r>
      <w:r>
        <w:rPr>
          <w:vertAlign w:val="baseline"/>
        </w:rPr>
        <w:t>years.</w:t>
      </w:r>
    </w:p>
    <w:p>
      <w:pPr>
        <w:pStyle w:val="BodyText"/>
      </w:pPr>
    </w:p>
    <w:p>
      <w:pPr>
        <w:pStyle w:val="BodyText"/>
      </w:pPr>
    </w:p>
    <w:p>
      <w:pPr>
        <w:pStyle w:val="BodyText"/>
        <w:spacing w:before="2"/>
        <w:rPr>
          <w:sz w:val="26"/>
        </w:rPr>
      </w:pPr>
      <w:r>
        <w:rPr/>
        <w:pict>
          <v:shape style="position:absolute;margin-left:56.700001pt;margin-top:17.263168pt;width:144pt;height:.1pt;mso-position-horizontal-relative:page;mso-position-vertical-relative:paragraph;z-index:-251655168;mso-wrap-distance-left:0;mso-wrap-distance-right:0" coordorigin="1134,345" coordsize="2880,0" path="m1134,345l4014,345e" filled="false" stroked="true" strokeweight=".48001pt" strokecolor="#000000">
            <v:path arrowok="t"/>
            <v:stroke dashstyle="solid"/>
            <w10:wrap type="topAndBottom"/>
          </v:shape>
        </w:pict>
      </w:r>
    </w:p>
    <w:p>
      <w:pPr>
        <w:spacing w:before="31"/>
        <w:ind w:left="233" w:right="139" w:firstLine="0"/>
        <w:jc w:val="left"/>
        <w:rPr>
          <w:sz w:val="16"/>
        </w:rPr>
      </w:pPr>
      <w:r>
        <w:rPr>
          <w:position w:val="8"/>
          <w:sz w:val="10"/>
        </w:rPr>
        <w:t>4 </w:t>
      </w:r>
      <w:r>
        <w:rPr>
          <w:sz w:val="16"/>
        </w:rPr>
        <w:t>The total number in employment (aged 16+) increased by 296,000 between the three months Nov 2009 – January 2010 and Nov 2010 to Jan 2011, according to the latest labour Force Survey.</w:t>
      </w:r>
    </w:p>
    <w:p>
      <w:pPr>
        <w:spacing w:after="0"/>
        <w:jc w:val="left"/>
        <w:rPr>
          <w:sz w:val="16"/>
        </w:rPr>
        <w:sectPr>
          <w:footerReference w:type="default" r:id="rId9"/>
          <w:pgSz w:w="11900" w:h="16840"/>
          <w:pgMar w:footer="1340" w:header="0" w:top="1600" w:bottom="1540" w:left="900" w:right="1020"/>
          <w:pgNumType w:start="4"/>
        </w:sectPr>
      </w:pPr>
    </w:p>
    <w:tbl>
      <w:tblPr>
        <w:tblW w:w="0" w:type="auto"/>
        <w:jc w:val="left"/>
        <w:tblInd w:w="1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7"/>
        <w:gridCol w:w="583"/>
        <w:gridCol w:w="583"/>
        <w:gridCol w:w="1751"/>
        <w:gridCol w:w="584"/>
        <w:gridCol w:w="584"/>
        <w:gridCol w:w="583"/>
        <w:gridCol w:w="583"/>
        <w:gridCol w:w="584"/>
        <w:gridCol w:w="771"/>
      </w:tblGrid>
      <w:tr>
        <w:trPr>
          <w:trHeight w:val="860" w:hRule="atLeast"/>
        </w:trPr>
        <w:tc>
          <w:tcPr>
            <w:tcW w:w="7333" w:type="dxa"/>
            <w:gridSpan w:val="10"/>
            <w:tcBorders>
              <w:top w:val="single" w:sz="4" w:space="0" w:color="000000"/>
              <w:left w:val="single" w:sz="4" w:space="0" w:color="000000"/>
              <w:bottom w:val="single" w:sz="4" w:space="0" w:color="000000"/>
              <w:right w:val="single" w:sz="4" w:space="0" w:color="000000"/>
            </w:tcBorders>
          </w:tcPr>
          <w:p>
            <w:pPr>
              <w:pStyle w:val="TableParagraph"/>
              <w:spacing w:before="168"/>
              <w:ind w:left="107"/>
              <w:rPr>
                <w:b/>
                <w:sz w:val="20"/>
              </w:rPr>
            </w:pPr>
            <w:r>
              <w:rPr>
                <w:b/>
                <w:sz w:val="20"/>
              </w:rPr>
              <w:t>Chart 2 – Employment intentions*</w:t>
            </w:r>
          </w:p>
          <w:p>
            <w:pPr>
              <w:pStyle w:val="TableParagraph"/>
              <w:spacing w:before="170"/>
              <w:ind w:left="107"/>
              <w:rPr>
                <w:sz w:val="20"/>
              </w:rPr>
            </w:pPr>
            <w:r>
              <w:rPr>
                <w:sz w:val="20"/>
              </w:rPr>
              <w:t>Bank of England Agents’ scores</w:t>
            </w:r>
          </w:p>
        </w:tc>
      </w:tr>
      <w:tr>
        <w:trPr>
          <w:trHeight w:val="491" w:hRule="atLeast"/>
        </w:trPr>
        <w:tc>
          <w:tcPr>
            <w:tcW w:w="727" w:type="dxa"/>
            <w:tcBorders>
              <w:top w:val="single" w:sz="4" w:space="0" w:color="000000"/>
              <w:left w:val="single" w:sz="4" w:space="0" w:color="000000"/>
            </w:tcBorders>
          </w:tcPr>
          <w:p>
            <w:pPr>
              <w:pStyle w:val="TableParagraph"/>
              <w:rPr>
                <w:rFonts w:ascii="Times New Roman"/>
                <w:sz w:val="18"/>
              </w:rPr>
            </w:pPr>
          </w:p>
        </w:tc>
        <w:tc>
          <w:tcPr>
            <w:tcW w:w="583" w:type="dxa"/>
            <w:tcBorders>
              <w:top w:val="single" w:sz="4" w:space="0" w:color="000000"/>
            </w:tcBorders>
          </w:tcPr>
          <w:p>
            <w:pPr>
              <w:pStyle w:val="TableParagraph"/>
              <w:rPr>
                <w:rFonts w:ascii="Times New Roman"/>
                <w:sz w:val="18"/>
              </w:rPr>
            </w:pPr>
          </w:p>
        </w:tc>
        <w:tc>
          <w:tcPr>
            <w:tcW w:w="583" w:type="dxa"/>
            <w:tcBorders>
              <w:top w:val="single" w:sz="4" w:space="0" w:color="000000"/>
            </w:tcBorders>
          </w:tcPr>
          <w:p>
            <w:pPr>
              <w:pStyle w:val="TableParagraph"/>
              <w:rPr>
                <w:rFonts w:ascii="Times New Roman"/>
                <w:sz w:val="18"/>
              </w:rPr>
            </w:pPr>
          </w:p>
        </w:tc>
        <w:tc>
          <w:tcPr>
            <w:tcW w:w="1751" w:type="dxa"/>
            <w:tcBorders>
              <w:top w:val="single" w:sz="4" w:space="0" w:color="000000"/>
            </w:tcBorders>
          </w:tcPr>
          <w:p>
            <w:pPr>
              <w:pStyle w:val="TableParagraph"/>
              <w:rPr>
                <w:rFonts w:ascii="Times New Roman"/>
                <w:sz w:val="18"/>
              </w:rPr>
            </w:pPr>
          </w:p>
        </w:tc>
        <w:tc>
          <w:tcPr>
            <w:tcW w:w="584" w:type="dxa"/>
            <w:tcBorders>
              <w:top w:val="single" w:sz="4" w:space="0" w:color="000000"/>
            </w:tcBorders>
          </w:tcPr>
          <w:p>
            <w:pPr>
              <w:pStyle w:val="TableParagraph"/>
              <w:rPr>
                <w:rFonts w:ascii="Times New Roman"/>
                <w:sz w:val="18"/>
              </w:rPr>
            </w:pPr>
          </w:p>
        </w:tc>
        <w:tc>
          <w:tcPr>
            <w:tcW w:w="584" w:type="dxa"/>
            <w:tcBorders>
              <w:top w:val="single" w:sz="4" w:space="0" w:color="000000"/>
            </w:tcBorders>
          </w:tcPr>
          <w:p>
            <w:pPr>
              <w:pStyle w:val="TableParagraph"/>
              <w:rPr>
                <w:rFonts w:ascii="Times New Roman"/>
                <w:sz w:val="18"/>
              </w:rPr>
            </w:pPr>
          </w:p>
        </w:tc>
        <w:tc>
          <w:tcPr>
            <w:tcW w:w="583" w:type="dxa"/>
            <w:tcBorders>
              <w:top w:val="single" w:sz="4" w:space="0" w:color="000000"/>
            </w:tcBorders>
          </w:tcPr>
          <w:p>
            <w:pPr>
              <w:pStyle w:val="TableParagraph"/>
              <w:rPr>
                <w:rFonts w:ascii="Times New Roman"/>
                <w:sz w:val="18"/>
              </w:rPr>
            </w:pPr>
          </w:p>
        </w:tc>
        <w:tc>
          <w:tcPr>
            <w:tcW w:w="583" w:type="dxa"/>
            <w:tcBorders>
              <w:top w:val="single" w:sz="4" w:space="0" w:color="000000"/>
            </w:tcBorders>
          </w:tcPr>
          <w:p>
            <w:pPr>
              <w:pStyle w:val="TableParagraph"/>
              <w:rPr>
                <w:rFonts w:ascii="Times New Roman"/>
                <w:sz w:val="18"/>
              </w:rPr>
            </w:pPr>
          </w:p>
        </w:tc>
        <w:tc>
          <w:tcPr>
            <w:tcW w:w="584" w:type="dxa"/>
            <w:tcBorders>
              <w:top w:val="single" w:sz="4" w:space="0" w:color="000000"/>
            </w:tcBorders>
          </w:tcPr>
          <w:p>
            <w:pPr>
              <w:pStyle w:val="TableParagraph"/>
              <w:rPr>
                <w:rFonts w:ascii="Times New Roman"/>
                <w:sz w:val="18"/>
              </w:rPr>
            </w:pPr>
          </w:p>
        </w:tc>
        <w:tc>
          <w:tcPr>
            <w:tcW w:w="771" w:type="dxa"/>
            <w:tcBorders>
              <w:top w:val="single" w:sz="4" w:space="0" w:color="000000"/>
              <w:right w:val="single" w:sz="4" w:space="0" w:color="000000"/>
            </w:tcBorders>
          </w:tcPr>
          <w:p>
            <w:pPr>
              <w:pStyle w:val="TableParagraph"/>
              <w:spacing w:before="7"/>
              <w:rPr>
                <w:sz w:val="16"/>
              </w:rPr>
            </w:pPr>
          </w:p>
          <w:p>
            <w:pPr>
              <w:pStyle w:val="TableParagraph"/>
              <w:ind w:left="466"/>
              <w:rPr>
                <w:b/>
                <w:sz w:val="16"/>
              </w:rPr>
            </w:pPr>
            <w:r>
              <w:rPr>
                <w:b/>
                <w:w w:val="103"/>
                <w:sz w:val="16"/>
              </w:rPr>
              <w:t>3</w:t>
            </w:r>
          </w:p>
        </w:tc>
      </w:tr>
      <w:tr>
        <w:trPr>
          <w:trHeight w:val="413" w:hRule="atLeast"/>
        </w:trPr>
        <w:tc>
          <w:tcPr>
            <w:tcW w:w="727" w:type="dxa"/>
            <w:tcBorders>
              <w:left w:val="single" w:sz="4" w:space="0" w:color="000000"/>
            </w:tcBorders>
          </w:tcPr>
          <w:p>
            <w:pPr>
              <w:pStyle w:val="TableParagraph"/>
              <w:rPr>
                <w:rFonts w:ascii="Times New Roman"/>
                <w:sz w:val="18"/>
              </w:rPr>
            </w:pPr>
          </w:p>
        </w:tc>
        <w:tc>
          <w:tcPr>
            <w:tcW w:w="583" w:type="dxa"/>
          </w:tcPr>
          <w:p>
            <w:pPr>
              <w:pStyle w:val="TableParagraph"/>
              <w:rPr>
                <w:rFonts w:ascii="Times New Roman"/>
                <w:sz w:val="18"/>
              </w:rPr>
            </w:pPr>
          </w:p>
        </w:tc>
        <w:tc>
          <w:tcPr>
            <w:tcW w:w="583" w:type="dxa"/>
          </w:tcPr>
          <w:p>
            <w:pPr>
              <w:pStyle w:val="TableParagraph"/>
              <w:rPr>
                <w:rFonts w:ascii="Times New Roman"/>
                <w:sz w:val="18"/>
              </w:rPr>
            </w:pPr>
          </w:p>
        </w:tc>
        <w:tc>
          <w:tcPr>
            <w:tcW w:w="1751" w:type="dxa"/>
          </w:tcPr>
          <w:p>
            <w:pPr>
              <w:pStyle w:val="TableParagraph"/>
              <w:rPr>
                <w:rFonts w:ascii="Times New Roman"/>
                <w:sz w:val="18"/>
              </w:rPr>
            </w:pPr>
          </w:p>
        </w:tc>
        <w:tc>
          <w:tcPr>
            <w:tcW w:w="584" w:type="dxa"/>
          </w:tcPr>
          <w:p>
            <w:pPr>
              <w:pStyle w:val="TableParagraph"/>
              <w:rPr>
                <w:rFonts w:ascii="Times New Roman"/>
                <w:sz w:val="18"/>
              </w:rPr>
            </w:pPr>
          </w:p>
        </w:tc>
        <w:tc>
          <w:tcPr>
            <w:tcW w:w="584" w:type="dxa"/>
          </w:tcPr>
          <w:p>
            <w:pPr>
              <w:pStyle w:val="TableParagraph"/>
              <w:rPr>
                <w:rFonts w:ascii="Times New Roman"/>
                <w:sz w:val="18"/>
              </w:rPr>
            </w:pPr>
          </w:p>
        </w:tc>
        <w:tc>
          <w:tcPr>
            <w:tcW w:w="583" w:type="dxa"/>
          </w:tcPr>
          <w:p>
            <w:pPr>
              <w:pStyle w:val="TableParagraph"/>
              <w:rPr>
                <w:rFonts w:ascii="Times New Roman"/>
                <w:sz w:val="18"/>
              </w:rPr>
            </w:pPr>
          </w:p>
        </w:tc>
        <w:tc>
          <w:tcPr>
            <w:tcW w:w="583" w:type="dxa"/>
          </w:tcPr>
          <w:p>
            <w:pPr>
              <w:pStyle w:val="TableParagraph"/>
              <w:rPr>
                <w:rFonts w:ascii="Times New Roman"/>
                <w:sz w:val="18"/>
              </w:rPr>
            </w:pPr>
          </w:p>
        </w:tc>
        <w:tc>
          <w:tcPr>
            <w:tcW w:w="584" w:type="dxa"/>
          </w:tcPr>
          <w:p>
            <w:pPr>
              <w:pStyle w:val="TableParagraph"/>
              <w:rPr>
                <w:rFonts w:ascii="Times New Roman"/>
                <w:sz w:val="18"/>
              </w:rPr>
            </w:pPr>
          </w:p>
        </w:tc>
        <w:tc>
          <w:tcPr>
            <w:tcW w:w="771" w:type="dxa"/>
            <w:tcBorders>
              <w:right w:val="single" w:sz="4" w:space="0" w:color="000000"/>
            </w:tcBorders>
          </w:tcPr>
          <w:p>
            <w:pPr>
              <w:pStyle w:val="TableParagraph"/>
              <w:spacing w:before="114"/>
              <w:ind w:left="466"/>
              <w:rPr>
                <w:b/>
                <w:sz w:val="16"/>
              </w:rPr>
            </w:pPr>
            <w:r>
              <w:rPr>
                <w:b/>
                <w:w w:val="103"/>
                <w:sz w:val="16"/>
              </w:rPr>
              <w:t>2</w:t>
            </w:r>
          </w:p>
        </w:tc>
      </w:tr>
      <w:tr>
        <w:trPr>
          <w:trHeight w:val="413" w:hRule="atLeast"/>
        </w:trPr>
        <w:tc>
          <w:tcPr>
            <w:tcW w:w="727" w:type="dxa"/>
            <w:tcBorders>
              <w:left w:val="single" w:sz="4" w:space="0" w:color="000000"/>
            </w:tcBorders>
          </w:tcPr>
          <w:p>
            <w:pPr>
              <w:pStyle w:val="TableParagraph"/>
              <w:rPr>
                <w:rFonts w:ascii="Times New Roman"/>
                <w:sz w:val="18"/>
              </w:rPr>
            </w:pPr>
          </w:p>
        </w:tc>
        <w:tc>
          <w:tcPr>
            <w:tcW w:w="583" w:type="dxa"/>
          </w:tcPr>
          <w:p>
            <w:pPr>
              <w:pStyle w:val="TableParagraph"/>
              <w:rPr>
                <w:rFonts w:ascii="Times New Roman"/>
                <w:sz w:val="18"/>
              </w:rPr>
            </w:pPr>
          </w:p>
        </w:tc>
        <w:tc>
          <w:tcPr>
            <w:tcW w:w="583" w:type="dxa"/>
          </w:tcPr>
          <w:p>
            <w:pPr>
              <w:pStyle w:val="TableParagraph"/>
              <w:rPr>
                <w:rFonts w:ascii="Times New Roman"/>
                <w:sz w:val="18"/>
              </w:rPr>
            </w:pPr>
          </w:p>
        </w:tc>
        <w:tc>
          <w:tcPr>
            <w:tcW w:w="1751" w:type="dxa"/>
          </w:tcPr>
          <w:p>
            <w:pPr>
              <w:pStyle w:val="TableParagraph"/>
              <w:rPr>
                <w:rFonts w:ascii="Times New Roman"/>
                <w:sz w:val="18"/>
              </w:rPr>
            </w:pPr>
          </w:p>
        </w:tc>
        <w:tc>
          <w:tcPr>
            <w:tcW w:w="584" w:type="dxa"/>
          </w:tcPr>
          <w:p>
            <w:pPr>
              <w:pStyle w:val="TableParagraph"/>
              <w:rPr>
                <w:rFonts w:ascii="Times New Roman"/>
                <w:sz w:val="18"/>
              </w:rPr>
            </w:pPr>
          </w:p>
        </w:tc>
        <w:tc>
          <w:tcPr>
            <w:tcW w:w="584" w:type="dxa"/>
          </w:tcPr>
          <w:p>
            <w:pPr>
              <w:pStyle w:val="TableParagraph"/>
              <w:rPr>
                <w:rFonts w:ascii="Times New Roman"/>
                <w:sz w:val="18"/>
              </w:rPr>
            </w:pPr>
          </w:p>
        </w:tc>
        <w:tc>
          <w:tcPr>
            <w:tcW w:w="583" w:type="dxa"/>
          </w:tcPr>
          <w:p>
            <w:pPr>
              <w:pStyle w:val="TableParagraph"/>
              <w:rPr>
                <w:rFonts w:ascii="Times New Roman"/>
                <w:sz w:val="18"/>
              </w:rPr>
            </w:pPr>
          </w:p>
        </w:tc>
        <w:tc>
          <w:tcPr>
            <w:tcW w:w="583" w:type="dxa"/>
          </w:tcPr>
          <w:p>
            <w:pPr>
              <w:pStyle w:val="TableParagraph"/>
              <w:rPr>
                <w:rFonts w:ascii="Times New Roman"/>
                <w:sz w:val="18"/>
              </w:rPr>
            </w:pPr>
          </w:p>
        </w:tc>
        <w:tc>
          <w:tcPr>
            <w:tcW w:w="584" w:type="dxa"/>
          </w:tcPr>
          <w:p>
            <w:pPr>
              <w:pStyle w:val="TableParagraph"/>
              <w:rPr>
                <w:rFonts w:ascii="Times New Roman"/>
                <w:sz w:val="18"/>
              </w:rPr>
            </w:pPr>
          </w:p>
        </w:tc>
        <w:tc>
          <w:tcPr>
            <w:tcW w:w="771" w:type="dxa"/>
            <w:tcBorders>
              <w:right w:val="single" w:sz="4" w:space="0" w:color="000000"/>
            </w:tcBorders>
          </w:tcPr>
          <w:p>
            <w:pPr>
              <w:pStyle w:val="TableParagraph"/>
              <w:spacing w:before="114"/>
              <w:ind w:left="466"/>
              <w:rPr>
                <w:b/>
                <w:sz w:val="16"/>
              </w:rPr>
            </w:pPr>
            <w:r>
              <w:rPr>
                <w:b/>
                <w:w w:val="103"/>
                <w:sz w:val="16"/>
              </w:rPr>
              <w:t>1</w:t>
            </w:r>
          </w:p>
        </w:tc>
      </w:tr>
      <w:tr>
        <w:trPr>
          <w:trHeight w:val="413" w:hRule="atLeast"/>
        </w:trPr>
        <w:tc>
          <w:tcPr>
            <w:tcW w:w="727" w:type="dxa"/>
            <w:tcBorders>
              <w:left w:val="single" w:sz="4" w:space="0" w:color="000000"/>
            </w:tcBorders>
          </w:tcPr>
          <w:p>
            <w:pPr>
              <w:pStyle w:val="TableParagraph"/>
              <w:rPr>
                <w:rFonts w:ascii="Times New Roman"/>
                <w:sz w:val="18"/>
              </w:rPr>
            </w:pPr>
          </w:p>
        </w:tc>
        <w:tc>
          <w:tcPr>
            <w:tcW w:w="583" w:type="dxa"/>
          </w:tcPr>
          <w:p>
            <w:pPr>
              <w:pStyle w:val="TableParagraph"/>
              <w:rPr>
                <w:rFonts w:ascii="Times New Roman"/>
                <w:sz w:val="18"/>
              </w:rPr>
            </w:pPr>
          </w:p>
        </w:tc>
        <w:tc>
          <w:tcPr>
            <w:tcW w:w="583" w:type="dxa"/>
          </w:tcPr>
          <w:p>
            <w:pPr>
              <w:pStyle w:val="TableParagraph"/>
              <w:rPr>
                <w:rFonts w:ascii="Times New Roman"/>
                <w:sz w:val="18"/>
              </w:rPr>
            </w:pPr>
          </w:p>
        </w:tc>
        <w:tc>
          <w:tcPr>
            <w:tcW w:w="1751" w:type="dxa"/>
          </w:tcPr>
          <w:p>
            <w:pPr>
              <w:pStyle w:val="TableParagraph"/>
              <w:rPr>
                <w:rFonts w:ascii="Times New Roman"/>
                <w:sz w:val="18"/>
              </w:rPr>
            </w:pPr>
          </w:p>
        </w:tc>
        <w:tc>
          <w:tcPr>
            <w:tcW w:w="584" w:type="dxa"/>
          </w:tcPr>
          <w:p>
            <w:pPr>
              <w:pStyle w:val="TableParagraph"/>
              <w:rPr>
                <w:rFonts w:ascii="Times New Roman"/>
                <w:sz w:val="18"/>
              </w:rPr>
            </w:pPr>
          </w:p>
        </w:tc>
        <w:tc>
          <w:tcPr>
            <w:tcW w:w="584" w:type="dxa"/>
          </w:tcPr>
          <w:p>
            <w:pPr>
              <w:pStyle w:val="TableParagraph"/>
              <w:rPr>
                <w:rFonts w:ascii="Times New Roman"/>
                <w:sz w:val="18"/>
              </w:rPr>
            </w:pPr>
          </w:p>
        </w:tc>
        <w:tc>
          <w:tcPr>
            <w:tcW w:w="583" w:type="dxa"/>
          </w:tcPr>
          <w:p>
            <w:pPr>
              <w:pStyle w:val="TableParagraph"/>
              <w:rPr>
                <w:rFonts w:ascii="Times New Roman"/>
                <w:sz w:val="18"/>
              </w:rPr>
            </w:pPr>
          </w:p>
        </w:tc>
        <w:tc>
          <w:tcPr>
            <w:tcW w:w="583" w:type="dxa"/>
          </w:tcPr>
          <w:p>
            <w:pPr>
              <w:pStyle w:val="TableParagraph"/>
              <w:rPr>
                <w:rFonts w:ascii="Times New Roman"/>
                <w:sz w:val="18"/>
              </w:rPr>
            </w:pPr>
          </w:p>
        </w:tc>
        <w:tc>
          <w:tcPr>
            <w:tcW w:w="584" w:type="dxa"/>
          </w:tcPr>
          <w:p>
            <w:pPr>
              <w:pStyle w:val="TableParagraph"/>
              <w:rPr>
                <w:rFonts w:ascii="Times New Roman"/>
                <w:sz w:val="18"/>
              </w:rPr>
            </w:pPr>
          </w:p>
        </w:tc>
        <w:tc>
          <w:tcPr>
            <w:tcW w:w="771" w:type="dxa"/>
            <w:tcBorders>
              <w:right w:val="single" w:sz="4" w:space="0" w:color="000000"/>
            </w:tcBorders>
          </w:tcPr>
          <w:p>
            <w:pPr>
              <w:pStyle w:val="TableParagraph"/>
              <w:spacing w:before="114"/>
              <w:ind w:left="466"/>
              <w:rPr>
                <w:b/>
                <w:sz w:val="16"/>
              </w:rPr>
            </w:pPr>
            <w:r>
              <w:rPr>
                <w:b/>
                <w:w w:val="103"/>
                <w:sz w:val="16"/>
              </w:rPr>
              <w:t>0</w:t>
            </w:r>
          </w:p>
        </w:tc>
      </w:tr>
      <w:tr>
        <w:trPr>
          <w:trHeight w:val="413" w:hRule="atLeast"/>
        </w:trPr>
        <w:tc>
          <w:tcPr>
            <w:tcW w:w="727" w:type="dxa"/>
            <w:tcBorders>
              <w:left w:val="single" w:sz="4" w:space="0" w:color="000000"/>
            </w:tcBorders>
          </w:tcPr>
          <w:p>
            <w:pPr>
              <w:pStyle w:val="TableParagraph"/>
              <w:rPr>
                <w:rFonts w:ascii="Times New Roman"/>
                <w:sz w:val="18"/>
              </w:rPr>
            </w:pPr>
          </w:p>
        </w:tc>
        <w:tc>
          <w:tcPr>
            <w:tcW w:w="583" w:type="dxa"/>
          </w:tcPr>
          <w:p>
            <w:pPr>
              <w:pStyle w:val="TableParagraph"/>
              <w:rPr>
                <w:rFonts w:ascii="Times New Roman"/>
                <w:sz w:val="18"/>
              </w:rPr>
            </w:pPr>
          </w:p>
        </w:tc>
        <w:tc>
          <w:tcPr>
            <w:tcW w:w="583" w:type="dxa"/>
          </w:tcPr>
          <w:p>
            <w:pPr>
              <w:pStyle w:val="TableParagraph"/>
              <w:rPr>
                <w:rFonts w:ascii="Times New Roman"/>
                <w:sz w:val="18"/>
              </w:rPr>
            </w:pPr>
          </w:p>
        </w:tc>
        <w:tc>
          <w:tcPr>
            <w:tcW w:w="1751" w:type="dxa"/>
          </w:tcPr>
          <w:p>
            <w:pPr>
              <w:pStyle w:val="TableParagraph"/>
              <w:rPr>
                <w:rFonts w:ascii="Times New Roman"/>
                <w:sz w:val="18"/>
              </w:rPr>
            </w:pPr>
          </w:p>
        </w:tc>
        <w:tc>
          <w:tcPr>
            <w:tcW w:w="584" w:type="dxa"/>
          </w:tcPr>
          <w:p>
            <w:pPr>
              <w:pStyle w:val="TableParagraph"/>
              <w:rPr>
                <w:rFonts w:ascii="Times New Roman"/>
                <w:sz w:val="18"/>
              </w:rPr>
            </w:pPr>
          </w:p>
        </w:tc>
        <w:tc>
          <w:tcPr>
            <w:tcW w:w="584" w:type="dxa"/>
          </w:tcPr>
          <w:p>
            <w:pPr>
              <w:pStyle w:val="TableParagraph"/>
              <w:rPr>
                <w:rFonts w:ascii="Times New Roman"/>
                <w:sz w:val="18"/>
              </w:rPr>
            </w:pPr>
          </w:p>
        </w:tc>
        <w:tc>
          <w:tcPr>
            <w:tcW w:w="583" w:type="dxa"/>
          </w:tcPr>
          <w:p>
            <w:pPr>
              <w:pStyle w:val="TableParagraph"/>
              <w:rPr>
                <w:rFonts w:ascii="Times New Roman"/>
                <w:sz w:val="18"/>
              </w:rPr>
            </w:pPr>
          </w:p>
        </w:tc>
        <w:tc>
          <w:tcPr>
            <w:tcW w:w="583" w:type="dxa"/>
          </w:tcPr>
          <w:p>
            <w:pPr>
              <w:pStyle w:val="TableParagraph"/>
              <w:rPr>
                <w:rFonts w:ascii="Times New Roman"/>
                <w:sz w:val="18"/>
              </w:rPr>
            </w:pPr>
          </w:p>
        </w:tc>
        <w:tc>
          <w:tcPr>
            <w:tcW w:w="584" w:type="dxa"/>
          </w:tcPr>
          <w:p>
            <w:pPr>
              <w:pStyle w:val="TableParagraph"/>
              <w:rPr>
                <w:rFonts w:ascii="Times New Roman"/>
                <w:sz w:val="18"/>
              </w:rPr>
            </w:pPr>
          </w:p>
        </w:tc>
        <w:tc>
          <w:tcPr>
            <w:tcW w:w="771" w:type="dxa"/>
            <w:tcBorders>
              <w:right w:val="single" w:sz="4" w:space="0" w:color="000000"/>
            </w:tcBorders>
          </w:tcPr>
          <w:p>
            <w:pPr>
              <w:pStyle w:val="TableParagraph"/>
              <w:spacing w:before="114"/>
              <w:ind w:right="143"/>
              <w:jc w:val="right"/>
              <w:rPr>
                <w:b/>
                <w:sz w:val="16"/>
              </w:rPr>
            </w:pPr>
            <w:r>
              <w:rPr>
                <w:b/>
                <w:sz w:val="16"/>
              </w:rPr>
              <w:t>-1</w:t>
            </w:r>
          </w:p>
        </w:tc>
      </w:tr>
      <w:tr>
        <w:trPr>
          <w:trHeight w:val="474" w:hRule="atLeast"/>
        </w:trPr>
        <w:tc>
          <w:tcPr>
            <w:tcW w:w="727" w:type="dxa"/>
            <w:tcBorders>
              <w:left w:val="single" w:sz="4" w:space="0" w:color="000000"/>
            </w:tcBorders>
          </w:tcPr>
          <w:p>
            <w:pPr>
              <w:pStyle w:val="TableParagraph"/>
              <w:rPr>
                <w:rFonts w:ascii="Times New Roman"/>
                <w:sz w:val="18"/>
              </w:rPr>
            </w:pPr>
          </w:p>
        </w:tc>
        <w:tc>
          <w:tcPr>
            <w:tcW w:w="583" w:type="dxa"/>
          </w:tcPr>
          <w:p>
            <w:pPr>
              <w:pStyle w:val="TableParagraph"/>
              <w:rPr>
                <w:rFonts w:ascii="Times New Roman"/>
                <w:sz w:val="18"/>
              </w:rPr>
            </w:pPr>
          </w:p>
        </w:tc>
        <w:tc>
          <w:tcPr>
            <w:tcW w:w="583" w:type="dxa"/>
          </w:tcPr>
          <w:p>
            <w:pPr>
              <w:pStyle w:val="TableParagraph"/>
              <w:rPr>
                <w:rFonts w:ascii="Times New Roman"/>
                <w:sz w:val="18"/>
              </w:rPr>
            </w:pPr>
          </w:p>
        </w:tc>
        <w:tc>
          <w:tcPr>
            <w:tcW w:w="1751" w:type="dxa"/>
          </w:tcPr>
          <w:p>
            <w:pPr>
              <w:pStyle w:val="TableParagraph"/>
              <w:rPr>
                <w:rFonts w:ascii="Times New Roman"/>
                <w:sz w:val="18"/>
              </w:rPr>
            </w:pPr>
          </w:p>
        </w:tc>
        <w:tc>
          <w:tcPr>
            <w:tcW w:w="584" w:type="dxa"/>
          </w:tcPr>
          <w:p>
            <w:pPr>
              <w:pStyle w:val="TableParagraph"/>
              <w:rPr>
                <w:rFonts w:ascii="Times New Roman"/>
                <w:sz w:val="18"/>
              </w:rPr>
            </w:pPr>
          </w:p>
        </w:tc>
        <w:tc>
          <w:tcPr>
            <w:tcW w:w="584" w:type="dxa"/>
          </w:tcPr>
          <w:p>
            <w:pPr>
              <w:pStyle w:val="TableParagraph"/>
              <w:rPr>
                <w:rFonts w:ascii="Times New Roman"/>
                <w:sz w:val="18"/>
              </w:rPr>
            </w:pPr>
          </w:p>
        </w:tc>
        <w:tc>
          <w:tcPr>
            <w:tcW w:w="583" w:type="dxa"/>
          </w:tcPr>
          <w:p>
            <w:pPr>
              <w:pStyle w:val="TableParagraph"/>
              <w:rPr>
                <w:rFonts w:ascii="Times New Roman"/>
                <w:sz w:val="18"/>
              </w:rPr>
            </w:pPr>
          </w:p>
        </w:tc>
        <w:tc>
          <w:tcPr>
            <w:tcW w:w="583" w:type="dxa"/>
          </w:tcPr>
          <w:p>
            <w:pPr>
              <w:pStyle w:val="TableParagraph"/>
              <w:rPr>
                <w:rFonts w:ascii="Times New Roman"/>
                <w:sz w:val="18"/>
              </w:rPr>
            </w:pPr>
          </w:p>
        </w:tc>
        <w:tc>
          <w:tcPr>
            <w:tcW w:w="584" w:type="dxa"/>
          </w:tcPr>
          <w:p>
            <w:pPr>
              <w:pStyle w:val="TableParagraph"/>
              <w:rPr>
                <w:rFonts w:ascii="Times New Roman"/>
                <w:sz w:val="18"/>
              </w:rPr>
            </w:pPr>
          </w:p>
        </w:tc>
        <w:tc>
          <w:tcPr>
            <w:tcW w:w="771" w:type="dxa"/>
            <w:tcBorders>
              <w:right w:val="single" w:sz="4" w:space="0" w:color="000000"/>
            </w:tcBorders>
          </w:tcPr>
          <w:p>
            <w:pPr>
              <w:pStyle w:val="TableParagraph"/>
              <w:spacing w:before="114"/>
              <w:ind w:right="143"/>
              <w:jc w:val="right"/>
              <w:rPr>
                <w:b/>
                <w:sz w:val="16"/>
              </w:rPr>
            </w:pPr>
            <w:r>
              <w:rPr>
                <w:b/>
                <w:sz w:val="16"/>
              </w:rPr>
              <w:t>-2</w:t>
            </w:r>
          </w:p>
        </w:tc>
      </w:tr>
      <w:tr>
        <w:trPr>
          <w:trHeight w:val="413" w:hRule="atLeast"/>
        </w:trPr>
        <w:tc>
          <w:tcPr>
            <w:tcW w:w="727" w:type="dxa"/>
            <w:tcBorders>
              <w:left w:val="single" w:sz="4" w:space="0" w:color="000000"/>
            </w:tcBorders>
          </w:tcPr>
          <w:p>
            <w:pPr>
              <w:pStyle w:val="TableParagraph"/>
              <w:rPr>
                <w:rFonts w:ascii="Times New Roman"/>
                <w:sz w:val="18"/>
              </w:rPr>
            </w:pPr>
          </w:p>
        </w:tc>
        <w:tc>
          <w:tcPr>
            <w:tcW w:w="583" w:type="dxa"/>
          </w:tcPr>
          <w:p>
            <w:pPr>
              <w:pStyle w:val="TableParagraph"/>
              <w:rPr>
                <w:rFonts w:ascii="Times New Roman"/>
                <w:sz w:val="18"/>
              </w:rPr>
            </w:pPr>
          </w:p>
        </w:tc>
        <w:tc>
          <w:tcPr>
            <w:tcW w:w="583" w:type="dxa"/>
          </w:tcPr>
          <w:p>
            <w:pPr>
              <w:pStyle w:val="TableParagraph"/>
              <w:rPr>
                <w:rFonts w:ascii="Times New Roman"/>
                <w:sz w:val="18"/>
              </w:rPr>
            </w:pPr>
          </w:p>
        </w:tc>
        <w:tc>
          <w:tcPr>
            <w:tcW w:w="1751" w:type="dxa"/>
          </w:tcPr>
          <w:p>
            <w:pPr>
              <w:pStyle w:val="TableParagraph"/>
              <w:spacing w:before="2"/>
              <w:rPr>
                <w:sz w:val="15"/>
              </w:rPr>
            </w:pPr>
          </w:p>
          <w:p>
            <w:pPr>
              <w:pStyle w:val="TableParagraph"/>
              <w:ind w:right="130"/>
              <w:jc w:val="right"/>
              <w:rPr>
                <w:b/>
                <w:sz w:val="16"/>
              </w:rPr>
            </w:pPr>
            <w:r>
              <w:rPr>
                <w:b/>
                <w:sz w:val="16"/>
              </w:rPr>
              <w:t>Manufacturing</w:t>
            </w:r>
          </w:p>
        </w:tc>
        <w:tc>
          <w:tcPr>
            <w:tcW w:w="584" w:type="dxa"/>
          </w:tcPr>
          <w:p>
            <w:pPr>
              <w:pStyle w:val="TableParagraph"/>
              <w:rPr>
                <w:rFonts w:ascii="Times New Roman"/>
                <w:sz w:val="18"/>
              </w:rPr>
            </w:pPr>
          </w:p>
        </w:tc>
        <w:tc>
          <w:tcPr>
            <w:tcW w:w="584" w:type="dxa"/>
          </w:tcPr>
          <w:p>
            <w:pPr>
              <w:pStyle w:val="TableParagraph"/>
              <w:rPr>
                <w:rFonts w:ascii="Times New Roman"/>
                <w:sz w:val="18"/>
              </w:rPr>
            </w:pPr>
          </w:p>
        </w:tc>
        <w:tc>
          <w:tcPr>
            <w:tcW w:w="583" w:type="dxa"/>
          </w:tcPr>
          <w:p>
            <w:pPr>
              <w:pStyle w:val="TableParagraph"/>
              <w:rPr>
                <w:rFonts w:ascii="Times New Roman"/>
                <w:sz w:val="18"/>
              </w:rPr>
            </w:pPr>
          </w:p>
        </w:tc>
        <w:tc>
          <w:tcPr>
            <w:tcW w:w="583" w:type="dxa"/>
          </w:tcPr>
          <w:p>
            <w:pPr>
              <w:pStyle w:val="TableParagraph"/>
              <w:rPr>
                <w:rFonts w:ascii="Times New Roman"/>
                <w:sz w:val="18"/>
              </w:rPr>
            </w:pPr>
          </w:p>
        </w:tc>
        <w:tc>
          <w:tcPr>
            <w:tcW w:w="584" w:type="dxa"/>
          </w:tcPr>
          <w:p>
            <w:pPr>
              <w:pStyle w:val="TableParagraph"/>
              <w:rPr>
                <w:rFonts w:ascii="Times New Roman"/>
                <w:sz w:val="18"/>
              </w:rPr>
            </w:pPr>
          </w:p>
        </w:tc>
        <w:tc>
          <w:tcPr>
            <w:tcW w:w="771" w:type="dxa"/>
            <w:tcBorders>
              <w:right w:val="single" w:sz="4" w:space="0" w:color="000000"/>
            </w:tcBorders>
          </w:tcPr>
          <w:p>
            <w:pPr>
              <w:pStyle w:val="TableParagraph"/>
              <w:spacing w:before="53"/>
              <w:ind w:right="143"/>
              <w:jc w:val="right"/>
              <w:rPr>
                <w:b/>
                <w:sz w:val="16"/>
              </w:rPr>
            </w:pPr>
            <w:r>
              <w:rPr>
                <w:b/>
                <w:sz w:val="16"/>
              </w:rPr>
              <w:t>-3</w:t>
            </w:r>
          </w:p>
        </w:tc>
      </w:tr>
      <w:tr>
        <w:trPr>
          <w:trHeight w:val="368" w:hRule="atLeast"/>
        </w:trPr>
        <w:tc>
          <w:tcPr>
            <w:tcW w:w="727" w:type="dxa"/>
            <w:tcBorders>
              <w:left w:val="single" w:sz="4" w:space="0" w:color="000000"/>
            </w:tcBorders>
          </w:tcPr>
          <w:p>
            <w:pPr>
              <w:pStyle w:val="TableParagraph"/>
              <w:rPr>
                <w:rFonts w:ascii="Times New Roman"/>
                <w:sz w:val="18"/>
              </w:rPr>
            </w:pPr>
          </w:p>
        </w:tc>
        <w:tc>
          <w:tcPr>
            <w:tcW w:w="583" w:type="dxa"/>
          </w:tcPr>
          <w:p>
            <w:pPr>
              <w:pStyle w:val="TableParagraph"/>
              <w:rPr>
                <w:rFonts w:ascii="Times New Roman"/>
                <w:sz w:val="18"/>
              </w:rPr>
            </w:pPr>
          </w:p>
        </w:tc>
        <w:tc>
          <w:tcPr>
            <w:tcW w:w="583" w:type="dxa"/>
          </w:tcPr>
          <w:p>
            <w:pPr>
              <w:pStyle w:val="TableParagraph"/>
              <w:rPr>
                <w:rFonts w:ascii="Times New Roman"/>
                <w:sz w:val="18"/>
              </w:rPr>
            </w:pPr>
          </w:p>
        </w:tc>
        <w:tc>
          <w:tcPr>
            <w:tcW w:w="1751" w:type="dxa"/>
          </w:tcPr>
          <w:p>
            <w:pPr>
              <w:pStyle w:val="TableParagraph"/>
              <w:spacing w:before="83"/>
              <w:ind w:left="467"/>
              <w:rPr>
                <w:b/>
                <w:sz w:val="16"/>
              </w:rPr>
            </w:pPr>
            <w:r>
              <w:rPr>
                <w:b/>
                <w:w w:val="105"/>
                <w:sz w:val="16"/>
              </w:rPr>
              <w:t>Services</w:t>
            </w:r>
          </w:p>
        </w:tc>
        <w:tc>
          <w:tcPr>
            <w:tcW w:w="584" w:type="dxa"/>
          </w:tcPr>
          <w:p>
            <w:pPr>
              <w:pStyle w:val="TableParagraph"/>
              <w:rPr>
                <w:rFonts w:ascii="Times New Roman"/>
                <w:sz w:val="18"/>
              </w:rPr>
            </w:pPr>
          </w:p>
        </w:tc>
        <w:tc>
          <w:tcPr>
            <w:tcW w:w="584" w:type="dxa"/>
          </w:tcPr>
          <w:p>
            <w:pPr>
              <w:pStyle w:val="TableParagraph"/>
              <w:rPr>
                <w:rFonts w:ascii="Times New Roman"/>
                <w:sz w:val="18"/>
              </w:rPr>
            </w:pPr>
          </w:p>
        </w:tc>
        <w:tc>
          <w:tcPr>
            <w:tcW w:w="583" w:type="dxa"/>
          </w:tcPr>
          <w:p>
            <w:pPr>
              <w:pStyle w:val="TableParagraph"/>
              <w:rPr>
                <w:rFonts w:ascii="Times New Roman"/>
                <w:sz w:val="18"/>
              </w:rPr>
            </w:pPr>
          </w:p>
        </w:tc>
        <w:tc>
          <w:tcPr>
            <w:tcW w:w="583" w:type="dxa"/>
          </w:tcPr>
          <w:p>
            <w:pPr>
              <w:pStyle w:val="TableParagraph"/>
              <w:rPr>
                <w:rFonts w:ascii="Times New Roman"/>
                <w:sz w:val="18"/>
              </w:rPr>
            </w:pPr>
          </w:p>
        </w:tc>
        <w:tc>
          <w:tcPr>
            <w:tcW w:w="584" w:type="dxa"/>
          </w:tcPr>
          <w:p>
            <w:pPr>
              <w:pStyle w:val="TableParagraph"/>
              <w:rPr>
                <w:rFonts w:ascii="Times New Roman"/>
                <w:sz w:val="18"/>
              </w:rPr>
            </w:pPr>
          </w:p>
        </w:tc>
        <w:tc>
          <w:tcPr>
            <w:tcW w:w="771" w:type="dxa"/>
            <w:tcBorders>
              <w:right w:val="single" w:sz="4" w:space="0" w:color="000000"/>
            </w:tcBorders>
          </w:tcPr>
          <w:p>
            <w:pPr>
              <w:pStyle w:val="TableParagraph"/>
              <w:spacing w:before="53"/>
              <w:ind w:right="143"/>
              <w:jc w:val="right"/>
              <w:rPr>
                <w:b/>
                <w:sz w:val="16"/>
              </w:rPr>
            </w:pPr>
            <w:r>
              <w:rPr>
                <w:b/>
                <w:sz w:val="16"/>
              </w:rPr>
              <w:t>-4</w:t>
            </w:r>
          </w:p>
        </w:tc>
      </w:tr>
      <w:tr>
        <w:trPr>
          <w:trHeight w:val="294" w:hRule="atLeast"/>
        </w:trPr>
        <w:tc>
          <w:tcPr>
            <w:tcW w:w="727" w:type="dxa"/>
            <w:tcBorders>
              <w:left w:val="single" w:sz="4" w:space="0" w:color="000000"/>
            </w:tcBorders>
          </w:tcPr>
          <w:p>
            <w:pPr>
              <w:pStyle w:val="TableParagraph"/>
              <w:rPr>
                <w:rFonts w:ascii="Times New Roman"/>
                <w:sz w:val="18"/>
              </w:rPr>
            </w:pPr>
          </w:p>
        </w:tc>
        <w:tc>
          <w:tcPr>
            <w:tcW w:w="583" w:type="dxa"/>
          </w:tcPr>
          <w:p>
            <w:pPr>
              <w:pStyle w:val="TableParagraph"/>
              <w:rPr>
                <w:rFonts w:ascii="Times New Roman"/>
                <w:sz w:val="18"/>
              </w:rPr>
            </w:pPr>
          </w:p>
        </w:tc>
        <w:tc>
          <w:tcPr>
            <w:tcW w:w="583" w:type="dxa"/>
          </w:tcPr>
          <w:p>
            <w:pPr>
              <w:pStyle w:val="TableParagraph"/>
              <w:rPr>
                <w:rFonts w:ascii="Times New Roman"/>
                <w:sz w:val="18"/>
              </w:rPr>
            </w:pPr>
          </w:p>
        </w:tc>
        <w:tc>
          <w:tcPr>
            <w:tcW w:w="1751" w:type="dxa"/>
          </w:tcPr>
          <w:p>
            <w:pPr>
              <w:pStyle w:val="TableParagraph"/>
              <w:rPr>
                <w:rFonts w:ascii="Times New Roman"/>
                <w:sz w:val="18"/>
              </w:rPr>
            </w:pPr>
          </w:p>
        </w:tc>
        <w:tc>
          <w:tcPr>
            <w:tcW w:w="584" w:type="dxa"/>
          </w:tcPr>
          <w:p>
            <w:pPr>
              <w:pStyle w:val="TableParagraph"/>
              <w:rPr>
                <w:rFonts w:ascii="Times New Roman"/>
                <w:sz w:val="18"/>
              </w:rPr>
            </w:pPr>
          </w:p>
        </w:tc>
        <w:tc>
          <w:tcPr>
            <w:tcW w:w="584" w:type="dxa"/>
          </w:tcPr>
          <w:p>
            <w:pPr>
              <w:pStyle w:val="TableParagraph"/>
              <w:rPr>
                <w:rFonts w:ascii="Times New Roman"/>
                <w:sz w:val="18"/>
              </w:rPr>
            </w:pPr>
          </w:p>
        </w:tc>
        <w:tc>
          <w:tcPr>
            <w:tcW w:w="583" w:type="dxa"/>
          </w:tcPr>
          <w:p>
            <w:pPr>
              <w:pStyle w:val="TableParagraph"/>
              <w:rPr>
                <w:rFonts w:ascii="Times New Roman"/>
                <w:sz w:val="18"/>
              </w:rPr>
            </w:pPr>
          </w:p>
        </w:tc>
        <w:tc>
          <w:tcPr>
            <w:tcW w:w="583" w:type="dxa"/>
          </w:tcPr>
          <w:p>
            <w:pPr>
              <w:pStyle w:val="TableParagraph"/>
              <w:rPr>
                <w:rFonts w:ascii="Times New Roman"/>
                <w:sz w:val="18"/>
              </w:rPr>
            </w:pPr>
          </w:p>
        </w:tc>
        <w:tc>
          <w:tcPr>
            <w:tcW w:w="584" w:type="dxa"/>
          </w:tcPr>
          <w:p>
            <w:pPr>
              <w:pStyle w:val="TableParagraph"/>
              <w:rPr>
                <w:rFonts w:ascii="Times New Roman"/>
                <w:sz w:val="18"/>
              </w:rPr>
            </w:pPr>
          </w:p>
        </w:tc>
        <w:tc>
          <w:tcPr>
            <w:tcW w:w="771" w:type="dxa"/>
            <w:tcBorders>
              <w:right w:val="single" w:sz="4" w:space="0" w:color="000000"/>
            </w:tcBorders>
          </w:tcPr>
          <w:p>
            <w:pPr>
              <w:pStyle w:val="TableParagraph"/>
              <w:spacing w:line="176" w:lineRule="exact" w:before="99"/>
              <w:ind w:right="143"/>
              <w:jc w:val="right"/>
              <w:rPr>
                <w:b/>
                <w:sz w:val="16"/>
              </w:rPr>
            </w:pPr>
            <w:r>
              <w:rPr>
                <w:b/>
                <w:sz w:val="16"/>
              </w:rPr>
              <w:t>-5</w:t>
            </w:r>
          </w:p>
        </w:tc>
      </w:tr>
      <w:tr>
        <w:trPr>
          <w:trHeight w:val="305" w:hRule="atLeast"/>
        </w:trPr>
        <w:tc>
          <w:tcPr>
            <w:tcW w:w="727" w:type="dxa"/>
            <w:tcBorders>
              <w:left w:val="single" w:sz="4" w:space="0" w:color="000000"/>
              <w:bottom w:val="single" w:sz="4" w:space="0" w:color="000000"/>
            </w:tcBorders>
          </w:tcPr>
          <w:p>
            <w:pPr>
              <w:pStyle w:val="TableParagraph"/>
              <w:spacing w:before="9"/>
              <w:ind w:left="254"/>
              <w:rPr>
                <w:b/>
                <w:sz w:val="16"/>
              </w:rPr>
            </w:pPr>
            <w:r>
              <w:rPr>
                <w:b/>
                <w:w w:val="105"/>
                <w:sz w:val="16"/>
              </w:rPr>
              <w:t>2000</w:t>
            </w:r>
          </w:p>
        </w:tc>
        <w:tc>
          <w:tcPr>
            <w:tcW w:w="583" w:type="dxa"/>
            <w:tcBorders>
              <w:bottom w:val="single" w:sz="4" w:space="0" w:color="000000"/>
            </w:tcBorders>
          </w:tcPr>
          <w:p>
            <w:pPr>
              <w:pStyle w:val="TableParagraph"/>
              <w:spacing w:before="9"/>
              <w:ind w:left="116"/>
              <w:rPr>
                <w:b/>
                <w:sz w:val="16"/>
              </w:rPr>
            </w:pPr>
            <w:r>
              <w:rPr>
                <w:b/>
                <w:w w:val="105"/>
                <w:sz w:val="16"/>
              </w:rPr>
              <w:t>2001</w:t>
            </w:r>
          </w:p>
        </w:tc>
        <w:tc>
          <w:tcPr>
            <w:tcW w:w="583" w:type="dxa"/>
            <w:tcBorders>
              <w:bottom w:val="single" w:sz="4" w:space="0" w:color="000000"/>
            </w:tcBorders>
          </w:tcPr>
          <w:p>
            <w:pPr>
              <w:pStyle w:val="TableParagraph"/>
              <w:spacing w:before="9"/>
              <w:ind w:left="116"/>
              <w:rPr>
                <w:b/>
                <w:sz w:val="16"/>
              </w:rPr>
            </w:pPr>
            <w:r>
              <w:rPr>
                <w:b/>
                <w:w w:val="105"/>
                <w:sz w:val="16"/>
              </w:rPr>
              <w:t>2002</w:t>
            </w:r>
          </w:p>
        </w:tc>
        <w:tc>
          <w:tcPr>
            <w:tcW w:w="1751" w:type="dxa"/>
            <w:tcBorders>
              <w:bottom w:val="single" w:sz="4" w:space="0" w:color="000000"/>
            </w:tcBorders>
          </w:tcPr>
          <w:p>
            <w:pPr>
              <w:pStyle w:val="TableParagraph"/>
              <w:tabs>
                <w:tab w:pos="584" w:val="left" w:leader="none"/>
                <w:tab w:pos="1168" w:val="left" w:leader="none"/>
              </w:tabs>
              <w:spacing w:before="9"/>
              <w:ind w:right="102"/>
              <w:jc w:val="right"/>
              <w:rPr>
                <w:b/>
                <w:sz w:val="16"/>
              </w:rPr>
            </w:pPr>
            <w:r>
              <w:rPr>
                <w:b/>
                <w:w w:val="105"/>
                <w:sz w:val="16"/>
              </w:rPr>
              <w:t>2003</w:t>
              <w:tab/>
              <w:t>2004</w:t>
              <w:tab/>
            </w:r>
            <w:r>
              <w:rPr>
                <w:b/>
                <w:spacing w:val="-2"/>
                <w:sz w:val="16"/>
              </w:rPr>
              <w:t>2005</w:t>
            </w:r>
          </w:p>
        </w:tc>
        <w:tc>
          <w:tcPr>
            <w:tcW w:w="584" w:type="dxa"/>
            <w:tcBorders>
              <w:bottom w:val="single" w:sz="4" w:space="0" w:color="000000"/>
            </w:tcBorders>
          </w:tcPr>
          <w:p>
            <w:pPr>
              <w:pStyle w:val="TableParagraph"/>
              <w:spacing w:before="9"/>
              <w:ind w:left="118"/>
              <w:rPr>
                <w:b/>
                <w:sz w:val="16"/>
              </w:rPr>
            </w:pPr>
            <w:r>
              <w:rPr>
                <w:b/>
                <w:w w:val="105"/>
                <w:sz w:val="16"/>
              </w:rPr>
              <w:t>2006</w:t>
            </w:r>
          </w:p>
        </w:tc>
        <w:tc>
          <w:tcPr>
            <w:tcW w:w="584" w:type="dxa"/>
            <w:tcBorders>
              <w:bottom w:val="single" w:sz="4" w:space="0" w:color="000000"/>
            </w:tcBorders>
          </w:tcPr>
          <w:p>
            <w:pPr>
              <w:pStyle w:val="TableParagraph"/>
              <w:spacing w:before="9"/>
              <w:ind w:left="118"/>
              <w:rPr>
                <w:b/>
                <w:sz w:val="16"/>
              </w:rPr>
            </w:pPr>
            <w:r>
              <w:rPr>
                <w:b/>
                <w:w w:val="105"/>
                <w:sz w:val="16"/>
              </w:rPr>
              <w:t>2007</w:t>
            </w:r>
          </w:p>
        </w:tc>
        <w:tc>
          <w:tcPr>
            <w:tcW w:w="583" w:type="dxa"/>
            <w:tcBorders>
              <w:bottom w:val="single" w:sz="4" w:space="0" w:color="000000"/>
            </w:tcBorders>
          </w:tcPr>
          <w:p>
            <w:pPr>
              <w:pStyle w:val="TableParagraph"/>
              <w:spacing w:before="9"/>
              <w:ind w:left="119"/>
              <w:rPr>
                <w:b/>
                <w:sz w:val="16"/>
              </w:rPr>
            </w:pPr>
            <w:r>
              <w:rPr>
                <w:b/>
                <w:w w:val="105"/>
                <w:sz w:val="16"/>
              </w:rPr>
              <w:t>2008</w:t>
            </w:r>
          </w:p>
        </w:tc>
        <w:tc>
          <w:tcPr>
            <w:tcW w:w="583" w:type="dxa"/>
            <w:tcBorders>
              <w:bottom w:val="single" w:sz="4" w:space="0" w:color="000000"/>
            </w:tcBorders>
          </w:tcPr>
          <w:p>
            <w:pPr>
              <w:pStyle w:val="TableParagraph"/>
              <w:spacing w:before="9"/>
              <w:ind w:left="119"/>
              <w:rPr>
                <w:b/>
                <w:sz w:val="16"/>
              </w:rPr>
            </w:pPr>
            <w:r>
              <w:rPr>
                <w:b/>
                <w:w w:val="105"/>
                <w:sz w:val="16"/>
              </w:rPr>
              <w:t>2009</w:t>
            </w:r>
          </w:p>
        </w:tc>
        <w:tc>
          <w:tcPr>
            <w:tcW w:w="584" w:type="dxa"/>
            <w:tcBorders>
              <w:bottom w:val="single" w:sz="4" w:space="0" w:color="000000"/>
            </w:tcBorders>
          </w:tcPr>
          <w:p>
            <w:pPr>
              <w:pStyle w:val="TableParagraph"/>
              <w:spacing w:before="9"/>
              <w:ind w:left="120"/>
              <w:rPr>
                <w:b/>
                <w:sz w:val="16"/>
              </w:rPr>
            </w:pPr>
            <w:r>
              <w:rPr>
                <w:b/>
                <w:w w:val="105"/>
                <w:sz w:val="16"/>
              </w:rPr>
              <w:t>2010</w:t>
            </w:r>
          </w:p>
        </w:tc>
        <w:tc>
          <w:tcPr>
            <w:tcW w:w="771" w:type="dxa"/>
            <w:tcBorders>
              <w:bottom w:val="single" w:sz="4" w:space="0" w:color="000000"/>
              <w:right w:val="single" w:sz="4" w:space="0" w:color="000000"/>
            </w:tcBorders>
          </w:tcPr>
          <w:p>
            <w:pPr>
              <w:pStyle w:val="TableParagraph"/>
              <w:spacing w:before="9"/>
              <w:ind w:left="120"/>
              <w:rPr>
                <w:b/>
                <w:sz w:val="16"/>
              </w:rPr>
            </w:pPr>
            <w:r>
              <w:rPr>
                <w:b/>
                <w:w w:val="105"/>
                <w:sz w:val="16"/>
              </w:rPr>
              <w:t>2011</w:t>
            </w:r>
          </w:p>
        </w:tc>
      </w:tr>
      <w:tr>
        <w:trPr>
          <w:trHeight w:val="1200" w:hRule="atLeast"/>
        </w:trPr>
        <w:tc>
          <w:tcPr>
            <w:tcW w:w="7333" w:type="dxa"/>
            <w:gridSpan w:val="10"/>
            <w:tcBorders>
              <w:top w:val="single" w:sz="4" w:space="0" w:color="000000"/>
              <w:left w:val="single" w:sz="4" w:space="0" w:color="000000"/>
              <w:bottom w:val="single" w:sz="4" w:space="0" w:color="000000"/>
              <w:right w:val="single" w:sz="4" w:space="0" w:color="000000"/>
            </w:tcBorders>
          </w:tcPr>
          <w:p>
            <w:pPr>
              <w:pStyle w:val="TableParagraph"/>
              <w:spacing w:before="6"/>
              <w:rPr>
                <w:sz w:val="16"/>
              </w:rPr>
            </w:pPr>
          </w:p>
          <w:p>
            <w:pPr>
              <w:pStyle w:val="TableParagraph"/>
              <w:spacing w:line="396" w:lineRule="auto" w:before="1"/>
              <w:ind w:left="107" w:right="92"/>
              <w:rPr>
                <w:sz w:val="18"/>
              </w:rPr>
            </w:pPr>
            <w:r>
              <w:rPr>
                <w:sz w:val="18"/>
              </w:rPr>
              <w:t>*: Employment intention scores reflect firms’ expected changes in workforce size over the next 6 months.</w:t>
            </w:r>
          </w:p>
          <w:p>
            <w:pPr>
              <w:pStyle w:val="TableParagraph"/>
              <w:spacing w:before="57"/>
              <w:ind w:left="107"/>
              <w:rPr>
                <w:sz w:val="18"/>
              </w:rPr>
            </w:pPr>
            <w:r>
              <w:rPr>
                <w:sz w:val="18"/>
              </w:rPr>
              <w:t>Source: Bank of England</w:t>
            </w:r>
          </w:p>
        </w:tc>
      </w:tr>
    </w:tbl>
    <w:p>
      <w:pPr>
        <w:pStyle w:val="BodyText"/>
        <w:spacing w:before="2"/>
        <w:rPr>
          <w:sz w:val="23"/>
        </w:rPr>
      </w:pPr>
    </w:p>
    <w:p>
      <w:pPr>
        <w:pStyle w:val="BodyText"/>
        <w:spacing w:line="360" w:lineRule="auto" w:before="94"/>
        <w:ind w:left="234" w:right="331"/>
      </w:pPr>
      <w:r>
        <w:rPr/>
        <w:pict>
          <v:group style="position:absolute;margin-left:133.800003pt;margin-top:-260.480225pt;width:326.6pt;height:166.45pt;mso-position-horizontal-relative:page;mso-position-vertical-relative:paragraph;z-index:-253602816" coordorigin="2676,-5210" coordsize="6532,3329">
            <v:line style="position:absolute" from="9163,-5202" to="9163,-1888" stroked="true" strokeweight=".78pt" strokecolor="#000000">
              <v:stroke dashstyle="solid"/>
            </v:line>
            <v:shape style="position:absolute;left:9162;top:-5210;width:46;height:3329" coordorigin="9162,-5210" coordsize="46,3329" path="m9208,-1896l9162,-1896,9162,-1881,9208,-1881,9208,-1896m9208,-2316l9162,-2316,9162,-2301,9208,-2301,9208,-2316m9208,-2721l9162,-2721,9162,-2705,9208,-2705,9208,-2721m9208,-3141l9162,-3141,9162,-3125,9208,-3125,9208,-3141m9208,-3545l9162,-3545,9162,-3531,9208,-3531,9208,-3545m9208,-3965l9162,-3965,9162,-3951,9208,-3951,9208,-3965m9208,-4385l9162,-4385,9162,-4371,9208,-4371,9208,-4385m9208,-4790l9162,-4790,9162,-4775,9208,-4775,9208,-4790m9208,-5210l9162,-5210,9162,-5195,9208,-5195,9208,-5210e" filled="true" fillcolor="#000000" stroked="false">
              <v:path arrowok="t"/>
              <v:fill type="solid"/>
            </v:shape>
            <v:line style="position:absolute" from="2683,-3958" to="9162,-3958" stroked="true" strokeweight=".71997pt" strokecolor="#000000">
              <v:stroke dashstyle="solid"/>
            </v:line>
            <v:shape style="position:absolute;left:2676;top:-3958;width:6435;height:46" coordorigin="2676,-3958" coordsize="6435,46" path="m2692,-3958l2676,-3958,2676,-3912,2692,-3912,2692,-3958m3276,-3958l3260,-3958,3260,-3912,3276,-3912,3276,-3958m3860,-3958l3846,-3958,3846,-3912,3860,-3912,3860,-3958m4446,-3958l4430,-3958,4430,-3912,4446,-3912,4446,-3958m5030,-3958l5016,-3958,5016,-3912,5030,-3912,5030,-3958m5616,-3958l5600,-3958,5600,-3912,5616,-3912,5616,-3958m6200,-3958l6186,-3958,6186,-3912,6200,-3912,6200,-3958m6785,-3958l6770,-3958,6770,-3912,6785,-3912,6785,-3958m7370,-3958l7355,-3958,7355,-3912,7370,-3912,7370,-3958m7940,-3958l7925,-3958,7925,-3912,7940,-3912,7940,-3958m8525,-3958l8510,-3958,8510,-3912,8525,-3912,8525,-3958m9110,-3958l9095,-3958,9095,-3912,9110,-3912,9110,-3958e" filled="true" fillcolor="#000000" stroked="false">
              <v:path arrowok="t"/>
              <v:fill type="solid"/>
            </v:shape>
            <v:shape style="position:absolute;left:2689;top:-4306;width:6453;height:2020" coordorigin="2689,-4305" coordsize="6453,2020" path="m8029,-2425l8029,-2405,8002,-2405,8046,-2285,8071,-2285,8093,-2305,8050,-2305,8068,-2321,8029,-2425xm8068,-2321l8050,-2305,8074,-2305,8068,-2321xm8446,-3465l8392,-3465,8390,-3445,8346,-3265,8286,-3085,8240,-2945,8195,-2785,8150,-2545,8090,-2345,8094,-2345,8068,-2321,8074,-2305,8093,-2305,8116,-2325,8119,-2325,8179,-2545,8225,-2785,8269,-2945,8315,-3085,8374,-3245,8415,-3425,8405,-3425,8419,-3445,8437,-3445,8446,-3465xm7985,-2625l7956,-2625,8000,-2405,8029,-2405,7985,-2625xm7922,-2725l7925,-2705,7897,-2705,7957,-2605,7956,-2625,7982,-2625,7922,-2725xm7835,-3165l7806,-3165,7850,-2945,7895,-2705,7925,-2705,7879,-2945,7835,-3165xm3712,-3165l3772,-2945,3800,-2945,3786,-2965,3795,-2965,3746,-3145,3726,-3145,3712,-3165xm3795,-2965l3786,-2965,3800,-2945,3795,-2965xm3980,-3325l3952,-3325,3906,-3205,3862,-3045,3863,-3045,3817,-2965,3795,-2965,3800,-2945,3845,-2945,3889,-3025,3890,-3045,3935,-3205,3969,-3296,3956,-3305,3980,-3325xm3180,-3565l3151,-3565,3143,-3558,3192,-3525,3281,-3525,3325,-3485,3384,-3405,3431,-3405,3478,-3365,3517,-3365,3580,-3245,3623,-3245,3667,-3145,3717,-3145,3712,-3165,3695,-3165,3680,-3185,3686,-3185,3649,-3265,3605,-3265,3545,-3385,3497,-3385,3451,-3425,3408,-3425,3347,-3505,3301,-3545,3210,-3545,3180,-3565xm3740,-3165l3712,-3165,3726,-3145,3746,-3145,3740,-3165xm7700,-3585l7760,-3285,7762,-3265,7806,-3145,7806,-3165,7834,-3165,7789,-3285,7790,-3285,7734,-3565,7715,-3565,7700,-3585xm3686,-3185l3680,-3185,3695,-3165,3686,-3185xm3732,-3185l3686,-3185,3695,-3165,3738,-3165,3732,-3185xm4429,-3445l4402,-3445,4422,-3425,4411,-3421,4447,-3325,4492,-3205,4494,-3185,4619,-3185,4621,-3205,4519,-3205,4506,-3225,4512,-3225,4475,-3325,4429,-3445xm4512,-3225l4506,-3225,4519,-3205,4512,-3225xm4797,-3345l4735,-3345,4733,-3325,4688,-3265,4648,-3265,4600,-3225,4512,-3225,4519,-3205,4621,-3205,4667,-3245,4714,-3245,4747,-3305,4746,-3305,4758,-3325,4792,-3325,4797,-3345xm3974,-3345l3958,-3345,3954,-3325,3980,-3325,3969,-3296,4016,-3265,4038,-3265,4040,-3285,4012,-3285,4017,-3302,3974,-3345xm4017,-3302l4012,-3285,4034,-3285,4017,-3302xm4124,-3425l4057,-3425,4017,-3302,4034,-3285,4040,-3285,4085,-3405,4079,-3405,4124,-3425xm3980,-3325l3956,-3305,3969,-3296,3980,-3325xm4758,-3325l4746,-3305,4747,-3305,4758,-3325xm4818,-3325l4758,-3325,4747,-3305,4812,-3305,4818,-3325xm4951,-3545l4933,-3545,4885,-3505,4838,-3505,4836,-3485,4792,-3325,4806,-3345,4826,-3345,4865,-3485,4907,-3485,4937,-3512,4928,-3525,4964,-3525,4951,-3545xm4826,-3345l4806,-3345,4792,-3325,4820,-3325,4826,-3345xm6237,-3525l6226,-3525,6208,-3509,6246,-3405,6296,-3405,6356,-3365,6362,-3345,6371,-3365,6376,-3365,6398,-3385,6355,-3385,6363,-3393,6314,-3425,6275,-3425,6237,-3525xm6363,-3393l6355,-3385,6374,-3385,6363,-3393xm6703,-3925l6593,-3925,6590,-3905,6530,-3705,6533,-3705,6442,-3545,6396,-3425,6400,-3425,6363,-3393,6374,-3385,6398,-3385,6421,-3405,6425,-3405,6469,-3525,6514,-3625,6558,-3685,6559,-3685,6559,-3705,6619,-3905,6727,-3905,6703,-3925xm4426,-3465l4409,-3465,4349,-3425,4258,-3425,4302,-3405,4362,-3405,4411,-3421,4402,-3445,4428,-3445,4426,-3465xm4402,-3445l4411,-3421,4422,-3425,4402,-3445xm4274,-3465l4108,-3465,4062,-3425,4319,-3425,4274,-3465xm4964,-3525l4951,-3525,4937,-3512,4991,-3425,5011,-3425,5030,-3445,5014,-3445,4990,-3465,4997,-3472,4964,-3525xm5707,-3785l5689,-3785,5682,-3763,5710,-3725,5712,-3725,5772,-3685,5770,-3685,5815,-3645,5812,-3645,5856,-3525,5904,-3425,5924,-3425,5928,-3445,5903,-3445,5918,-3470,5885,-3545,5839,-3665,5836,-3665,5791,-3705,5790,-3705,5730,-3765,5731,-3765,5707,-3785xm6008,-3525l5988,-3525,5978,-3512,6058,-3425,6120,-3425,6160,-3465,6076,-3465,6031,-3505,6008,-3525xm8419,-3445l8405,-3425,8415,-3425,8419,-3445xm8475,-3465l8450,-3465,8437,-3445,8419,-3445,8415,-3425,8461,-3425,8464,-3445,8475,-3465xm4997,-3472l4990,-3465,5014,-3445,4997,-3472xm5396,-3965l5382,-3965,5322,-3925,5320,-3925,5272,-3825,5226,-3705,5230,-3705,5185,-3665,5189,-3665,5126,-3645,5122,-3625,5077,-3545,5080,-3545,4997,-3472,5014,-3445,5030,-3445,5104,-3525,5149,-3625,5172,-3625,5202,-3645,5206,-3645,5252,-3685,5255,-3685,5299,-3805,5344,-3905,5340,-3905,5388,-3937,5380,-3945,5422,-3945,5396,-3965xm5918,-3470l5903,-3445,5928,-3445,5929,-3446,5918,-3470xm5929,-3446l5928,-3445,5929,-3445,5929,-3446xm8609,-3645l8544,-3645,8543,-3625,8482,-3545,8437,-3445,8450,-3465,8475,-3465,8508,-3525,8568,-3625,8586,-3625,8609,-3645xm5986,-3545l5965,-3545,5918,-3470,5929,-3446,5978,-3512,5965,-3525,6008,-3525,5986,-3545xm2716,-3485l2699,-3485,2707,-3465,2716,-3485xm6229,-3545l6205,-3545,6160,-3505,6162,-3505,6102,-3465,6160,-3465,6180,-3485,6181,-3485,6208,-3509,6202,-3525,6237,-3525,6229,-3545xm2867,-3585l2737,-3585,2693,-3505,2689,-3485,2719,-3485,2765,-3565,2889,-3565,2867,-3585xm6226,-3525l6202,-3525,6208,-3509,6226,-3525xm5988,-3525l5965,-3525,5978,-3512,5988,-3525xm4951,-3525l4928,-3525,4937,-3512,4951,-3525xm2889,-3565l2845,-3565,2891,-3525,2911,-3525,2934,-3545,2891,-3545,2901,-3554,2889,-3565xm2984,-3565l2957,-3565,2948,-3557,2996,-3525,3107,-3525,3129,-3545,3014,-3545,2984,-3565xm2901,-3554l2891,-3545,2911,-3545,2901,-3554xm2948,-3605l2941,-3605,2935,-3585,2901,-3554,2911,-3545,2934,-3545,2948,-3557,2936,-3565,2984,-3565,2954,-3585,2948,-3605xm3144,-3605l3136,-3605,3085,-3545,3129,-3545,3143,-3558,3132,-3565,3180,-3565,3150,-3585,3144,-3605xm2957,-3565l2936,-3565,2948,-3557,2957,-3565xm3151,-3565l3132,-3565,3143,-3558,3151,-3565xm7613,-3685l7589,-3685,7578,-3678,7614,-3645,7613,-3645,7657,-3565,7704,-3565,7700,-3585,7684,-3585,7670,-3605,7672,-3605,7638,-3665,7636,-3665,7613,-3685xm7730,-3585l7700,-3585,7715,-3565,7734,-3565,7730,-3585xm2860,-3605l2746,-3605,2740,-3585,2863,-3585,2860,-3605xm7672,-3605l7670,-3605,7684,-3585,7672,-3605xm7722,-3605l7672,-3605,7684,-3585,7728,-3585,7722,-3605xm5172,-3625l5149,-3625,5142,-3605,5172,-3625xm8586,-3625l8568,-3625,8563,-3605,8586,-3625xm5422,-3945l5400,-3945,5388,-3937,5425,-3905,5422,-3905,5467,-3805,5513,-3745,5573,-3645,5645,-3645,5651,-3665,5598,-3665,5538,-3745,5494,-3825,5449,-3925,5447,-3925,5422,-3945xm7489,-3745l7462,-3745,7507,-3645,7529,-3645,7559,-3665,7511,-3665,7527,-3676,7489,-3745xm8845,-4265l8836,-4265,8830,-4245,8784,-4205,8780,-4205,8736,-4085,8676,-3965,8630,-3805,8586,-3665,8592,-3665,8546,-3645,8615,-3645,8659,-3785,8705,-3945,8704,-3945,8764,-4065,8809,-4185,8806,-4185,8840,-4216,8830,-4225,8873,-4225,8850,-4245,8845,-4265xm5682,-3805l5662,-3805,5616,-3665,5651,-3665,5682,-3763,5665,-3785,5707,-3785,5682,-3805xm7527,-3676l7511,-3665,7534,-3665,7527,-3676xm7585,-3725l7577,-3725,7571,-3705,7527,-3676,7534,-3665,7559,-3665,7578,-3678,7570,-3685,7613,-3685,7591,-3705,7585,-3725xm7589,-3685l7570,-3685,7578,-3678,7589,-3685xm7441,-3805l7376,-3805,7422,-3785,7420,-3785,7464,-3725,7462,-3745,7489,-3745,7486,-3765,7441,-3805xm5689,-3785l5665,-3785,5682,-3763,5689,-3785xm7026,-3985l7009,-3985,6998,-3960,7032,-3945,7030,-3945,7075,-3905,7072,-3905,7117,-3805,7145,-3805,7151,-3825,7116,-3825,7129,-3859,7099,-3925,7097,-3925,7049,-3965,7026,-3985xm7199,-4005l7181,-4005,7177,-3985,7205,-3985,7196,-3959,7226,-3945,7225,-3945,7272,-3905,7313,-3905,7373,-3805,7439,-3805,7393,-3825,7398,-3825,7338,-3925,7291,-3925,7246,-3965,7243,-3965,7199,-4005xm7129,-3859l7116,-3825,7144,-3825,7129,-3859xm7205,-3985l7176,-3985,7129,-3859,7144,-3825,7151,-3825,7196,-3959,7182,-3965,7205,-3985xm6727,-3905l6685,-3905,6730,-3845,6853,-3845,6885,-3885,6751,-3885,6727,-3905xm6923,-3905l6901,-3905,6890,-3892,6928,-3845,6947,-3845,6956,-3865,6922,-3865,6936,-3894,6923,-3905xm6936,-3894l6922,-3865,6946,-3885,6936,-3894xm7003,-4005l6984,-4005,6982,-3985,6936,-3894,6946,-3885,6922,-3865,6956,-3865,6998,-3960,6986,-3965,7009,-3985,7026,-3985,7003,-4005xm6901,-3925l6880,-3925,6835,-3885,6885,-3885,6890,-3892,6880,-3905,6923,-3905,6901,-3925xm6901,-3905l6880,-3905,6890,-3892,6901,-3905xm5400,-3945l5380,-3945,5388,-3937,5400,-3945xm7205,-3985l7182,-3965,7196,-3959,7205,-3985xm7009,-3985l6986,-3965,6998,-3960,7009,-3985xm8873,-4225l8850,-4225,8840,-4216,8874,-4185,8934,-4185,8980,-4145,8986,-4125,8995,-4125,9000,-4145,9023,-4165,8980,-4165,8990,-4174,8956,-4205,8896,-4205,8873,-4225xm8990,-4174l8980,-4165,9000,-4165,8990,-4174xm9130,-4305l9114,-4305,9070,-4245,9024,-4205,8990,-4174,9000,-4165,9023,-4165,9046,-4185,9090,-4225,9136,-4265,9142,-4285,9130,-4305xm8850,-4225l8830,-4225,8840,-4216,8850,-4225xe" filled="true" fillcolor="#333399" stroked="false">
              <v:path arrowok="t"/>
              <v:fill type="solid"/>
            </v:shape>
            <v:shape style="position:absolute;left:2691;top:-4917;width:6449;height:2300" coordorigin="2692,-4916" coordsize="6449,2300" path="m7681,-3536l7657,-3536,7704,-3476,7702,-3476,7762,-3316,7760,-3316,7806,-3076,7850,-2936,7896,-2816,7956,-2656,7960,-2656,8004,-2616,8118,-2616,8133,-2636,8026,-2636,7981,-2676,7985,-2676,7924,-2836,7879,-2956,7835,-3096,7790,-3336,7789,-3336,7729,-3496,7726,-3496,7681,-3536xm8419,-3416l8390,-3416,8346,-3256,8286,-3116,8242,-2956,8196,-2836,8152,-2716,8153,-2716,8093,-2636,8133,-2636,8178,-2696,8179,-2696,8224,-2816,8269,-2936,8315,-3116,8314,-3116,8374,-3236,8375,-3236,8375,-3256,8414,-3396,8413,-3396,8419,-3416xm8419,-3416l8413,-3396,8414,-3397,8419,-3416xm8414,-3397l8413,-3396,8414,-3396,8414,-3397xm8990,-4216l8881,-4216,8874,-4196,8830,-4156,8736,-4156,8676,-4036,8680,-4036,8634,-3996,8630,-3996,8585,-3796,8586,-3796,8542,-3716,8543,-3716,8483,-3636,8480,-3636,8436,-3456,8442,-3456,8396,-3436,8392,-3416,8419,-3416,8414,-3397,8459,-3436,8465,-3436,8509,-3616,8507,-3616,8567,-3696,8568,-3696,8614,-3776,8615,-3776,8615,-3796,8659,-3976,8656,-3976,8700,-4016,8704,-4016,8764,-4136,8850,-4136,8896,-4176,8998,-4176,9014,-4196,8980,-4196,8990,-4216xm7073,-4716l7030,-4716,7075,-4676,7072,-4676,7116,-4556,7176,-4556,7222,-4436,7225,-4436,7270,-4396,7315,-4356,7312,-4356,7372,-4196,7416,-4076,7460,-3896,7506,-3776,7511,-3776,7571,-3736,7570,-3736,7614,-3696,7610,-3696,7656,-3536,7685,-3536,7639,-3696,7639,-3716,7638,-3716,7591,-3756,7589,-3756,7529,-3796,7535,-3796,7489,-3916,7445,-4076,7399,-4196,7339,-4356,7338,-4376,7336,-4376,7291,-4416,7246,-4456,7249,-4456,7205,-4576,7145,-4576,7099,-4696,7096,-4696,7073,-4716xm4325,-4076l4297,-4076,4342,-3956,4343,-3936,4362,-3936,4392,-3956,4369,-3956,4349,-3976,4360,-3980,4325,-4076xm4709,-3976l4544,-3976,4604,-3936,4664,-3936,4709,-3976xm4360,-3980l4349,-3976,4369,-3956,4360,-3980xm4553,-3996l4414,-3996,4360,-3980,4369,-3956,4392,-3956,4422,-3976,4618,-3976,4553,-3996xm5340,-4676l5227,-4676,5182,-4576,5186,-4576,5126,-4536,5123,-4536,5077,-4456,4987,-4456,4927,-4316,4883,-4256,4882,-4256,4882,-4236,4836,-4116,4792,-3996,4692,-3996,4648,-3976,4820,-3976,4865,-4116,4909,-4236,4908,-4236,4954,-4316,5015,-4436,5104,-4436,5148,-4516,5144,-4516,5204,-4556,5208,-4556,5244,-4636,5240,-4636,5254,-4656,5370,-4656,5340,-4676xm3695,-4316l3667,-4316,3712,-4196,3773,-4076,3775,-4056,3839,-4056,3855,-4076,3799,-4076,3786,-4096,3789,-4096,3740,-4196,3695,-4316xm3946,-4116l3910,-4116,3960,-4056,3974,-4056,3994,-4076,3977,-4076,3956,-4096,3960,-4099,3946,-4116xm4210,-4176l4171,-4176,4163,-4169,4212,-4136,4258,-4116,4255,-4116,4300,-4056,4297,-4076,4322,-4076,4274,-4136,4230,-4156,4210,-4176xm3789,-4096l3786,-4096,3799,-4076,3789,-4096xm3830,-4096l3789,-4096,3799,-4076,3821,-4076,3830,-4096xm3931,-4136l3865,-4136,3821,-4076,3855,-4076,3887,-4116,3946,-4116,3931,-4136xm3960,-4099l3956,-4096,3977,-4076,3960,-4099xm4124,-4136l4016,-4136,3960,-4099,3977,-4076,3994,-4076,4034,-4116,4079,-4116,4124,-4136xm3910,-4116l3887,-4116,3876,-4096,3920,-4096,3910,-4116xm4079,-4116l4034,-4116,4026,-4096,4074,-4096,4079,-4116xm4170,-4216l4156,-4216,4150,-4196,4105,-4156,4108,-4156,4062,-4136,4126,-4136,4163,-4169,4152,-4176,4210,-4176,4170,-4216xm5794,-4536l5780,-4536,5713,-4516,5788,-4516,5773,-4507,5813,-4436,5857,-4436,5902,-4356,5904,-4356,5964,-4276,5962,-4276,6007,-4196,6010,-4176,6055,-4136,6120,-4136,6150,-4156,6076,-4156,6031,-4196,6034,-4196,5989,-4296,5987,-4296,5927,-4376,5929,-4376,5884,-4456,5838,-4456,5794,-4536xm6162,-4216l6102,-4156,6150,-4156,6180,-4176,6181,-4176,6184,-4196,6157,-4196,6162,-4216xm4171,-4176l4152,-4176,4163,-4169,4171,-4176xm6226,-4296l6202,-4296,6157,-4196,6184,-4196,6219,-4259,6205,-4276,6248,-4276,6226,-4296xm9140,-4256l9028,-4256,8980,-4196,9014,-4196,9046,-4236,9140,-4236,9140,-4256xm6248,-4276l6229,-4276,6219,-4259,6256,-4216,6265,-4216,6299,-4256,6250,-4256,6261,-4266,6248,-4276xm9140,-4236l9046,-4236,9035,-4216,9133,-4216,9140,-4236xm6261,-4266l6250,-4256,6271,-4256,6261,-4266xm6618,-4496l6593,-4496,6533,-4416,6490,-4416,6445,-4376,6397,-4376,6353,-4296,6298,-4296,6261,-4266,6271,-4256,6299,-4256,6316,-4276,6378,-4276,6412,-4336,6410,-4336,6424,-4356,6466,-4356,6511,-4396,6556,-4396,6618,-4496xm6229,-4276l6205,-4276,6219,-4259,6229,-4276xm3455,-4616l3427,-4616,3473,-4516,3517,-4396,3518,-4396,3581,-4296,3599,-4296,3615,-4316,3581,-4316,3594,-4332,3544,-4416,3545,-4416,3499,-4536,3455,-4616xm3658,-4356l3647,-4356,3636,-4343,3671,-4296,3667,-4316,3692,-4316,3658,-4356xm3594,-4332l3581,-4316,3604,-4316,3594,-4332xm3641,-4376l3631,-4376,3594,-4332,3604,-4316,3615,-4316,3636,-4343,3625,-4356,3658,-4356,3641,-4376xm6424,-4356l6410,-4336,6412,-4336,6424,-4356xm6463,-4356l6424,-4356,6412,-4336,6460,-4336,6463,-4356xm3647,-4356l3625,-4356,3636,-4343,3647,-4356xm5598,-4536l5586,-4536,5528,-4519,5534,-4516,5592,-4516,5578,-4508,5617,-4436,5686,-4436,5708,-4456,5644,-4456,5598,-4536xm5767,-4516l5712,-4516,5710,-4496,5665,-4456,5708,-4456,5731,-4476,5728,-4476,5773,-4507,5767,-4516xm5573,-4516l5472,-4516,5518,-4476,5527,-4476,5578,-4508,5573,-4516xm6659,-4516l6595,-4516,6594,-4496,6618,-4496,6613,-4476,6659,-4516xm5788,-4516l5767,-4516,5773,-4507,5788,-4516xm5592,-4516l5573,-4516,5578,-4508,5592,-4516xm5370,-4656l5322,-4656,5382,-4596,5380,-4596,5425,-4556,5470,-4516,5519,-4516,5528,-4519,5489,-4536,5491,-4536,5446,-4576,5401,-4616,5400,-4636,5370,-4656xm5528,-4519l5519,-4516,5534,-4516,5528,-4519xm6895,-4756l6886,-4756,6880,-4736,6835,-4696,6836,-4696,6791,-4676,6731,-4636,6731,-4616,6730,-4616,6685,-4576,6640,-4536,6642,-4536,6598,-4516,6661,-4516,6706,-4556,6751,-4596,6749,-4596,6809,-4656,6853,-4676,6856,-4676,6890,-4707,6880,-4716,6923,-4716,6901,-4736,6895,-4756xm3278,-4856l3323,-4776,3383,-4656,3431,-4596,3427,-4616,3455,-4616,3407,-4676,3409,-4676,3349,-4796,3319,-4836,3290,-4836,3278,-4856xm5254,-4656l5240,-4636,5244,-4636,5254,-4656xm5322,-4656l5254,-4656,5244,-4636,5330,-4636,5322,-4656xm6923,-4716l6901,-4716,6890,-4707,6925,-4676,6944,-4676,6974,-4696,6926,-4696,6935,-4706,6923,-4716xm6935,-4706l6926,-4696,6946,-4696,6935,-4706xm7048,-4756l6986,-4756,6935,-4706,6946,-4696,6974,-4696,7004,-4716,7073,-4716,7051,-4736,7048,-4756xm6901,-4716l6880,-4716,6890,-4707,6901,-4716xm3050,-4876l2998,-4876,2994,-4856,2934,-4796,2692,-4796,2692,-4776,2698,-4756,2951,-4756,2954,-4776,2958,-4776,3018,-4836,3059,-4836,3075,-4856,3041,-4856,3050,-4876xm3226,-4896l3191,-4896,3235,-4836,3290,-4836,3278,-4856,3257,-4856,3226,-4896xm3301,-4876l3246,-4876,3257,-4856,3278,-4856,3290,-4836,3319,-4836,3304,-4856,3301,-4876xm3211,-4916l3085,-4916,3041,-4856,3075,-4856,3107,-4896,3226,-4896,3211,-4916xm3191,-4896l3107,-4896,3096,-4876,3200,-4876,3191,-4896xe" filled="true" fillcolor="#993300" stroked="false">
              <v:path arrowok="t"/>
              <v:fill type="solid"/>
            </v:shape>
            <v:line style="position:absolute" from="4190,-2586" to="4610,-2586" stroked="true" strokeweight="1.5pt" strokecolor="#333399">
              <v:stroke dashstyle="solid"/>
            </v:line>
            <v:line style="position:absolute" from="4190,-2271" to="4610,-2271" stroked="true" strokeweight="1.5pt" strokecolor="#993300">
              <v:stroke dashstyle="solid"/>
            </v:line>
            <w10:wrap type="none"/>
          </v:group>
        </w:pict>
      </w:r>
      <w:r>
        <w:rPr/>
        <w:t>Vacancy levels are also holding up well and employment surveys – such as the Bank of England’s Agents’ survey also show a reasonably positive picture for employment intentions, as Chart 2 shows.</w:t>
      </w:r>
    </w:p>
    <w:p>
      <w:pPr>
        <w:pStyle w:val="BodyText"/>
        <w:rPr>
          <w:sz w:val="30"/>
        </w:rPr>
      </w:pPr>
    </w:p>
    <w:p>
      <w:pPr>
        <w:pStyle w:val="BodyText"/>
        <w:spacing w:line="360" w:lineRule="auto"/>
        <w:ind w:left="234"/>
      </w:pPr>
      <w:r>
        <w:rPr/>
        <w:t>Business surveys from the early months of this year are also consistent with a continuing economic recovery. In the manufacturing sector, all the major business surveys published in the early months of this year – from the CBI, the British Chambers of Commerce, and purchasing managers – are showing record or near-record responses for output and orders, consistent with the strong growth reported by the official output figures.</w:t>
      </w:r>
    </w:p>
    <w:p>
      <w:pPr>
        <w:pStyle w:val="BodyText"/>
        <w:spacing w:line="360" w:lineRule="auto"/>
        <w:ind w:left="234" w:right="154"/>
      </w:pPr>
      <w:r>
        <w:rPr/>
        <w:t>Indeed, the latest CBI Monthly Trends Enquiry of manufacturers, released today, shows one of the strongest responses for expected output growth that we have seen in the past two decades.</w:t>
      </w:r>
    </w:p>
    <w:p>
      <w:pPr>
        <w:pStyle w:val="BodyText"/>
        <w:rPr>
          <w:sz w:val="30"/>
        </w:rPr>
      </w:pPr>
    </w:p>
    <w:p>
      <w:pPr>
        <w:pStyle w:val="BodyText"/>
        <w:spacing w:line="360" w:lineRule="auto"/>
        <w:ind w:left="234"/>
      </w:pPr>
      <w:r>
        <w:rPr/>
        <w:t>But – sadly – manufacturing industry is now a small proportion of the UK economy. The overall level of economic activity in the UK is dominated by the services sector and here the picture is more mixed.</w:t>
      </w:r>
    </w:p>
    <w:p>
      <w:pPr>
        <w:pStyle w:val="BodyText"/>
        <w:spacing w:line="360" w:lineRule="auto"/>
        <w:ind w:left="234" w:right="121"/>
      </w:pPr>
      <w:r>
        <w:rPr/>
        <w:t>However, a good survey barometer of the services sector is probably provided by the purchasing managers’ index which is published every month. The latest survey shows that after a dip in December, services activity returned to growth in the early months of this year (see Chart 3).</w:t>
      </w:r>
    </w:p>
    <w:p>
      <w:pPr>
        <w:spacing w:after="0" w:line="360" w:lineRule="auto"/>
        <w:sectPr>
          <w:pgSz w:w="11900" w:h="16840"/>
          <w:pgMar w:header="0" w:footer="1340" w:top="1600" w:bottom="1540" w:left="900" w:right="1020"/>
        </w:sectPr>
      </w:pPr>
    </w:p>
    <w:p>
      <w:pPr>
        <w:pStyle w:val="BodyText"/>
      </w:pPr>
    </w:p>
    <w:p>
      <w:pPr>
        <w:pStyle w:val="BodyText"/>
        <w:spacing w:before="7" w:after="1"/>
        <w:rPr>
          <w:sz w:val="11"/>
        </w:rPr>
      </w:pPr>
    </w:p>
    <w:tbl>
      <w:tblPr>
        <w:tblW w:w="0" w:type="auto"/>
        <w:jc w:val="left"/>
        <w:tblInd w:w="1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1"/>
        <w:gridCol w:w="582"/>
        <w:gridCol w:w="583"/>
        <w:gridCol w:w="582"/>
        <w:gridCol w:w="1748"/>
        <w:gridCol w:w="582"/>
        <w:gridCol w:w="582"/>
        <w:gridCol w:w="1656"/>
        <w:gridCol w:w="341"/>
      </w:tblGrid>
      <w:tr>
        <w:trPr>
          <w:trHeight w:val="860" w:hRule="atLeast"/>
        </w:trPr>
        <w:tc>
          <w:tcPr>
            <w:tcW w:w="7337" w:type="dxa"/>
            <w:gridSpan w:val="9"/>
            <w:tcBorders>
              <w:top w:val="single" w:sz="4" w:space="0" w:color="000000"/>
              <w:left w:val="single" w:sz="4" w:space="0" w:color="000000"/>
              <w:bottom w:val="single" w:sz="4" w:space="0" w:color="000000"/>
              <w:right w:val="single" w:sz="4" w:space="0" w:color="000000"/>
            </w:tcBorders>
          </w:tcPr>
          <w:p>
            <w:pPr>
              <w:pStyle w:val="TableParagraph"/>
              <w:spacing w:before="168"/>
              <w:ind w:left="106"/>
              <w:rPr>
                <w:b/>
                <w:sz w:val="20"/>
              </w:rPr>
            </w:pPr>
            <w:r>
              <w:rPr>
                <w:b/>
                <w:sz w:val="20"/>
              </w:rPr>
              <w:t>Chart 3 – CIPS survey activity balances</w:t>
            </w:r>
          </w:p>
          <w:p>
            <w:pPr>
              <w:pStyle w:val="TableParagraph"/>
              <w:spacing w:before="169"/>
              <w:ind w:left="106"/>
              <w:rPr>
                <w:sz w:val="20"/>
              </w:rPr>
            </w:pPr>
            <w:r>
              <w:rPr>
                <w:sz w:val="20"/>
              </w:rPr>
              <w:t>Index of activity (above 50 indicates expansion)</w:t>
            </w:r>
          </w:p>
        </w:tc>
      </w:tr>
      <w:tr>
        <w:trPr>
          <w:trHeight w:val="363" w:hRule="atLeast"/>
        </w:trPr>
        <w:tc>
          <w:tcPr>
            <w:tcW w:w="681" w:type="dxa"/>
            <w:tcBorders>
              <w:top w:val="single" w:sz="4" w:space="0" w:color="000000"/>
              <w:left w:val="single" w:sz="4" w:space="0" w:color="000000"/>
            </w:tcBorders>
          </w:tcPr>
          <w:p>
            <w:pPr>
              <w:pStyle w:val="TableParagraph"/>
              <w:rPr>
                <w:rFonts w:ascii="Times New Roman"/>
                <w:sz w:val="18"/>
              </w:rPr>
            </w:pPr>
          </w:p>
        </w:tc>
        <w:tc>
          <w:tcPr>
            <w:tcW w:w="582" w:type="dxa"/>
            <w:tcBorders>
              <w:top w:val="single" w:sz="4" w:space="0" w:color="000000"/>
            </w:tcBorders>
          </w:tcPr>
          <w:p>
            <w:pPr>
              <w:pStyle w:val="TableParagraph"/>
              <w:rPr>
                <w:rFonts w:ascii="Times New Roman"/>
                <w:sz w:val="18"/>
              </w:rPr>
            </w:pPr>
          </w:p>
        </w:tc>
        <w:tc>
          <w:tcPr>
            <w:tcW w:w="583" w:type="dxa"/>
            <w:tcBorders>
              <w:top w:val="single" w:sz="4" w:space="0" w:color="000000"/>
            </w:tcBorders>
          </w:tcPr>
          <w:p>
            <w:pPr>
              <w:pStyle w:val="TableParagraph"/>
              <w:rPr>
                <w:rFonts w:ascii="Times New Roman"/>
                <w:sz w:val="18"/>
              </w:rPr>
            </w:pPr>
          </w:p>
        </w:tc>
        <w:tc>
          <w:tcPr>
            <w:tcW w:w="582" w:type="dxa"/>
            <w:tcBorders>
              <w:top w:val="single" w:sz="4" w:space="0" w:color="000000"/>
            </w:tcBorders>
          </w:tcPr>
          <w:p>
            <w:pPr>
              <w:pStyle w:val="TableParagraph"/>
              <w:rPr>
                <w:rFonts w:ascii="Times New Roman"/>
                <w:sz w:val="18"/>
              </w:rPr>
            </w:pPr>
          </w:p>
        </w:tc>
        <w:tc>
          <w:tcPr>
            <w:tcW w:w="1748" w:type="dxa"/>
            <w:tcBorders>
              <w:top w:val="single" w:sz="4" w:space="0" w:color="000000"/>
            </w:tcBorders>
          </w:tcPr>
          <w:p>
            <w:pPr>
              <w:pStyle w:val="TableParagraph"/>
              <w:rPr>
                <w:rFonts w:ascii="Times New Roman"/>
                <w:sz w:val="18"/>
              </w:rPr>
            </w:pPr>
          </w:p>
        </w:tc>
        <w:tc>
          <w:tcPr>
            <w:tcW w:w="582" w:type="dxa"/>
            <w:tcBorders>
              <w:top w:val="single" w:sz="4" w:space="0" w:color="000000"/>
            </w:tcBorders>
          </w:tcPr>
          <w:p>
            <w:pPr>
              <w:pStyle w:val="TableParagraph"/>
              <w:rPr>
                <w:rFonts w:ascii="Times New Roman"/>
                <w:sz w:val="18"/>
              </w:rPr>
            </w:pPr>
          </w:p>
        </w:tc>
        <w:tc>
          <w:tcPr>
            <w:tcW w:w="582" w:type="dxa"/>
            <w:tcBorders>
              <w:top w:val="single" w:sz="4" w:space="0" w:color="000000"/>
            </w:tcBorders>
          </w:tcPr>
          <w:p>
            <w:pPr>
              <w:pStyle w:val="TableParagraph"/>
              <w:rPr>
                <w:rFonts w:ascii="Times New Roman"/>
                <w:sz w:val="18"/>
              </w:rPr>
            </w:pPr>
          </w:p>
        </w:tc>
        <w:tc>
          <w:tcPr>
            <w:tcW w:w="1656" w:type="dxa"/>
            <w:tcBorders>
              <w:top w:val="single" w:sz="4" w:space="0" w:color="000000"/>
            </w:tcBorders>
          </w:tcPr>
          <w:p>
            <w:pPr>
              <w:pStyle w:val="TableParagraph"/>
              <w:rPr>
                <w:rFonts w:ascii="Times New Roman"/>
                <w:sz w:val="18"/>
              </w:rPr>
            </w:pPr>
          </w:p>
        </w:tc>
        <w:tc>
          <w:tcPr>
            <w:tcW w:w="341" w:type="dxa"/>
            <w:tcBorders>
              <w:top w:val="single" w:sz="4" w:space="0" w:color="000000"/>
              <w:right w:val="single" w:sz="4" w:space="0" w:color="000000"/>
            </w:tcBorders>
          </w:tcPr>
          <w:p>
            <w:pPr>
              <w:pStyle w:val="TableParagraph"/>
              <w:rPr>
                <w:sz w:val="16"/>
              </w:rPr>
            </w:pPr>
          </w:p>
          <w:p>
            <w:pPr>
              <w:pStyle w:val="TableParagraph"/>
              <w:spacing w:line="159" w:lineRule="exact"/>
              <w:ind w:left="26"/>
              <w:rPr>
                <w:b/>
                <w:sz w:val="16"/>
              </w:rPr>
            </w:pPr>
            <w:r>
              <w:rPr>
                <w:b/>
                <w:w w:val="105"/>
                <w:sz w:val="16"/>
              </w:rPr>
              <w:t>65</w:t>
            </w:r>
          </w:p>
        </w:tc>
      </w:tr>
      <w:tr>
        <w:trPr>
          <w:trHeight w:val="236" w:hRule="atLeast"/>
        </w:trPr>
        <w:tc>
          <w:tcPr>
            <w:tcW w:w="681" w:type="dxa"/>
            <w:tcBorders>
              <w:left w:val="single" w:sz="4" w:space="0" w:color="000000"/>
            </w:tcBorders>
          </w:tcPr>
          <w:p>
            <w:pPr>
              <w:pStyle w:val="TableParagraph"/>
              <w:rPr>
                <w:rFonts w:ascii="Times New Roman"/>
                <w:sz w:val="16"/>
              </w:rPr>
            </w:pPr>
          </w:p>
        </w:tc>
        <w:tc>
          <w:tcPr>
            <w:tcW w:w="582" w:type="dxa"/>
          </w:tcPr>
          <w:p>
            <w:pPr>
              <w:pStyle w:val="TableParagraph"/>
              <w:rPr>
                <w:rFonts w:ascii="Times New Roman"/>
                <w:sz w:val="16"/>
              </w:rPr>
            </w:pPr>
          </w:p>
        </w:tc>
        <w:tc>
          <w:tcPr>
            <w:tcW w:w="583" w:type="dxa"/>
          </w:tcPr>
          <w:p>
            <w:pPr>
              <w:pStyle w:val="TableParagraph"/>
              <w:rPr>
                <w:rFonts w:ascii="Times New Roman"/>
                <w:sz w:val="16"/>
              </w:rPr>
            </w:pPr>
          </w:p>
        </w:tc>
        <w:tc>
          <w:tcPr>
            <w:tcW w:w="582" w:type="dxa"/>
          </w:tcPr>
          <w:p>
            <w:pPr>
              <w:pStyle w:val="TableParagraph"/>
              <w:rPr>
                <w:rFonts w:ascii="Times New Roman"/>
                <w:sz w:val="16"/>
              </w:rPr>
            </w:pPr>
          </w:p>
        </w:tc>
        <w:tc>
          <w:tcPr>
            <w:tcW w:w="1748" w:type="dxa"/>
          </w:tcPr>
          <w:p>
            <w:pPr>
              <w:pStyle w:val="TableParagraph"/>
              <w:rPr>
                <w:rFonts w:ascii="Times New Roman"/>
                <w:sz w:val="16"/>
              </w:rPr>
            </w:pPr>
          </w:p>
        </w:tc>
        <w:tc>
          <w:tcPr>
            <w:tcW w:w="582" w:type="dxa"/>
          </w:tcPr>
          <w:p>
            <w:pPr>
              <w:pStyle w:val="TableParagraph"/>
              <w:rPr>
                <w:rFonts w:ascii="Times New Roman"/>
                <w:sz w:val="16"/>
              </w:rPr>
            </w:pPr>
          </w:p>
        </w:tc>
        <w:tc>
          <w:tcPr>
            <w:tcW w:w="582" w:type="dxa"/>
          </w:tcPr>
          <w:p>
            <w:pPr>
              <w:pStyle w:val="TableParagraph"/>
              <w:rPr>
                <w:rFonts w:ascii="Times New Roman"/>
                <w:sz w:val="16"/>
              </w:rPr>
            </w:pPr>
          </w:p>
        </w:tc>
        <w:tc>
          <w:tcPr>
            <w:tcW w:w="1656" w:type="dxa"/>
          </w:tcPr>
          <w:p>
            <w:pPr>
              <w:pStyle w:val="TableParagraph"/>
              <w:spacing w:line="177" w:lineRule="exact"/>
              <w:ind w:left="101"/>
              <w:jc w:val="center"/>
              <w:rPr>
                <w:sz w:val="16"/>
              </w:rPr>
            </w:pPr>
            <w:r>
              <w:rPr>
                <w:w w:val="105"/>
                <w:sz w:val="16"/>
              </w:rPr>
              <w:t>Expansion</w:t>
            </w:r>
          </w:p>
        </w:tc>
        <w:tc>
          <w:tcPr>
            <w:tcW w:w="341" w:type="dxa"/>
            <w:tcBorders>
              <w:right w:val="single" w:sz="4" w:space="0" w:color="000000"/>
            </w:tcBorders>
          </w:tcPr>
          <w:p>
            <w:pPr>
              <w:pStyle w:val="TableParagraph"/>
              <w:rPr>
                <w:rFonts w:ascii="Times New Roman"/>
                <w:sz w:val="16"/>
              </w:rPr>
            </w:pPr>
          </w:p>
        </w:tc>
      </w:tr>
      <w:tr>
        <w:trPr>
          <w:trHeight w:val="387" w:hRule="atLeast"/>
        </w:trPr>
        <w:tc>
          <w:tcPr>
            <w:tcW w:w="681" w:type="dxa"/>
            <w:tcBorders>
              <w:left w:val="single" w:sz="4" w:space="0" w:color="000000"/>
            </w:tcBorders>
          </w:tcPr>
          <w:p>
            <w:pPr>
              <w:pStyle w:val="TableParagraph"/>
              <w:rPr>
                <w:rFonts w:ascii="Times New Roman"/>
                <w:sz w:val="18"/>
              </w:rPr>
            </w:pPr>
          </w:p>
        </w:tc>
        <w:tc>
          <w:tcPr>
            <w:tcW w:w="582" w:type="dxa"/>
          </w:tcPr>
          <w:p>
            <w:pPr>
              <w:pStyle w:val="TableParagraph"/>
              <w:rPr>
                <w:rFonts w:ascii="Times New Roman"/>
                <w:sz w:val="18"/>
              </w:rPr>
            </w:pPr>
          </w:p>
        </w:tc>
        <w:tc>
          <w:tcPr>
            <w:tcW w:w="583" w:type="dxa"/>
          </w:tcPr>
          <w:p>
            <w:pPr>
              <w:pStyle w:val="TableParagraph"/>
              <w:rPr>
                <w:rFonts w:ascii="Times New Roman"/>
                <w:sz w:val="18"/>
              </w:rPr>
            </w:pPr>
          </w:p>
        </w:tc>
        <w:tc>
          <w:tcPr>
            <w:tcW w:w="582" w:type="dxa"/>
          </w:tcPr>
          <w:p>
            <w:pPr>
              <w:pStyle w:val="TableParagraph"/>
              <w:rPr>
                <w:rFonts w:ascii="Times New Roman"/>
                <w:sz w:val="18"/>
              </w:rPr>
            </w:pPr>
          </w:p>
        </w:tc>
        <w:tc>
          <w:tcPr>
            <w:tcW w:w="1748" w:type="dxa"/>
          </w:tcPr>
          <w:p>
            <w:pPr>
              <w:pStyle w:val="TableParagraph"/>
              <w:rPr>
                <w:rFonts w:ascii="Times New Roman"/>
                <w:sz w:val="18"/>
              </w:rPr>
            </w:pPr>
          </w:p>
        </w:tc>
        <w:tc>
          <w:tcPr>
            <w:tcW w:w="582" w:type="dxa"/>
          </w:tcPr>
          <w:p>
            <w:pPr>
              <w:pStyle w:val="TableParagraph"/>
              <w:rPr>
                <w:rFonts w:ascii="Times New Roman"/>
                <w:sz w:val="18"/>
              </w:rPr>
            </w:pPr>
          </w:p>
        </w:tc>
        <w:tc>
          <w:tcPr>
            <w:tcW w:w="582" w:type="dxa"/>
          </w:tcPr>
          <w:p>
            <w:pPr>
              <w:pStyle w:val="TableParagraph"/>
              <w:rPr>
                <w:rFonts w:ascii="Times New Roman"/>
                <w:sz w:val="18"/>
              </w:rPr>
            </w:pPr>
          </w:p>
        </w:tc>
        <w:tc>
          <w:tcPr>
            <w:tcW w:w="1656" w:type="dxa"/>
          </w:tcPr>
          <w:p>
            <w:pPr>
              <w:pStyle w:val="TableParagraph"/>
              <w:rPr>
                <w:rFonts w:ascii="Times New Roman"/>
                <w:sz w:val="18"/>
              </w:rPr>
            </w:pPr>
          </w:p>
        </w:tc>
        <w:tc>
          <w:tcPr>
            <w:tcW w:w="341" w:type="dxa"/>
            <w:tcBorders>
              <w:right w:val="single" w:sz="4" w:space="0" w:color="000000"/>
            </w:tcBorders>
          </w:tcPr>
          <w:p>
            <w:pPr>
              <w:pStyle w:val="TableParagraph"/>
              <w:spacing w:before="58"/>
              <w:ind w:left="26"/>
              <w:rPr>
                <w:b/>
                <w:sz w:val="16"/>
              </w:rPr>
            </w:pPr>
            <w:r>
              <w:rPr>
                <w:b/>
                <w:w w:val="105"/>
                <w:sz w:val="16"/>
              </w:rPr>
              <w:t>60</w:t>
            </w:r>
          </w:p>
        </w:tc>
      </w:tr>
      <w:tr>
        <w:trPr>
          <w:trHeight w:val="473" w:hRule="atLeast"/>
        </w:trPr>
        <w:tc>
          <w:tcPr>
            <w:tcW w:w="681" w:type="dxa"/>
            <w:tcBorders>
              <w:left w:val="single" w:sz="4" w:space="0" w:color="000000"/>
            </w:tcBorders>
          </w:tcPr>
          <w:p>
            <w:pPr>
              <w:pStyle w:val="TableParagraph"/>
              <w:rPr>
                <w:rFonts w:ascii="Times New Roman"/>
                <w:sz w:val="18"/>
              </w:rPr>
            </w:pPr>
          </w:p>
        </w:tc>
        <w:tc>
          <w:tcPr>
            <w:tcW w:w="582" w:type="dxa"/>
          </w:tcPr>
          <w:p>
            <w:pPr>
              <w:pStyle w:val="TableParagraph"/>
              <w:rPr>
                <w:rFonts w:ascii="Times New Roman"/>
                <w:sz w:val="18"/>
              </w:rPr>
            </w:pPr>
          </w:p>
        </w:tc>
        <w:tc>
          <w:tcPr>
            <w:tcW w:w="583" w:type="dxa"/>
          </w:tcPr>
          <w:p>
            <w:pPr>
              <w:pStyle w:val="TableParagraph"/>
              <w:rPr>
                <w:rFonts w:ascii="Times New Roman"/>
                <w:sz w:val="18"/>
              </w:rPr>
            </w:pPr>
          </w:p>
        </w:tc>
        <w:tc>
          <w:tcPr>
            <w:tcW w:w="582" w:type="dxa"/>
          </w:tcPr>
          <w:p>
            <w:pPr>
              <w:pStyle w:val="TableParagraph"/>
              <w:rPr>
                <w:rFonts w:ascii="Times New Roman"/>
                <w:sz w:val="18"/>
              </w:rPr>
            </w:pPr>
          </w:p>
        </w:tc>
        <w:tc>
          <w:tcPr>
            <w:tcW w:w="1748" w:type="dxa"/>
          </w:tcPr>
          <w:p>
            <w:pPr>
              <w:pStyle w:val="TableParagraph"/>
              <w:rPr>
                <w:rFonts w:ascii="Times New Roman"/>
                <w:sz w:val="18"/>
              </w:rPr>
            </w:pPr>
          </w:p>
        </w:tc>
        <w:tc>
          <w:tcPr>
            <w:tcW w:w="582" w:type="dxa"/>
          </w:tcPr>
          <w:p>
            <w:pPr>
              <w:pStyle w:val="TableParagraph"/>
              <w:rPr>
                <w:rFonts w:ascii="Times New Roman"/>
                <w:sz w:val="18"/>
              </w:rPr>
            </w:pPr>
          </w:p>
        </w:tc>
        <w:tc>
          <w:tcPr>
            <w:tcW w:w="582" w:type="dxa"/>
          </w:tcPr>
          <w:p>
            <w:pPr>
              <w:pStyle w:val="TableParagraph"/>
              <w:rPr>
                <w:rFonts w:ascii="Times New Roman"/>
                <w:sz w:val="18"/>
              </w:rPr>
            </w:pPr>
          </w:p>
        </w:tc>
        <w:tc>
          <w:tcPr>
            <w:tcW w:w="1656" w:type="dxa"/>
          </w:tcPr>
          <w:p>
            <w:pPr>
              <w:pStyle w:val="TableParagraph"/>
              <w:rPr>
                <w:rFonts w:ascii="Times New Roman"/>
                <w:sz w:val="18"/>
              </w:rPr>
            </w:pPr>
          </w:p>
        </w:tc>
        <w:tc>
          <w:tcPr>
            <w:tcW w:w="341" w:type="dxa"/>
            <w:tcBorders>
              <w:right w:val="single" w:sz="4" w:space="0" w:color="000000"/>
            </w:tcBorders>
          </w:tcPr>
          <w:p>
            <w:pPr>
              <w:pStyle w:val="TableParagraph"/>
              <w:spacing w:before="143"/>
              <w:ind w:left="26"/>
              <w:rPr>
                <w:b/>
                <w:sz w:val="16"/>
              </w:rPr>
            </w:pPr>
            <w:r>
              <w:rPr>
                <w:b/>
                <w:w w:val="105"/>
                <w:sz w:val="16"/>
              </w:rPr>
              <w:t>55</w:t>
            </w:r>
          </w:p>
        </w:tc>
      </w:tr>
      <w:tr>
        <w:trPr>
          <w:trHeight w:val="473" w:hRule="atLeast"/>
        </w:trPr>
        <w:tc>
          <w:tcPr>
            <w:tcW w:w="681" w:type="dxa"/>
            <w:tcBorders>
              <w:left w:val="single" w:sz="4" w:space="0" w:color="000000"/>
            </w:tcBorders>
          </w:tcPr>
          <w:p>
            <w:pPr>
              <w:pStyle w:val="TableParagraph"/>
              <w:rPr>
                <w:rFonts w:ascii="Times New Roman"/>
                <w:sz w:val="18"/>
              </w:rPr>
            </w:pPr>
          </w:p>
        </w:tc>
        <w:tc>
          <w:tcPr>
            <w:tcW w:w="582" w:type="dxa"/>
          </w:tcPr>
          <w:p>
            <w:pPr>
              <w:pStyle w:val="TableParagraph"/>
              <w:rPr>
                <w:rFonts w:ascii="Times New Roman"/>
                <w:sz w:val="18"/>
              </w:rPr>
            </w:pPr>
          </w:p>
        </w:tc>
        <w:tc>
          <w:tcPr>
            <w:tcW w:w="583" w:type="dxa"/>
          </w:tcPr>
          <w:p>
            <w:pPr>
              <w:pStyle w:val="TableParagraph"/>
              <w:rPr>
                <w:rFonts w:ascii="Times New Roman"/>
                <w:sz w:val="18"/>
              </w:rPr>
            </w:pPr>
          </w:p>
        </w:tc>
        <w:tc>
          <w:tcPr>
            <w:tcW w:w="582" w:type="dxa"/>
          </w:tcPr>
          <w:p>
            <w:pPr>
              <w:pStyle w:val="TableParagraph"/>
              <w:rPr>
                <w:rFonts w:ascii="Times New Roman"/>
                <w:sz w:val="18"/>
              </w:rPr>
            </w:pPr>
          </w:p>
        </w:tc>
        <w:tc>
          <w:tcPr>
            <w:tcW w:w="1748" w:type="dxa"/>
          </w:tcPr>
          <w:p>
            <w:pPr>
              <w:pStyle w:val="TableParagraph"/>
              <w:rPr>
                <w:rFonts w:ascii="Times New Roman"/>
                <w:sz w:val="18"/>
              </w:rPr>
            </w:pPr>
          </w:p>
        </w:tc>
        <w:tc>
          <w:tcPr>
            <w:tcW w:w="582" w:type="dxa"/>
          </w:tcPr>
          <w:p>
            <w:pPr>
              <w:pStyle w:val="TableParagraph"/>
              <w:rPr>
                <w:rFonts w:ascii="Times New Roman"/>
                <w:sz w:val="18"/>
              </w:rPr>
            </w:pPr>
          </w:p>
        </w:tc>
        <w:tc>
          <w:tcPr>
            <w:tcW w:w="582" w:type="dxa"/>
          </w:tcPr>
          <w:p>
            <w:pPr>
              <w:pStyle w:val="TableParagraph"/>
              <w:rPr>
                <w:rFonts w:ascii="Times New Roman"/>
                <w:sz w:val="18"/>
              </w:rPr>
            </w:pPr>
          </w:p>
        </w:tc>
        <w:tc>
          <w:tcPr>
            <w:tcW w:w="1656" w:type="dxa"/>
          </w:tcPr>
          <w:p>
            <w:pPr>
              <w:pStyle w:val="TableParagraph"/>
              <w:rPr>
                <w:rFonts w:ascii="Times New Roman"/>
                <w:sz w:val="18"/>
              </w:rPr>
            </w:pPr>
          </w:p>
        </w:tc>
        <w:tc>
          <w:tcPr>
            <w:tcW w:w="341" w:type="dxa"/>
            <w:tcBorders>
              <w:right w:val="single" w:sz="4" w:space="0" w:color="000000"/>
            </w:tcBorders>
          </w:tcPr>
          <w:p>
            <w:pPr>
              <w:pStyle w:val="TableParagraph"/>
              <w:spacing w:before="144"/>
              <w:ind w:left="26"/>
              <w:rPr>
                <w:b/>
                <w:sz w:val="16"/>
              </w:rPr>
            </w:pPr>
            <w:r>
              <w:rPr>
                <w:b/>
                <w:w w:val="105"/>
                <w:sz w:val="16"/>
              </w:rPr>
              <w:t>50</w:t>
            </w:r>
          </w:p>
        </w:tc>
      </w:tr>
      <w:tr>
        <w:trPr>
          <w:trHeight w:val="450" w:hRule="atLeast"/>
        </w:trPr>
        <w:tc>
          <w:tcPr>
            <w:tcW w:w="681" w:type="dxa"/>
            <w:tcBorders>
              <w:left w:val="single" w:sz="4" w:space="0" w:color="000000"/>
            </w:tcBorders>
          </w:tcPr>
          <w:p>
            <w:pPr>
              <w:pStyle w:val="TableParagraph"/>
              <w:rPr>
                <w:rFonts w:ascii="Times New Roman"/>
                <w:sz w:val="18"/>
              </w:rPr>
            </w:pPr>
          </w:p>
        </w:tc>
        <w:tc>
          <w:tcPr>
            <w:tcW w:w="582" w:type="dxa"/>
          </w:tcPr>
          <w:p>
            <w:pPr>
              <w:pStyle w:val="TableParagraph"/>
              <w:rPr>
                <w:rFonts w:ascii="Times New Roman"/>
                <w:sz w:val="18"/>
              </w:rPr>
            </w:pPr>
          </w:p>
        </w:tc>
        <w:tc>
          <w:tcPr>
            <w:tcW w:w="583" w:type="dxa"/>
          </w:tcPr>
          <w:p>
            <w:pPr>
              <w:pStyle w:val="TableParagraph"/>
              <w:rPr>
                <w:rFonts w:ascii="Times New Roman"/>
                <w:sz w:val="18"/>
              </w:rPr>
            </w:pPr>
          </w:p>
        </w:tc>
        <w:tc>
          <w:tcPr>
            <w:tcW w:w="582" w:type="dxa"/>
          </w:tcPr>
          <w:p>
            <w:pPr>
              <w:pStyle w:val="TableParagraph"/>
              <w:rPr>
                <w:rFonts w:ascii="Times New Roman"/>
                <w:sz w:val="18"/>
              </w:rPr>
            </w:pPr>
          </w:p>
        </w:tc>
        <w:tc>
          <w:tcPr>
            <w:tcW w:w="1748" w:type="dxa"/>
          </w:tcPr>
          <w:p>
            <w:pPr>
              <w:pStyle w:val="TableParagraph"/>
              <w:rPr>
                <w:rFonts w:ascii="Times New Roman"/>
                <w:sz w:val="18"/>
              </w:rPr>
            </w:pPr>
          </w:p>
        </w:tc>
        <w:tc>
          <w:tcPr>
            <w:tcW w:w="582" w:type="dxa"/>
          </w:tcPr>
          <w:p>
            <w:pPr>
              <w:pStyle w:val="TableParagraph"/>
              <w:rPr>
                <w:rFonts w:ascii="Times New Roman"/>
                <w:sz w:val="18"/>
              </w:rPr>
            </w:pPr>
          </w:p>
        </w:tc>
        <w:tc>
          <w:tcPr>
            <w:tcW w:w="582" w:type="dxa"/>
          </w:tcPr>
          <w:p>
            <w:pPr>
              <w:pStyle w:val="TableParagraph"/>
              <w:rPr>
                <w:rFonts w:ascii="Times New Roman"/>
                <w:sz w:val="18"/>
              </w:rPr>
            </w:pPr>
          </w:p>
        </w:tc>
        <w:tc>
          <w:tcPr>
            <w:tcW w:w="1656" w:type="dxa"/>
          </w:tcPr>
          <w:p>
            <w:pPr>
              <w:pStyle w:val="TableParagraph"/>
              <w:rPr>
                <w:rFonts w:ascii="Times New Roman"/>
                <w:sz w:val="18"/>
              </w:rPr>
            </w:pPr>
          </w:p>
        </w:tc>
        <w:tc>
          <w:tcPr>
            <w:tcW w:w="341" w:type="dxa"/>
            <w:tcBorders>
              <w:right w:val="single" w:sz="4" w:space="0" w:color="000000"/>
            </w:tcBorders>
          </w:tcPr>
          <w:p>
            <w:pPr>
              <w:pStyle w:val="TableParagraph"/>
              <w:spacing w:before="143"/>
              <w:ind w:left="26"/>
              <w:rPr>
                <w:b/>
                <w:sz w:val="16"/>
              </w:rPr>
            </w:pPr>
            <w:r>
              <w:rPr>
                <w:b/>
                <w:w w:val="105"/>
                <w:sz w:val="16"/>
              </w:rPr>
              <w:t>45</w:t>
            </w:r>
          </w:p>
        </w:tc>
      </w:tr>
      <w:tr>
        <w:trPr>
          <w:trHeight w:val="385" w:hRule="atLeast"/>
        </w:trPr>
        <w:tc>
          <w:tcPr>
            <w:tcW w:w="681" w:type="dxa"/>
            <w:tcBorders>
              <w:left w:val="single" w:sz="4" w:space="0" w:color="000000"/>
            </w:tcBorders>
          </w:tcPr>
          <w:p>
            <w:pPr>
              <w:pStyle w:val="TableParagraph"/>
              <w:rPr>
                <w:rFonts w:ascii="Times New Roman"/>
                <w:sz w:val="18"/>
              </w:rPr>
            </w:pPr>
          </w:p>
        </w:tc>
        <w:tc>
          <w:tcPr>
            <w:tcW w:w="582" w:type="dxa"/>
          </w:tcPr>
          <w:p>
            <w:pPr>
              <w:pStyle w:val="TableParagraph"/>
              <w:rPr>
                <w:rFonts w:ascii="Times New Roman"/>
                <w:sz w:val="18"/>
              </w:rPr>
            </w:pPr>
          </w:p>
        </w:tc>
        <w:tc>
          <w:tcPr>
            <w:tcW w:w="583" w:type="dxa"/>
          </w:tcPr>
          <w:p>
            <w:pPr>
              <w:pStyle w:val="TableParagraph"/>
              <w:rPr>
                <w:rFonts w:ascii="Times New Roman"/>
                <w:sz w:val="18"/>
              </w:rPr>
            </w:pPr>
          </w:p>
        </w:tc>
        <w:tc>
          <w:tcPr>
            <w:tcW w:w="582" w:type="dxa"/>
          </w:tcPr>
          <w:p>
            <w:pPr>
              <w:pStyle w:val="TableParagraph"/>
              <w:rPr>
                <w:rFonts w:ascii="Times New Roman"/>
                <w:sz w:val="18"/>
              </w:rPr>
            </w:pPr>
          </w:p>
        </w:tc>
        <w:tc>
          <w:tcPr>
            <w:tcW w:w="1748" w:type="dxa"/>
          </w:tcPr>
          <w:p>
            <w:pPr>
              <w:pStyle w:val="TableParagraph"/>
              <w:spacing w:before="121"/>
              <w:ind w:left="240"/>
              <w:rPr>
                <w:b/>
                <w:sz w:val="16"/>
              </w:rPr>
            </w:pPr>
            <w:r>
              <w:rPr>
                <w:b/>
                <w:w w:val="105"/>
                <w:sz w:val="16"/>
              </w:rPr>
              <w:t>Manufacturing</w:t>
            </w:r>
          </w:p>
        </w:tc>
        <w:tc>
          <w:tcPr>
            <w:tcW w:w="582" w:type="dxa"/>
          </w:tcPr>
          <w:p>
            <w:pPr>
              <w:pStyle w:val="TableParagraph"/>
              <w:rPr>
                <w:rFonts w:ascii="Times New Roman"/>
                <w:sz w:val="18"/>
              </w:rPr>
            </w:pPr>
          </w:p>
        </w:tc>
        <w:tc>
          <w:tcPr>
            <w:tcW w:w="582" w:type="dxa"/>
          </w:tcPr>
          <w:p>
            <w:pPr>
              <w:pStyle w:val="TableParagraph"/>
              <w:rPr>
                <w:rFonts w:ascii="Times New Roman"/>
                <w:sz w:val="18"/>
              </w:rPr>
            </w:pPr>
          </w:p>
        </w:tc>
        <w:tc>
          <w:tcPr>
            <w:tcW w:w="1656" w:type="dxa"/>
          </w:tcPr>
          <w:p>
            <w:pPr>
              <w:pStyle w:val="TableParagraph"/>
              <w:rPr>
                <w:rFonts w:ascii="Times New Roman"/>
                <w:sz w:val="18"/>
              </w:rPr>
            </w:pPr>
          </w:p>
        </w:tc>
        <w:tc>
          <w:tcPr>
            <w:tcW w:w="341" w:type="dxa"/>
            <w:tcBorders>
              <w:right w:val="single" w:sz="4" w:space="0" w:color="000000"/>
            </w:tcBorders>
          </w:tcPr>
          <w:p>
            <w:pPr>
              <w:pStyle w:val="TableParagraph"/>
              <w:spacing w:before="5"/>
              <w:rPr>
                <w:sz w:val="14"/>
              </w:rPr>
            </w:pPr>
          </w:p>
          <w:p>
            <w:pPr>
              <w:pStyle w:val="TableParagraph"/>
              <w:spacing w:before="1"/>
              <w:ind w:left="26"/>
              <w:rPr>
                <w:b/>
                <w:sz w:val="16"/>
              </w:rPr>
            </w:pPr>
            <w:r>
              <w:rPr>
                <w:b/>
                <w:w w:val="105"/>
                <w:sz w:val="16"/>
              </w:rPr>
              <w:t>40</w:t>
            </w:r>
          </w:p>
        </w:tc>
      </w:tr>
      <w:tr>
        <w:trPr>
          <w:trHeight w:val="236" w:hRule="atLeast"/>
        </w:trPr>
        <w:tc>
          <w:tcPr>
            <w:tcW w:w="681" w:type="dxa"/>
            <w:tcBorders>
              <w:left w:val="single" w:sz="4" w:space="0" w:color="000000"/>
            </w:tcBorders>
          </w:tcPr>
          <w:p>
            <w:pPr>
              <w:pStyle w:val="TableParagraph"/>
              <w:rPr>
                <w:rFonts w:ascii="Times New Roman"/>
                <w:sz w:val="16"/>
              </w:rPr>
            </w:pPr>
          </w:p>
        </w:tc>
        <w:tc>
          <w:tcPr>
            <w:tcW w:w="582" w:type="dxa"/>
          </w:tcPr>
          <w:p>
            <w:pPr>
              <w:pStyle w:val="TableParagraph"/>
              <w:rPr>
                <w:rFonts w:ascii="Times New Roman"/>
                <w:sz w:val="16"/>
              </w:rPr>
            </w:pPr>
          </w:p>
        </w:tc>
        <w:tc>
          <w:tcPr>
            <w:tcW w:w="583" w:type="dxa"/>
          </w:tcPr>
          <w:p>
            <w:pPr>
              <w:pStyle w:val="TableParagraph"/>
              <w:rPr>
                <w:rFonts w:ascii="Times New Roman"/>
                <w:sz w:val="16"/>
              </w:rPr>
            </w:pPr>
          </w:p>
        </w:tc>
        <w:tc>
          <w:tcPr>
            <w:tcW w:w="582" w:type="dxa"/>
          </w:tcPr>
          <w:p>
            <w:pPr>
              <w:pStyle w:val="TableParagraph"/>
              <w:rPr>
                <w:rFonts w:ascii="Times New Roman"/>
                <w:sz w:val="16"/>
              </w:rPr>
            </w:pPr>
          </w:p>
        </w:tc>
        <w:tc>
          <w:tcPr>
            <w:tcW w:w="1748" w:type="dxa"/>
          </w:tcPr>
          <w:p>
            <w:pPr>
              <w:pStyle w:val="TableParagraph"/>
              <w:spacing w:line="183" w:lineRule="exact" w:before="33"/>
              <w:ind w:left="240"/>
              <w:rPr>
                <w:b/>
                <w:sz w:val="16"/>
              </w:rPr>
            </w:pPr>
            <w:r>
              <w:rPr>
                <w:b/>
                <w:w w:val="105"/>
                <w:sz w:val="16"/>
              </w:rPr>
              <w:t>Services</w:t>
            </w:r>
          </w:p>
        </w:tc>
        <w:tc>
          <w:tcPr>
            <w:tcW w:w="582" w:type="dxa"/>
          </w:tcPr>
          <w:p>
            <w:pPr>
              <w:pStyle w:val="TableParagraph"/>
              <w:rPr>
                <w:rFonts w:ascii="Times New Roman"/>
                <w:sz w:val="16"/>
              </w:rPr>
            </w:pPr>
          </w:p>
        </w:tc>
        <w:tc>
          <w:tcPr>
            <w:tcW w:w="582" w:type="dxa"/>
          </w:tcPr>
          <w:p>
            <w:pPr>
              <w:pStyle w:val="TableParagraph"/>
              <w:rPr>
                <w:rFonts w:ascii="Times New Roman"/>
                <w:sz w:val="16"/>
              </w:rPr>
            </w:pPr>
          </w:p>
        </w:tc>
        <w:tc>
          <w:tcPr>
            <w:tcW w:w="1656" w:type="dxa"/>
          </w:tcPr>
          <w:p>
            <w:pPr>
              <w:pStyle w:val="TableParagraph"/>
              <w:rPr>
                <w:rFonts w:ascii="Times New Roman"/>
                <w:sz w:val="16"/>
              </w:rPr>
            </w:pPr>
          </w:p>
        </w:tc>
        <w:tc>
          <w:tcPr>
            <w:tcW w:w="341" w:type="dxa"/>
            <w:tcBorders>
              <w:right w:val="single" w:sz="4" w:space="0" w:color="000000"/>
            </w:tcBorders>
          </w:tcPr>
          <w:p>
            <w:pPr>
              <w:pStyle w:val="TableParagraph"/>
              <w:rPr>
                <w:rFonts w:ascii="Times New Roman"/>
                <w:sz w:val="16"/>
              </w:rPr>
            </w:pPr>
          </w:p>
        </w:tc>
      </w:tr>
      <w:tr>
        <w:trPr>
          <w:trHeight w:val="253" w:hRule="atLeast"/>
        </w:trPr>
        <w:tc>
          <w:tcPr>
            <w:tcW w:w="681" w:type="dxa"/>
            <w:tcBorders>
              <w:left w:val="single" w:sz="4" w:space="0" w:color="000000"/>
            </w:tcBorders>
          </w:tcPr>
          <w:p>
            <w:pPr>
              <w:pStyle w:val="TableParagraph"/>
              <w:rPr>
                <w:rFonts w:ascii="Times New Roman"/>
                <w:sz w:val="18"/>
              </w:rPr>
            </w:pPr>
          </w:p>
        </w:tc>
        <w:tc>
          <w:tcPr>
            <w:tcW w:w="582" w:type="dxa"/>
          </w:tcPr>
          <w:p>
            <w:pPr>
              <w:pStyle w:val="TableParagraph"/>
              <w:rPr>
                <w:rFonts w:ascii="Times New Roman"/>
                <w:sz w:val="18"/>
              </w:rPr>
            </w:pPr>
          </w:p>
        </w:tc>
        <w:tc>
          <w:tcPr>
            <w:tcW w:w="583" w:type="dxa"/>
          </w:tcPr>
          <w:p>
            <w:pPr>
              <w:pStyle w:val="TableParagraph"/>
              <w:rPr>
                <w:rFonts w:ascii="Times New Roman"/>
                <w:sz w:val="18"/>
              </w:rPr>
            </w:pPr>
          </w:p>
        </w:tc>
        <w:tc>
          <w:tcPr>
            <w:tcW w:w="582" w:type="dxa"/>
          </w:tcPr>
          <w:p>
            <w:pPr>
              <w:pStyle w:val="TableParagraph"/>
              <w:rPr>
                <w:rFonts w:ascii="Times New Roman"/>
                <w:sz w:val="18"/>
              </w:rPr>
            </w:pPr>
          </w:p>
        </w:tc>
        <w:tc>
          <w:tcPr>
            <w:tcW w:w="1748" w:type="dxa"/>
          </w:tcPr>
          <w:p>
            <w:pPr>
              <w:pStyle w:val="TableParagraph"/>
              <w:rPr>
                <w:rFonts w:ascii="Times New Roman"/>
                <w:sz w:val="18"/>
              </w:rPr>
            </w:pPr>
          </w:p>
        </w:tc>
        <w:tc>
          <w:tcPr>
            <w:tcW w:w="582" w:type="dxa"/>
          </w:tcPr>
          <w:p>
            <w:pPr>
              <w:pStyle w:val="TableParagraph"/>
              <w:rPr>
                <w:rFonts w:ascii="Times New Roman"/>
                <w:sz w:val="18"/>
              </w:rPr>
            </w:pPr>
          </w:p>
        </w:tc>
        <w:tc>
          <w:tcPr>
            <w:tcW w:w="582" w:type="dxa"/>
          </w:tcPr>
          <w:p>
            <w:pPr>
              <w:pStyle w:val="TableParagraph"/>
              <w:rPr>
                <w:rFonts w:ascii="Times New Roman"/>
                <w:sz w:val="18"/>
              </w:rPr>
            </w:pPr>
          </w:p>
        </w:tc>
        <w:tc>
          <w:tcPr>
            <w:tcW w:w="1656" w:type="dxa"/>
          </w:tcPr>
          <w:p>
            <w:pPr>
              <w:pStyle w:val="TableParagraph"/>
              <w:rPr>
                <w:rFonts w:ascii="Times New Roman"/>
                <w:sz w:val="18"/>
              </w:rPr>
            </w:pPr>
          </w:p>
        </w:tc>
        <w:tc>
          <w:tcPr>
            <w:tcW w:w="341" w:type="dxa"/>
            <w:tcBorders>
              <w:right w:val="single" w:sz="4" w:space="0" w:color="000000"/>
            </w:tcBorders>
          </w:tcPr>
          <w:p>
            <w:pPr>
              <w:pStyle w:val="TableParagraph"/>
              <w:spacing w:before="17"/>
              <w:ind w:left="26"/>
              <w:rPr>
                <w:b/>
                <w:sz w:val="16"/>
              </w:rPr>
            </w:pPr>
            <w:r>
              <w:rPr>
                <w:b/>
                <w:w w:val="105"/>
                <w:sz w:val="16"/>
              </w:rPr>
              <w:t>35</w:t>
            </w:r>
          </w:p>
        </w:tc>
      </w:tr>
      <w:tr>
        <w:trPr>
          <w:trHeight w:val="236" w:hRule="atLeast"/>
        </w:trPr>
        <w:tc>
          <w:tcPr>
            <w:tcW w:w="681" w:type="dxa"/>
            <w:tcBorders>
              <w:left w:val="single" w:sz="4" w:space="0" w:color="000000"/>
            </w:tcBorders>
          </w:tcPr>
          <w:p>
            <w:pPr>
              <w:pStyle w:val="TableParagraph"/>
              <w:rPr>
                <w:rFonts w:ascii="Times New Roman"/>
                <w:sz w:val="16"/>
              </w:rPr>
            </w:pPr>
          </w:p>
        </w:tc>
        <w:tc>
          <w:tcPr>
            <w:tcW w:w="582" w:type="dxa"/>
          </w:tcPr>
          <w:p>
            <w:pPr>
              <w:pStyle w:val="TableParagraph"/>
              <w:rPr>
                <w:rFonts w:ascii="Times New Roman"/>
                <w:sz w:val="16"/>
              </w:rPr>
            </w:pPr>
          </w:p>
        </w:tc>
        <w:tc>
          <w:tcPr>
            <w:tcW w:w="583" w:type="dxa"/>
          </w:tcPr>
          <w:p>
            <w:pPr>
              <w:pStyle w:val="TableParagraph"/>
              <w:rPr>
                <w:rFonts w:ascii="Times New Roman"/>
                <w:sz w:val="16"/>
              </w:rPr>
            </w:pPr>
          </w:p>
        </w:tc>
        <w:tc>
          <w:tcPr>
            <w:tcW w:w="582" w:type="dxa"/>
          </w:tcPr>
          <w:p>
            <w:pPr>
              <w:pStyle w:val="TableParagraph"/>
              <w:rPr>
                <w:rFonts w:ascii="Times New Roman"/>
                <w:sz w:val="16"/>
              </w:rPr>
            </w:pPr>
          </w:p>
        </w:tc>
        <w:tc>
          <w:tcPr>
            <w:tcW w:w="1748" w:type="dxa"/>
          </w:tcPr>
          <w:p>
            <w:pPr>
              <w:pStyle w:val="TableParagraph"/>
              <w:rPr>
                <w:rFonts w:ascii="Times New Roman"/>
                <w:sz w:val="16"/>
              </w:rPr>
            </w:pPr>
          </w:p>
        </w:tc>
        <w:tc>
          <w:tcPr>
            <w:tcW w:w="582" w:type="dxa"/>
          </w:tcPr>
          <w:p>
            <w:pPr>
              <w:pStyle w:val="TableParagraph"/>
              <w:rPr>
                <w:rFonts w:ascii="Times New Roman"/>
                <w:sz w:val="16"/>
              </w:rPr>
            </w:pPr>
          </w:p>
        </w:tc>
        <w:tc>
          <w:tcPr>
            <w:tcW w:w="582" w:type="dxa"/>
          </w:tcPr>
          <w:p>
            <w:pPr>
              <w:pStyle w:val="TableParagraph"/>
              <w:rPr>
                <w:rFonts w:ascii="Times New Roman"/>
                <w:sz w:val="16"/>
              </w:rPr>
            </w:pPr>
          </w:p>
        </w:tc>
        <w:tc>
          <w:tcPr>
            <w:tcW w:w="1656" w:type="dxa"/>
          </w:tcPr>
          <w:p>
            <w:pPr>
              <w:pStyle w:val="TableParagraph"/>
              <w:spacing w:line="166" w:lineRule="exact" w:before="50"/>
              <w:ind w:left="205"/>
              <w:jc w:val="center"/>
              <w:rPr>
                <w:sz w:val="16"/>
              </w:rPr>
            </w:pPr>
            <w:r>
              <w:rPr>
                <w:w w:val="105"/>
                <w:sz w:val="16"/>
              </w:rPr>
              <w:t>Contraction</w:t>
            </w:r>
          </w:p>
        </w:tc>
        <w:tc>
          <w:tcPr>
            <w:tcW w:w="341" w:type="dxa"/>
            <w:tcBorders>
              <w:right w:val="single" w:sz="4" w:space="0" w:color="000000"/>
            </w:tcBorders>
          </w:tcPr>
          <w:p>
            <w:pPr>
              <w:pStyle w:val="TableParagraph"/>
              <w:rPr>
                <w:rFonts w:ascii="Times New Roman"/>
                <w:sz w:val="16"/>
              </w:rPr>
            </w:pPr>
          </w:p>
        </w:tc>
      </w:tr>
      <w:tr>
        <w:trPr>
          <w:trHeight w:val="196" w:hRule="atLeast"/>
        </w:trPr>
        <w:tc>
          <w:tcPr>
            <w:tcW w:w="681" w:type="dxa"/>
            <w:tcBorders>
              <w:left w:val="single" w:sz="4" w:space="0" w:color="000000"/>
            </w:tcBorders>
          </w:tcPr>
          <w:p>
            <w:pPr>
              <w:pStyle w:val="TableParagraph"/>
              <w:rPr>
                <w:rFonts w:ascii="Times New Roman"/>
                <w:sz w:val="12"/>
              </w:rPr>
            </w:pPr>
          </w:p>
        </w:tc>
        <w:tc>
          <w:tcPr>
            <w:tcW w:w="582" w:type="dxa"/>
          </w:tcPr>
          <w:p>
            <w:pPr>
              <w:pStyle w:val="TableParagraph"/>
              <w:rPr>
                <w:rFonts w:ascii="Times New Roman"/>
                <w:sz w:val="12"/>
              </w:rPr>
            </w:pPr>
          </w:p>
        </w:tc>
        <w:tc>
          <w:tcPr>
            <w:tcW w:w="583" w:type="dxa"/>
          </w:tcPr>
          <w:p>
            <w:pPr>
              <w:pStyle w:val="TableParagraph"/>
              <w:rPr>
                <w:rFonts w:ascii="Times New Roman"/>
                <w:sz w:val="12"/>
              </w:rPr>
            </w:pPr>
          </w:p>
        </w:tc>
        <w:tc>
          <w:tcPr>
            <w:tcW w:w="582" w:type="dxa"/>
          </w:tcPr>
          <w:p>
            <w:pPr>
              <w:pStyle w:val="TableParagraph"/>
              <w:rPr>
                <w:rFonts w:ascii="Times New Roman"/>
                <w:sz w:val="12"/>
              </w:rPr>
            </w:pPr>
          </w:p>
        </w:tc>
        <w:tc>
          <w:tcPr>
            <w:tcW w:w="1748" w:type="dxa"/>
          </w:tcPr>
          <w:p>
            <w:pPr>
              <w:pStyle w:val="TableParagraph"/>
              <w:rPr>
                <w:rFonts w:ascii="Times New Roman"/>
                <w:sz w:val="12"/>
              </w:rPr>
            </w:pPr>
          </w:p>
        </w:tc>
        <w:tc>
          <w:tcPr>
            <w:tcW w:w="582" w:type="dxa"/>
          </w:tcPr>
          <w:p>
            <w:pPr>
              <w:pStyle w:val="TableParagraph"/>
              <w:rPr>
                <w:rFonts w:ascii="Times New Roman"/>
                <w:sz w:val="12"/>
              </w:rPr>
            </w:pPr>
          </w:p>
        </w:tc>
        <w:tc>
          <w:tcPr>
            <w:tcW w:w="582" w:type="dxa"/>
          </w:tcPr>
          <w:p>
            <w:pPr>
              <w:pStyle w:val="TableParagraph"/>
              <w:rPr>
                <w:rFonts w:ascii="Times New Roman"/>
                <w:sz w:val="12"/>
              </w:rPr>
            </w:pPr>
          </w:p>
        </w:tc>
        <w:tc>
          <w:tcPr>
            <w:tcW w:w="1656" w:type="dxa"/>
          </w:tcPr>
          <w:p>
            <w:pPr>
              <w:pStyle w:val="TableParagraph"/>
              <w:rPr>
                <w:rFonts w:ascii="Times New Roman"/>
                <w:sz w:val="12"/>
              </w:rPr>
            </w:pPr>
          </w:p>
        </w:tc>
        <w:tc>
          <w:tcPr>
            <w:tcW w:w="341" w:type="dxa"/>
            <w:tcBorders>
              <w:right w:val="single" w:sz="4" w:space="0" w:color="000000"/>
            </w:tcBorders>
          </w:tcPr>
          <w:p>
            <w:pPr>
              <w:pStyle w:val="TableParagraph"/>
              <w:spacing w:line="175" w:lineRule="exact"/>
              <w:ind w:left="26"/>
              <w:rPr>
                <w:b/>
                <w:sz w:val="16"/>
              </w:rPr>
            </w:pPr>
            <w:r>
              <w:rPr>
                <w:b/>
                <w:w w:val="105"/>
                <w:sz w:val="16"/>
              </w:rPr>
              <w:t>30</w:t>
            </w:r>
          </w:p>
        </w:tc>
      </w:tr>
      <w:tr>
        <w:trPr>
          <w:trHeight w:val="429" w:hRule="atLeast"/>
        </w:trPr>
        <w:tc>
          <w:tcPr>
            <w:tcW w:w="681" w:type="dxa"/>
            <w:tcBorders>
              <w:left w:val="single" w:sz="4" w:space="0" w:color="000000"/>
              <w:bottom w:val="single" w:sz="4" w:space="0" w:color="000000"/>
            </w:tcBorders>
          </w:tcPr>
          <w:p>
            <w:pPr>
              <w:pStyle w:val="TableParagraph"/>
              <w:spacing w:before="9"/>
              <w:ind w:left="208"/>
              <w:rPr>
                <w:b/>
                <w:sz w:val="16"/>
              </w:rPr>
            </w:pPr>
            <w:r>
              <w:rPr>
                <w:b/>
                <w:w w:val="105"/>
                <w:sz w:val="16"/>
              </w:rPr>
              <w:t>2000</w:t>
            </w:r>
          </w:p>
        </w:tc>
        <w:tc>
          <w:tcPr>
            <w:tcW w:w="582" w:type="dxa"/>
            <w:tcBorders>
              <w:bottom w:val="single" w:sz="4" w:space="0" w:color="000000"/>
            </w:tcBorders>
          </w:tcPr>
          <w:p>
            <w:pPr>
              <w:pStyle w:val="TableParagraph"/>
              <w:spacing w:before="9"/>
              <w:ind w:left="115"/>
              <w:rPr>
                <w:b/>
                <w:sz w:val="16"/>
              </w:rPr>
            </w:pPr>
            <w:r>
              <w:rPr>
                <w:b/>
                <w:w w:val="105"/>
                <w:sz w:val="16"/>
              </w:rPr>
              <w:t>2001</w:t>
            </w:r>
          </w:p>
        </w:tc>
        <w:tc>
          <w:tcPr>
            <w:tcW w:w="583" w:type="dxa"/>
            <w:tcBorders>
              <w:bottom w:val="single" w:sz="4" w:space="0" w:color="000000"/>
            </w:tcBorders>
          </w:tcPr>
          <w:p>
            <w:pPr>
              <w:pStyle w:val="TableParagraph"/>
              <w:spacing w:before="9"/>
              <w:ind w:left="115"/>
              <w:rPr>
                <w:b/>
                <w:sz w:val="16"/>
              </w:rPr>
            </w:pPr>
            <w:r>
              <w:rPr>
                <w:b/>
                <w:w w:val="105"/>
                <w:sz w:val="16"/>
              </w:rPr>
              <w:t>2002</w:t>
            </w:r>
          </w:p>
        </w:tc>
        <w:tc>
          <w:tcPr>
            <w:tcW w:w="582" w:type="dxa"/>
            <w:tcBorders>
              <w:bottom w:val="single" w:sz="4" w:space="0" w:color="000000"/>
            </w:tcBorders>
          </w:tcPr>
          <w:p>
            <w:pPr>
              <w:pStyle w:val="TableParagraph"/>
              <w:spacing w:before="9"/>
              <w:ind w:left="115"/>
              <w:rPr>
                <w:b/>
                <w:sz w:val="16"/>
              </w:rPr>
            </w:pPr>
            <w:r>
              <w:rPr>
                <w:b/>
                <w:w w:val="105"/>
                <w:sz w:val="16"/>
              </w:rPr>
              <w:t>2003</w:t>
            </w:r>
          </w:p>
        </w:tc>
        <w:tc>
          <w:tcPr>
            <w:tcW w:w="1748" w:type="dxa"/>
            <w:tcBorders>
              <w:bottom w:val="single" w:sz="4" w:space="0" w:color="000000"/>
            </w:tcBorders>
          </w:tcPr>
          <w:p>
            <w:pPr>
              <w:pStyle w:val="TableParagraph"/>
              <w:tabs>
                <w:tab w:pos="698" w:val="left" w:leader="none"/>
                <w:tab w:pos="1281" w:val="left" w:leader="none"/>
              </w:tabs>
              <w:spacing w:before="9"/>
              <w:ind w:left="115"/>
              <w:rPr>
                <w:b/>
                <w:sz w:val="16"/>
              </w:rPr>
            </w:pPr>
            <w:r>
              <w:rPr>
                <w:b/>
                <w:w w:val="105"/>
                <w:sz w:val="16"/>
              </w:rPr>
              <w:t>2004</w:t>
              <w:tab/>
              <w:t>2005</w:t>
              <w:tab/>
              <w:t>2006</w:t>
            </w:r>
          </w:p>
        </w:tc>
        <w:tc>
          <w:tcPr>
            <w:tcW w:w="582" w:type="dxa"/>
            <w:tcBorders>
              <w:bottom w:val="single" w:sz="4" w:space="0" w:color="000000"/>
            </w:tcBorders>
          </w:tcPr>
          <w:p>
            <w:pPr>
              <w:pStyle w:val="TableParagraph"/>
              <w:spacing w:before="9"/>
              <w:ind w:left="115"/>
              <w:rPr>
                <w:b/>
                <w:sz w:val="16"/>
              </w:rPr>
            </w:pPr>
            <w:r>
              <w:rPr>
                <w:b/>
                <w:w w:val="105"/>
                <w:sz w:val="16"/>
              </w:rPr>
              <w:t>2007</w:t>
            </w:r>
          </w:p>
        </w:tc>
        <w:tc>
          <w:tcPr>
            <w:tcW w:w="582" w:type="dxa"/>
            <w:tcBorders>
              <w:bottom w:val="single" w:sz="4" w:space="0" w:color="000000"/>
            </w:tcBorders>
          </w:tcPr>
          <w:p>
            <w:pPr>
              <w:pStyle w:val="TableParagraph"/>
              <w:spacing w:before="9"/>
              <w:ind w:left="116"/>
              <w:rPr>
                <w:b/>
                <w:sz w:val="16"/>
              </w:rPr>
            </w:pPr>
            <w:r>
              <w:rPr>
                <w:b/>
                <w:w w:val="105"/>
                <w:sz w:val="16"/>
              </w:rPr>
              <w:t>2008</w:t>
            </w:r>
          </w:p>
        </w:tc>
        <w:tc>
          <w:tcPr>
            <w:tcW w:w="1656" w:type="dxa"/>
            <w:tcBorders>
              <w:bottom w:val="single" w:sz="4" w:space="0" w:color="000000"/>
            </w:tcBorders>
          </w:tcPr>
          <w:p>
            <w:pPr>
              <w:pStyle w:val="TableParagraph"/>
              <w:tabs>
                <w:tab w:pos="685" w:val="left" w:leader="none"/>
                <w:tab w:pos="1269" w:val="left" w:leader="none"/>
              </w:tabs>
              <w:spacing w:before="9"/>
              <w:ind w:left="103"/>
              <w:jc w:val="center"/>
              <w:rPr>
                <w:b/>
                <w:sz w:val="16"/>
              </w:rPr>
            </w:pPr>
            <w:r>
              <w:rPr>
                <w:b/>
                <w:w w:val="105"/>
                <w:sz w:val="16"/>
              </w:rPr>
              <w:t>2009</w:t>
              <w:tab/>
              <w:t>2010</w:t>
              <w:tab/>
            </w:r>
            <w:r>
              <w:rPr>
                <w:b/>
                <w:sz w:val="16"/>
              </w:rPr>
              <w:t>2011</w:t>
            </w:r>
          </w:p>
        </w:tc>
        <w:tc>
          <w:tcPr>
            <w:tcW w:w="341" w:type="dxa"/>
            <w:tcBorders>
              <w:bottom w:val="single" w:sz="4" w:space="0" w:color="000000"/>
              <w:right w:val="single" w:sz="4" w:space="0" w:color="000000"/>
            </w:tcBorders>
          </w:tcPr>
          <w:p>
            <w:pPr>
              <w:pStyle w:val="TableParagraph"/>
              <w:rPr>
                <w:rFonts w:ascii="Times New Roman"/>
                <w:sz w:val="18"/>
              </w:rPr>
            </w:pPr>
          </w:p>
        </w:tc>
      </w:tr>
      <w:tr>
        <w:trPr>
          <w:trHeight w:val="460" w:hRule="atLeast"/>
        </w:trPr>
        <w:tc>
          <w:tcPr>
            <w:tcW w:w="7337" w:type="dxa"/>
            <w:gridSpan w:val="9"/>
            <w:tcBorders>
              <w:top w:val="single" w:sz="4" w:space="0" w:color="000000"/>
              <w:left w:val="single" w:sz="4" w:space="0" w:color="000000"/>
              <w:bottom w:val="single" w:sz="4" w:space="0" w:color="000000"/>
              <w:right w:val="single" w:sz="4" w:space="0" w:color="000000"/>
            </w:tcBorders>
          </w:tcPr>
          <w:p>
            <w:pPr>
              <w:pStyle w:val="TableParagraph"/>
              <w:spacing w:before="8"/>
              <w:rPr>
                <w:sz w:val="16"/>
              </w:rPr>
            </w:pPr>
          </w:p>
          <w:p>
            <w:pPr>
              <w:pStyle w:val="TableParagraph"/>
              <w:ind w:left="106"/>
              <w:rPr>
                <w:sz w:val="18"/>
              </w:rPr>
            </w:pPr>
            <w:r>
              <w:rPr>
                <w:sz w:val="18"/>
              </w:rPr>
              <w:t>Source: The Chartered Institute of Purchasing and Supply</w:t>
            </w:r>
          </w:p>
        </w:tc>
      </w:tr>
    </w:tbl>
    <w:p>
      <w:pPr>
        <w:pStyle w:val="BodyText"/>
        <w:spacing w:before="7"/>
        <w:rPr>
          <w:sz w:val="21"/>
        </w:rPr>
      </w:pPr>
    </w:p>
    <w:p>
      <w:pPr>
        <w:pStyle w:val="BodyText"/>
        <w:spacing w:line="360" w:lineRule="auto" w:before="94"/>
        <w:ind w:left="233" w:right="165"/>
      </w:pPr>
      <w:r>
        <w:rPr/>
        <w:pict>
          <v:group style="position:absolute;margin-left:131.940002pt;margin-top:-229.520279pt;width:328.1pt;height:168.4pt;mso-position-horizontal-relative:page;mso-position-vertical-relative:paragraph;z-index:-253600768" coordorigin="2639,-4590" coordsize="6562,3368">
            <v:line style="position:absolute" from="9140,-4583" to="9140,-1269" stroked="true" strokeweight=".72003pt" strokecolor="#000000">
              <v:stroke dashstyle="solid"/>
            </v:line>
            <v:shape style="position:absolute;left:9140;top:-4591;width:60;height:3329" coordorigin="9140,-4590" coordsize="60,3329" path="m9200,-1276l9140,-1276,9140,-1262,9200,-1262,9200,-1276m9200,-1756l9140,-1756,9140,-1742,9200,-1742,9200,-1756m9200,-2236l9140,-2236,9140,-2220,9200,-2220,9200,-2236m9200,-2700l9140,-2700,9140,-2686,9200,-2686,9200,-2700m9200,-3180l9140,-3180,9140,-3166,9200,-3166,9200,-3180m9200,-3646l9140,-3646,9140,-3630,9200,-3630,9200,-3646m9200,-4125l9140,-4125,9140,-4110,9200,-4110,9200,-4125m9200,-4590l9140,-4590,9140,-4575,9200,-4575,9200,-4590e" filled="true" fillcolor="#000000" stroked="false">
              <v:path arrowok="t"/>
              <v:fill type="solid"/>
            </v:shape>
            <v:line style="position:absolute" from="2646,-1269" to="9140,-1269" stroked="true" strokeweight=".71997pt" strokecolor="#000000">
              <v:stroke dashstyle="solid"/>
            </v:line>
            <v:shape style="position:absolute;left:2638;top:-1269;width:6419;height:46" coordorigin="2639,-1269" coordsize="6419,46" path="m2654,-1269l2639,-1269,2639,-1223,2654,-1223,2654,-1269m3224,-1269l3209,-1269,3209,-1223,3224,-1223,3224,-1269m3809,-1269l3794,-1269,3794,-1223,3809,-1223,3809,-1269m4393,-1269l4379,-1269,4379,-1223,4393,-1223,4393,-1269m4979,-1269l4963,-1269,4963,-1223,4979,-1223,4979,-1269m5563,-1269l5549,-1269,5549,-1223,5563,-1223,5563,-1269m6149,-1269l6133,-1269,6133,-1223,6149,-1223,6149,-1269m6733,-1269l6719,-1269,6719,-1223,6733,-1223,6733,-1269m7303,-1269l7289,-1269,7289,-1223,7303,-1223,7303,-1269m7888,-1269l7873,-1269,7873,-1223,7888,-1223,7888,-1269m8473,-1269l8458,-1269,8458,-1223,8473,-1223,8473,-1269m9058,-1269l9043,-1269,9043,-1223,9058,-1223,9058,-1269e" filled="true" fillcolor="#000000" stroked="false">
              <v:path arrowok="t"/>
              <v:fill type="solid"/>
            </v:shape>
            <v:shape style="position:absolute;left:2652;top:-4271;width:6483;height:2500" type="#_x0000_t75" stroked="false">
              <v:imagedata r:id="rId10" o:title=""/>
            </v:shape>
            <v:shape style="position:absolute;left:2654;top:-3181;width:6419;height:30" coordorigin="2654,-3180" coordsize="6419,30" path="m2767,-3180l2660,-3180,2654,-3174,2654,-3158,2660,-3150,2767,-3150,2774,-3158,2774,-3174,2767,-3180xm2977,-3180l2870,-3180,2864,-3174,2864,-3158,2870,-3150,2977,-3150,2984,-3158,2984,-3174,2977,-3180xm3187,-3180l3080,-3180,3074,-3174,3074,-3158,3080,-3150,3187,-3150,3194,-3158,3194,-3174,3187,-3180xm3397,-3180l3290,-3180,3284,-3174,3284,-3158,3290,-3150,3397,-3150,3404,-3158,3404,-3174,3397,-3180xm3607,-3180l3500,-3180,3494,-3174,3494,-3158,3500,-3150,3607,-3150,3614,-3158,3614,-3174,3607,-3180xm3817,-3180l3710,-3180,3704,-3174,3704,-3158,3710,-3150,3817,-3150,3824,-3158,3824,-3174,3817,-3180xm4027,-3180l3920,-3180,3914,-3174,3914,-3158,3920,-3150,4027,-3150,4033,-3158,4033,-3174,4027,-3180xm4237,-3180l4130,-3180,4123,-3174,4123,-3158,4130,-3150,4237,-3150,4243,-3158,4243,-3174,4237,-3180xm4447,-3180l4340,-3180,4333,-3174,4333,-3158,4340,-3150,4447,-3150,4453,-3158,4453,-3174,4447,-3180xm4657,-3180l4550,-3180,4543,-3174,4543,-3158,4550,-3150,4657,-3150,4663,-3158,4663,-3174,4657,-3180xm4867,-3180l4760,-3180,4753,-3174,4753,-3158,4760,-3150,4867,-3150,4873,-3158,4873,-3174,4867,-3180xm5077,-3180l4970,-3180,4963,-3174,4963,-3158,4970,-3150,5077,-3150,5083,-3158,5083,-3174,5077,-3180xm5287,-3180l5180,-3180,5173,-3174,5173,-3158,5180,-3150,5287,-3150,5293,-3158,5293,-3174,5287,-3180xm5497,-3180l5390,-3180,5383,-3174,5383,-3158,5390,-3150,5497,-3150,5503,-3158,5503,-3174,5497,-3180xm5707,-3180l5600,-3180,5593,-3174,5593,-3158,5600,-3150,5707,-3150,5713,-3158,5713,-3174,5707,-3180xm5917,-3180l5810,-3180,5803,-3174,5803,-3158,5810,-3150,5917,-3150,5923,-3158,5923,-3174,5917,-3180xm6127,-3180l6020,-3180,6013,-3174,6013,-3158,6020,-3150,6127,-3150,6133,-3158,6133,-3174,6127,-3180xm6337,-3180l6230,-3180,6223,-3174,6223,-3158,6230,-3150,6337,-3150,6343,-3158,6343,-3174,6337,-3180xm6547,-3180l6440,-3180,6433,-3174,6433,-3158,6440,-3150,6547,-3150,6553,-3158,6553,-3174,6547,-3180xm6757,-3180l6650,-3180,6643,-3174,6643,-3158,6650,-3150,6757,-3150,6763,-3158,6763,-3174,6757,-3180xm6966,-3180l6860,-3180,6853,-3174,6853,-3158,6860,-3150,6966,-3150,6973,-3158,6973,-3174,6966,-3180xm7176,-3180l7070,-3180,7063,-3174,7063,-3158,7070,-3150,7176,-3150,7183,-3158,7183,-3174,7176,-3180xm7386,-3180l7280,-3180,7273,-3174,7273,-3158,7280,-3150,7386,-3150,7393,-3158,7393,-3174,7386,-3180xm7596,-3180l7490,-3180,7483,-3174,7483,-3158,7490,-3150,7596,-3150,7603,-3158,7603,-3174,7596,-3180xm7806,-3180l7700,-3180,7693,-3174,7693,-3158,7700,-3150,7806,-3150,7813,-3158,7813,-3174,7806,-3180xm8016,-3180l7910,-3180,7903,-3174,7903,-3158,7910,-3150,8016,-3150,8023,-3158,8023,-3174,8016,-3180xm8226,-3180l8120,-3180,8113,-3174,8113,-3158,8120,-3150,8226,-3150,8233,-3158,8233,-3174,8226,-3180xm8436,-3180l8329,-3180,8323,-3174,8323,-3158,8329,-3150,8436,-3150,8443,-3158,8443,-3174,8436,-3180xm8646,-3180l8539,-3180,8533,-3174,8533,-3158,8539,-3150,8646,-3150,8653,-3158,8653,-3174,8646,-3180xm8856,-3180l8749,-3180,8743,-3174,8743,-3158,8749,-3150,8856,-3150,8863,-3158,8863,-3174,8856,-3180xm9066,-3180l8959,-3180,8953,-3174,8953,-3158,8959,-3150,9066,-3150,9073,-3158,9073,-3174,9066,-3180xe" filled="true" fillcolor="#000000" stroked="false">
              <v:path arrowok="t"/>
              <v:fill type="solid"/>
            </v:shape>
            <v:line style="position:absolute" from="4499,-2265" to="4919,-2265" stroked="true" strokeweight="1.5pt" strokecolor="#333399">
              <v:stroke dashstyle="solid"/>
            </v:line>
            <v:line style="position:absolute" from="4499,-1967" to="4919,-1967" stroked="true" strokeweight="1.5pt" strokecolor="#993300">
              <v:stroke dashstyle="solid"/>
            </v:line>
            <w10:wrap type="none"/>
          </v:group>
        </w:pict>
      </w:r>
      <w:r>
        <w:rPr/>
        <w:t>The rate of growth in the services sector indicated by recent business surveys is not as strong as we saw in the period before the recession. But that should not be a surprise. The services sector is more heavily dependent on domestic consumer demand than manufacturing, and therefore the impact of higher VAT and other imported price rises may be more noticeable in the short-term. It is also worth noting that services growth was particularly strong from the mid-1990s to the mid-2000s, growing much faster than manufacturing and other sectors of the UK economy.</w:t>
      </w:r>
      <w:r>
        <w:rPr>
          <w:vertAlign w:val="superscript"/>
        </w:rPr>
        <w:t>5</w:t>
      </w:r>
      <w:r>
        <w:rPr>
          <w:vertAlign w:val="baseline"/>
        </w:rPr>
        <w:t> With the economy rebalancing and the</w:t>
      </w:r>
      <w:r>
        <w:rPr>
          <w:spacing w:val="-26"/>
          <w:vertAlign w:val="baseline"/>
        </w:rPr>
        <w:t> </w:t>
      </w:r>
      <w:r>
        <w:rPr>
          <w:vertAlign w:val="baseline"/>
        </w:rPr>
        <w:t>manufacturing sector now performing more strongly, we should not expect services growth to return to the strong rate seen before the global financial</w:t>
      </w:r>
      <w:r>
        <w:rPr>
          <w:spacing w:val="-5"/>
          <w:vertAlign w:val="baseline"/>
        </w:rPr>
        <w:t> </w:t>
      </w:r>
      <w:r>
        <w:rPr>
          <w:vertAlign w:val="baseline"/>
        </w:rPr>
        <w:t>crisis.</w:t>
      </w:r>
    </w:p>
    <w:p>
      <w:pPr>
        <w:pStyle w:val="BodyText"/>
        <w:spacing w:before="1"/>
        <w:rPr>
          <w:sz w:val="30"/>
        </w:rPr>
      </w:pPr>
    </w:p>
    <w:p>
      <w:pPr>
        <w:pStyle w:val="Heading1"/>
        <w:ind w:left="233"/>
      </w:pPr>
      <w:r>
        <w:rPr/>
        <w:t>UK economic growth prospects</w:t>
      </w:r>
    </w:p>
    <w:p>
      <w:pPr>
        <w:pStyle w:val="BodyText"/>
        <w:rPr>
          <w:b/>
          <w:sz w:val="22"/>
        </w:rPr>
      </w:pPr>
    </w:p>
    <w:p>
      <w:pPr>
        <w:pStyle w:val="BodyText"/>
        <w:spacing w:before="10"/>
        <w:rPr>
          <w:b/>
          <w:sz w:val="17"/>
        </w:rPr>
      </w:pPr>
    </w:p>
    <w:p>
      <w:pPr>
        <w:pStyle w:val="BodyText"/>
        <w:spacing w:line="360" w:lineRule="auto"/>
        <w:ind w:left="233" w:right="88"/>
      </w:pPr>
      <w:r>
        <w:rPr/>
        <w:t>Looking ahead to this year and next, current forecasts for economic growth are relatively subdued at present. The latest CBI forecast, for example, predicts growth of 1.8% this year and 2.3% next year and these figures are very close to the current Consensus Forecasts of growth for this year and next – 1.9% in 2011 and 2.1% in 2012. Most forecasters expect the manufacturing sector to continue to perform strongly, supported by strong growth across the world economy.</w:t>
      </w:r>
    </w:p>
    <w:p>
      <w:pPr>
        <w:pStyle w:val="BodyText"/>
      </w:pPr>
    </w:p>
    <w:p>
      <w:pPr>
        <w:pStyle w:val="BodyText"/>
      </w:pPr>
    </w:p>
    <w:p>
      <w:pPr>
        <w:pStyle w:val="BodyText"/>
      </w:pPr>
    </w:p>
    <w:p>
      <w:pPr>
        <w:pStyle w:val="BodyText"/>
      </w:pPr>
    </w:p>
    <w:p>
      <w:pPr>
        <w:pStyle w:val="BodyText"/>
        <w:spacing w:before="2"/>
        <w:rPr>
          <w:sz w:val="22"/>
        </w:rPr>
      </w:pPr>
      <w:r>
        <w:rPr/>
        <w:pict>
          <v:shape style="position:absolute;margin-left:56.700001pt;margin-top:14.988316pt;width:144pt;height:.1pt;mso-position-horizontal-relative:page;mso-position-vertical-relative:paragraph;z-index:-251652096;mso-wrap-distance-left:0;mso-wrap-distance-right:0" coordorigin="1134,300" coordsize="2880,0" path="m1134,300l4014,300e" filled="false" stroked="true" strokeweight=".48001pt" strokecolor="#000000">
            <v:path arrowok="t"/>
            <v:stroke dashstyle="solid"/>
            <w10:wrap type="topAndBottom"/>
          </v:shape>
        </w:pict>
      </w:r>
    </w:p>
    <w:p>
      <w:pPr>
        <w:spacing w:before="31"/>
        <w:ind w:left="233" w:right="420" w:firstLine="0"/>
        <w:jc w:val="left"/>
        <w:rPr>
          <w:sz w:val="16"/>
        </w:rPr>
      </w:pPr>
      <w:r>
        <w:rPr>
          <w:position w:val="8"/>
          <w:sz w:val="10"/>
        </w:rPr>
        <w:t>5 </w:t>
      </w:r>
      <w:r>
        <w:rPr>
          <w:sz w:val="16"/>
        </w:rPr>
        <w:t>The output of the UK services sector rose at an annual rate of 3.8% between 1995 and 2007, compared with 2.9% average growth across the economy as a whole over this period.</w:t>
      </w:r>
    </w:p>
    <w:p>
      <w:pPr>
        <w:spacing w:after="0"/>
        <w:jc w:val="left"/>
        <w:rPr>
          <w:sz w:val="16"/>
        </w:rPr>
        <w:sectPr>
          <w:pgSz w:w="11900" w:h="16840"/>
          <w:pgMar w:header="0" w:footer="1340" w:top="1600" w:bottom="1540" w:left="900" w:right="1020"/>
        </w:sectPr>
      </w:pPr>
    </w:p>
    <w:p>
      <w:pPr>
        <w:pStyle w:val="BodyText"/>
      </w:pPr>
      <w:r>
        <w:rPr/>
        <w:pict>
          <v:group style="position:absolute;margin-left:126.300003pt;margin-top:154.619965pt;width:334.1pt;height:166.45pt;mso-position-horizontal-relative:page;mso-position-vertical-relative:page;z-index:-253599744" coordorigin="2526,3092" coordsize="6682,3329">
            <v:line style="position:absolute" from="9148,3100" to="9148,6414" stroked="true" strokeweight=".72pt" strokecolor="#000000">
              <v:stroke dashstyle="solid"/>
            </v:line>
            <v:shape style="position:absolute;left:9147;top:3092;width:60;height:3329" coordorigin="9148,3092" coordsize="60,3329" path="m9208,6406l9148,6406,9148,6421,9208,6421,9208,6406m9208,5866l9148,5866,9148,5881,9208,5881,9208,5866m9208,5311l9148,5311,9148,5327,9208,5327,9208,5311m9208,4757l9148,4757,9148,4771,9208,4771,9208,4757m9208,4201l9148,4201,9148,4217,9208,4217,9208,4201m9208,3647l9148,3647,9148,3661,9208,3661,9208,3647m9208,3092l9148,3092,9148,3107,9208,3107,9208,3092e" filled="true" fillcolor="#000000" stroked="false">
              <v:path arrowok="t"/>
              <v:fill type="solid"/>
            </v:shape>
            <v:line style="position:absolute" from="2533,4764" to="9148,4764" stroked="true" strokeweight=".71997pt" strokecolor="#000000">
              <v:stroke dashstyle="solid"/>
            </v:line>
            <v:shape style="position:absolute;left:2526;top:4764;width:6345;height:45" coordorigin="2526,4764" coordsize="6345,45" path="m2542,4764l2526,4764,2526,4808,2542,4808,2542,4764m3110,4764l3096,4764,3096,4808,3110,4808,3110,4764m3696,4764l3680,4764,3680,4808,3696,4808,3696,4764m4266,4764l4250,4764,4250,4808,4266,4808,4266,4764m4850,4764l4836,4764,4836,4808,4850,4808,4850,4764m5420,4764l5406,4764,5406,4808,5420,4808,5420,4764m5990,4764l5976,4764,5976,4808,5990,4808,5990,4764m6575,4764l6560,4764,6560,4808,6575,4808,6575,4764m7145,4764l7130,4764,7130,4808,7145,4808,7145,4764m7730,4764l7715,4764,7715,4808,7730,4808,7730,4764m8300,4764l8285,4764,8285,4808,8300,4808,8300,4764m8870,4764l8855,4764,8855,4808,8870,4808,8870,4764e" filled="true" fillcolor="#000000" stroked="false">
              <v:path arrowok="t"/>
              <v:fill type="solid"/>
            </v:shape>
            <v:shape style="position:absolute;left:2659;top:3571;width:6363;height:2550" coordorigin="2659,3571" coordsize="6363,2550" path="m8166,4789l8136,4789,8420,6109,8422,6116,8428,6121,8442,6121,8449,6115,8451,6103,8420,6103,8433,6028,8166,4789xm8433,6028l8420,6103,8449,6103,8433,6028xm9005,4230l8998,4234,8713,4384,8708,4386,8706,4390,8705,4394,8433,6028,8449,6103,8451,6103,8733,4410,8726,4410,8735,4399,8747,4399,9012,4260,9019,4256,9022,4247,9014,4232,9005,4230xm2675,4110l2668,4115,2660,4118,2659,4128,2664,4135,2948,4555,3250,5158,3254,5161,3265,5161,3270,5159,3274,5155,3284,5140,3275,5140,3248,5138,3263,5117,2974,4538,2688,4118,2683,4111,2675,4110xm3263,5117l3248,5138,3275,5140,3263,5117xm3566,4718l3534,4718,3263,5117,3275,5140,3284,5140,3558,4735,3559,4734,3559,4733,3566,4718xm7855,4036l8136,4792,8136,4789,8166,4789,8165,4783,8165,4782,8164,4781,7887,4037,7864,4037,7855,4036xm4118,3571l4114,3572,4109,3572,4105,3576,4103,3580,3817,4135,3533,4720,3534,4718,3566,4718,3845,4148,4119,3614,4104,3596,4129,3594,4141,3594,4127,3577,4124,3574,4118,3571xm8735,4399l8726,4410,8734,4406,8735,4399xm8734,4406l8726,4410,8733,4410,8734,4406xm8747,4399l8735,4399,8734,4406,8747,4399xm5864,3685l5828,3685,5846,3690,5835,3695,6113,4091,6115,4093,6120,4096,6420,4201,6425,4202,6430,4201,6434,4199,6470,4175,6416,4175,6424,4170,6145,4073,6138,4073,6131,4068,6135,4068,5864,3685xm6424,4170l6416,4175,6431,4172,6424,4170xm6997,3931l6992,3932,6708,3977,6706,3977,6703,3978,6702,3979,6424,4170,6431,4172,6416,4175,6470,4175,6715,4007,6713,4007,6719,4004,6728,4004,6991,3962,6986,3959,7037,3959,7004,3935,7001,3932,6997,3931xm7037,3959l6986,3959,6997,3961,6991,3962,7272,4170,7276,4172,7283,4172,7288,4170,7331,4145,7289,4145,7273,4144,7281,4139,7037,3959xm7281,4139l7273,4144,7289,4145,7281,4139xm7567,3977l7560,3977,7558,3979,7281,4139,7289,4145,7331,4145,7568,4007,7564,4007,7573,4004,7843,4004,7567,3977xm6131,4068l6138,4073,6136,4070,6131,4068xm6136,4070l6138,4073,6145,4073,6136,4070xm6135,4068l6131,4068,6136,4070,6135,4068xm7852,4027l7855,4036,7864,4037,7852,4027xm7883,4027l7852,4027,7864,4037,7887,4037,7883,4027xm7843,4004l7573,4004,7568,4007,7855,4036,7852,4027,7883,4027,7879,4016,7877,4012,7872,4007,7867,4007,7843,4004xm7573,4004l7564,4007,7568,4007,7573,4004xm6719,4004l6713,4007,6716,4006,6719,4004xm6716,4006l6713,4007,6715,4007,6716,4006xm6728,4004l6719,4004,6716,4006,6728,4004xm4141,3594l4129,3594,4119,3614,4390,3926,4394,3931,4398,3931,4698,3977,4704,3977,4706,3976,4772,3948,4694,3948,4699,3946,4435,3907,4412,3907,4403,3902,4408,3902,4141,3594xm6986,3959l6991,3962,6997,3961,6986,3959xm4699,3946l4694,3948,4703,3947,4699,3946xm5270,3751l5268,3751,5267,3752,4980,3828,4699,3946,4703,3947,4694,3948,4772,3948,4992,3856,5273,3782,5269,3781,5546,3781,5272,3752,5270,3751xm4403,3902l4412,3907,4409,3903,4403,3902xm4409,3903l4412,3907,4435,3907,4409,3903xm4408,3902l4403,3902,4409,3903,4408,3902xm5546,3781l5274,3781,5273,3782,5554,3811,5556,3812,5560,3811,5561,3810,5626,3782,5550,3782,5551,3782,5546,3781xm5551,3782l5550,3782,5557,3782,5551,3782xm5842,3660l5834,3662,5551,3782,5557,3782,5626,3782,5835,3695,5828,3685,5864,3685,5852,3668,5849,3662,5842,3660xm5274,3781l5269,3781,5273,3782,5274,3781xm5828,3685l5835,3695,5846,3690,5828,3685xm4129,3594l4104,3596,4119,3614,4129,3594xe" filled="true" fillcolor="#333399" stroked="false">
              <v:path arrowok="t"/>
              <v:fill type="solid"/>
            </v:shape>
            <v:shape style="position:absolute;left:2659;top:3465;width:6363;height:2072" coordorigin="2659,3466" coordsize="6363,2072" path="m7883,3667l7852,3667,7865,3677,7855,3677,8136,4432,8420,5525,8423,5532,8429,5537,8436,5537,8443,5536,8448,5531,8450,5524,8451,5519,8420,5519,8432,5452,8164,4421,7887,3677,7865,3677,7855,3676,7887,3676,7883,3667xm8432,5452l8420,5519,8449,5518,8432,5452xm8720,3871l8717,3871,8712,3874,8708,3876,8706,3880,8705,3884,8432,5452,8449,5518,8420,5519,8451,5519,8732,3907,8714,3901,8735,3889,8770,3889,8725,3872,8720,3871xm3577,4152l3535,4152,3547,4157,3540,4157,3821,4438,3823,4441,3829,4442,3839,4440,3842,4438,3845,4433,3850,4421,3817,4421,3826,4401,3577,4152xm3826,4401l3817,4421,3841,4416,3826,4401xm4112,3766l4105,3769,4102,3775,3826,4401,3841,4416,3817,4421,3850,4421,4124,3800,4112,3797,4129,3788,4201,3788,4120,3767,4112,3766xm5859,3487l5826,3487,5850,3493,5833,3506,6112,4252,6114,4259,6121,4262,6127,4261,6265,4241,6139,4241,6124,4231,6135,4230,5859,3487xm6135,4230l6124,4231,6139,4241,6135,4230xm6702,4158l6424,4187,6135,4230,6139,4241,6265,4241,6427,4217,6712,4187,6716,4186,6720,4184,6722,4181,6735,4163,6698,4163,6702,4158xm2950,3734l3248,4165,3252,4170,3257,4172,3262,4171,3540,4157,3535,4152,3577,4152,3574,4148,3274,4148,3260,4141,3268,4141,2989,3736,2957,3736,2950,3734xm6709,4157l6702,4158,6698,4163,6709,4157xm6739,4157l6709,4157,6698,4163,6735,4163,6739,4157xm6994,3751l6986,3752,6983,3758,6702,4158,6709,4157,6739,4157,7002,3784,6991,3781,7008,3775,7087,3775,7000,3752,6994,3751xm3535,4152l3540,4157,3547,4157,3535,4152xm3268,4141l3260,4141,3274,4148,3268,4141xm3550,4127l3545,4127,3268,4141,3274,4148,3574,4148,3553,4128,3550,4127xm8770,3889l8735,3889,8732,3907,9000,4006,9007,4009,9016,4004,9019,3997,9022,3989,9018,3980,9010,3978,8770,3889xm5017,3688l4975,3688,4996,3689,4985,3698,5260,3988,5266,3994,5275,3994,5281,3988,5304,3966,5261,3966,5272,3956,5017,3688xm5272,3956l5261,3966,5281,3966,5272,3956xm5840,3466l5834,3467,5831,3470,5545,3696,5272,3956,5281,3966,5304,3966,5566,3718,5833,3506,5826,3487,5859,3487,5855,3476,5852,3472,5849,3469,5844,3467,5840,3466xm4201,3788l4129,3788,4124,3800,4397,3871,4698,3931,4703,3932,4706,3931,4710,3928,4737,3905,4691,3905,4696,3901,4404,3842,4201,3788xm8735,3889l8714,3901,8732,3907,8735,3889xm4696,3901l4691,3905,4704,3902,4696,3901xm4982,3660l4976,3665,4696,3901,4704,3902,4691,3905,4737,3905,4985,3698,4975,3688,5017,3688,4997,3666,4991,3661,4982,3660xm7087,3775l7008,3775,7002,3784,7277,3857,7285,3857,7289,3854,7325,3829,7272,3829,7278,3825,7087,3775xm7278,3825l7272,3829,7284,3827,7278,3825xm7562,3631l7560,3632,7556,3635,7278,3825,7284,3827,7272,3829,7325,3829,7569,3661,7565,3661,7573,3659,7880,3659,7879,3656,7877,3650,7872,3647,7866,3647,7566,3632,7562,3631xm4129,3788l4112,3797,4124,3800,4129,3788xm7008,3775l6991,3781,7002,3784,7008,3775xm2948,3731l2950,3734,2957,3736,2948,3731xm2986,3731l2948,3731,2957,3736,2989,3736,2986,3731xm2672,3614l2664,3619,2662,3628,2659,3635,2664,3643,2671,3646,2950,3734,2948,3731,2986,3731,2974,3713,2969,3708,2965,3708,2681,3618,2672,3614xm4975,3688l4985,3698,4996,3689,4975,3688xm7852,3667l7855,3676,7865,3677,7852,3667xm7880,3659l7573,3659,7569,3661,7855,3676,7852,3667,7883,3667,7880,3659xm7573,3659l7565,3661,7569,3661,7573,3659xm5826,3487l5833,3506,5850,3493,5826,3487xe" filled="true" fillcolor="#993300" stroked="false">
              <v:path arrowok="t"/>
              <v:fill type="solid"/>
            </v:shape>
            <v:line style="position:absolute" from="3726,5492" to="4146,5492" stroked="true" strokeweight="1.5pt" strokecolor="#333399">
              <v:stroke dashstyle="solid"/>
            </v:line>
            <v:line style="position:absolute" from="3726,5791" to="4146,5791" stroked="true" strokeweight="1.5pt" strokecolor="#993300">
              <v:stroke dashstyle="solid"/>
            </v:line>
            <w10:wrap type="none"/>
          </v:group>
        </w:pict>
      </w:r>
    </w:p>
    <w:p>
      <w:pPr>
        <w:pStyle w:val="BodyText"/>
        <w:spacing w:before="7" w:after="1"/>
        <w:rPr>
          <w:sz w:val="11"/>
        </w:rPr>
      </w:pPr>
    </w:p>
    <w:tbl>
      <w:tblPr>
        <w:tblW w:w="0" w:type="auto"/>
        <w:jc w:val="left"/>
        <w:tblInd w:w="1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4"/>
        <w:gridCol w:w="575"/>
        <w:gridCol w:w="549"/>
        <w:gridCol w:w="2329"/>
        <w:gridCol w:w="575"/>
        <w:gridCol w:w="575"/>
        <w:gridCol w:w="576"/>
        <w:gridCol w:w="576"/>
        <w:gridCol w:w="523"/>
        <w:gridCol w:w="376"/>
      </w:tblGrid>
      <w:tr>
        <w:trPr>
          <w:trHeight w:val="860" w:hRule="atLeast"/>
        </w:trPr>
        <w:tc>
          <w:tcPr>
            <w:tcW w:w="7338" w:type="dxa"/>
            <w:gridSpan w:val="10"/>
            <w:tcBorders>
              <w:top w:val="single" w:sz="4" w:space="0" w:color="000000"/>
              <w:left w:val="single" w:sz="4" w:space="0" w:color="000000"/>
              <w:bottom w:val="single" w:sz="4" w:space="0" w:color="000000"/>
              <w:right w:val="single" w:sz="4" w:space="0" w:color="000000"/>
            </w:tcBorders>
          </w:tcPr>
          <w:p>
            <w:pPr>
              <w:pStyle w:val="TableParagraph"/>
              <w:spacing w:before="168"/>
              <w:ind w:left="107"/>
              <w:rPr>
                <w:b/>
                <w:sz w:val="20"/>
              </w:rPr>
            </w:pPr>
            <w:r>
              <w:rPr>
                <w:b/>
                <w:sz w:val="20"/>
              </w:rPr>
              <w:t>Chart 4 – UK and world economic growth</w:t>
            </w:r>
          </w:p>
          <w:p>
            <w:pPr>
              <w:pStyle w:val="TableParagraph"/>
              <w:spacing w:before="169"/>
              <w:ind w:left="107"/>
              <w:rPr>
                <w:sz w:val="20"/>
              </w:rPr>
            </w:pPr>
            <w:r>
              <w:rPr>
                <w:sz w:val="20"/>
              </w:rPr>
              <w:t>Annual percentage change in real GDP</w:t>
            </w:r>
          </w:p>
        </w:tc>
      </w:tr>
      <w:tr>
        <w:trPr>
          <w:trHeight w:val="549" w:hRule="atLeast"/>
        </w:trPr>
        <w:tc>
          <w:tcPr>
            <w:tcW w:w="684" w:type="dxa"/>
            <w:tcBorders>
              <w:top w:val="single" w:sz="4" w:space="0" w:color="000000"/>
              <w:left w:val="single" w:sz="4" w:space="0" w:color="000000"/>
            </w:tcBorders>
          </w:tcPr>
          <w:p>
            <w:pPr>
              <w:pStyle w:val="TableParagraph"/>
              <w:rPr>
                <w:rFonts w:ascii="Times New Roman"/>
                <w:sz w:val="18"/>
              </w:rPr>
            </w:pPr>
          </w:p>
        </w:tc>
        <w:tc>
          <w:tcPr>
            <w:tcW w:w="575" w:type="dxa"/>
            <w:tcBorders>
              <w:top w:val="single" w:sz="4" w:space="0" w:color="000000"/>
            </w:tcBorders>
          </w:tcPr>
          <w:p>
            <w:pPr>
              <w:pStyle w:val="TableParagraph"/>
              <w:rPr>
                <w:rFonts w:ascii="Times New Roman"/>
                <w:sz w:val="18"/>
              </w:rPr>
            </w:pPr>
          </w:p>
        </w:tc>
        <w:tc>
          <w:tcPr>
            <w:tcW w:w="549" w:type="dxa"/>
            <w:tcBorders>
              <w:top w:val="single" w:sz="4" w:space="0" w:color="000000"/>
            </w:tcBorders>
          </w:tcPr>
          <w:p>
            <w:pPr>
              <w:pStyle w:val="TableParagraph"/>
              <w:rPr>
                <w:rFonts w:ascii="Times New Roman"/>
                <w:sz w:val="18"/>
              </w:rPr>
            </w:pPr>
          </w:p>
        </w:tc>
        <w:tc>
          <w:tcPr>
            <w:tcW w:w="2329" w:type="dxa"/>
            <w:tcBorders>
              <w:top w:val="single" w:sz="4" w:space="0" w:color="000000"/>
            </w:tcBorders>
          </w:tcPr>
          <w:p>
            <w:pPr>
              <w:pStyle w:val="TableParagraph"/>
              <w:rPr>
                <w:rFonts w:ascii="Times New Roman"/>
                <w:sz w:val="18"/>
              </w:rPr>
            </w:pPr>
          </w:p>
        </w:tc>
        <w:tc>
          <w:tcPr>
            <w:tcW w:w="575" w:type="dxa"/>
            <w:tcBorders>
              <w:top w:val="single" w:sz="4" w:space="0" w:color="000000"/>
            </w:tcBorders>
          </w:tcPr>
          <w:p>
            <w:pPr>
              <w:pStyle w:val="TableParagraph"/>
              <w:rPr>
                <w:rFonts w:ascii="Times New Roman"/>
                <w:sz w:val="18"/>
              </w:rPr>
            </w:pPr>
          </w:p>
        </w:tc>
        <w:tc>
          <w:tcPr>
            <w:tcW w:w="575" w:type="dxa"/>
            <w:tcBorders>
              <w:top w:val="single" w:sz="4" w:space="0" w:color="000000"/>
            </w:tcBorders>
          </w:tcPr>
          <w:p>
            <w:pPr>
              <w:pStyle w:val="TableParagraph"/>
              <w:rPr>
                <w:rFonts w:ascii="Times New Roman"/>
                <w:sz w:val="18"/>
              </w:rPr>
            </w:pPr>
          </w:p>
        </w:tc>
        <w:tc>
          <w:tcPr>
            <w:tcW w:w="576" w:type="dxa"/>
            <w:tcBorders>
              <w:top w:val="single" w:sz="4" w:space="0" w:color="000000"/>
            </w:tcBorders>
          </w:tcPr>
          <w:p>
            <w:pPr>
              <w:pStyle w:val="TableParagraph"/>
              <w:rPr>
                <w:rFonts w:ascii="Times New Roman"/>
                <w:sz w:val="18"/>
              </w:rPr>
            </w:pPr>
          </w:p>
        </w:tc>
        <w:tc>
          <w:tcPr>
            <w:tcW w:w="576" w:type="dxa"/>
            <w:tcBorders>
              <w:top w:val="single" w:sz="4" w:space="0" w:color="000000"/>
            </w:tcBorders>
          </w:tcPr>
          <w:p>
            <w:pPr>
              <w:pStyle w:val="TableParagraph"/>
              <w:rPr>
                <w:rFonts w:ascii="Times New Roman"/>
                <w:sz w:val="18"/>
              </w:rPr>
            </w:pPr>
          </w:p>
        </w:tc>
        <w:tc>
          <w:tcPr>
            <w:tcW w:w="523" w:type="dxa"/>
            <w:tcBorders>
              <w:top w:val="single" w:sz="4" w:space="0" w:color="000000"/>
            </w:tcBorders>
          </w:tcPr>
          <w:p>
            <w:pPr>
              <w:pStyle w:val="TableParagraph"/>
              <w:rPr>
                <w:rFonts w:ascii="Times New Roman"/>
                <w:sz w:val="18"/>
              </w:rPr>
            </w:pPr>
          </w:p>
        </w:tc>
        <w:tc>
          <w:tcPr>
            <w:tcW w:w="376" w:type="dxa"/>
            <w:tcBorders>
              <w:top w:val="single" w:sz="4" w:space="0" w:color="000000"/>
              <w:right w:val="single" w:sz="4" w:space="0" w:color="000000"/>
            </w:tcBorders>
          </w:tcPr>
          <w:p>
            <w:pPr>
              <w:pStyle w:val="TableParagraph"/>
              <w:spacing w:before="8"/>
              <w:rPr>
                <w:sz w:val="15"/>
              </w:rPr>
            </w:pPr>
          </w:p>
          <w:p>
            <w:pPr>
              <w:pStyle w:val="TableParagraph"/>
              <w:ind w:left="60"/>
              <w:rPr>
                <w:b/>
                <w:sz w:val="16"/>
              </w:rPr>
            </w:pPr>
            <w:r>
              <w:rPr>
                <w:b/>
                <w:w w:val="103"/>
                <w:sz w:val="16"/>
              </w:rPr>
              <w:t>6</w:t>
            </w:r>
          </w:p>
        </w:tc>
      </w:tr>
      <w:tr>
        <w:trPr>
          <w:trHeight w:val="551" w:hRule="atLeast"/>
        </w:trPr>
        <w:tc>
          <w:tcPr>
            <w:tcW w:w="684" w:type="dxa"/>
            <w:tcBorders>
              <w:left w:val="single" w:sz="4" w:space="0" w:color="000000"/>
            </w:tcBorders>
          </w:tcPr>
          <w:p>
            <w:pPr>
              <w:pStyle w:val="TableParagraph"/>
              <w:rPr>
                <w:rFonts w:ascii="Times New Roman"/>
                <w:sz w:val="18"/>
              </w:rPr>
            </w:pPr>
          </w:p>
        </w:tc>
        <w:tc>
          <w:tcPr>
            <w:tcW w:w="575" w:type="dxa"/>
          </w:tcPr>
          <w:p>
            <w:pPr>
              <w:pStyle w:val="TableParagraph"/>
              <w:rPr>
                <w:rFonts w:ascii="Times New Roman"/>
                <w:sz w:val="18"/>
              </w:rPr>
            </w:pPr>
          </w:p>
        </w:tc>
        <w:tc>
          <w:tcPr>
            <w:tcW w:w="549" w:type="dxa"/>
          </w:tcPr>
          <w:p>
            <w:pPr>
              <w:pStyle w:val="TableParagraph"/>
              <w:rPr>
                <w:rFonts w:ascii="Times New Roman"/>
                <w:sz w:val="18"/>
              </w:rPr>
            </w:pPr>
          </w:p>
        </w:tc>
        <w:tc>
          <w:tcPr>
            <w:tcW w:w="2329" w:type="dxa"/>
          </w:tcPr>
          <w:p>
            <w:pPr>
              <w:pStyle w:val="TableParagraph"/>
              <w:rPr>
                <w:rFonts w:ascii="Times New Roman"/>
                <w:sz w:val="18"/>
              </w:rPr>
            </w:pPr>
          </w:p>
        </w:tc>
        <w:tc>
          <w:tcPr>
            <w:tcW w:w="575" w:type="dxa"/>
          </w:tcPr>
          <w:p>
            <w:pPr>
              <w:pStyle w:val="TableParagraph"/>
              <w:rPr>
                <w:rFonts w:ascii="Times New Roman"/>
                <w:sz w:val="18"/>
              </w:rPr>
            </w:pPr>
          </w:p>
        </w:tc>
        <w:tc>
          <w:tcPr>
            <w:tcW w:w="575" w:type="dxa"/>
          </w:tcPr>
          <w:p>
            <w:pPr>
              <w:pStyle w:val="TableParagraph"/>
              <w:rPr>
                <w:rFonts w:ascii="Times New Roman"/>
                <w:sz w:val="18"/>
              </w:rPr>
            </w:pPr>
          </w:p>
        </w:tc>
        <w:tc>
          <w:tcPr>
            <w:tcW w:w="576" w:type="dxa"/>
          </w:tcPr>
          <w:p>
            <w:pPr>
              <w:pStyle w:val="TableParagraph"/>
              <w:rPr>
                <w:rFonts w:ascii="Times New Roman"/>
                <w:sz w:val="18"/>
              </w:rPr>
            </w:pPr>
          </w:p>
        </w:tc>
        <w:tc>
          <w:tcPr>
            <w:tcW w:w="576" w:type="dxa"/>
          </w:tcPr>
          <w:p>
            <w:pPr>
              <w:pStyle w:val="TableParagraph"/>
              <w:rPr>
                <w:rFonts w:ascii="Times New Roman"/>
                <w:sz w:val="18"/>
              </w:rPr>
            </w:pPr>
          </w:p>
        </w:tc>
        <w:tc>
          <w:tcPr>
            <w:tcW w:w="523" w:type="dxa"/>
          </w:tcPr>
          <w:p>
            <w:pPr>
              <w:pStyle w:val="TableParagraph"/>
              <w:rPr>
                <w:rFonts w:ascii="Times New Roman"/>
                <w:sz w:val="18"/>
              </w:rPr>
            </w:pPr>
          </w:p>
        </w:tc>
        <w:tc>
          <w:tcPr>
            <w:tcW w:w="376" w:type="dxa"/>
            <w:tcBorders>
              <w:right w:val="single" w:sz="4" w:space="0" w:color="000000"/>
            </w:tcBorders>
          </w:tcPr>
          <w:p>
            <w:pPr>
              <w:pStyle w:val="TableParagraph"/>
              <w:spacing w:before="10"/>
              <w:rPr>
                <w:sz w:val="15"/>
              </w:rPr>
            </w:pPr>
          </w:p>
          <w:p>
            <w:pPr>
              <w:pStyle w:val="TableParagraph"/>
              <w:ind w:left="60"/>
              <w:rPr>
                <w:b/>
                <w:sz w:val="16"/>
              </w:rPr>
            </w:pPr>
            <w:r>
              <w:rPr>
                <w:b/>
                <w:w w:val="103"/>
                <w:sz w:val="16"/>
              </w:rPr>
              <w:t>4</w:t>
            </w:r>
          </w:p>
        </w:tc>
      </w:tr>
      <w:tr>
        <w:trPr>
          <w:trHeight w:val="551" w:hRule="atLeast"/>
        </w:trPr>
        <w:tc>
          <w:tcPr>
            <w:tcW w:w="684" w:type="dxa"/>
            <w:tcBorders>
              <w:left w:val="single" w:sz="4" w:space="0" w:color="000000"/>
            </w:tcBorders>
          </w:tcPr>
          <w:p>
            <w:pPr>
              <w:pStyle w:val="TableParagraph"/>
              <w:rPr>
                <w:rFonts w:ascii="Times New Roman"/>
                <w:sz w:val="18"/>
              </w:rPr>
            </w:pPr>
          </w:p>
        </w:tc>
        <w:tc>
          <w:tcPr>
            <w:tcW w:w="575" w:type="dxa"/>
          </w:tcPr>
          <w:p>
            <w:pPr>
              <w:pStyle w:val="TableParagraph"/>
              <w:rPr>
                <w:rFonts w:ascii="Times New Roman"/>
                <w:sz w:val="18"/>
              </w:rPr>
            </w:pPr>
          </w:p>
        </w:tc>
        <w:tc>
          <w:tcPr>
            <w:tcW w:w="549" w:type="dxa"/>
          </w:tcPr>
          <w:p>
            <w:pPr>
              <w:pStyle w:val="TableParagraph"/>
              <w:rPr>
                <w:rFonts w:ascii="Times New Roman"/>
                <w:sz w:val="18"/>
              </w:rPr>
            </w:pPr>
          </w:p>
        </w:tc>
        <w:tc>
          <w:tcPr>
            <w:tcW w:w="2329" w:type="dxa"/>
          </w:tcPr>
          <w:p>
            <w:pPr>
              <w:pStyle w:val="TableParagraph"/>
              <w:rPr>
                <w:rFonts w:ascii="Times New Roman"/>
                <w:sz w:val="18"/>
              </w:rPr>
            </w:pPr>
          </w:p>
        </w:tc>
        <w:tc>
          <w:tcPr>
            <w:tcW w:w="575" w:type="dxa"/>
          </w:tcPr>
          <w:p>
            <w:pPr>
              <w:pStyle w:val="TableParagraph"/>
              <w:rPr>
                <w:rFonts w:ascii="Times New Roman"/>
                <w:sz w:val="18"/>
              </w:rPr>
            </w:pPr>
          </w:p>
        </w:tc>
        <w:tc>
          <w:tcPr>
            <w:tcW w:w="575" w:type="dxa"/>
          </w:tcPr>
          <w:p>
            <w:pPr>
              <w:pStyle w:val="TableParagraph"/>
              <w:rPr>
                <w:rFonts w:ascii="Times New Roman"/>
                <w:sz w:val="18"/>
              </w:rPr>
            </w:pPr>
          </w:p>
        </w:tc>
        <w:tc>
          <w:tcPr>
            <w:tcW w:w="576" w:type="dxa"/>
          </w:tcPr>
          <w:p>
            <w:pPr>
              <w:pStyle w:val="TableParagraph"/>
              <w:rPr>
                <w:rFonts w:ascii="Times New Roman"/>
                <w:sz w:val="18"/>
              </w:rPr>
            </w:pPr>
          </w:p>
        </w:tc>
        <w:tc>
          <w:tcPr>
            <w:tcW w:w="576" w:type="dxa"/>
          </w:tcPr>
          <w:p>
            <w:pPr>
              <w:pStyle w:val="TableParagraph"/>
              <w:rPr>
                <w:rFonts w:ascii="Times New Roman"/>
                <w:sz w:val="18"/>
              </w:rPr>
            </w:pPr>
          </w:p>
        </w:tc>
        <w:tc>
          <w:tcPr>
            <w:tcW w:w="523" w:type="dxa"/>
          </w:tcPr>
          <w:p>
            <w:pPr>
              <w:pStyle w:val="TableParagraph"/>
              <w:rPr>
                <w:rFonts w:ascii="Times New Roman"/>
                <w:sz w:val="18"/>
              </w:rPr>
            </w:pPr>
          </w:p>
        </w:tc>
        <w:tc>
          <w:tcPr>
            <w:tcW w:w="376" w:type="dxa"/>
            <w:tcBorders>
              <w:right w:val="single" w:sz="4" w:space="0" w:color="000000"/>
            </w:tcBorders>
          </w:tcPr>
          <w:p>
            <w:pPr>
              <w:pStyle w:val="TableParagraph"/>
              <w:spacing w:before="10"/>
              <w:rPr>
                <w:sz w:val="15"/>
              </w:rPr>
            </w:pPr>
          </w:p>
          <w:p>
            <w:pPr>
              <w:pStyle w:val="TableParagraph"/>
              <w:ind w:left="60"/>
              <w:rPr>
                <w:b/>
                <w:sz w:val="16"/>
              </w:rPr>
            </w:pPr>
            <w:r>
              <w:rPr>
                <w:b/>
                <w:w w:val="103"/>
                <w:sz w:val="16"/>
              </w:rPr>
              <w:t>2</w:t>
            </w:r>
          </w:p>
        </w:tc>
      </w:tr>
      <w:tr>
        <w:trPr>
          <w:trHeight w:val="551" w:hRule="atLeast"/>
        </w:trPr>
        <w:tc>
          <w:tcPr>
            <w:tcW w:w="684" w:type="dxa"/>
            <w:tcBorders>
              <w:left w:val="single" w:sz="4" w:space="0" w:color="000000"/>
            </w:tcBorders>
          </w:tcPr>
          <w:p>
            <w:pPr>
              <w:pStyle w:val="TableParagraph"/>
              <w:rPr>
                <w:rFonts w:ascii="Times New Roman"/>
                <w:sz w:val="18"/>
              </w:rPr>
            </w:pPr>
          </w:p>
        </w:tc>
        <w:tc>
          <w:tcPr>
            <w:tcW w:w="575" w:type="dxa"/>
          </w:tcPr>
          <w:p>
            <w:pPr>
              <w:pStyle w:val="TableParagraph"/>
              <w:rPr>
                <w:rFonts w:ascii="Times New Roman"/>
                <w:sz w:val="18"/>
              </w:rPr>
            </w:pPr>
          </w:p>
        </w:tc>
        <w:tc>
          <w:tcPr>
            <w:tcW w:w="549" w:type="dxa"/>
          </w:tcPr>
          <w:p>
            <w:pPr>
              <w:pStyle w:val="TableParagraph"/>
              <w:rPr>
                <w:rFonts w:ascii="Times New Roman"/>
                <w:sz w:val="18"/>
              </w:rPr>
            </w:pPr>
          </w:p>
        </w:tc>
        <w:tc>
          <w:tcPr>
            <w:tcW w:w="2329" w:type="dxa"/>
          </w:tcPr>
          <w:p>
            <w:pPr>
              <w:pStyle w:val="TableParagraph"/>
              <w:rPr>
                <w:rFonts w:ascii="Times New Roman"/>
                <w:sz w:val="18"/>
              </w:rPr>
            </w:pPr>
          </w:p>
        </w:tc>
        <w:tc>
          <w:tcPr>
            <w:tcW w:w="575" w:type="dxa"/>
          </w:tcPr>
          <w:p>
            <w:pPr>
              <w:pStyle w:val="TableParagraph"/>
              <w:rPr>
                <w:rFonts w:ascii="Times New Roman"/>
                <w:sz w:val="18"/>
              </w:rPr>
            </w:pPr>
          </w:p>
        </w:tc>
        <w:tc>
          <w:tcPr>
            <w:tcW w:w="575" w:type="dxa"/>
          </w:tcPr>
          <w:p>
            <w:pPr>
              <w:pStyle w:val="TableParagraph"/>
              <w:rPr>
                <w:rFonts w:ascii="Times New Roman"/>
                <w:sz w:val="18"/>
              </w:rPr>
            </w:pPr>
          </w:p>
        </w:tc>
        <w:tc>
          <w:tcPr>
            <w:tcW w:w="576" w:type="dxa"/>
          </w:tcPr>
          <w:p>
            <w:pPr>
              <w:pStyle w:val="TableParagraph"/>
              <w:rPr>
                <w:rFonts w:ascii="Times New Roman"/>
                <w:sz w:val="18"/>
              </w:rPr>
            </w:pPr>
          </w:p>
        </w:tc>
        <w:tc>
          <w:tcPr>
            <w:tcW w:w="576" w:type="dxa"/>
          </w:tcPr>
          <w:p>
            <w:pPr>
              <w:pStyle w:val="TableParagraph"/>
              <w:rPr>
                <w:rFonts w:ascii="Times New Roman"/>
                <w:sz w:val="18"/>
              </w:rPr>
            </w:pPr>
          </w:p>
        </w:tc>
        <w:tc>
          <w:tcPr>
            <w:tcW w:w="523" w:type="dxa"/>
          </w:tcPr>
          <w:p>
            <w:pPr>
              <w:pStyle w:val="TableParagraph"/>
              <w:rPr>
                <w:rFonts w:ascii="Times New Roman"/>
                <w:sz w:val="18"/>
              </w:rPr>
            </w:pPr>
          </w:p>
        </w:tc>
        <w:tc>
          <w:tcPr>
            <w:tcW w:w="376" w:type="dxa"/>
            <w:tcBorders>
              <w:right w:val="single" w:sz="4" w:space="0" w:color="000000"/>
            </w:tcBorders>
          </w:tcPr>
          <w:p>
            <w:pPr>
              <w:pStyle w:val="TableParagraph"/>
              <w:spacing w:before="10"/>
              <w:rPr>
                <w:sz w:val="15"/>
              </w:rPr>
            </w:pPr>
          </w:p>
          <w:p>
            <w:pPr>
              <w:pStyle w:val="TableParagraph"/>
              <w:ind w:left="60"/>
              <w:rPr>
                <w:b/>
                <w:sz w:val="16"/>
              </w:rPr>
            </w:pPr>
            <w:r>
              <w:rPr>
                <w:b/>
                <w:w w:val="103"/>
                <w:sz w:val="16"/>
              </w:rPr>
              <w:t>0</w:t>
            </w:r>
          </w:p>
        </w:tc>
      </w:tr>
      <w:tr>
        <w:trPr>
          <w:trHeight w:val="362" w:hRule="atLeast"/>
        </w:trPr>
        <w:tc>
          <w:tcPr>
            <w:tcW w:w="684" w:type="dxa"/>
            <w:tcBorders>
              <w:left w:val="single" w:sz="4" w:space="0" w:color="000000"/>
            </w:tcBorders>
          </w:tcPr>
          <w:p>
            <w:pPr>
              <w:pStyle w:val="TableParagraph"/>
              <w:rPr>
                <w:rFonts w:ascii="Times New Roman"/>
                <w:sz w:val="18"/>
              </w:rPr>
            </w:pPr>
          </w:p>
        </w:tc>
        <w:tc>
          <w:tcPr>
            <w:tcW w:w="575" w:type="dxa"/>
          </w:tcPr>
          <w:p>
            <w:pPr>
              <w:pStyle w:val="TableParagraph"/>
              <w:rPr>
                <w:rFonts w:ascii="Times New Roman"/>
                <w:sz w:val="18"/>
              </w:rPr>
            </w:pPr>
          </w:p>
        </w:tc>
        <w:tc>
          <w:tcPr>
            <w:tcW w:w="549" w:type="dxa"/>
          </w:tcPr>
          <w:p>
            <w:pPr>
              <w:pStyle w:val="TableParagraph"/>
              <w:rPr>
                <w:rFonts w:ascii="Times New Roman"/>
                <w:sz w:val="18"/>
              </w:rPr>
            </w:pPr>
          </w:p>
        </w:tc>
        <w:tc>
          <w:tcPr>
            <w:tcW w:w="2329" w:type="dxa"/>
          </w:tcPr>
          <w:p>
            <w:pPr>
              <w:pStyle w:val="TableParagraph"/>
              <w:rPr>
                <w:rFonts w:ascii="Times New Roman"/>
                <w:sz w:val="18"/>
              </w:rPr>
            </w:pPr>
          </w:p>
        </w:tc>
        <w:tc>
          <w:tcPr>
            <w:tcW w:w="575" w:type="dxa"/>
          </w:tcPr>
          <w:p>
            <w:pPr>
              <w:pStyle w:val="TableParagraph"/>
              <w:rPr>
                <w:rFonts w:ascii="Times New Roman"/>
                <w:sz w:val="18"/>
              </w:rPr>
            </w:pPr>
          </w:p>
        </w:tc>
        <w:tc>
          <w:tcPr>
            <w:tcW w:w="575" w:type="dxa"/>
          </w:tcPr>
          <w:p>
            <w:pPr>
              <w:pStyle w:val="TableParagraph"/>
              <w:rPr>
                <w:rFonts w:ascii="Times New Roman"/>
                <w:sz w:val="18"/>
              </w:rPr>
            </w:pPr>
          </w:p>
        </w:tc>
        <w:tc>
          <w:tcPr>
            <w:tcW w:w="576" w:type="dxa"/>
          </w:tcPr>
          <w:p>
            <w:pPr>
              <w:pStyle w:val="TableParagraph"/>
              <w:rPr>
                <w:rFonts w:ascii="Times New Roman"/>
                <w:sz w:val="18"/>
              </w:rPr>
            </w:pPr>
          </w:p>
        </w:tc>
        <w:tc>
          <w:tcPr>
            <w:tcW w:w="576" w:type="dxa"/>
          </w:tcPr>
          <w:p>
            <w:pPr>
              <w:pStyle w:val="TableParagraph"/>
              <w:rPr>
                <w:rFonts w:ascii="Times New Roman"/>
                <w:sz w:val="18"/>
              </w:rPr>
            </w:pPr>
          </w:p>
        </w:tc>
        <w:tc>
          <w:tcPr>
            <w:tcW w:w="523" w:type="dxa"/>
          </w:tcPr>
          <w:p>
            <w:pPr>
              <w:pStyle w:val="TableParagraph"/>
              <w:rPr>
                <w:rFonts w:ascii="Times New Roman"/>
                <w:sz w:val="18"/>
              </w:rPr>
            </w:pPr>
          </w:p>
        </w:tc>
        <w:tc>
          <w:tcPr>
            <w:tcW w:w="376" w:type="dxa"/>
            <w:tcBorders>
              <w:right w:val="single" w:sz="4" w:space="0" w:color="000000"/>
            </w:tcBorders>
          </w:tcPr>
          <w:p>
            <w:pPr>
              <w:pStyle w:val="TableParagraph"/>
              <w:spacing w:before="10"/>
              <w:rPr>
                <w:sz w:val="15"/>
              </w:rPr>
            </w:pPr>
          </w:p>
          <w:p>
            <w:pPr>
              <w:pStyle w:val="TableParagraph"/>
              <w:spacing w:line="160" w:lineRule="exact"/>
              <w:ind w:left="59"/>
              <w:rPr>
                <w:b/>
                <w:sz w:val="16"/>
              </w:rPr>
            </w:pPr>
            <w:r>
              <w:rPr>
                <w:b/>
                <w:w w:val="105"/>
                <w:sz w:val="16"/>
              </w:rPr>
              <w:t>-2</w:t>
            </w:r>
          </w:p>
        </w:tc>
      </w:tr>
      <w:tr>
        <w:trPr>
          <w:trHeight w:val="235" w:hRule="atLeast"/>
        </w:trPr>
        <w:tc>
          <w:tcPr>
            <w:tcW w:w="684" w:type="dxa"/>
            <w:tcBorders>
              <w:left w:val="single" w:sz="4" w:space="0" w:color="000000"/>
            </w:tcBorders>
          </w:tcPr>
          <w:p>
            <w:pPr>
              <w:pStyle w:val="TableParagraph"/>
              <w:rPr>
                <w:rFonts w:ascii="Times New Roman"/>
                <w:sz w:val="16"/>
              </w:rPr>
            </w:pPr>
          </w:p>
        </w:tc>
        <w:tc>
          <w:tcPr>
            <w:tcW w:w="575" w:type="dxa"/>
          </w:tcPr>
          <w:p>
            <w:pPr>
              <w:pStyle w:val="TableParagraph"/>
              <w:rPr>
                <w:rFonts w:ascii="Times New Roman"/>
                <w:sz w:val="16"/>
              </w:rPr>
            </w:pPr>
          </w:p>
        </w:tc>
        <w:tc>
          <w:tcPr>
            <w:tcW w:w="549" w:type="dxa"/>
          </w:tcPr>
          <w:p>
            <w:pPr>
              <w:pStyle w:val="TableParagraph"/>
              <w:rPr>
                <w:rFonts w:ascii="Times New Roman"/>
                <w:sz w:val="16"/>
              </w:rPr>
            </w:pPr>
          </w:p>
        </w:tc>
        <w:tc>
          <w:tcPr>
            <w:tcW w:w="2329" w:type="dxa"/>
          </w:tcPr>
          <w:p>
            <w:pPr>
              <w:pStyle w:val="TableParagraph"/>
              <w:spacing w:line="178" w:lineRule="exact"/>
              <w:ind w:left="85"/>
              <w:rPr>
                <w:b/>
                <w:sz w:val="16"/>
              </w:rPr>
            </w:pPr>
            <w:r>
              <w:rPr>
                <w:b/>
                <w:w w:val="105"/>
                <w:sz w:val="16"/>
              </w:rPr>
              <w:t>UK</w:t>
            </w:r>
          </w:p>
        </w:tc>
        <w:tc>
          <w:tcPr>
            <w:tcW w:w="575" w:type="dxa"/>
          </w:tcPr>
          <w:p>
            <w:pPr>
              <w:pStyle w:val="TableParagraph"/>
              <w:rPr>
                <w:rFonts w:ascii="Times New Roman"/>
                <w:sz w:val="16"/>
              </w:rPr>
            </w:pPr>
          </w:p>
        </w:tc>
        <w:tc>
          <w:tcPr>
            <w:tcW w:w="575" w:type="dxa"/>
          </w:tcPr>
          <w:p>
            <w:pPr>
              <w:pStyle w:val="TableParagraph"/>
              <w:rPr>
                <w:rFonts w:ascii="Times New Roman"/>
                <w:sz w:val="16"/>
              </w:rPr>
            </w:pPr>
          </w:p>
        </w:tc>
        <w:tc>
          <w:tcPr>
            <w:tcW w:w="576" w:type="dxa"/>
          </w:tcPr>
          <w:p>
            <w:pPr>
              <w:pStyle w:val="TableParagraph"/>
              <w:rPr>
                <w:rFonts w:ascii="Times New Roman"/>
                <w:sz w:val="16"/>
              </w:rPr>
            </w:pPr>
          </w:p>
        </w:tc>
        <w:tc>
          <w:tcPr>
            <w:tcW w:w="576" w:type="dxa"/>
          </w:tcPr>
          <w:p>
            <w:pPr>
              <w:pStyle w:val="TableParagraph"/>
              <w:rPr>
                <w:rFonts w:ascii="Times New Roman"/>
                <w:sz w:val="16"/>
              </w:rPr>
            </w:pPr>
          </w:p>
        </w:tc>
        <w:tc>
          <w:tcPr>
            <w:tcW w:w="523" w:type="dxa"/>
          </w:tcPr>
          <w:p>
            <w:pPr>
              <w:pStyle w:val="TableParagraph"/>
              <w:rPr>
                <w:rFonts w:ascii="Times New Roman"/>
                <w:sz w:val="16"/>
              </w:rPr>
            </w:pPr>
          </w:p>
        </w:tc>
        <w:tc>
          <w:tcPr>
            <w:tcW w:w="376" w:type="dxa"/>
            <w:tcBorders>
              <w:right w:val="single" w:sz="4" w:space="0" w:color="000000"/>
            </w:tcBorders>
          </w:tcPr>
          <w:p>
            <w:pPr>
              <w:pStyle w:val="TableParagraph"/>
              <w:rPr>
                <w:rFonts w:ascii="Times New Roman"/>
                <w:sz w:val="16"/>
              </w:rPr>
            </w:pPr>
          </w:p>
        </w:tc>
      </w:tr>
      <w:tr>
        <w:trPr>
          <w:trHeight w:val="465" w:hRule="atLeast"/>
        </w:trPr>
        <w:tc>
          <w:tcPr>
            <w:tcW w:w="684" w:type="dxa"/>
            <w:tcBorders>
              <w:left w:val="single" w:sz="4" w:space="0" w:color="000000"/>
            </w:tcBorders>
          </w:tcPr>
          <w:p>
            <w:pPr>
              <w:pStyle w:val="TableParagraph"/>
              <w:rPr>
                <w:rFonts w:ascii="Times New Roman"/>
                <w:sz w:val="18"/>
              </w:rPr>
            </w:pPr>
          </w:p>
        </w:tc>
        <w:tc>
          <w:tcPr>
            <w:tcW w:w="575" w:type="dxa"/>
          </w:tcPr>
          <w:p>
            <w:pPr>
              <w:pStyle w:val="TableParagraph"/>
              <w:rPr>
                <w:rFonts w:ascii="Times New Roman"/>
                <w:sz w:val="18"/>
              </w:rPr>
            </w:pPr>
          </w:p>
        </w:tc>
        <w:tc>
          <w:tcPr>
            <w:tcW w:w="549" w:type="dxa"/>
          </w:tcPr>
          <w:p>
            <w:pPr>
              <w:pStyle w:val="TableParagraph"/>
              <w:rPr>
                <w:rFonts w:ascii="Times New Roman"/>
                <w:sz w:val="18"/>
              </w:rPr>
            </w:pPr>
          </w:p>
        </w:tc>
        <w:tc>
          <w:tcPr>
            <w:tcW w:w="2329" w:type="dxa"/>
          </w:tcPr>
          <w:p>
            <w:pPr>
              <w:pStyle w:val="TableParagraph"/>
              <w:spacing w:before="55"/>
              <w:ind w:left="85"/>
              <w:rPr>
                <w:b/>
                <w:sz w:val="16"/>
              </w:rPr>
            </w:pPr>
            <w:r>
              <w:rPr>
                <w:b/>
                <w:w w:val="105"/>
                <w:sz w:val="16"/>
              </w:rPr>
              <w:t>World (UK trade-weighted)</w:t>
            </w:r>
          </w:p>
        </w:tc>
        <w:tc>
          <w:tcPr>
            <w:tcW w:w="575" w:type="dxa"/>
          </w:tcPr>
          <w:p>
            <w:pPr>
              <w:pStyle w:val="TableParagraph"/>
              <w:rPr>
                <w:rFonts w:ascii="Times New Roman"/>
                <w:sz w:val="18"/>
              </w:rPr>
            </w:pPr>
          </w:p>
        </w:tc>
        <w:tc>
          <w:tcPr>
            <w:tcW w:w="575" w:type="dxa"/>
          </w:tcPr>
          <w:p>
            <w:pPr>
              <w:pStyle w:val="TableParagraph"/>
              <w:rPr>
                <w:rFonts w:ascii="Times New Roman"/>
                <w:sz w:val="18"/>
              </w:rPr>
            </w:pPr>
          </w:p>
        </w:tc>
        <w:tc>
          <w:tcPr>
            <w:tcW w:w="576" w:type="dxa"/>
          </w:tcPr>
          <w:p>
            <w:pPr>
              <w:pStyle w:val="TableParagraph"/>
              <w:rPr>
                <w:rFonts w:ascii="Times New Roman"/>
                <w:sz w:val="18"/>
              </w:rPr>
            </w:pPr>
          </w:p>
        </w:tc>
        <w:tc>
          <w:tcPr>
            <w:tcW w:w="576" w:type="dxa"/>
          </w:tcPr>
          <w:p>
            <w:pPr>
              <w:pStyle w:val="TableParagraph"/>
              <w:rPr>
                <w:rFonts w:ascii="Times New Roman"/>
                <w:sz w:val="18"/>
              </w:rPr>
            </w:pPr>
          </w:p>
        </w:tc>
        <w:tc>
          <w:tcPr>
            <w:tcW w:w="523" w:type="dxa"/>
          </w:tcPr>
          <w:p>
            <w:pPr>
              <w:pStyle w:val="TableParagraph"/>
              <w:rPr>
                <w:rFonts w:ascii="Times New Roman"/>
                <w:sz w:val="18"/>
              </w:rPr>
            </w:pPr>
          </w:p>
        </w:tc>
        <w:tc>
          <w:tcPr>
            <w:tcW w:w="376" w:type="dxa"/>
            <w:tcBorders>
              <w:right w:val="single" w:sz="4" w:space="0" w:color="000000"/>
            </w:tcBorders>
          </w:tcPr>
          <w:p>
            <w:pPr>
              <w:pStyle w:val="TableParagraph"/>
              <w:spacing w:before="138"/>
              <w:ind w:left="59"/>
              <w:rPr>
                <w:b/>
                <w:sz w:val="16"/>
              </w:rPr>
            </w:pPr>
            <w:r>
              <w:rPr>
                <w:b/>
                <w:w w:val="105"/>
                <w:sz w:val="16"/>
              </w:rPr>
              <w:t>-4</w:t>
            </w:r>
          </w:p>
        </w:tc>
      </w:tr>
      <w:tr>
        <w:trPr>
          <w:trHeight w:val="420" w:hRule="atLeast"/>
        </w:trPr>
        <w:tc>
          <w:tcPr>
            <w:tcW w:w="684" w:type="dxa"/>
            <w:tcBorders>
              <w:left w:val="single" w:sz="4" w:space="0" w:color="000000"/>
            </w:tcBorders>
          </w:tcPr>
          <w:p>
            <w:pPr>
              <w:pStyle w:val="TableParagraph"/>
              <w:rPr>
                <w:rFonts w:ascii="Times New Roman"/>
                <w:sz w:val="18"/>
              </w:rPr>
            </w:pPr>
          </w:p>
        </w:tc>
        <w:tc>
          <w:tcPr>
            <w:tcW w:w="575" w:type="dxa"/>
          </w:tcPr>
          <w:p>
            <w:pPr>
              <w:pStyle w:val="TableParagraph"/>
              <w:rPr>
                <w:rFonts w:ascii="Times New Roman"/>
                <w:sz w:val="18"/>
              </w:rPr>
            </w:pPr>
          </w:p>
        </w:tc>
        <w:tc>
          <w:tcPr>
            <w:tcW w:w="549" w:type="dxa"/>
          </w:tcPr>
          <w:p>
            <w:pPr>
              <w:pStyle w:val="TableParagraph"/>
              <w:rPr>
                <w:rFonts w:ascii="Times New Roman"/>
                <w:sz w:val="18"/>
              </w:rPr>
            </w:pPr>
          </w:p>
        </w:tc>
        <w:tc>
          <w:tcPr>
            <w:tcW w:w="2329" w:type="dxa"/>
          </w:tcPr>
          <w:p>
            <w:pPr>
              <w:pStyle w:val="TableParagraph"/>
              <w:rPr>
                <w:rFonts w:ascii="Times New Roman"/>
                <w:sz w:val="18"/>
              </w:rPr>
            </w:pPr>
          </w:p>
        </w:tc>
        <w:tc>
          <w:tcPr>
            <w:tcW w:w="575" w:type="dxa"/>
          </w:tcPr>
          <w:p>
            <w:pPr>
              <w:pStyle w:val="TableParagraph"/>
              <w:rPr>
                <w:rFonts w:ascii="Times New Roman"/>
                <w:sz w:val="18"/>
              </w:rPr>
            </w:pPr>
          </w:p>
        </w:tc>
        <w:tc>
          <w:tcPr>
            <w:tcW w:w="575" w:type="dxa"/>
          </w:tcPr>
          <w:p>
            <w:pPr>
              <w:pStyle w:val="TableParagraph"/>
              <w:rPr>
                <w:rFonts w:ascii="Times New Roman"/>
                <w:sz w:val="18"/>
              </w:rPr>
            </w:pPr>
          </w:p>
        </w:tc>
        <w:tc>
          <w:tcPr>
            <w:tcW w:w="576" w:type="dxa"/>
          </w:tcPr>
          <w:p>
            <w:pPr>
              <w:pStyle w:val="TableParagraph"/>
              <w:rPr>
                <w:rFonts w:ascii="Times New Roman"/>
                <w:sz w:val="18"/>
              </w:rPr>
            </w:pPr>
          </w:p>
        </w:tc>
        <w:tc>
          <w:tcPr>
            <w:tcW w:w="576" w:type="dxa"/>
          </w:tcPr>
          <w:p>
            <w:pPr>
              <w:pStyle w:val="TableParagraph"/>
              <w:rPr>
                <w:rFonts w:ascii="Times New Roman"/>
                <w:sz w:val="18"/>
              </w:rPr>
            </w:pPr>
          </w:p>
        </w:tc>
        <w:tc>
          <w:tcPr>
            <w:tcW w:w="523" w:type="dxa"/>
          </w:tcPr>
          <w:p>
            <w:pPr>
              <w:pStyle w:val="TableParagraph"/>
              <w:rPr>
                <w:rFonts w:ascii="Times New Roman"/>
                <w:sz w:val="18"/>
              </w:rPr>
            </w:pPr>
          </w:p>
        </w:tc>
        <w:tc>
          <w:tcPr>
            <w:tcW w:w="376" w:type="dxa"/>
            <w:tcBorders>
              <w:right w:val="single" w:sz="4" w:space="0" w:color="000000"/>
            </w:tcBorders>
          </w:tcPr>
          <w:p>
            <w:pPr>
              <w:pStyle w:val="TableParagraph"/>
              <w:spacing w:before="6"/>
              <w:rPr>
                <w:sz w:val="19"/>
              </w:rPr>
            </w:pPr>
          </w:p>
          <w:p>
            <w:pPr>
              <w:pStyle w:val="TableParagraph"/>
              <w:spacing w:line="175" w:lineRule="exact"/>
              <w:ind w:left="59"/>
              <w:rPr>
                <w:b/>
                <w:sz w:val="16"/>
              </w:rPr>
            </w:pPr>
            <w:r>
              <w:rPr>
                <w:b/>
                <w:w w:val="105"/>
                <w:sz w:val="16"/>
              </w:rPr>
              <w:t>-6</w:t>
            </w:r>
          </w:p>
        </w:tc>
      </w:tr>
      <w:tr>
        <w:trPr>
          <w:trHeight w:val="434" w:hRule="atLeast"/>
        </w:trPr>
        <w:tc>
          <w:tcPr>
            <w:tcW w:w="684" w:type="dxa"/>
            <w:tcBorders>
              <w:left w:val="single" w:sz="4" w:space="0" w:color="000000"/>
              <w:bottom w:val="single" w:sz="4" w:space="0" w:color="000000"/>
            </w:tcBorders>
          </w:tcPr>
          <w:p>
            <w:pPr>
              <w:pStyle w:val="TableParagraph"/>
              <w:spacing w:before="9"/>
              <w:ind w:left="215"/>
              <w:rPr>
                <w:b/>
                <w:sz w:val="16"/>
              </w:rPr>
            </w:pPr>
            <w:r>
              <w:rPr>
                <w:b/>
                <w:w w:val="105"/>
                <w:sz w:val="16"/>
              </w:rPr>
              <w:t>1989</w:t>
            </w:r>
          </w:p>
        </w:tc>
        <w:tc>
          <w:tcPr>
            <w:tcW w:w="575" w:type="dxa"/>
            <w:tcBorders>
              <w:bottom w:val="single" w:sz="4" w:space="0" w:color="000000"/>
            </w:tcBorders>
          </w:tcPr>
          <w:p>
            <w:pPr>
              <w:pStyle w:val="TableParagraph"/>
              <w:spacing w:before="9"/>
              <w:ind w:left="111"/>
              <w:rPr>
                <w:b/>
                <w:sz w:val="16"/>
              </w:rPr>
            </w:pPr>
            <w:r>
              <w:rPr>
                <w:b/>
                <w:w w:val="105"/>
                <w:sz w:val="16"/>
              </w:rPr>
              <w:t>1991</w:t>
            </w:r>
          </w:p>
        </w:tc>
        <w:tc>
          <w:tcPr>
            <w:tcW w:w="549" w:type="dxa"/>
            <w:tcBorders>
              <w:bottom w:val="single" w:sz="4" w:space="0" w:color="000000"/>
            </w:tcBorders>
          </w:tcPr>
          <w:p>
            <w:pPr>
              <w:pStyle w:val="TableParagraph"/>
              <w:spacing w:before="9"/>
              <w:ind w:left="112"/>
              <w:rPr>
                <w:b/>
                <w:sz w:val="16"/>
              </w:rPr>
            </w:pPr>
            <w:r>
              <w:rPr>
                <w:b/>
                <w:w w:val="105"/>
                <w:sz w:val="16"/>
              </w:rPr>
              <w:t>1993</w:t>
            </w:r>
          </w:p>
        </w:tc>
        <w:tc>
          <w:tcPr>
            <w:tcW w:w="2329" w:type="dxa"/>
            <w:tcBorders>
              <w:bottom w:val="single" w:sz="4" w:space="0" w:color="000000"/>
            </w:tcBorders>
          </w:tcPr>
          <w:p>
            <w:pPr>
              <w:pStyle w:val="TableParagraph"/>
              <w:tabs>
                <w:tab w:pos="715" w:val="left" w:leader="none"/>
                <w:tab w:pos="1289" w:val="left" w:leader="none"/>
                <w:tab w:pos="1865" w:val="left" w:leader="none"/>
              </w:tabs>
              <w:spacing w:before="9"/>
              <w:ind w:left="139"/>
              <w:rPr>
                <w:b/>
                <w:sz w:val="16"/>
              </w:rPr>
            </w:pPr>
            <w:r>
              <w:rPr>
                <w:b/>
                <w:w w:val="105"/>
                <w:sz w:val="16"/>
              </w:rPr>
              <w:t>1995</w:t>
              <w:tab/>
              <w:t>1997</w:t>
              <w:tab/>
              <w:t>1999</w:t>
              <w:tab/>
              <w:t>2001</w:t>
            </w:r>
          </w:p>
        </w:tc>
        <w:tc>
          <w:tcPr>
            <w:tcW w:w="575" w:type="dxa"/>
            <w:tcBorders>
              <w:bottom w:val="single" w:sz="4" w:space="0" w:color="000000"/>
            </w:tcBorders>
          </w:tcPr>
          <w:p>
            <w:pPr>
              <w:pStyle w:val="TableParagraph"/>
              <w:spacing w:before="9"/>
              <w:ind w:left="112"/>
              <w:rPr>
                <w:b/>
                <w:sz w:val="16"/>
              </w:rPr>
            </w:pPr>
            <w:r>
              <w:rPr>
                <w:b/>
                <w:w w:val="105"/>
                <w:sz w:val="16"/>
              </w:rPr>
              <w:t>2003</w:t>
            </w:r>
          </w:p>
        </w:tc>
        <w:tc>
          <w:tcPr>
            <w:tcW w:w="575" w:type="dxa"/>
            <w:tcBorders>
              <w:bottom w:val="single" w:sz="4" w:space="0" w:color="000000"/>
            </w:tcBorders>
          </w:tcPr>
          <w:p>
            <w:pPr>
              <w:pStyle w:val="TableParagraph"/>
              <w:spacing w:before="9"/>
              <w:ind w:left="112"/>
              <w:rPr>
                <w:b/>
                <w:sz w:val="16"/>
              </w:rPr>
            </w:pPr>
            <w:r>
              <w:rPr>
                <w:b/>
                <w:w w:val="105"/>
                <w:sz w:val="16"/>
              </w:rPr>
              <w:t>2005</w:t>
            </w:r>
          </w:p>
        </w:tc>
        <w:tc>
          <w:tcPr>
            <w:tcW w:w="576" w:type="dxa"/>
            <w:tcBorders>
              <w:bottom w:val="single" w:sz="4" w:space="0" w:color="000000"/>
            </w:tcBorders>
          </w:tcPr>
          <w:p>
            <w:pPr>
              <w:pStyle w:val="TableParagraph"/>
              <w:spacing w:before="9"/>
              <w:ind w:left="113"/>
              <w:rPr>
                <w:b/>
                <w:sz w:val="16"/>
              </w:rPr>
            </w:pPr>
            <w:r>
              <w:rPr>
                <w:b/>
                <w:w w:val="105"/>
                <w:sz w:val="16"/>
              </w:rPr>
              <w:t>2007</w:t>
            </w:r>
          </w:p>
        </w:tc>
        <w:tc>
          <w:tcPr>
            <w:tcW w:w="576" w:type="dxa"/>
            <w:tcBorders>
              <w:bottom w:val="single" w:sz="4" w:space="0" w:color="000000"/>
            </w:tcBorders>
          </w:tcPr>
          <w:p>
            <w:pPr>
              <w:pStyle w:val="TableParagraph"/>
              <w:spacing w:before="9"/>
              <w:ind w:left="113"/>
              <w:rPr>
                <w:b/>
                <w:sz w:val="16"/>
              </w:rPr>
            </w:pPr>
            <w:r>
              <w:rPr>
                <w:b/>
                <w:w w:val="105"/>
                <w:sz w:val="16"/>
              </w:rPr>
              <w:t>2009</w:t>
            </w:r>
          </w:p>
        </w:tc>
        <w:tc>
          <w:tcPr>
            <w:tcW w:w="523" w:type="dxa"/>
            <w:tcBorders>
              <w:bottom w:val="single" w:sz="4" w:space="0" w:color="000000"/>
            </w:tcBorders>
          </w:tcPr>
          <w:p>
            <w:pPr>
              <w:pStyle w:val="TableParagraph"/>
              <w:spacing w:before="9"/>
              <w:ind w:left="113"/>
              <w:rPr>
                <w:b/>
                <w:sz w:val="16"/>
              </w:rPr>
            </w:pPr>
            <w:r>
              <w:rPr>
                <w:b/>
                <w:w w:val="105"/>
                <w:sz w:val="16"/>
              </w:rPr>
              <w:t>2011</w:t>
            </w:r>
          </w:p>
        </w:tc>
        <w:tc>
          <w:tcPr>
            <w:tcW w:w="376" w:type="dxa"/>
            <w:tcBorders>
              <w:bottom w:val="single" w:sz="4" w:space="0" w:color="000000"/>
              <w:right w:val="single" w:sz="4" w:space="0" w:color="000000"/>
            </w:tcBorders>
          </w:tcPr>
          <w:p>
            <w:pPr>
              <w:pStyle w:val="TableParagraph"/>
              <w:rPr>
                <w:rFonts w:ascii="Times New Roman"/>
                <w:sz w:val="18"/>
              </w:rPr>
            </w:pPr>
          </w:p>
        </w:tc>
      </w:tr>
      <w:tr>
        <w:trPr>
          <w:trHeight w:val="1200" w:hRule="atLeast"/>
        </w:trPr>
        <w:tc>
          <w:tcPr>
            <w:tcW w:w="7338" w:type="dxa"/>
            <w:gridSpan w:val="10"/>
            <w:tcBorders>
              <w:top w:val="single" w:sz="4" w:space="0" w:color="000000"/>
              <w:left w:val="single" w:sz="4" w:space="0" w:color="000000"/>
              <w:bottom w:val="single" w:sz="4" w:space="0" w:color="000000"/>
              <w:right w:val="single" w:sz="4" w:space="0" w:color="000000"/>
            </w:tcBorders>
          </w:tcPr>
          <w:p>
            <w:pPr>
              <w:pStyle w:val="TableParagraph"/>
              <w:spacing w:before="8"/>
              <w:rPr>
                <w:sz w:val="16"/>
              </w:rPr>
            </w:pPr>
          </w:p>
          <w:p>
            <w:pPr>
              <w:pStyle w:val="TableParagraph"/>
              <w:spacing w:line="393" w:lineRule="auto"/>
              <w:ind w:left="107" w:right="257"/>
              <w:rPr>
                <w:sz w:val="18"/>
              </w:rPr>
            </w:pPr>
            <w:r>
              <w:rPr>
                <w:sz w:val="18"/>
              </w:rPr>
              <w:t>Note: 2011 growth rate for the UK are consensus forecasts; those for the world are IMF forecasts.</w:t>
            </w:r>
          </w:p>
          <w:p>
            <w:pPr>
              <w:pStyle w:val="TableParagraph"/>
              <w:spacing w:before="60"/>
              <w:ind w:left="107"/>
              <w:rPr>
                <w:sz w:val="18"/>
              </w:rPr>
            </w:pPr>
            <w:r>
              <w:rPr>
                <w:sz w:val="18"/>
              </w:rPr>
              <w:t>Source: ONS, IMF World Economic Outlook, Consensus Economics</w:t>
            </w:r>
          </w:p>
        </w:tc>
      </w:tr>
    </w:tbl>
    <w:p>
      <w:pPr>
        <w:pStyle w:val="BodyText"/>
        <w:spacing w:before="7"/>
        <w:rPr>
          <w:sz w:val="21"/>
        </w:rPr>
      </w:pPr>
    </w:p>
    <w:p>
      <w:pPr>
        <w:pStyle w:val="BodyText"/>
        <w:spacing w:line="360" w:lineRule="auto" w:before="94"/>
        <w:ind w:left="233" w:right="288"/>
      </w:pPr>
      <w:r>
        <w:rPr/>
        <w:t>While the impact of the recent Japanese earthquake and tsunami is very tragic and we are likely to see continued political turbulence in Middle East and North Africa, I would expect these developments to have only short-term effects on global growth. The economies of Asia and other emerging markets are likely to continue to provide strong momentum to global growth, and the gradual recovery which is emerging in the United States and continental Europe should continue to gather momentum. As Chart 4 shows, the growth of the UK economy follows quite closely the trade-weighted average of our major trading partners - and the IMF and other economic forecasters are projecting the continuation of relatively strong growth across the world economy this year and next.</w:t>
      </w:r>
    </w:p>
    <w:p>
      <w:pPr>
        <w:pStyle w:val="BodyText"/>
        <w:rPr>
          <w:sz w:val="30"/>
        </w:rPr>
      </w:pPr>
    </w:p>
    <w:p>
      <w:pPr>
        <w:pStyle w:val="BodyText"/>
        <w:spacing w:line="360" w:lineRule="auto"/>
        <w:ind w:left="233" w:right="165"/>
      </w:pPr>
      <w:r>
        <w:rPr/>
        <w:t>Business investment should also be a positive force for growth over the next couple of years. The latest CBI Industrial Trends Survey showed the strongest investment intentions in manufacturing industry since 1997 and the Bank of England Agents’ reports also indicate healthy investment intentions (see Chart 5), in both the manufacturing and services sectors. Many companies are dusting off investment plans that they put on hold in 2008 as the economy moved into recession, and the latest GDP figures show a 10% rise in business investment has already taken place over the past year.</w:t>
      </w:r>
    </w:p>
    <w:p>
      <w:pPr>
        <w:spacing w:after="0" w:line="360" w:lineRule="auto"/>
        <w:sectPr>
          <w:pgSz w:w="11900" w:h="16840"/>
          <w:pgMar w:header="0" w:footer="1340" w:top="1600" w:bottom="1540" w:left="900" w:right="1020"/>
        </w:sectPr>
      </w:pPr>
    </w:p>
    <w:p>
      <w:pPr>
        <w:pStyle w:val="BodyText"/>
      </w:pPr>
    </w:p>
    <w:p>
      <w:pPr>
        <w:pStyle w:val="BodyText"/>
        <w:spacing w:before="7" w:after="1"/>
        <w:rPr>
          <w:sz w:val="11"/>
        </w:rPr>
      </w:pPr>
    </w:p>
    <w:tbl>
      <w:tblPr>
        <w:tblW w:w="0" w:type="auto"/>
        <w:jc w:val="left"/>
        <w:tblInd w:w="1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0"/>
        <w:gridCol w:w="585"/>
        <w:gridCol w:w="584"/>
        <w:gridCol w:w="1752"/>
        <w:gridCol w:w="584"/>
        <w:gridCol w:w="585"/>
        <w:gridCol w:w="585"/>
        <w:gridCol w:w="584"/>
        <w:gridCol w:w="585"/>
        <w:gridCol w:w="770"/>
      </w:tblGrid>
      <w:tr>
        <w:trPr>
          <w:trHeight w:val="860" w:hRule="atLeast"/>
        </w:trPr>
        <w:tc>
          <w:tcPr>
            <w:tcW w:w="7344" w:type="dxa"/>
            <w:gridSpan w:val="10"/>
            <w:tcBorders>
              <w:top w:val="single" w:sz="4" w:space="0" w:color="000000"/>
              <w:left w:val="single" w:sz="4" w:space="0" w:color="000000"/>
              <w:bottom w:val="single" w:sz="4" w:space="0" w:color="000000"/>
              <w:right w:val="single" w:sz="4" w:space="0" w:color="000000"/>
            </w:tcBorders>
          </w:tcPr>
          <w:p>
            <w:pPr>
              <w:pStyle w:val="TableParagraph"/>
              <w:spacing w:before="168"/>
              <w:ind w:left="107"/>
              <w:rPr>
                <w:b/>
                <w:sz w:val="20"/>
              </w:rPr>
            </w:pPr>
            <w:r>
              <w:rPr>
                <w:b/>
                <w:sz w:val="20"/>
              </w:rPr>
              <w:t>Chart 5 – Investment intentions*</w:t>
            </w:r>
          </w:p>
          <w:p>
            <w:pPr>
              <w:pStyle w:val="TableParagraph"/>
              <w:spacing w:before="169"/>
              <w:ind w:left="107"/>
              <w:rPr>
                <w:sz w:val="20"/>
              </w:rPr>
            </w:pPr>
            <w:r>
              <w:rPr>
                <w:sz w:val="20"/>
              </w:rPr>
              <w:t>Bank of England Agents’ scores</w:t>
            </w:r>
          </w:p>
        </w:tc>
      </w:tr>
      <w:tr>
        <w:trPr>
          <w:trHeight w:val="456" w:hRule="atLeast"/>
        </w:trPr>
        <w:tc>
          <w:tcPr>
            <w:tcW w:w="730" w:type="dxa"/>
            <w:tcBorders>
              <w:top w:val="single" w:sz="4" w:space="0" w:color="000000"/>
              <w:left w:val="single" w:sz="4" w:space="0" w:color="000000"/>
            </w:tcBorders>
          </w:tcPr>
          <w:p>
            <w:pPr>
              <w:pStyle w:val="TableParagraph"/>
              <w:rPr>
                <w:rFonts w:ascii="Times New Roman"/>
                <w:sz w:val="18"/>
              </w:rPr>
            </w:pPr>
          </w:p>
        </w:tc>
        <w:tc>
          <w:tcPr>
            <w:tcW w:w="585" w:type="dxa"/>
            <w:tcBorders>
              <w:top w:val="single" w:sz="4" w:space="0" w:color="000000"/>
            </w:tcBorders>
          </w:tcPr>
          <w:p>
            <w:pPr>
              <w:pStyle w:val="TableParagraph"/>
              <w:rPr>
                <w:rFonts w:ascii="Times New Roman"/>
                <w:sz w:val="18"/>
              </w:rPr>
            </w:pPr>
          </w:p>
        </w:tc>
        <w:tc>
          <w:tcPr>
            <w:tcW w:w="584" w:type="dxa"/>
            <w:tcBorders>
              <w:top w:val="single" w:sz="4" w:space="0" w:color="000000"/>
            </w:tcBorders>
          </w:tcPr>
          <w:p>
            <w:pPr>
              <w:pStyle w:val="TableParagraph"/>
              <w:rPr>
                <w:rFonts w:ascii="Times New Roman"/>
                <w:sz w:val="18"/>
              </w:rPr>
            </w:pPr>
          </w:p>
        </w:tc>
        <w:tc>
          <w:tcPr>
            <w:tcW w:w="1752" w:type="dxa"/>
            <w:tcBorders>
              <w:top w:val="single" w:sz="4" w:space="0" w:color="000000"/>
            </w:tcBorders>
          </w:tcPr>
          <w:p>
            <w:pPr>
              <w:pStyle w:val="TableParagraph"/>
              <w:rPr>
                <w:rFonts w:ascii="Times New Roman"/>
                <w:sz w:val="18"/>
              </w:rPr>
            </w:pPr>
          </w:p>
        </w:tc>
        <w:tc>
          <w:tcPr>
            <w:tcW w:w="584" w:type="dxa"/>
            <w:tcBorders>
              <w:top w:val="single" w:sz="4" w:space="0" w:color="000000"/>
            </w:tcBorders>
          </w:tcPr>
          <w:p>
            <w:pPr>
              <w:pStyle w:val="TableParagraph"/>
              <w:rPr>
                <w:rFonts w:ascii="Times New Roman"/>
                <w:sz w:val="18"/>
              </w:rPr>
            </w:pPr>
          </w:p>
        </w:tc>
        <w:tc>
          <w:tcPr>
            <w:tcW w:w="585" w:type="dxa"/>
            <w:tcBorders>
              <w:top w:val="single" w:sz="4" w:space="0" w:color="000000"/>
            </w:tcBorders>
          </w:tcPr>
          <w:p>
            <w:pPr>
              <w:pStyle w:val="TableParagraph"/>
              <w:rPr>
                <w:rFonts w:ascii="Times New Roman"/>
                <w:sz w:val="18"/>
              </w:rPr>
            </w:pPr>
          </w:p>
        </w:tc>
        <w:tc>
          <w:tcPr>
            <w:tcW w:w="585" w:type="dxa"/>
            <w:tcBorders>
              <w:top w:val="single" w:sz="4" w:space="0" w:color="000000"/>
            </w:tcBorders>
          </w:tcPr>
          <w:p>
            <w:pPr>
              <w:pStyle w:val="TableParagraph"/>
              <w:rPr>
                <w:rFonts w:ascii="Times New Roman"/>
                <w:sz w:val="18"/>
              </w:rPr>
            </w:pPr>
          </w:p>
        </w:tc>
        <w:tc>
          <w:tcPr>
            <w:tcW w:w="584" w:type="dxa"/>
            <w:tcBorders>
              <w:top w:val="single" w:sz="4" w:space="0" w:color="000000"/>
            </w:tcBorders>
          </w:tcPr>
          <w:p>
            <w:pPr>
              <w:pStyle w:val="TableParagraph"/>
              <w:rPr>
                <w:rFonts w:ascii="Times New Roman"/>
                <w:sz w:val="18"/>
              </w:rPr>
            </w:pPr>
          </w:p>
        </w:tc>
        <w:tc>
          <w:tcPr>
            <w:tcW w:w="585" w:type="dxa"/>
            <w:tcBorders>
              <w:top w:val="single" w:sz="4" w:space="0" w:color="000000"/>
            </w:tcBorders>
          </w:tcPr>
          <w:p>
            <w:pPr>
              <w:pStyle w:val="TableParagraph"/>
              <w:rPr>
                <w:rFonts w:ascii="Times New Roman"/>
                <w:sz w:val="18"/>
              </w:rPr>
            </w:pPr>
          </w:p>
        </w:tc>
        <w:tc>
          <w:tcPr>
            <w:tcW w:w="770" w:type="dxa"/>
            <w:tcBorders>
              <w:top w:val="single" w:sz="4" w:space="0" w:color="000000"/>
              <w:right w:val="single" w:sz="4" w:space="0" w:color="000000"/>
            </w:tcBorders>
          </w:tcPr>
          <w:p>
            <w:pPr>
              <w:pStyle w:val="TableParagraph"/>
              <w:spacing w:before="7"/>
              <w:rPr>
                <w:sz w:val="15"/>
              </w:rPr>
            </w:pPr>
          </w:p>
          <w:p>
            <w:pPr>
              <w:pStyle w:val="TableParagraph"/>
              <w:ind w:right="214"/>
              <w:jc w:val="right"/>
              <w:rPr>
                <w:b/>
                <w:sz w:val="16"/>
              </w:rPr>
            </w:pPr>
            <w:r>
              <w:rPr>
                <w:b/>
                <w:w w:val="103"/>
                <w:sz w:val="16"/>
              </w:rPr>
              <w:t>4</w:t>
            </w:r>
          </w:p>
        </w:tc>
      </w:tr>
      <w:tr>
        <w:trPr>
          <w:trHeight w:val="367" w:hRule="atLeast"/>
        </w:trPr>
        <w:tc>
          <w:tcPr>
            <w:tcW w:w="730" w:type="dxa"/>
            <w:tcBorders>
              <w:left w:val="single" w:sz="4" w:space="0" w:color="000000"/>
            </w:tcBorders>
          </w:tcPr>
          <w:p>
            <w:pPr>
              <w:pStyle w:val="TableParagraph"/>
              <w:rPr>
                <w:rFonts w:ascii="Times New Roman"/>
                <w:sz w:val="18"/>
              </w:rPr>
            </w:pPr>
          </w:p>
        </w:tc>
        <w:tc>
          <w:tcPr>
            <w:tcW w:w="585" w:type="dxa"/>
          </w:tcPr>
          <w:p>
            <w:pPr>
              <w:pStyle w:val="TableParagraph"/>
              <w:rPr>
                <w:rFonts w:ascii="Times New Roman"/>
                <w:sz w:val="18"/>
              </w:rPr>
            </w:pPr>
          </w:p>
        </w:tc>
        <w:tc>
          <w:tcPr>
            <w:tcW w:w="584" w:type="dxa"/>
          </w:tcPr>
          <w:p>
            <w:pPr>
              <w:pStyle w:val="TableParagraph"/>
              <w:rPr>
                <w:rFonts w:ascii="Times New Roman"/>
                <w:sz w:val="18"/>
              </w:rPr>
            </w:pPr>
          </w:p>
        </w:tc>
        <w:tc>
          <w:tcPr>
            <w:tcW w:w="1752" w:type="dxa"/>
          </w:tcPr>
          <w:p>
            <w:pPr>
              <w:pStyle w:val="TableParagraph"/>
              <w:rPr>
                <w:rFonts w:ascii="Times New Roman"/>
                <w:sz w:val="18"/>
              </w:rPr>
            </w:pPr>
          </w:p>
        </w:tc>
        <w:tc>
          <w:tcPr>
            <w:tcW w:w="584" w:type="dxa"/>
          </w:tcPr>
          <w:p>
            <w:pPr>
              <w:pStyle w:val="TableParagraph"/>
              <w:rPr>
                <w:rFonts w:ascii="Times New Roman"/>
                <w:sz w:val="18"/>
              </w:rPr>
            </w:pPr>
          </w:p>
        </w:tc>
        <w:tc>
          <w:tcPr>
            <w:tcW w:w="585" w:type="dxa"/>
          </w:tcPr>
          <w:p>
            <w:pPr>
              <w:pStyle w:val="TableParagraph"/>
              <w:rPr>
                <w:rFonts w:ascii="Times New Roman"/>
                <w:sz w:val="18"/>
              </w:rPr>
            </w:pPr>
          </w:p>
        </w:tc>
        <w:tc>
          <w:tcPr>
            <w:tcW w:w="585" w:type="dxa"/>
          </w:tcPr>
          <w:p>
            <w:pPr>
              <w:pStyle w:val="TableParagraph"/>
              <w:rPr>
                <w:rFonts w:ascii="Times New Roman"/>
                <w:sz w:val="18"/>
              </w:rPr>
            </w:pPr>
          </w:p>
        </w:tc>
        <w:tc>
          <w:tcPr>
            <w:tcW w:w="584" w:type="dxa"/>
          </w:tcPr>
          <w:p>
            <w:pPr>
              <w:pStyle w:val="TableParagraph"/>
              <w:rPr>
                <w:rFonts w:ascii="Times New Roman"/>
                <w:sz w:val="18"/>
              </w:rPr>
            </w:pPr>
          </w:p>
        </w:tc>
        <w:tc>
          <w:tcPr>
            <w:tcW w:w="585" w:type="dxa"/>
          </w:tcPr>
          <w:p>
            <w:pPr>
              <w:pStyle w:val="TableParagraph"/>
              <w:rPr>
                <w:rFonts w:ascii="Times New Roman"/>
                <w:sz w:val="18"/>
              </w:rPr>
            </w:pPr>
          </w:p>
        </w:tc>
        <w:tc>
          <w:tcPr>
            <w:tcW w:w="770" w:type="dxa"/>
            <w:tcBorders>
              <w:right w:val="single" w:sz="4" w:space="0" w:color="000000"/>
            </w:tcBorders>
          </w:tcPr>
          <w:p>
            <w:pPr>
              <w:pStyle w:val="TableParagraph"/>
              <w:spacing w:before="90"/>
              <w:ind w:right="214"/>
              <w:jc w:val="right"/>
              <w:rPr>
                <w:b/>
                <w:sz w:val="16"/>
              </w:rPr>
            </w:pPr>
            <w:r>
              <w:rPr>
                <w:b/>
                <w:w w:val="103"/>
                <w:sz w:val="16"/>
              </w:rPr>
              <w:t>3</w:t>
            </w:r>
          </w:p>
        </w:tc>
      </w:tr>
      <w:tr>
        <w:trPr>
          <w:trHeight w:val="368" w:hRule="atLeast"/>
        </w:trPr>
        <w:tc>
          <w:tcPr>
            <w:tcW w:w="730" w:type="dxa"/>
            <w:tcBorders>
              <w:left w:val="single" w:sz="4" w:space="0" w:color="000000"/>
            </w:tcBorders>
          </w:tcPr>
          <w:p>
            <w:pPr>
              <w:pStyle w:val="TableParagraph"/>
              <w:rPr>
                <w:rFonts w:ascii="Times New Roman"/>
                <w:sz w:val="18"/>
              </w:rPr>
            </w:pPr>
          </w:p>
        </w:tc>
        <w:tc>
          <w:tcPr>
            <w:tcW w:w="585" w:type="dxa"/>
          </w:tcPr>
          <w:p>
            <w:pPr>
              <w:pStyle w:val="TableParagraph"/>
              <w:rPr>
                <w:rFonts w:ascii="Times New Roman"/>
                <w:sz w:val="18"/>
              </w:rPr>
            </w:pPr>
          </w:p>
        </w:tc>
        <w:tc>
          <w:tcPr>
            <w:tcW w:w="584" w:type="dxa"/>
          </w:tcPr>
          <w:p>
            <w:pPr>
              <w:pStyle w:val="TableParagraph"/>
              <w:rPr>
                <w:rFonts w:ascii="Times New Roman"/>
                <w:sz w:val="18"/>
              </w:rPr>
            </w:pPr>
          </w:p>
        </w:tc>
        <w:tc>
          <w:tcPr>
            <w:tcW w:w="1752" w:type="dxa"/>
          </w:tcPr>
          <w:p>
            <w:pPr>
              <w:pStyle w:val="TableParagraph"/>
              <w:rPr>
                <w:rFonts w:ascii="Times New Roman"/>
                <w:sz w:val="18"/>
              </w:rPr>
            </w:pPr>
          </w:p>
        </w:tc>
        <w:tc>
          <w:tcPr>
            <w:tcW w:w="584" w:type="dxa"/>
          </w:tcPr>
          <w:p>
            <w:pPr>
              <w:pStyle w:val="TableParagraph"/>
              <w:rPr>
                <w:rFonts w:ascii="Times New Roman"/>
                <w:sz w:val="18"/>
              </w:rPr>
            </w:pPr>
          </w:p>
        </w:tc>
        <w:tc>
          <w:tcPr>
            <w:tcW w:w="585" w:type="dxa"/>
          </w:tcPr>
          <w:p>
            <w:pPr>
              <w:pStyle w:val="TableParagraph"/>
              <w:rPr>
                <w:rFonts w:ascii="Times New Roman"/>
                <w:sz w:val="18"/>
              </w:rPr>
            </w:pPr>
          </w:p>
        </w:tc>
        <w:tc>
          <w:tcPr>
            <w:tcW w:w="585" w:type="dxa"/>
          </w:tcPr>
          <w:p>
            <w:pPr>
              <w:pStyle w:val="TableParagraph"/>
              <w:rPr>
                <w:rFonts w:ascii="Times New Roman"/>
                <w:sz w:val="18"/>
              </w:rPr>
            </w:pPr>
          </w:p>
        </w:tc>
        <w:tc>
          <w:tcPr>
            <w:tcW w:w="584" w:type="dxa"/>
          </w:tcPr>
          <w:p>
            <w:pPr>
              <w:pStyle w:val="TableParagraph"/>
              <w:rPr>
                <w:rFonts w:ascii="Times New Roman"/>
                <w:sz w:val="18"/>
              </w:rPr>
            </w:pPr>
          </w:p>
        </w:tc>
        <w:tc>
          <w:tcPr>
            <w:tcW w:w="585" w:type="dxa"/>
          </w:tcPr>
          <w:p>
            <w:pPr>
              <w:pStyle w:val="TableParagraph"/>
              <w:rPr>
                <w:rFonts w:ascii="Times New Roman"/>
                <w:sz w:val="18"/>
              </w:rPr>
            </w:pPr>
          </w:p>
        </w:tc>
        <w:tc>
          <w:tcPr>
            <w:tcW w:w="770" w:type="dxa"/>
            <w:tcBorders>
              <w:right w:val="single" w:sz="4" w:space="0" w:color="000000"/>
            </w:tcBorders>
          </w:tcPr>
          <w:p>
            <w:pPr>
              <w:pStyle w:val="TableParagraph"/>
              <w:spacing w:before="91"/>
              <w:ind w:right="214"/>
              <w:jc w:val="right"/>
              <w:rPr>
                <w:b/>
                <w:sz w:val="16"/>
              </w:rPr>
            </w:pPr>
            <w:r>
              <w:rPr>
                <w:b/>
                <w:w w:val="103"/>
                <w:sz w:val="16"/>
              </w:rPr>
              <w:t>2</w:t>
            </w:r>
          </w:p>
        </w:tc>
      </w:tr>
      <w:tr>
        <w:trPr>
          <w:trHeight w:val="368" w:hRule="atLeast"/>
        </w:trPr>
        <w:tc>
          <w:tcPr>
            <w:tcW w:w="730" w:type="dxa"/>
            <w:tcBorders>
              <w:left w:val="single" w:sz="4" w:space="0" w:color="000000"/>
            </w:tcBorders>
          </w:tcPr>
          <w:p>
            <w:pPr>
              <w:pStyle w:val="TableParagraph"/>
              <w:rPr>
                <w:rFonts w:ascii="Times New Roman"/>
                <w:sz w:val="18"/>
              </w:rPr>
            </w:pPr>
          </w:p>
        </w:tc>
        <w:tc>
          <w:tcPr>
            <w:tcW w:w="585" w:type="dxa"/>
          </w:tcPr>
          <w:p>
            <w:pPr>
              <w:pStyle w:val="TableParagraph"/>
              <w:rPr>
                <w:rFonts w:ascii="Times New Roman"/>
                <w:sz w:val="18"/>
              </w:rPr>
            </w:pPr>
          </w:p>
        </w:tc>
        <w:tc>
          <w:tcPr>
            <w:tcW w:w="584" w:type="dxa"/>
          </w:tcPr>
          <w:p>
            <w:pPr>
              <w:pStyle w:val="TableParagraph"/>
              <w:rPr>
                <w:rFonts w:ascii="Times New Roman"/>
                <w:sz w:val="18"/>
              </w:rPr>
            </w:pPr>
          </w:p>
        </w:tc>
        <w:tc>
          <w:tcPr>
            <w:tcW w:w="1752" w:type="dxa"/>
          </w:tcPr>
          <w:p>
            <w:pPr>
              <w:pStyle w:val="TableParagraph"/>
              <w:rPr>
                <w:rFonts w:ascii="Times New Roman"/>
                <w:sz w:val="18"/>
              </w:rPr>
            </w:pPr>
          </w:p>
        </w:tc>
        <w:tc>
          <w:tcPr>
            <w:tcW w:w="584" w:type="dxa"/>
          </w:tcPr>
          <w:p>
            <w:pPr>
              <w:pStyle w:val="TableParagraph"/>
              <w:rPr>
                <w:rFonts w:ascii="Times New Roman"/>
                <w:sz w:val="18"/>
              </w:rPr>
            </w:pPr>
          </w:p>
        </w:tc>
        <w:tc>
          <w:tcPr>
            <w:tcW w:w="585" w:type="dxa"/>
          </w:tcPr>
          <w:p>
            <w:pPr>
              <w:pStyle w:val="TableParagraph"/>
              <w:rPr>
                <w:rFonts w:ascii="Times New Roman"/>
                <w:sz w:val="18"/>
              </w:rPr>
            </w:pPr>
          </w:p>
        </w:tc>
        <w:tc>
          <w:tcPr>
            <w:tcW w:w="585" w:type="dxa"/>
          </w:tcPr>
          <w:p>
            <w:pPr>
              <w:pStyle w:val="TableParagraph"/>
              <w:rPr>
                <w:rFonts w:ascii="Times New Roman"/>
                <w:sz w:val="18"/>
              </w:rPr>
            </w:pPr>
          </w:p>
        </w:tc>
        <w:tc>
          <w:tcPr>
            <w:tcW w:w="584" w:type="dxa"/>
          </w:tcPr>
          <w:p>
            <w:pPr>
              <w:pStyle w:val="TableParagraph"/>
              <w:rPr>
                <w:rFonts w:ascii="Times New Roman"/>
                <w:sz w:val="18"/>
              </w:rPr>
            </w:pPr>
          </w:p>
        </w:tc>
        <w:tc>
          <w:tcPr>
            <w:tcW w:w="585" w:type="dxa"/>
          </w:tcPr>
          <w:p>
            <w:pPr>
              <w:pStyle w:val="TableParagraph"/>
              <w:rPr>
                <w:rFonts w:ascii="Times New Roman"/>
                <w:sz w:val="18"/>
              </w:rPr>
            </w:pPr>
          </w:p>
        </w:tc>
        <w:tc>
          <w:tcPr>
            <w:tcW w:w="770" w:type="dxa"/>
            <w:tcBorders>
              <w:right w:val="single" w:sz="4" w:space="0" w:color="000000"/>
            </w:tcBorders>
          </w:tcPr>
          <w:p>
            <w:pPr>
              <w:pStyle w:val="TableParagraph"/>
              <w:spacing w:before="91"/>
              <w:ind w:right="214"/>
              <w:jc w:val="right"/>
              <w:rPr>
                <w:b/>
                <w:sz w:val="16"/>
              </w:rPr>
            </w:pPr>
            <w:r>
              <w:rPr>
                <w:b/>
                <w:w w:val="103"/>
                <w:sz w:val="16"/>
              </w:rPr>
              <w:t>1</w:t>
            </w:r>
          </w:p>
        </w:tc>
      </w:tr>
      <w:tr>
        <w:trPr>
          <w:trHeight w:val="368" w:hRule="atLeast"/>
        </w:trPr>
        <w:tc>
          <w:tcPr>
            <w:tcW w:w="730" w:type="dxa"/>
            <w:tcBorders>
              <w:left w:val="single" w:sz="4" w:space="0" w:color="000000"/>
            </w:tcBorders>
          </w:tcPr>
          <w:p>
            <w:pPr>
              <w:pStyle w:val="TableParagraph"/>
              <w:rPr>
                <w:rFonts w:ascii="Times New Roman"/>
                <w:sz w:val="18"/>
              </w:rPr>
            </w:pPr>
          </w:p>
        </w:tc>
        <w:tc>
          <w:tcPr>
            <w:tcW w:w="585" w:type="dxa"/>
          </w:tcPr>
          <w:p>
            <w:pPr>
              <w:pStyle w:val="TableParagraph"/>
              <w:rPr>
                <w:rFonts w:ascii="Times New Roman"/>
                <w:sz w:val="18"/>
              </w:rPr>
            </w:pPr>
          </w:p>
        </w:tc>
        <w:tc>
          <w:tcPr>
            <w:tcW w:w="584" w:type="dxa"/>
          </w:tcPr>
          <w:p>
            <w:pPr>
              <w:pStyle w:val="TableParagraph"/>
              <w:rPr>
                <w:rFonts w:ascii="Times New Roman"/>
                <w:sz w:val="18"/>
              </w:rPr>
            </w:pPr>
          </w:p>
        </w:tc>
        <w:tc>
          <w:tcPr>
            <w:tcW w:w="1752" w:type="dxa"/>
          </w:tcPr>
          <w:p>
            <w:pPr>
              <w:pStyle w:val="TableParagraph"/>
              <w:rPr>
                <w:rFonts w:ascii="Times New Roman"/>
                <w:sz w:val="18"/>
              </w:rPr>
            </w:pPr>
          </w:p>
        </w:tc>
        <w:tc>
          <w:tcPr>
            <w:tcW w:w="584" w:type="dxa"/>
          </w:tcPr>
          <w:p>
            <w:pPr>
              <w:pStyle w:val="TableParagraph"/>
              <w:rPr>
                <w:rFonts w:ascii="Times New Roman"/>
                <w:sz w:val="18"/>
              </w:rPr>
            </w:pPr>
          </w:p>
        </w:tc>
        <w:tc>
          <w:tcPr>
            <w:tcW w:w="585" w:type="dxa"/>
          </w:tcPr>
          <w:p>
            <w:pPr>
              <w:pStyle w:val="TableParagraph"/>
              <w:rPr>
                <w:rFonts w:ascii="Times New Roman"/>
                <w:sz w:val="18"/>
              </w:rPr>
            </w:pPr>
          </w:p>
        </w:tc>
        <w:tc>
          <w:tcPr>
            <w:tcW w:w="585" w:type="dxa"/>
          </w:tcPr>
          <w:p>
            <w:pPr>
              <w:pStyle w:val="TableParagraph"/>
              <w:rPr>
                <w:rFonts w:ascii="Times New Roman"/>
                <w:sz w:val="18"/>
              </w:rPr>
            </w:pPr>
          </w:p>
        </w:tc>
        <w:tc>
          <w:tcPr>
            <w:tcW w:w="584" w:type="dxa"/>
          </w:tcPr>
          <w:p>
            <w:pPr>
              <w:pStyle w:val="TableParagraph"/>
              <w:rPr>
                <w:rFonts w:ascii="Times New Roman"/>
                <w:sz w:val="18"/>
              </w:rPr>
            </w:pPr>
          </w:p>
        </w:tc>
        <w:tc>
          <w:tcPr>
            <w:tcW w:w="585" w:type="dxa"/>
          </w:tcPr>
          <w:p>
            <w:pPr>
              <w:pStyle w:val="TableParagraph"/>
              <w:rPr>
                <w:rFonts w:ascii="Times New Roman"/>
                <w:sz w:val="18"/>
              </w:rPr>
            </w:pPr>
          </w:p>
        </w:tc>
        <w:tc>
          <w:tcPr>
            <w:tcW w:w="770" w:type="dxa"/>
            <w:tcBorders>
              <w:right w:val="single" w:sz="4" w:space="0" w:color="000000"/>
            </w:tcBorders>
          </w:tcPr>
          <w:p>
            <w:pPr>
              <w:pStyle w:val="TableParagraph"/>
              <w:spacing w:before="91"/>
              <w:ind w:right="214"/>
              <w:jc w:val="right"/>
              <w:rPr>
                <w:b/>
                <w:sz w:val="16"/>
              </w:rPr>
            </w:pPr>
            <w:r>
              <w:rPr>
                <w:b/>
                <w:w w:val="103"/>
                <w:sz w:val="16"/>
              </w:rPr>
              <w:t>0</w:t>
            </w:r>
          </w:p>
        </w:tc>
      </w:tr>
      <w:tr>
        <w:trPr>
          <w:trHeight w:val="367" w:hRule="atLeast"/>
        </w:trPr>
        <w:tc>
          <w:tcPr>
            <w:tcW w:w="730" w:type="dxa"/>
            <w:tcBorders>
              <w:left w:val="single" w:sz="4" w:space="0" w:color="000000"/>
            </w:tcBorders>
          </w:tcPr>
          <w:p>
            <w:pPr>
              <w:pStyle w:val="TableParagraph"/>
              <w:rPr>
                <w:rFonts w:ascii="Times New Roman"/>
                <w:sz w:val="18"/>
              </w:rPr>
            </w:pPr>
          </w:p>
        </w:tc>
        <w:tc>
          <w:tcPr>
            <w:tcW w:w="585" w:type="dxa"/>
          </w:tcPr>
          <w:p>
            <w:pPr>
              <w:pStyle w:val="TableParagraph"/>
              <w:rPr>
                <w:rFonts w:ascii="Times New Roman"/>
                <w:sz w:val="18"/>
              </w:rPr>
            </w:pPr>
          </w:p>
        </w:tc>
        <w:tc>
          <w:tcPr>
            <w:tcW w:w="584" w:type="dxa"/>
          </w:tcPr>
          <w:p>
            <w:pPr>
              <w:pStyle w:val="TableParagraph"/>
              <w:rPr>
                <w:rFonts w:ascii="Times New Roman"/>
                <w:sz w:val="18"/>
              </w:rPr>
            </w:pPr>
          </w:p>
        </w:tc>
        <w:tc>
          <w:tcPr>
            <w:tcW w:w="1752" w:type="dxa"/>
          </w:tcPr>
          <w:p>
            <w:pPr>
              <w:pStyle w:val="TableParagraph"/>
              <w:rPr>
                <w:rFonts w:ascii="Times New Roman"/>
                <w:sz w:val="18"/>
              </w:rPr>
            </w:pPr>
          </w:p>
        </w:tc>
        <w:tc>
          <w:tcPr>
            <w:tcW w:w="584" w:type="dxa"/>
          </w:tcPr>
          <w:p>
            <w:pPr>
              <w:pStyle w:val="TableParagraph"/>
              <w:rPr>
                <w:rFonts w:ascii="Times New Roman"/>
                <w:sz w:val="18"/>
              </w:rPr>
            </w:pPr>
          </w:p>
        </w:tc>
        <w:tc>
          <w:tcPr>
            <w:tcW w:w="585" w:type="dxa"/>
          </w:tcPr>
          <w:p>
            <w:pPr>
              <w:pStyle w:val="TableParagraph"/>
              <w:rPr>
                <w:rFonts w:ascii="Times New Roman"/>
                <w:sz w:val="18"/>
              </w:rPr>
            </w:pPr>
          </w:p>
        </w:tc>
        <w:tc>
          <w:tcPr>
            <w:tcW w:w="585" w:type="dxa"/>
          </w:tcPr>
          <w:p>
            <w:pPr>
              <w:pStyle w:val="TableParagraph"/>
              <w:rPr>
                <w:rFonts w:ascii="Times New Roman"/>
                <w:sz w:val="18"/>
              </w:rPr>
            </w:pPr>
          </w:p>
        </w:tc>
        <w:tc>
          <w:tcPr>
            <w:tcW w:w="584" w:type="dxa"/>
          </w:tcPr>
          <w:p>
            <w:pPr>
              <w:pStyle w:val="TableParagraph"/>
              <w:rPr>
                <w:rFonts w:ascii="Times New Roman"/>
                <w:sz w:val="18"/>
              </w:rPr>
            </w:pPr>
          </w:p>
        </w:tc>
        <w:tc>
          <w:tcPr>
            <w:tcW w:w="585" w:type="dxa"/>
          </w:tcPr>
          <w:p>
            <w:pPr>
              <w:pStyle w:val="TableParagraph"/>
              <w:rPr>
                <w:rFonts w:ascii="Times New Roman"/>
                <w:sz w:val="18"/>
              </w:rPr>
            </w:pPr>
          </w:p>
        </w:tc>
        <w:tc>
          <w:tcPr>
            <w:tcW w:w="770" w:type="dxa"/>
            <w:tcBorders>
              <w:right w:val="single" w:sz="4" w:space="0" w:color="000000"/>
            </w:tcBorders>
          </w:tcPr>
          <w:p>
            <w:pPr>
              <w:pStyle w:val="TableParagraph"/>
              <w:spacing w:before="91"/>
              <w:ind w:right="151"/>
              <w:jc w:val="right"/>
              <w:rPr>
                <w:b/>
                <w:sz w:val="16"/>
              </w:rPr>
            </w:pPr>
            <w:r>
              <w:rPr>
                <w:b/>
                <w:sz w:val="16"/>
              </w:rPr>
              <w:t>-1</w:t>
            </w:r>
          </w:p>
        </w:tc>
      </w:tr>
      <w:tr>
        <w:trPr>
          <w:trHeight w:val="367" w:hRule="atLeast"/>
        </w:trPr>
        <w:tc>
          <w:tcPr>
            <w:tcW w:w="730" w:type="dxa"/>
            <w:tcBorders>
              <w:left w:val="single" w:sz="4" w:space="0" w:color="000000"/>
            </w:tcBorders>
          </w:tcPr>
          <w:p>
            <w:pPr>
              <w:pStyle w:val="TableParagraph"/>
              <w:rPr>
                <w:rFonts w:ascii="Times New Roman"/>
                <w:sz w:val="18"/>
              </w:rPr>
            </w:pPr>
          </w:p>
        </w:tc>
        <w:tc>
          <w:tcPr>
            <w:tcW w:w="585" w:type="dxa"/>
          </w:tcPr>
          <w:p>
            <w:pPr>
              <w:pStyle w:val="TableParagraph"/>
              <w:rPr>
                <w:rFonts w:ascii="Times New Roman"/>
                <w:sz w:val="18"/>
              </w:rPr>
            </w:pPr>
          </w:p>
        </w:tc>
        <w:tc>
          <w:tcPr>
            <w:tcW w:w="584" w:type="dxa"/>
          </w:tcPr>
          <w:p>
            <w:pPr>
              <w:pStyle w:val="TableParagraph"/>
              <w:rPr>
                <w:rFonts w:ascii="Times New Roman"/>
                <w:sz w:val="18"/>
              </w:rPr>
            </w:pPr>
          </w:p>
        </w:tc>
        <w:tc>
          <w:tcPr>
            <w:tcW w:w="1752" w:type="dxa"/>
          </w:tcPr>
          <w:p>
            <w:pPr>
              <w:pStyle w:val="TableParagraph"/>
              <w:rPr>
                <w:rFonts w:ascii="Times New Roman"/>
                <w:sz w:val="18"/>
              </w:rPr>
            </w:pPr>
          </w:p>
        </w:tc>
        <w:tc>
          <w:tcPr>
            <w:tcW w:w="584" w:type="dxa"/>
          </w:tcPr>
          <w:p>
            <w:pPr>
              <w:pStyle w:val="TableParagraph"/>
              <w:rPr>
                <w:rFonts w:ascii="Times New Roman"/>
                <w:sz w:val="18"/>
              </w:rPr>
            </w:pPr>
          </w:p>
        </w:tc>
        <w:tc>
          <w:tcPr>
            <w:tcW w:w="585" w:type="dxa"/>
          </w:tcPr>
          <w:p>
            <w:pPr>
              <w:pStyle w:val="TableParagraph"/>
              <w:rPr>
                <w:rFonts w:ascii="Times New Roman"/>
                <w:sz w:val="18"/>
              </w:rPr>
            </w:pPr>
          </w:p>
        </w:tc>
        <w:tc>
          <w:tcPr>
            <w:tcW w:w="585" w:type="dxa"/>
          </w:tcPr>
          <w:p>
            <w:pPr>
              <w:pStyle w:val="TableParagraph"/>
              <w:rPr>
                <w:rFonts w:ascii="Times New Roman"/>
                <w:sz w:val="18"/>
              </w:rPr>
            </w:pPr>
          </w:p>
        </w:tc>
        <w:tc>
          <w:tcPr>
            <w:tcW w:w="584" w:type="dxa"/>
          </w:tcPr>
          <w:p>
            <w:pPr>
              <w:pStyle w:val="TableParagraph"/>
              <w:rPr>
                <w:rFonts w:ascii="Times New Roman"/>
                <w:sz w:val="18"/>
              </w:rPr>
            </w:pPr>
          </w:p>
        </w:tc>
        <w:tc>
          <w:tcPr>
            <w:tcW w:w="585" w:type="dxa"/>
          </w:tcPr>
          <w:p>
            <w:pPr>
              <w:pStyle w:val="TableParagraph"/>
              <w:rPr>
                <w:rFonts w:ascii="Times New Roman"/>
                <w:sz w:val="18"/>
              </w:rPr>
            </w:pPr>
          </w:p>
        </w:tc>
        <w:tc>
          <w:tcPr>
            <w:tcW w:w="770" w:type="dxa"/>
            <w:tcBorders>
              <w:right w:val="single" w:sz="4" w:space="0" w:color="000000"/>
            </w:tcBorders>
          </w:tcPr>
          <w:p>
            <w:pPr>
              <w:pStyle w:val="TableParagraph"/>
              <w:spacing w:before="90"/>
              <w:ind w:right="151"/>
              <w:jc w:val="right"/>
              <w:rPr>
                <w:b/>
                <w:sz w:val="16"/>
              </w:rPr>
            </w:pPr>
            <w:r>
              <w:rPr>
                <w:b/>
                <w:sz w:val="16"/>
              </w:rPr>
              <w:t>-2</w:t>
            </w:r>
          </w:p>
        </w:tc>
      </w:tr>
      <w:tr>
        <w:trPr>
          <w:trHeight w:val="375" w:hRule="atLeast"/>
        </w:trPr>
        <w:tc>
          <w:tcPr>
            <w:tcW w:w="730" w:type="dxa"/>
            <w:tcBorders>
              <w:left w:val="single" w:sz="4" w:space="0" w:color="000000"/>
            </w:tcBorders>
          </w:tcPr>
          <w:p>
            <w:pPr>
              <w:pStyle w:val="TableParagraph"/>
              <w:rPr>
                <w:rFonts w:ascii="Times New Roman"/>
                <w:sz w:val="18"/>
              </w:rPr>
            </w:pPr>
          </w:p>
        </w:tc>
        <w:tc>
          <w:tcPr>
            <w:tcW w:w="585" w:type="dxa"/>
          </w:tcPr>
          <w:p>
            <w:pPr>
              <w:pStyle w:val="TableParagraph"/>
              <w:rPr>
                <w:rFonts w:ascii="Times New Roman"/>
                <w:sz w:val="18"/>
              </w:rPr>
            </w:pPr>
          </w:p>
        </w:tc>
        <w:tc>
          <w:tcPr>
            <w:tcW w:w="584" w:type="dxa"/>
          </w:tcPr>
          <w:p>
            <w:pPr>
              <w:pStyle w:val="TableParagraph"/>
              <w:rPr>
                <w:rFonts w:ascii="Times New Roman"/>
                <w:sz w:val="18"/>
              </w:rPr>
            </w:pPr>
          </w:p>
        </w:tc>
        <w:tc>
          <w:tcPr>
            <w:tcW w:w="1752" w:type="dxa"/>
          </w:tcPr>
          <w:p>
            <w:pPr>
              <w:pStyle w:val="TableParagraph"/>
              <w:spacing w:before="121"/>
              <w:ind w:right="135"/>
              <w:jc w:val="right"/>
              <w:rPr>
                <w:b/>
                <w:sz w:val="16"/>
              </w:rPr>
            </w:pPr>
            <w:r>
              <w:rPr>
                <w:b/>
                <w:sz w:val="16"/>
              </w:rPr>
              <w:t>Manufacturing</w:t>
            </w:r>
          </w:p>
        </w:tc>
        <w:tc>
          <w:tcPr>
            <w:tcW w:w="584" w:type="dxa"/>
          </w:tcPr>
          <w:p>
            <w:pPr>
              <w:pStyle w:val="TableParagraph"/>
              <w:rPr>
                <w:rFonts w:ascii="Times New Roman"/>
                <w:sz w:val="18"/>
              </w:rPr>
            </w:pPr>
          </w:p>
        </w:tc>
        <w:tc>
          <w:tcPr>
            <w:tcW w:w="585" w:type="dxa"/>
          </w:tcPr>
          <w:p>
            <w:pPr>
              <w:pStyle w:val="TableParagraph"/>
              <w:rPr>
                <w:rFonts w:ascii="Times New Roman"/>
                <w:sz w:val="18"/>
              </w:rPr>
            </w:pPr>
          </w:p>
        </w:tc>
        <w:tc>
          <w:tcPr>
            <w:tcW w:w="585" w:type="dxa"/>
          </w:tcPr>
          <w:p>
            <w:pPr>
              <w:pStyle w:val="TableParagraph"/>
              <w:rPr>
                <w:rFonts w:ascii="Times New Roman"/>
                <w:sz w:val="18"/>
              </w:rPr>
            </w:pPr>
          </w:p>
        </w:tc>
        <w:tc>
          <w:tcPr>
            <w:tcW w:w="584" w:type="dxa"/>
          </w:tcPr>
          <w:p>
            <w:pPr>
              <w:pStyle w:val="TableParagraph"/>
              <w:rPr>
                <w:rFonts w:ascii="Times New Roman"/>
                <w:sz w:val="18"/>
              </w:rPr>
            </w:pPr>
          </w:p>
        </w:tc>
        <w:tc>
          <w:tcPr>
            <w:tcW w:w="585" w:type="dxa"/>
          </w:tcPr>
          <w:p>
            <w:pPr>
              <w:pStyle w:val="TableParagraph"/>
              <w:rPr>
                <w:rFonts w:ascii="Times New Roman"/>
                <w:sz w:val="18"/>
              </w:rPr>
            </w:pPr>
          </w:p>
        </w:tc>
        <w:tc>
          <w:tcPr>
            <w:tcW w:w="770" w:type="dxa"/>
            <w:tcBorders>
              <w:right w:val="single" w:sz="4" w:space="0" w:color="000000"/>
            </w:tcBorders>
          </w:tcPr>
          <w:p>
            <w:pPr>
              <w:pStyle w:val="TableParagraph"/>
              <w:spacing w:before="91"/>
              <w:ind w:right="151"/>
              <w:jc w:val="right"/>
              <w:rPr>
                <w:b/>
                <w:sz w:val="16"/>
              </w:rPr>
            </w:pPr>
            <w:r>
              <w:rPr>
                <w:b/>
                <w:sz w:val="16"/>
              </w:rPr>
              <w:t>-3</w:t>
            </w:r>
          </w:p>
        </w:tc>
      </w:tr>
      <w:tr>
        <w:trPr>
          <w:trHeight w:val="361" w:hRule="atLeast"/>
        </w:trPr>
        <w:tc>
          <w:tcPr>
            <w:tcW w:w="730" w:type="dxa"/>
            <w:tcBorders>
              <w:left w:val="single" w:sz="4" w:space="0" w:color="000000"/>
            </w:tcBorders>
          </w:tcPr>
          <w:p>
            <w:pPr>
              <w:pStyle w:val="TableParagraph"/>
              <w:rPr>
                <w:rFonts w:ascii="Times New Roman"/>
                <w:sz w:val="18"/>
              </w:rPr>
            </w:pPr>
          </w:p>
        </w:tc>
        <w:tc>
          <w:tcPr>
            <w:tcW w:w="585" w:type="dxa"/>
          </w:tcPr>
          <w:p>
            <w:pPr>
              <w:pStyle w:val="TableParagraph"/>
              <w:rPr>
                <w:rFonts w:ascii="Times New Roman"/>
                <w:sz w:val="18"/>
              </w:rPr>
            </w:pPr>
          </w:p>
        </w:tc>
        <w:tc>
          <w:tcPr>
            <w:tcW w:w="584" w:type="dxa"/>
          </w:tcPr>
          <w:p>
            <w:pPr>
              <w:pStyle w:val="TableParagraph"/>
              <w:rPr>
                <w:rFonts w:ascii="Times New Roman"/>
                <w:sz w:val="18"/>
              </w:rPr>
            </w:pPr>
          </w:p>
        </w:tc>
        <w:tc>
          <w:tcPr>
            <w:tcW w:w="1752" w:type="dxa"/>
          </w:tcPr>
          <w:p>
            <w:pPr>
              <w:pStyle w:val="TableParagraph"/>
              <w:spacing w:before="68"/>
              <w:ind w:left="463"/>
              <w:rPr>
                <w:b/>
                <w:sz w:val="16"/>
              </w:rPr>
            </w:pPr>
            <w:r>
              <w:rPr>
                <w:b/>
                <w:w w:val="105"/>
                <w:sz w:val="16"/>
              </w:rPr>
              <w:t>Services</w:t>
            </w:r>
          </w:p>
        </w:tc>
        <w:tc>
          <w:tcPr>
            <w:tcW w:w="584" w:type="dxa"/>
          </w:tcPr>
          <w:p>
            <w:pPr>
              <w:pStyle w:val="TableParagraph"/>
              <w:rPr>
                <w:rFonts w:ascii="Times New Roman"/>
                <w:sz w:val="18"/>
              </w:rPr>
            </w:pPr>
          </w:p>
        </w:tc>
        <w:tc>
          <w:tcPr>
            <w:tcW w:w="585" w:type="dxa"/>
          </w:tcPr>
          <w:p>
            <w:pPr>
              <w:pStyle w:val="TableParagraph"/>
              <w:rPr>
                <w:rFonts w:ascii="Times New Roman"/>
                <w:sz w:val="18"/>
              </w:rPr>
            </w:pPr>
          </w:p>
        </w:tc>
        <w:tc>
          <w:tcPr>
            <w:tcW w:w="585" w:type="dxa"/>
          </w:tcPr>
          <w:p>
            <w:pPr>
              <w:pStyle w:val="TableParagraph"/>
              <w:rPr>
                <w:rFonts w:ascii="Times New Roman"/>
                <w:sz w:val="18"/>
              </w:rPr>
            </w:pPr>
          </w:p>
        </w:tc>
        <w:tc>
          <w:tcPr>
            <w:tcW w:w="584" w:type="dxa"/>
          </w:tcPr>
          <w:p>
            <w:pPr>
              <w:pStyle w:val="TableParagraph"/>
              <w:rPr>
                <w:rFonts w:ascii="Times New Roman"/>
                <w:sz w:val="18"/>
              </w:rPr>
            </w:pPr>
          </w:p>
        </w:tc>
        <w:tc>
          <w:tcPr>
            <w:tcW w:w="585" w:type="dxa"/>
          </w:tcPr>
          <w:p>
            <w:pPr>
              <w:pStyle w:val="TableParagraph"/>
              <w:rPr>
                <w:rFonts w:ascii="Times New Roman"/>
                <w:sz w:val="18"/>
              </w:rPr>
            </w:pPr>
          </w:p>
        </w:tc>
        <w:tc>
          <w:tcPr>
            <w:tcW w:w="770" w:type="dxa"/>
            <w:tcBorders>
              <w:right w:val="single" w:sz="4" w:space="0" w:color="000000"/>
            </w:tcBorders>
          </w:tcPr>
          <w:p>
            <w:pPr>
              <w:pStyle w:val="TableParagraph"/>
              <w:spacing w:before="84"/>
              <w:ind w:right="151"/>
              <w:jc w:val="right"/>
              <w:rPr>
                <w:b/>
                <w:sz w:val="16"/>
              </w:rPr>
            </w:pPr>
            <w:r>
              <w:rPr>
                <w:b/>
                <w:sz w:val="16"/>
              </w:rPr>
              <w:t>-4</w:t>
            </w:r>
          </w:p>
        </w:tc>
      </w:tr>
      <w:tr>
        <w:trPr>
          <w:trHeight w:val="286" w:hRule="atLeast"/>
        </w:trPr>
        <w:tc>
          <w:tcPr>
            <w:tcW w:w="730" w:type="dxa"/>
            <w:tcBorders>
              <w:left w:val="single" w:sz="4" w:space="0" w:color="000000"/>
            </w:tcBorders>
          </w:tcPr>
          <w:p>
            <w:pPr>
              <w:pStyle w:val="TableParagraph"/>
              <w:rPr>
                <w:rFonts w:ascii="Times New Roman"/>
                <w:sz w:val="18"/>
              </w:rPr>
            </w:pPr>
          </w:p>
        </w:tc>
        <w:tc>
          <w:tcPr>
            <w:tcW w:w="585" w:type="dxa"/>
          </w:tcPr>
          <w:p>
            <w:pPr>
              <w:pStyle w:val="TableParagraph"/>
              <w:rPr>
                <w:rFonts w:ascii="Times New Roman"/>
                <w:sz w:val="18"/>
              </w:rPr>
            </w:pPr>
          </w:p>
        </w:tc>
        <w:tc>
          <w:tcPr>
            <w:tcW w:w="584" w:type="dxa"/>
          </w:tcPr>
          <w:p>
            <w:pPr>
              <w:pStyle w:val="TableParagraph"/>
              <w:rPr>
                <w:rFonts w:ascii="Times New Roman"/>
                <w:sz w:val="18"/>
              </w:rPr>
            </w:pPr>
          </w:p>
        </w:tc>
        <w:tc>
          <w:tcPr>
            <w:tcW w:w="1752" w:type="dxa"/>
          </w:tcPr>
          <w:p>
            <w:pPr>
              <w:pStyle w:val="TableParagraph"/>
              <w:rPr>
                <w:rFonts w:ascii="Times New Roman"/>
                <w:sz w:val="18"/>
              </w:rPr>
            </w:pPr>
          </w:p>
        </w:tc>
        <w:tc>
          <w:tcPr>
            <w:tcW w:w="584" w:type="dxa"/>
          </w:tcPr>
          <w:p>
            <w:pPr>
              <w:pStyle w:val="TableParagraph"/>
              <w:rPr>
                <w:rFonts w:ascii="Times New Roman"/>
                <w:sz w:val="18"/>
              </w:rPr>
            </w:pPr>
          </w:p>
        </w:tc>
        <w:tc>
          <w:tcPr>
            <w:tcW w:w="585" w:type="dxa"/>
          </w:tcPr>
          <w:p>
            <w:pPr>
              <w:pStyle w:val="TableParagraph"/>
              <w:rPr>
                <w:rFonts w:ascii="Times New Roman"/>
                <w:sz w:val="18"/>
              </w:rPr>
            </w:pPr>
          </w:p>
        </w:tc>
        <w:tc>
          <w:tcPr>
            <w:tcW w:w="585" w:type="dxa"/>
          </w:tcPr>
          <w:p>
            <w:pPr>
              <w:pStyle w:val="TableParagraph"/>
              <w:rPr>
                <w:rFonts w:ascii="Times New Roman"/>
                <w:sz w:val="18"/>
              </w:rPr>
            </w:pPr>
          </w:p>
        </w:tc>
        <w:tc>
          <w:tcPr>
            <w:tcW w:w="584" w:type="dxa"/>
          </w:tcPr>
          <w:p>
            <w:pPr>
              <w:pStyle w:val="TableParagraph"/>
              <w:rPr>
                <w:rFonts w:ascii="Times New Roman"/>
                <w:sz w:val="18"/>
              </w:rPr>
            </w:pPr>
          </w:p>
        </w:tc>
        <w:tc>
          <w:tcPr>
            <w:tcW w:w="585" w:type="dxa"/>
          </w:tcPr>
          <w:p>
            <w:pPr>
              <w:pStyle w:val="TableParagraph"/>
              <w:rPr>
                <w:rFonts w:ascii="Times New Roman"/>
                <w:sz w:val="18"/>
              </w:rPr>
            </w:pPr>
          </w:p>
        </w:tc>
        <w:tc>
          <w:tcPr>
            <w:tcW w:w="770" w:type="dxa"/>
            <w:tcBorders>
              <w:right w:val="single" w:sz="4" w:space="0" w:color="000000"/>
            </w:tcBorders>
          </w:tcPr>
          <w:p>
            <w:pPr>
              <w:pStyle w:val="TableParagraph"/>
              <w:spacing w:line="176" w:lineRule="exact" w:before="91"/>
              <w:ind w:right="151"/>
              <w:jc w:val="right"/>
              <w:rPr>
                <w:b/>
                <w:sz w:val="16"/>
              </w:rPr>
            </w:pPr>
            <w:r>
              <w:rPr>
                <w:b/>
                <w:sz w:val="16"/>
              </w:rPr>
              <w:t>-5</w:t>
            </w:r>
          </w:p>
        </w:tc>
      </w:tr>
      <w:tr>
        <w:trPr>
          <w:trHeight w:val="301" w:hRule="atLeast"/>
        </w:trPr>
        <w:tc>
          <w:tcPr>
            <w:tcW w:w="730" w:type="dxa"/>
            <w:tcBorders>
              <w:left w:val="single" w:sz="4" w:space="0" w:color="000000"/>
              <w:bottom w:val="single" w:sz="4" w:space="0" w:color="000000"/>
            </w:tcBorders>
          </w:tcPr>
          <w:p>
            <w:pPr>
              <w:pStyle w:val="TableParagraph"/>
              <w:spacing w:before="9"/>
              <w:ind w:left="256"/>
              <w:rPr>
                <w:b/>
                <w:sz w:val="16"/>
              </w:rPr>
            </w:pPr>
            <w:r>
              <w:rPr>
                <w:b/>
                <w:w w:val="105"/>
                <w:sz w:val="16"/>
              </w:rPr>
              <w:t>2000</w:t>
            </w:r>
          </w:p>
        </w:tc>
        <w:tc>
          <w:tcPr>
            <w:tcW w:w="585" w:type="dxa"/>
            <w:tcBorders>
              <w:bottom w:val="single" w:sz="4" w:space="0" w:color="000000"/>
            </w:tcBorders>
          </w:tcPr>
          <w:p>
            <w:pPr>
              <w:pStyle w:val="TableParagraph"/>
              <w:spacing w:before="9"/>
              <w:ind w:left="115"/>
              <w:rPr>
                <w:b/>
                <w:sz w:val="16"/>
              </w:rPr>
            </w:pPr>
            <w:r>
              <w:rPr>
                <w:b/>
                <w:w w:val="105"/>
                <w:sz w:val="16"/>
              </w:rPr>
              <w:t>2001</w:t>
            </w:r>
          </w:p>
        </w:tc>
        <w:tc>
          <w:tcPr>
            <w:tcW w:w="584" w:type="dxa"/>
            <w:tcBorders>
              <w:bottom w:val="single" w:sz="4" w:space="0" w:color="000000"/>
            </w:tcBorders>
          </w:tcPr>
          <w:p>
            <w:pPr>
              <w:pStyle w:val="TableParagraph"/>
              <w:spacing w:before="9"/>
              <w:ind w:left="115"/>
              <w:rPr>
                <w:b/>
                <w:sz w:val="16"/>
              </w:rPr>
            </w:pPr>
            <w:r>
              <w:rPr>
                <w:b/>
                <w:w w:val="105"/>
                <w:sz w:val="16"/>
              </w:rPr>
              <w:t>2002</w:t>
            </w:r>
          </w:p>
        </w:tc>
        <w:tc>
          <w:tcPr>
            <w:tcW w:w="1752" w:type="dxa"/>
            <w:tcBorders>
              <w:bottom w:val="single" w:sz="4" w:space="0" w:color="000000"/>
            </w:tcBorders>
          </w:tcPr>
          <w:p>
            <w:pPr>
              <w:pStyle w:val="TableParagraph"/>
              <w:tabs>
                <w:tab w:pos="584" w:val="left" w:leader="none"/>
                <w:tab w:pos="1168" w:val="left" w:leader="none"/>
              </w:tabs>
              <w:spacing w:before="9"/>
              <w:ind w:right="107"/>
              <w:jc w:val="right"/>
              <w:rPr>
                <w:b/>
                <w:sz w:val="16"/>
              </w:rPr>
            </w:pPr>
            <w:r>
              <w:rPr>
                <w:b/>
                <w:w w:val="105"/>
                <w:sz w:val="16"/>
              </w:rPr>
              <w:t>2003</w:t>
              <w:tab/>
              <w:t>2004</w:t>
              <w:tab/>
            </w:r>
            <w:r>
              <w:rPr>
                <w:b/>
                <w:spacing w:val="-2"/>
                <w:sz w:val="16"/>
              </w:rPr>
              <w:t>2005</w:t>
            </w:r>
          </w:p>
        </w:tc>
        <w:tc>
          <w:tcPr>
            <w:tcW w:w="584" w:type="dxa"/>
            <w:tcBorders>
              <w:bottom w:val="single" w:sz="4" w:space="0" w:color="000000"/>
            </w:tcBorders>
          </w:tcPr>
          <w:p>
            <w:pPr>
              <w:pStyle w:val="TableParagraph"/>
              <w:spacing w:before="9"/>
              <w:ind w:left="113"/>
              <w:rPr>
                <w:b/>
                <w:sz w:val="16"/>
              </w:rPr>
            </w:pPr>
            <w:r>
              <w:rPr>
                <w:b/>
                <w:w w:val="105"/>
                <w:sz w:val="16"/>
              </w:rPr>
              <w:t>2006</w:t>
            </w:r>
          </w:p>
        </w:tc>
        <w:tc>
          <w:tcPr>
            <w:tcW w:w="585" w:type="dxa"/>
            <w:tcBorders>
              <w:bottom w:val="single" w:sz="4" w:space="0" w:color="000000"/>
            </w:tcBorders>
          </w:tcPr>
          <w:p>
            <w:pPr>
              <w:pStyle w:val="TableParagraph"/>
              <w:spacing w:before="9"/>
              <w:ind w:left="114"/>
              <w:rPr>
                <w:b/>
                <w:sz w:val="16"/>
              </w:rPr>
            </w:pPr>
            <w:r>
              <w:rPr>
                <w:b/>
                <w:w w:val="105"/>
                <w:sz w:val="16"/>
              </w:rPr>
              <w:t>2007</w:t>
            </w:r>
          </w:p>
        </w:tc>
        <w:tc>
          <w:tcPr>
            <w:tcW w:w="585" w:type="dxa"/>
            <w:tcBorders>
              <w:bottom w:val="single" w:sz="4" w:space="0" w:color="000000"/>
            </w:tcBorders>
          </w:tcPr>
          <w:p>
            <w:pPr>
              <w:pStyle w:val="TableParagraph"/>
              <w:spacing w:before="9"/>
              <w:ind w:left="113"/>
              <w:rPr>
                <w:b/>
                <w:sz w:val="16"/>
              </w:rPr>
            </w:pPr>
            <w:r>
              <w:rPr>
                <w:b/>
                <w:w w:val="105"/>
                <w:sz w:val="16"/>
              </w:rPr>
              <w:t>2008</w:t>
            </w:r>
          </w:p>
        </w:tc>
        <w:tc>
          <w:tcPr>
            <w:tcW w:w="584" w:type="dxa"/>
            <w:tcBorders>
              <w:bottom w:val="single" w:sz="4" w:space="0" w:color="000000"/>
            </w:tcBorders>
          </w:tcPr>
          <w:p>
            <w:pPr>
              <w:pStyle w:val="TableParagraph"/>
              <w:spacing w:before="9"/>
              <w:ind w:left="112"/>
              <w:rPr>
                <w:b/>
                <w:sz w:val="16"/>
              </w:rPr>
            </w:pPr>
            <w:r>
              <w:rPr>
                <w:b/>
                <w:w w:val="105"/>
                <w:sz w:val="16"/>
              </w:rPr>
              <w:t>2009</w:t>
            </w:r>
          </w:p>
        </w:tc>
        <w:tc>
          <w:tcPr>
            <w:tcW w:w="585" w:type="dxa"/>
            <w:tcBorders>
              <w:bottom w:val="single" w:sz="4" w:space="0" w:color="000000"/>
            </w:tcBorders>
          </w:tcPr>
          <w:p>
            <w:pPr>
              <w:pStyle w:val="TableParagraph"/>
              <w:spacing w:before="9"/>
              <w:ind w:left="111"/>
              <w:rPr>
                <w:b/>
                <w:sz w:val="16"/>
              </w:rPr>
            </w:pPr>
            <w:r>
              <w:rPr>
                <w:b/>
                <w:w w:val="105"/>
                <w:sz w:val="16"/>
              </w:rPr>
              <w:t>2010</w:t>
            </w:r>
          </w:p>
        </w:tc>
        <w:tc>
          <w:tcPr>
            <w:tcW w:w="770" w:type="dxa"/>
            <w:tcBorders>
              <w:bottom w:val="single" w:sz="4" w:space="0" w:color="000000"/>
              <w:right w:val="single" w:sz="4" w:space="0" w:color="000000"/>
            </w:tcBorders>
          </w:tcPr>
          <w:p>
            <w:pPr>
              <w:pStyle w:val="TableParagraph"/>
              <w:spacing w:before="9"/>
              <w:ind w:left="111"/>
              <w:rPr>
                <w:b/>
                <w:sz w:val="16"/>
              </w:rPr>
            </w:pPr>
            <w:r>
              <w:rPr>
                <w:b/>
                <w:w w:val="105"/>
                <w:sz w:val="16"/>
              </w:rPr>
              <w:t>2011</w:t>
            </w:r>
          </w:p>
        </w:tc>
      </w:tr>
      <w:tr>
        <w:trPr>
          <w:trHeight w:val="1200" w:hRule="atLeast"/>
        </w:trPr>
        <w:tc>
          <w:tcPr>
            <w:tcW w:w="7344" w:type="dxa"/>
            <w:gridSpan w:val="10"/>
            <w:tcBorders>
              <w:top w:val="single" w:sz="4" w:space="0" w:color="000000"/>
              <w:left w:val="single" w:sz="4" w:space="0" w:color="000000"/>
              <w:bottom w:val="single" w:sz="4" w:space="0" w:color="000000"/>
              <w:right w:val="single" w:sz="4" w:space="0" w:color="000000"/>
            </w:tcBorders>
          </w:tcPr>
          <w:p>
            <w:pPr>
              <w:pStyle w:val="TableParagraph"/>
              <w:spacing w:before="6"/>
              <w:rPr>
                <w:sz w:val="16"/>
              </w:rPr>
            </w:pPr>
          </w:p>
          <w:p>
            <w:pPr>
              <w:pStyle w:val="TableParagraph"/>
              <w:spacing w:line="396" w:lineRule="auto" w:before="1"/>
              <w:ind w:left="107" w:right="713"/>
              <w:rPr>
                <w:sz w:val="18"/>
              </w:rPr>
            </w:pPr>
            <w:r>
              <w:rPr>
                <w:sz w:val="18"/>
              </w:rPr>
              <w:t>*: Investment intention scores reflect firms’ expected expenditure over the next 12 months.</w:t>
            </w:r>
          </w:p>
          <w:p>
            <w:pPr>
              <w:pStyle w:val="TableParagraph"/>
              <w:spacing w:before="57"/>
              <w:ind w:left="107"/>
              <w:rPr>
                <w:sz w:val="18"/>
              </w:rPr>
            </w:pPr>
            <w:r>
              <w:rPr>
                <w:sz w:val="18"/>
              </w:rPr>
              <w:t>Source: Bank of England</w:t>
            </w:r>
          </w:p>
        </w:tc>
      </w:tr>
    </w:tbl>
    <w:p>
      <w:pPr>
        <w:pStyle w:val="BodyText"/>
        <w:spacing w:before="6"/>
        <w:rPr>
          <w:sz w:val="21"/>
        </w:rPr>
      </w:pPr>
    </w:p>
    <w:p>
      <w:pPr>
        <w:pStyle w:val="BodyText"/>
        <w:spacing w:line="360" w:lineRule="auto" w:before="94"/>
        <w:ind w:left="233" w:right="138"/>
      </w:pPr>
      <w:r>
        <w:rPr/>
        <w:pict>
          <v:group style="position:absolute;margin-left:133.800003pt;margin-top:-260.480225pt;width:326.6pt;height:166.45pt;mso-position-horizontal-relative:page;mso-position-vertical-relative:paragraph;z-index:-253598720" coordorigin="2676,-5210" coordsize="6532,3329">
            <v:line style="position:absolute" from="9163,-5202" to="9163,-1888" stroked="true" strokeweight=".78pt" strokecolor="#000000">
              <v:stroke dashstyle="solid"/>
            </v:line>
            <v:shape style="position:absolute;left:9162;top:-5210;width:46;height:3329" coordorigin="9162,-5210" coordsize="46,3329" path="m9208,-1896l9162,-1896,9162,-1881,9208,-1881,9208,-1896m9208,-2256l9162,-2256,9162,-2241,9208,-2241,9208,-2256m9208,-2631l9162,-2631,9162,-2616,9208,-2616,9208,-2631m9208,-2991l9162,-2991,9162,-2975,9208,-2975,9208,-2991m9208,-3365l9162,-3365,9162,-3351,9208,-3351,9208,-3365m9208,-3725l9162,-3725,9162,-3711,9208,-3711,9208,-3725m9208,-4101l9162,-4101,9162,-4085,9208,-4085,9208,-4101m9208,-4475l9162,-4475,9162,-4461,9208,-4461,9208,-4475m9208,-4835l9162,-4835,9162,-4820,9208,-4820,9208,-4835m9208,-5210l9162,-5210,9162,-5195,9208,-5195,9208,-5210e" filled="true" fillcolor="#000000" stroked="false">
              <v:path arrowok="t"/>
              <v:fill type="solid"/>
            </v:shape>
            <v:line style="position:absolute" from="2683,-3718" to="9162,-3718" stroked="true" strokeweight=".71997pt" strokecolor="#000000">
              <v:stroke dashstyle="solid"/>
            </v:line>
            <v:shape style="position:absolute;left:2676;top:-3718;width:6449;height:45" coordorigin="2676,-3718" coordsize="6449,45" path="m2692,-3718l2676,-3718,2676,-3674,2692,-3674,2692,-3718m3276,-3718l3260,-3718,3260,-3674,3276,-3674,3276,-3718m3860,-3718l3846,-3718,3846,-3674,3860,-3674,3860,-3718m4446,-3718l4430,-3718,4430,-3674,4446,-3674,4446,-3718m5030,-3718l5016,-3718,5016,-3674,5030,-3674,5030,-3718m5616,-3718l5600,-3718,5600,-3674,5616,-3674,5616,-3718m6200,-3718l6186,-3718,6186,-3674,6200,-3674,6200,-3718m6785,-3718l6770,-3718,6770,-3674,6785,-3674,6785,-3718m7370,-3718l7355,-3718,7355,-3674,7370,-3674,7370,-3718m7955,-3718l7940,-3718,7940,-3674,7955,-3674,7955,-3718m8540,-3718l8525,-3718,8525,-3674,8540,-3674,8540,-3718m9125,-3718l9110,-3718,9110,-3674,9125,-3674,9125,-3718e" filled="true" fillcolor="#000000" stroked="false">
              <v:path arrowok="t"/>
              <v:fill type="solid"/>
            </v:shape>
            <v:shape style="position:absolute;left:2689;top:-4537;width:6468;height:2220" coordorigin="2689,-4536" coordsize="6468,2220" path="m8028,-2396l8003,-2396,8047,-2316,8129,-2316,8173,-2336,8072,-2336,8028,-2396xm8282,-2496l8255,-2496,8240,-2476,8196,-2476,8152,-2356,8156,-2356,8112,-2336,8179,-2336,8224,-2456,8269,-2456,8282,-2496xm7745,-3696l7663,-3696,7723,-3676,7715,-3676,7760,-3416,7806,-3196,7850,-2876,7910,-2596,7913,-2596,7957,-2516,7956,-2516,8000,-2396,8029,-2396,7985,-2536,7982,-2536,7938,-2616,7939,-2616,7880,-2876,7835,-3216,7790,-3416,7745,-3696xm8247,-2496l8204,-2496,8198,-2476,8240,-2476,8247,-2496xm8509,-3316l8480,-3316,8436,-3136,8345,-2736,8347,-2736,8287,-2616,8286,-2616,8240,-2476,8255,-2496,8282,-2496,8315,-2596,8314,-2596,8374,-2716,8375,-2716,8419,-2936,8465,-3136,8509,-3316xm4446,-3236l4492,-3076,4494,-3076,4554,-2996,4577,-2996,4599,-3016,4555,-3016,4569,-3029,4518,-3096,4520,-3096,4481,-3216,4460,-3216,4446,-3236xm4569,-3029l4555,-3016,4578,-3016,4569,-3029xm4624,-3056l4600,-3056,4569,-3029,4578,-3016,4599,-3016,4621,-3036,4624,-3056xm4714,-3236l4688,-3236,4642,-3176,4597,-3056,4625,-3056,4669,-3156,4714,-3236xm3738,-3236l3714,-3236,3774,-3156,3778,-3156,3822,-3116,3844,-3116,3855,-3136,3818,-3136,3825,-3149,3794,-3176,3798,-3176,3738,-3236xm3825,-3149l3818,-3136,3839,-3136,3825,-3149xm3883,-3216l3863,-3216,3825,-3149,3839,-3136,3855,-3136,3881,-3182,3865,-3196,3907,-3196,3883,-3216xm3907,-3196l3889,-3196,3881,-3182,3910,-3156,3917,-3136,3922,-3136,3926,-3156,3932,-3156,3947,-3176,3910,-3176,3919,-3186,3907,-3196xm3919,-3186l3910,-3176,3931,-3176,3919,-3186xm4024,-3256l3972,-3256,3970,-3236,3919,-3186,3931,-3176,3947,-3176,3992,-3236,4013,-3236,4024,-3256xm3889,-3196l3865,-3196,3881,-3182,3889,-3196xm4054,-3256l4026,-3256,4013,-3236,3992,-3236,3980,-3216,4036,-3216,4039,-3236,4054,-3256xm4392,-3336l4381,-3336,4366,-3317,4402,-3236,4404,-3216,4452,-3216,4446,-3236,4429,-3236,4416,-3256,4422,-3256,4392,-3336xm4475,-3236l4446,-3236,4460,-3216,4481,-3216,4475,-3236xm4859,-3396l4792,-3396,4747,-3296,4752,-3296,4692,-3256,4690,-3236,4714,-3236,4710,-3216,4770,-3276,4775,-3276,4819,-3376,4814,-3376,4859,-3396xm3696,-3456l3666,-3456,3712,-3236,3740,-3236,3696,-3456xm4124,-3476l4103,-3476,4102,-3456,4056,-3316,4058,-3316,4013,-3236,4026,-3256,4054,-3256,4084,-3296,4085,-3296,4125,-3438,4106,-3456,4154,-3456,4124,-3476xm4422,-3256l4416,-3256,4429,-3236,4422,-3256xm4468,-3256l4422,-3256,4429,-3236,4474,-3236,4468,-3256xm4385,-3356l4363,-3356,4306,-3302,4319,-3296,4258,-3296,4302,-3276,4308,-3256,4316,-3256,4366,-3317,4357,-3336,4392,-3336,4385,-3356xm4189,-3416l4162,-3416,4207,-3296,4300,-3296,4306,-3302,4274,-3316,4235,-3316,4189,-3416xm4306,-3302l4300,-3296,4319,-3296,4306,-3302xm8659,-3716l8630,-3716,8586,-3576,8540,-3396,8543,-3396,8483,-3316,8509,-3316,8507,-3296,8567,-3376,8569,-3376,8615,-3556,8654,-3696,8653,-3696,8659,-3716xm4381,-3336l4357,-3336,4366,-3317,4381,-3336xm4154,-3456l4130,-3456,4125,-3438,4166,-3396,4162,-3416,4187,-3416,4184,-3436,4154,-3456xm4842,-3436l4798,-3396,4862,-3396,4864,-3416,4836,-3416,4842,-3436xm4842,-3436l4842,-3436,4836,-3416,4842,-3436xm4871,-3436l4842,-3436,4836,-3416,4865,-3416,4871,-3436xm5444,-4236l5377,-4236,5333,-4136,5273,-4016,5227,-3956,5226,-3936,5182,-3796,5138,-3796,5077,-3716,5033,-3656,5038,-3656,4992,-3616,4946,-3616,4886,-3576,4882,-3576,4842,-3436,4842,-3436,4871,-3436,4910,-3556,4904,-3556,4964,-3596,5009,-3596,5054,-3636,5058,-3636,5104,-3716,5162,-3776,5210,-3776,5255,-3936,5254,-3936,5298,-4016,5358,-4116,5405,-4216,5489,-4216,5444,-4236xm4130,-3456l4106,-3456,4125,-3438,4130,-3456xm3649,-3536l3623,-3536,3668,-3456,3695,-3456,3695,-3476,3694,-3476,3649,-3536xm5808,-4136l5768,-4136,5814,-4076,5857,-4016,5903,-3936,5962,-3816,6006,-3676,6010,-3676,6055,-3636,6103,-3636,6168,-3596,6202,-3596,6246,-3476,6317,-3476,6332,-3496,6275,-3496,6229,-3616,6178,-3616,6115,-3656,6076,-3656,6031,-3696,6035,-3696,5989,-3816,5989,-3836,5928,-3956,5884,-4016,5838,-4096,5808,-4136xm6568,-3956l6487,-3956,6486,-3936,6440,-3796,6396,-3616,6400,-3616,6354,-3576,6294,-3496,6332,-3496,6377,-3556,6421,-3596,6425,-3596,6425,-3616,6470,-3796,6515,-3936,6508,-3936,6568,-3956xm3545,-3716l3517,-3716,3577,-3556,3582,-3556,3628,-3516,3623,-3536,3649,-3536,3644,-3556,3599,-3576,3605,-3576,3545,-3716xm6103,-3636l6058,-3636,6061,-3616,6110,-3616,6103,-3636xm2947,-3816l2992,-3716,2994,-3696,3014,-3696,3037,-3716,3019,-3716,2998,-3736,3010,-3742,2990,-3796,2960,-3796,2947,-3816xm3363,-3956l3349,-3956,3337,-3940,3384,-3876,3428,-3816,3473,-3736,3478,-3736,3522,-3696,3517,-3716,3544,-3716,3539,-3736,3494,-3756,3499,-3756,3454,-3836,3408,-3896,3363,-3956xm7680,-3734l7685,-3716,7657,-3716,7660,-3696,7736,-3696,7680,-3734xm8659,-3716l8653,-3696,8654,-3697,8659,-3716xm8654,-3697l8653,-3696,8654,-3696,8654,-3697xm9002,-4196l8980,-4196,8932,-4156,8872,-4056,8826,-4056,8782,-3956,8736,-3876,8676,-3756,8682,-3756,8636,-3736,8632,-3716,8659,-3716,8654,-3697,8699,-3736,8702,-3736,8764,-3856,8808,-3936,8854,-4036,8898,-4036,8958,-4136,8956,-4136,9000,-4176,9002,-4176,9002,-4196xm3010,-3742l2998,-3736,3019,-3716,3010,-3742xm3104,-3876l3082,-3876,3037,-3756,3043,-3756,3010,-3742,3019,-3716,3037,-3716,3059,-3736,3065,-3736,3106,-3844,3086,-3856,3134,-3856,3104,-3876xm7639,-3896l7610,-3896,7656,-3716,7685,-3716,7676,-3736,7680,-3736,7639,-3896xm7676,-3736l7685,-3716,7680,-3734,7676,-3736xm7680,-3736l7676,-3736,7680,-3734,7680,-3736xm2947,-3816l2891,-3816,2896,-3796,2956,-3796,2947,-3816xm2869,-3896l2843,-3896,2888,-3816,2947,-3816,2960,-3796,2990,-3796,2975,-3836,2914,-3836,2869,-3896xm3209,-3816l3150,-3816,3152,-3796,3205,-3796,3209,-3816xm3134,-3856l3110,-3856,3106,-3844,3146,-3816,3211,-3816,3234,-3836,3164,-3836,3134,-3856xm3282,-3916l3238,-3876,3191,-3836,3234,-3836,3257,-3856,3254,-3856,3299,-3876,3302,-3876,3304,-3896,3278,-3896,3282,-3916xm3110,-3856l3086,-3856,3106,-3844,3110,-3856xm2718,-3956l2690,-3956,2689,-3936,2694,-3936,2754,-3856,2779,-3856,2790,-3876,2753,-3876,2764,-3895,2718,-3956xm2764,-3895l2753,-3876,2778,-3876,2764,-3895xm2819,-3956l2798,-3956,2764,-3895,2778,-3876,2790,-3876,2814,-3919,2801,-3936,2836,-3936,2819,-3956xm2836,-3936l2824,-3936,2814,-3919,2845,-3876,2843,-3896,2869,-3896,2836,-3936xm7223,-4376l7267,-4296,7328,-4216,7326,-4216,7370,-4076,7373,-4076,7417,-4016,7463,-3936,7466,-3936,7526,-3876,7541,-3876,7558,-3896,7524,-3896,7541,-3919,7484,-3956,7488,-3956,7444,-4016,7398,-4096,7399,-4096,7355,-4236,7352,-4236,7294,-4316,7263,-4356,7235,-4356,7223,-4376xm7606,-3936l7591,-3936,7580,-3923,7614,-3876,7610,-3896,7636,-3896,7606,-3936xm3348,-3976l3323,-3976,3278,-3896,3304,-3896,3337,-3940,3324,-3956,3363,-3956,3348,-3976xm7541,-3919l7524,-3896,7544,-3916,7541,-3919xm7591,-3956l7570,-3956,7541,-3919,7544,-3916,7524,-3896,7558,-3896,7580,-3923,7570,-3936,7606,-3936,7591,-3956xm2824,-3936l2801,-3936,2814,-3919,2824,-3936xm7591,-3936l7570,-3936,7580,-3923,7591,-3936xm3349,-3956l3324,-3956,3337,-3940,3349,-3956xm6619,-4116l6590,-4116,6546,-3976,6553,-3976,6493,-3956,6575,-3956,6619,-4116xm5572,-4196l5617,-4076,5686,-4076,5706,-4096,5645,-4096,5608,-4176,5586,-4176,5572,-4196xm5792,-4156l5725,-4156,5665,-4096,5706,-4096,5746,-4136,5808,-4136,5792,-4156xm6664,-4196l6637,-4196,6593,-4136,6592,-4136,6592,-4116,6618,-4116,6664,-4196xm5597,-4216l5428,-4216,5472,-4176,5579,-4176,5572,-4196,5599,-4196,5597,-4216xm5599,-4196l5572,-4196,5586,-4176,5608,-4176,5599,-4196xm6761,-4296l6752,-4296,6746,-4276,6688,-4236,6642,-4216,6640,-4216,6638,-4196,6664,-4196,6659,-4176,6703,-4216,6753,-4249,6745,-4256,6788,-4256,6766,-4276,6761,-4296xm9092,-4376l9067,-4376,9022,-4316,8976,-4196,9004,-4196,9049,-4296,9092,-4376xm6788,-4256l6764,-4256,6753,-4249,6790,-4216,6853,-4216,6877,-4236,6811,-4236,6788,-4256xm6941,-4315l6883,-4276,6835,-4236,6877,-4236,6901,-4256,6898,-4256,6956,-4296,6936,-4296,6941,-4315xm6764,-4256l6745,-4256,6753,-4249,6764,-4256xm6943,-4316l6941,-4315,6936,-4296,6943,-4316xm6971,-4316l6943,-4316,6936,-4296,6965,-4296,6971,-4316xm7003,-4456l6980,-4456,6941,-4315,6943,-4316,6971,-4316,7006,-4428,6986,-4436,7032,-4436,7040,-4440,7003,-4456xm7084,-4476l7076,-4456,7040,-4440,7049,-4436,7093,-4436,7079,-4430,7134,-4356,7234,-4356,7223,-4376,7157,-4376,7097,-4456,7092,-4456,7084,-4476xm7246,-4396l7145,-4396,7157,-4376,7223,-4376,7235,-4356,7263,-4356,7248,-4376,7246,-4396xm9157,-4536l9126,-4536,9066,-4376,9094,-4376,9154,-4516,9157,-4536xm7074,-4436l7009,-4436,7006,-4428,7032,-4416,7037,-4396,7044,-4396,7049,-4416,7079,-4430,7074,-4436xm7009,-4436l6986,-4436,7006,-4428,7009,-4436xm7093,-4436l7074,-4436,7079,-4430,7093,-4436xm7040,-4440l7032,-4436,7049,-4436,7040,-4440xm6995,-4476l6990,-4456,7000,-4456,6995,-4476xe" filled="true" fillcolor="#333399" stroked="false">
              <v:path arrowok="t"/>
              <v:fill type="solid"/>
            </v:shape>
            <v:shape style="position:absolute;left:2689;top:-5051;width:6468;height:2660" coordorigin="2689,-5051" coordsize="6468,2660" path="m7938,-2651l7913,-2651,7957,-2571,8003,-2491,8046,-2391,8072,-2391,8087,-2411,8048,-2411,8066,-2428,8028,-2511,7982,-2591,7938,-2651xm8066,-2428l8048,-2411,8074,-2411,8066,-2428xm8177,-2531l8153,-2531,8108,-2471,8066,-2428,8074,-2411,8087,-2411,8132,-2471,8177,-2531xm8263,-2591l8200,-2591,8154,-2551,8154,-2531,8177,-2531,8176,-2511,8221,-2571,8219,-2571,8263,-2591xm8366,-2811l8286,-2811,8240,-2611,8246,-2611,8202,-2591,8269,-2591,8269,-2611,8315,-2791,8306,-2791,8366,-2811xm7247,-4568l7250,-4551,7226,-4551,7272,-4511,7333,-4491,7327,-4491,7373,-4411,7415,-4411,7460,-4051,7462,-4031,7522,-3931,7567,-3851,7612,-3851,7656,-3731,7716,-3531,7760,-3391,7806,-3151,7850,-2871,7910,-2651,7939,-2651,7880,-2871,7835,-3171,7789,-3391,7745,-3531,7685,-3751,7639,-3871,7594,-3871,7580,-3891,7582,-3891,7548,-3951,7488,-4051,7490,-4051,7445,-4431,7398,-4431,7354,-4511,7346,-4511,7289,-4531,7247,-4568xm8351,-2849l8293,-2811,8370,-2811,8374,-2831,8346,-2831,8351,-2849xm8353,-2851l8351,-2849,8346,-2831,8353,-2851xm8381,-2851l8353,-2851,8346,-2831,8375,-2831,8381,-2851xm8510,-3491l8480,-3491,8435,-3211,8390,-2991,8351,-2849,8353,-2851,8381,-2851,8419,-2971,8465,-3211,8507,-3471,8504,-3471,8510,-3491xm8510,-3491l8504,-3471,8508,-3474,8510,-3491xm8508,-3474l8504,-3471,8507,-3471,8508,-3474xm8545,-3550l8486,-3511,8483,-3491,8510,-3491,8508,-3474,8564,-3531,8540,-3531,8545,-3550xm8546,-3551l8545,-3550,8540,-3531,8546,-3551xm8574,-3551l8546,-3551,8540,-3531,8569,-3531,8574,-3551xm8765,-4151l8736,-4151,8676,-3971,8632,-3831,8586,-3731,8586,-3711,8545,-3550,8546,-3551,8574,-3551,8615,-3711,8614,-3711,8659,-3811,8705,-3971,8765,-4151xm3695,-4031l3628,-4031,3672,-4011,3666,-4011,3712,-3811,3714,-3811,3774,-3731,3797,-3731,3819,-3751,3775,-3751,3787,-3766,3738,-3831,3740,-3831,3696,-4011,3695,-4031xm3787,-3766l3775,-3751,3798,-3751,3787,-3766xm3821,-3811l3787,-3766,3798,-3751,3819,-3751,3841,-3771,3842,-3791,3818,-3791,3821,-3811xm3948,-3891l3920,-3891,3907,-3871,3863,-3871,3818,-3791,3844,-3791,3889,-3851,3932,-3851,3948,-3891xm4518,-3951l4452,-3951,4498,-3931,4494,-3931,4554,-3851,4600,-3811,4669,-3811,4677,-3831,4621,-3831,4578,-3871,4518,-3951xm4768,-3951l4687,-3951,4642,-3831,4677,-3831,4715,-3931,4708,-3931,4768,-3951xm3915,-3891l3870,-3891,3865,-3871,3907,-3871,3915,-3891xm4184,-4131l4012,-4131,3967,-4031,3907,-3871,3920,-3891,3948,-3891,3995,-4011,4039,-4111,4229,-4111,4184,-4131xm7582,-3891l7580,-3891,7594,-3871,7582,-3891xm7632,-3891l7582,-3891,7594,-3871,7637,-3871,7632,-3891xm4381,-4031l4304,-4031,4364,-4011,4360,-4011,4405,-3951,4514,-3951,4469,-3991,4427,-3991,4381,-4031xm4754,-3991l4694,-3951,4771,-3951,4774,-3971,4747,-3971,4754,-3991xm4819,-4091l4792,-4091,4747,-3971,4775,-3971,4808,-4060,4795,-4071,4819,-4091xm3604,-4211l3524,-4211,3584,-4191,3576,-4191,3622,-4051,3623,-4031,3689,-4031,3644,-4051,3650,-4051,3605,-4191,3604,-4211xm4231,-4111l4168,-4111,4212,-4071,4210,-4071,4258,-4031,4378,-4031,4345,-4051,4277,-4051,4231,-4091,4231,-4111xm4813,-4111l4798,-4111,4794,-4091,4819,-4091,4808,-4060,4840,-4031,4865,-4031,4872,-4051,4837,-4051,4846,-4070,4813,-4111xm4313,-4071l4266,-4071,4277,-4051,4345,-4051,4313,-4071xm4846,-4070l4837,-4051,4861,-4051,4846,-4070xm5009,-4291l4945,-4291,4943,-4271,4882,-4151,4846,-4070,4861,-4051,4872,-4051,4909,-4151,4969,-4271,4987,-4271,5009,-4291xm4819,-4091l4795,-4071,4808,-4060,4819,-4091xm6184,-4271l6157,-4271,6180,-4251,6172,-4245,6203,-4191,6253,-4131,6271,-4131,6274,-4151,6247,-4151,6257,-4169,6226,-4211,6228,-4211,6184,-4271xm8832,-4211l8784,-4211,8740,-4151,8765,-4151,8760,-4131,8806,-4191,8803,-4191,8840,-4207,8832,-4211xm6257,-4169l6247,-4151,6271,-4151,6257,-4169xm6509,-4431l6396,-4431,6352,-4311,6354,-4311,6293,-4231,6257,-4169,6271,-4151,6274,-4151,6377,-4291,6379,-4291,6425,-4411,6463,-4411,6509,-4431xm8952,-4211l8849,-4211,8840,-4207,8876,-4191,8881,-4171,8887,-4171,8952,-4211xm8849,-4211l8832,-4211,8840,-4207,8849,-4211xm3211,-4611l3089,-4611,3151,-4591,3191,-4591,3235,-4551,3282,-4551,3328,-4511,3324,-4511,3384,-4451,3388,-4431,3432,-4411,3426,-4411,3472,-4231,3473,-4211,3598,-4211,3565,-4231,3500,-4231,3486,-4251,3496,-4251,3456,-4431,3449,-4431,3427,-4451,3408,-4451,3348,-4531,3344,-4531,3299,-4571,3257,-4571,3211,-4611xm5811,-4631l5794,-4631,5780,-4607,5818,-4591,5813,-4591,5857,-4511,5902,-4411,5906,-4411,5966,-4371,6012,-4331,6007,-4331,6053,-4271,6054,-4251,6055,-4251,6100,-4211,6120,-4211,6150,-4231,6102,-4231,6111,-4240,6076,-4271,6078,-4271,6034,-4351,6029,-4351,5984,-4391,5924,-4431,5929,-4431,5884,-4531,5838,-4611,5833,-4611,5811,-4631xm8843,-4251l8837,-4251,8832,-4231,8786,-4211,8879,-4211,8887,-4214,8849,-4231,8843,-4251xm8887,-4214l8879,-4211,8893,-4211,8887,-4214xm9064,-4251l9035,-4251,9020,-4231,8939,-4231,8887,-4214,8893,-4211,9049,-4211,9064,-4251xm3496,-4251l3486,-4251,3500,-4231,3496,-4251xm3533,-4251l3496,-4251,3500,-4231,3565,-4231,3533,-4251xm6111,-4240l6102,-4231,6121,-4231,6111,-4240xm6181,-4291l6162,-4291,6111,-4240,6121,-4231,6150,-4231,6172,-4245,6157,-4271,6184,-4271,6181,-4291xm9028,-4251l8942,-4251,8940,-4231,9020,-4231,9028,-4251xm9150,-4391l9140,-4391,9073,-4351,9066,-4351,9020,-4231,9035,-4251,9064,-4251,9094,-4331,9086,-4331,9154,-4371,9157,-4371,9150,-4391xm6157,-4271l6172,-4245,6180,-4251,6157,-4271xm4987,-4271l4969,-4271,4964,-4251,4987,-4271xm5249,-4571l5228,-4571,5183,-4511,5137,-4431,5083,-4431,5033,-4391,4987,-4311,4992,-4311,4948,-4291,5014,-4291,5058,-4371,5057,-4371,5101,-4411,5164,-4411,5208,-4491,5244,-4540,5232,-4551,5272,-4551,5249,-4571xm6559,-4471l6492,-4471,6448,-4431,6570,-4431,6574,-4451,6547,-4451,6559,-4471xm3404,-4471l3408,-4451,3427,-4451,3404,-4471xm6709,-4751l6682,-4751,6636,-4631,6593,-4531,6547,-4451,6560,-4471,6588,-4471,6618,-4511,6709,-4751xm6588,-4471l6560,-4471,6547,-4451,6574,-4451,6588,-4471xm5272,-4551l5252,-4551,5244,-4540,5278,-4511,5298,-4511,5308,-4531,5273,-4531,5280,-4543,5272,-4551xm2869,-4791l2843,-4791,2798,-4691,2753,-4611,2758,-4611,2698,-4571,2690,-4571,2689,-4551,2694,-4551,2699,-4531,2708,-4531,2716,-4551,2774,-4591,2779,-4591,2824,-4671,2857,-4745,2843,-4771,2880,-4771,2869,-4791xm5280,-4543l5273,-4531,5294,-4531,5280,-4543xm5358,-4631l5333,-4631,5280,-4543,5294,-4531,5308,-4531,5358,-4631xm5565,-4671l5527,-4671,5573,-4591,5575,-4591,5620,-4551,5626,-4531,5635,-4531,5641,-4551,5663,-4571,5620,-4571,5630,-4580,5596,-4611,5598,-4611,5565,-4671xm5738,-4551l5730,-4551,5735,-4531,5738,-4551xm5252,-4551l5232,-4551,5244,-4540,5252,-4551xm5714,-4591l5686,-4591,5677,-4583,5726,-4551,5748,-4551,5759,-4571,5723,-4571,5730,-4580,5714,-4591xm7026,-5031l7008,-5031,7001,-5018,7032,-4991,7076,-4991,7136,-4951,7130,-4951,7176,-4751,7220,-4551,7250,-4551,7243,-4571,7246,-4571,7205,-4751,7160,-4971,7154,-4971,7094,-5011,7049,-5011,7026,-5031xm7243,-4571l7250,-4551,7247,-4568,7243,-4571xm7246,-4571l7243,-4571,7247,-4568,7246,-4571xm5630,-4580l5620,-4571,5641,-4571,5630,-4580xm5684,-4611l5665,-4611,5630,-4580,5641,-4571,5663,-4571,5677,-4583,5666,-4591,5714,-4591,5684,-4611xm5730,-4580l5723,-4571,5744,-4571,5730,-4580xm5789,-4651l5770,-4651,5767,-4631,5730,-4580,5744,-4571,5759,-4571,5780,-4607,5772,-4611,5794,-4631,5811,-4631,5789,-4651xm5686,-4591l5666,-4591,5677,-4583,5686,-4591xm2974,-4691l2892,-4691,2954,-4671,2948,-4671,2993,-4591,3014,-4591,3059,-4611,2998,-4611,3012,-4623,2974,-4691xm5794,-4631l5772,-4611,5780,-4607,5794,-4631xm3012,-4623l2998,-4611,3019,-4611,3012,-4623xm3101,-4651l3043,-4651,3012,-4623,3019,-4611,3163,-4611,3101,-4651xm5554,-4691l5380,-4691,5335,-4631,5358,-4631,5356,-4611,5401,-4671,5565,-4671,5554,-4691xm2880,-4771l2869,-4771,2857,-4745,2888,-4691,2970,-4691,2908,-4711,2914,-4711,2880,-4771xm6762,-4771l6685,-4771,6683,-4751,6709,-4751,6702,-4731,6762,-4771xm2869,-4771l2843,-4771,2857,-4745,2869,-4771xm6904,-4931l6877,-4931,6833,-4871,6787,-4791,6751,-4791,6689,-4771,6814,-4771,6858,-4851,6904,-4931xm7003,-5051l6983,-5051,6937,-4971,6943,-4971,6881,-4951,6878,-4931,6904,-4931,6898,-4911,6956,-4951,6964,-4951,7001,-5018,6986,-5031,7026,-5031,7003,-5051xm7008,-5031l6986,-5031,7001,-5018,7008,-5031xe" filled="true" fillcolor="#993300" stroked="false">
              <v:path arrowok="t"/>
              <v:fill type="solid"/>
            </v:shape>
            <v:line style="position:absolute" from="4190,-2586" to="4610,-2586" stroked="true" strokeweight="1.5pt" strokecolor="#333399">
              <v:stroke dashstyle="solid"/>
            </v:line>
            <v:line style="position:absolute" from="4190,-2256" to="4610,-2256" stroked="true" strokeweight="1.5pt" strokecolor="#993300">
              <v:stroke dashstyle="solid"/>
            </v:line>
            <w10:wrap type="none"/>
          </v:group>
        </w:pict>
      </w:r>
      <w:r>
        <w:rPr/>
        <w:t>So if the world economy is growing healthily and investment is rebounding, why is UK economic growth expected to be so disappointing? The answer lies in the outlook for public and private consumption. It is not surprising that public sector spending will act as a dampener on the growth of the UK economy as the government rebalances its finances. We experienced a similar phenomenon in the mid-1990s as the economy recovered from the early nineties recession. But in that episode, private consumption was more resilient, increasing at an annual rate of 3% a year in the five years 1993-97. Most forecasters are currently much more downbeat on private consumption, and a similar view underpins the Bank of England’s Inflation Report forecast.</w:t>
      </w:r>
    </w:p>
    <w:p>
      <w:pPr>
        <w:pStyle w:val="BodyText"/>
        <w:spacing w:before="11"/>
        <w:rPr>
          <w:sz w:val="29"/>
        </w:rPr>
      </w:pPr>
    </w:p>
    <w:p>
      <w:pPr>
        <w:pStyle w:val="BodyText"/>
        <w:spacing w:line="360" w:lineRule="auto"/>
        <w:ind w:left="233" w:right="138"/>
      </w:pPr>
      <w:r>
        <w:rPr/>
        <w:t>An important contributor to the weakness of private consumption – particularly this year – is the squeeze on household incomes from high inflation. Indeed, in money terms, household consumer spending rose by over 5% last year – the strongest nominal consumption growth since 2000. But the squeeze from rising prices limited the real growth to less than 1%. With consumer price inflation remaining high, this pattern is likely to continue through this year. Most forecasters are assuming that there will be limited upward pressure on wages from high inflation in the short-term, partly because of the downward influence of relatively high unemployment and partly because the rise in inflation is expected to be temporary. The latest consensus forecast is for average earnings growth to pick up to 3% by 2012 from the current underlying rate of increase of 2.3%. However, Income Data Services are already reporting that pay settlements have moved up to 2.8% in the private sector, pushed up by a number of pay deals linked to the Retail Prices Index. In my</w:t>
      </w:r>
    </w:p>
    <w:p>
      <w:pPr>
        <w:spacing w:after="0" w:line="360" w:lineRule="auto"/>
        <w:sectPr>
          <w:pgSz w:w="11900" w:h="16840"/>
          <w:pgMar w:header="0" w:footer="1340" w:top="1600" w:bottom="1540" w:left="900" w:right="1020"/>
        </w:sectPr>
      </w:pPr>
    </w:p>
    <w:p>
      <w:pPr>
        <w:pStyle w:val="BodyText"/>
        <w:spacing w:line="360" w:lineRule="auto" w:before="76"/>
        <w:ind w:left="234" w:right="138"/>
      </w:pPr>
      <w:r>
        <w:rPr/>
        <w:t>judgement, there are upside risks to both inflation and consumption growth from a stronger rebound in wage growth as the recovery proceeds. This is one of the reasons – though not the only one – why I believe that the current Inflation Report forecast that inflation will fall back to the 2% target is relatively optimistic.</w:t>
      </w:r>
    </w:p>
    <w:p>
      <w:pPr>
        <w:pStyle w:val="BodyText"/>
        <w:rPr>
          <w:sz w:val="30"/>
        </w:rPr>
      </w:pPr>
    </w:p>
    <w:p>
      <w:pPr>
        <w:pStyle w:val="BodyText"/>
        <w:spacing w:line="360" w:lineRule="auto"/>
        <w:ind w:left="233" w:right="154"/>
      </w:pPr>
      <w:r>
        <w:rPr/>
        <w:t>The behaviour of wages and consumption will therefore be an important influence on the outlook for both growth and inflation over the next couple of years, and this is clearly an area that the Monetary Policy Committee is monitoring closely. With imported price pressures and VAT adding to inflation in the short- term, we should not be surprised to see a squeeze on real incomes and relatively subdued consumer spending in the first half of this year. But if wage increases start to pick up more than current forecasts suggest in response to persistently high headline inflation, we are likely to see some combination of stronger consumption growth and higher medium term inflation. This scenario, which I see as quite likely, would reinforce the case for raising UK interest rates to head off inflationary pressures.</w:t>
      </w:r>
    </w:p>
    <w:p>
      <w:pPr>
        <w:pStyle w:val="BodyText"/>
        <w:spacing w:before="1"/>
        <w:rPr>
          <w:sz w:val="30"/>
        </w:rPr>
      </w:pPr>
    </w:p>
    <w:p>
      <w:pPr>
        <w:pStyle w:val="Heading1"/>
      </w:pPr>
      <w:r>
        <w:rPr/>
        <w:t>Economic growth and UK monetary policy</w:t>
      </w:r>
    </w:p>
    <w:p>
      <w:pPr>
        <w:pStyle w:val="BodyText"/>
        <w:rPr>
          <w:b/>
          <w:sz w:val="22"/>
        </w:rPr>
      </w:pPr>
    </w:p>
    <w:p>
      <w:pPr>
        <w:pStyle w:val="BodyText"/>
        <w:spacing w:before="10"/>
        <w:rPr>
          <w:b/>
          <w:sz w:val="17"/>
        </w:rPr>
      </w:pPr>
    </w:p>
    <w:p>
      <w:pPr>
        <w:pStyle w:val="BodyText"/>
        <w:spacing w:line="360" w:lineRule="auto"/>
        <w:ind w:left="233" w:right="175"/>
      </w:pPr>
      <w:r>
        <w:rPr/>
        <w:t>The UK’s monetary policy framework is focussed on the objective of price stability, which is currently defined in terms of a 2% target for CPI inflation. There are good reasons why we have made the achievement of price stability the centrepiece of monetary policy here in the UK, and why many other countries follow the same approach. While monetary policy can affect the growth rate of the economy in the short term, over the medium to long term, economic growth is driven by supply side factors – enterprise, innovation, investment and skills. Attempts to boost growth solely by loose monetary policy policies – which we experienced in the 1970s and the late 1980s – ended up creating greater economic instability and almost certainly hampered longer-term growth prospects. The best contribution that monetary policy can make to supporting the underlying forces of growth is therefore by fostering a climate of stability – primarily in terms of the level of prices but also by seeking to promote a relatively stable demand climate and by avoiding potentially destabilising lurches in policy.</w:t>
      </w:r>
    </w:p>
    <w:p>
      <w:pPr>
        <w:pStyle w:val="BodyText"/>
        <w:rPr>
          <w:sz w:val="30"/>
        </w:rPr>
      </w:pPr>
    </w:p>
    <w:p>
      <w:pPr>
        <w:pStyle w:val="BodyText"/>
        <w:spacing w:line="360" w:lineRule="auto" w:before="1"/>
        <w:ind w:left="233" w:right="88"/>
      </w:pPr>
      <w:r>
        <w:rPr/>
        <w:t>As I have already noted, the need to stabilise the UK economy in the face of a massive global financial shock in late 2008 and early 2009 fully justified the large cuts in Bank Rate and the injections of Quantitative</w:t>
      </w:r>
    </w:p>
    <w:p>
      <w:pPr>
        <w:pStyle w:val="BodyText"/>
        <w:spacing w:line="360" w:lineRule="auto"/>
        <w:ind w:left="233" w:right="132"/>
      </w:pPr>
      <w:r>
        <w:rPr/>
        <w:t>Easing that the MPC made at that time. But now the economy is growing again and inflation is running persistently above the 2% target, such a large degree of monetary stimulus is no longer appropriate and is in danger of creating more instability in growth and inflation, rather than stabilising the economy as monetary policy should.</w:t>
      </w:r>
    </w:p>
    <w:p>
      <w:pPr>
        <w:pStyle w:val="BodyText"/>
        <w:spacing w:before="11"/>
        <w:rPr>
          <w:sz w:val="29"/>
        </w:rPr>
      </w:pPr>
    </w:p>
    <w:p>
      <w:pPr>
        <w:pStyle w:val="BodyText"/>
        <w:spacing w:line="360" w:lineRule="auto"/>
        <w:ind w:left="233"/>
      </w:pPr>
      <w:r>
        <w:rPr/>
        <w:t>One justification which is frequently used for maintaining current monetary policy settings is the “output gap” model of the inflation process. According to this view of the world, stabilising growth and keeping inflation on target are two sides of the same coin. Weak growth builds up a margin of spare capacity which then pushes down on inflation, whereas strong growth is more likely to be associated with above capacity working and a</w:t>
      </w:r>
    </w:p>
    <w:p>
      <w:pPr>
        <w:spacing w:after="0" w:line="360" w:lineRule="auto"/>
        <w:sectPr>
          <w:pgSz w:w="11900" w:h="16840"/>
          <w:pgMar w:header="0" w:footer="1340" w:top="1540" w:bottom="1540" w:left="900" w:right="1020"/>
        </w:sectPr>
      </w:pPr>
    </w:p>
    <w:p>
      <w:pPr>
        <w:pStyle w:val="BodyText"/>
        <w:spacing w:line="360" w:lineRule="auto" w:before="76"/>
        <w:ind w:left="233"/>
      </w:pPr>
      <w:r>
        <w:rPr/>
        <w:t>build-up of inflationary pressures. The UK economy appeared to conform to this model for the first decade of the MPC, but recently it has broken down and is no longer acting as a reliable guide to policy-setting.</w:t>
      </w:r>
    </w:p>
    <w:p>
      <w:pPr>
        <w:pStyle w:val="BodyText"/>
        <w:rPr>
          <w:sz w:val="30"/>
        </w:rPr>
      </w:pPr>
    </w:p>
    <w:p>
      <w:pPr>
        <w:pStyle w:val="BodyText"/>
        <w:spacing w:line="360" w:lineRule="auto"/>
        <w:ind w:left="234" w:right="138" w:firstLine="55"/>
      </w:pPr>
      <w:r>
        <w:rPr/>
        <w:t>In a speech last month, I set out the reasons why this might be the case.</w:t>
      </w:r>
      <w:r>
        <w:rPr>
          <w:vertAlign w:val="superscript"/>
        </w:rPr>
        <w:t>6</w:t>
      </w:r>
      <w:r>
        <w:rPr>
          <w:vertAlign w:val="baseline"/>
        </w:rPr>
        <w:t> First, the relationship between spare capacity and inflationary pressures may be much more complex than the simple model suggests – particularly in the services sector which now dominates the UK economy. Second, the very accommodative policies we pursued in the depths of the recession allowed companies to pass through cost increases and may have encouraged companies to believe they have more pricing power than in the past. We have seen further evidence of this today in the very strong price expectations which are continuing to be registered by manufacturers in the CBI survey. And, third, the UK is a very open international economy. Global price pressures and the value of the pound appear to be having a greater impact on our inflation rate than the domestic margin of spare capacity.</w:t>
      </w:r>
    </w:p>
    <w:p>
      <w:pPr>
        <w:pStyle w:val="BodyText"/>
        <w:spacing w:before="11"/>
        <w:rPr>
          <w:sz w:val="29"/>
        </w:rPr>
      </w:pPr>
    </w:p>
    <w:p>
      <w:pPr>
        <w:pStyle w:val="BodyText"/>
        <w:spacing w:line="360" w:lineRule="auto"/>
        <w:ind w:left="234" w:right="173"/>
      </w:pPr>
      <w:r>
        <w:rPr/>
        <w:t>There are other criticisms which can be made of the “output gap” view of the world. Measures of the “output gap”</w:t>
      </w:r>
      <w:r>
        <w:rPr>
          <w:spacing w:val="-4"/>
        </w:rPr>
        <w:t> </w:t>
      </w:r>
      <w:r>
        <w:rPr/>
        <w:t>are</w:t>
      </w:r>
      <w:r>
        <w:rPr>
          <w:spacing w:val="-3"/>
        </w:rPr>
        <w:t> </w:t>
      </w:r>
      <w:r>
        <w:rPr/>
        <w:t>frequently</w:t>
      </w:r>
      <w:r>
        <w:rPr>
          <w:spacing w:val="-3"/>
        </w:rPr>
        <w:t> </w:t>
      </w:r>
      <w:r>
        <w:rPr/>
        <w:t>revised,</w:t>
      </w:r>
      <w:r>
        <w:rPr>
          <w:spacing w:val="-3"/>
        </w:rPr>
        <w:t> </w:t>
      </w:r>
      <w:r>
        <w:rPr/>
        <w:t>partly</w:t>
      </w:r>
      <w:r>
        <w:rPr>
          <w:spacing w:val="-3"/>
        </w:rPr>
        <w:t> </w:t>
      </w:r>
      <w:r>
        <w:rPr/>
        <w:t>because</w:t>
      </w:r>
      <w:r>
        <w:rPr>
          <w:spacing w:val="-3"/>
        </w:rPr>
        <w:t> </w:t>
      </w:r>
      <w:r>
        <w:rPr/>
        <w:t>of</w:t>
      </w:r>
      <w:r>
        <w:rPr>
          <w:spacing w:val="-3"/>
        </w:rPr>
        <w:t> </w:t>
      </w:r>
      <w:r>
        <w:rPr/>
        <w:t>GDP</w:t>
      </w:r>
      <w:r>
        <w:rPr>
          <w:spacing w:val="-3"/>
        </w:rPr>
        <w:t> </w:t>
      </w:r>
      <w:r>
        <w:rPr/>
        <w:t>data revisions</w:t>
      </w:r>
      <w:r>
        <w:rPr>
          <w:spacing w:val="-4"/>
        </w:rPr>
        <w:t> </w:t>
      </w:r>
      <w:r>
        <w:rPr/>
        <w:t>and</w:t>
      </w:r>
      <w:r>
        <w:rPr>
          <w:spacing w:val="-3"/>
        </w:rPr>
        <w:t> </w:t>
      </w:r>
      <w:r>
        <w:rPr/>
        <w:t>partly</w:t>
      </w:r>
      <w:r>
        <w:rPr>
          <w:spacing w:val="-3"/>
        </w:rPr>
        <w:t> </w:t>
      </w:r>
      <w:r>
        <w:rPr/>
        <w:t>because</w:t>
      </w:r>
      <w:r>
        <w:rPr>
          <w:spacing w:val="-3"/>
        </w:rPr>
        <w:t> </w:t>
      </w:r>
      <w:r>
        <w:rPr/>
        <w:t>of</w:t>
      </w:r>
      <w:r>
        <w:rPr>
          <w:spacing w:val="-4"/>
        </w:rPr>
        <w:t> </w:t>
      </w:r>
      <w:r>
        <w:rPr/>
        <w:t>changes</w:t>
      </w:r>
      <w:r>
        <w:rPr>
          <w:spacing w:val="-3"/>
        </w:rPr>
        <w:t> </w:t>
      </w:r>
      <w:r>
        <w:rPr/>
        <w:t>in</w:t>
      </w:r>
      <w:r>
        <w:rPr>
          <w:spacing w:val="-3"/>
        </w:rPr>
        <w:t> </w:t>
      </w:r>
      <w:r>
        <w:rPr/>
        <w:t>our</w:t>
      </w:r>
      <w:r>
        <w:rPr>
          <w:spacing w:val="-3"/>
        </w:rPr>
        <w:t> </w:t>
      </w:r>
      <w:r>
        <w:rPr/>
        <w:t>view of where the trend or capacity level of output truly lies. For both these reasons, the “output gap” is notoriously difficult to measure in real time.</w:t>
      </w:r>
      <w:r>
        <w:rPr>
          <w:vertAlign w:val="superscript"/>
        </w:rPr>
        <w:t>7</w:t>
      </w:r>
      <w:r>
        <w:rPr>
          <w:vertAlign w:val="baseline"/>
        </w:rPr>
        <w:t> Indeed, there have been quite significant revisions to the GDP profile of the early 1990s recession from the initial estimates. And we have already seen some revision to the GDP data through this recession and recovery – for example the rise in 2009 fourth quarter GDP growth has</w:t>
      </w:r>
      <w:r>
        <w:rPr>
          <w:spacing w:val="-3"/>
          <w:vertAlign w:val="baseline"/>
        </w:rPr>
        <w:t> </w:t>
      </w:r>
      <w:r>
        <w:rPr>
          <w:vertAlign w:val="baseline"/>
        </w:rPr>
        <w:t>been</w:t>
      </w:r>
      <w:r>
        <w:rPr>
          <w:spacing w:val="-3"/>
          <w:vertAlign w:val="baseline"/>
        </w:rPr>
        <w:t> </w:t>
      </w:r>
      <w:r>
        <w:rPr>
          <w:vertAlign w:val="baseline"/>
        </w:rPr>
        <w:t>revised</w:t>
      </w:r>
      <w:r>
        <w:rPr>
          <w:spacing w:val="-2"/>
          <w:vertAlign w:val="baseline"/>
        </w:rPr>
        <w:t> </w:t>
      </w:r>
      <w:r>
        <w:rPr>
          <w:vertAlign w:val="baseline"/>
        </w:rPr>
        <w:t>up</w:t>
      </w:r>
      <w:r>
        <w:rPr>
          <w:spacing w:val="-3"/>
          <w:vertAlign w:val="baseline"/>
        </w:rPr>
        <w:t> </w:t>
      </w:r>
      <w:r>
        <w:rPr>
          <w:vertAlign w:val="baseline"/>
        </w:rPr>
        <w:t>from</w:t>
      </w:r>
      <w:r>
        <w:rPr>
          <w:spacing w:val="-2"/>
          <w:vertAlign w:val="baseline"/>
        </w:rPr>
        <w:t> </w:t>
      </w:r>
      <w:r>
        <w:rPr>
          <w:vertAlign w:val="baseline"/>
        </w:rPr>
        <w:t>a</w:t>
      </w:r>
      <w:r>
        <w:rPr>
          <w:spacing w:val="-4"/>
          <w:vertAlign w:val="baseline"/>
        </w:rPr>
        <w:t> </w:t>
      </w:r>
      <w:r>
        <w:rPr>
          <w:vertAlign w:val="baseline"/>
        </w:rPr>
        <w:t>provisional</w:t>
      </w:r>
      <w:r>
        <w:rPr>
          <w:spacing w:val="-2"/>
          <w:vertAlign w:val="baseline"/>
        </w:rPr>
        <w:t> </w:t>
      </w:r>
      <w:r>
        <w:rPr>
          <w:vertAlign w:val="baseline"/>
        </w:rPr>
        <w:t>estimate</w:t>
      </w:r>
      <w:r>
        <w:rPr>
          <w:spacing w:val="-3"/>
          <w:vertAlign w:val="baseline"/>
        </w:rPr>
        <w:t> </w:t>
      </w:r>
      <w:r>
        <w:rPr>
          <w:vertAlign w:val="baseline"/>
        </w:rPr>
        <w:t>of</w:t>
      </w:r>
      <w:r>
        <w:rPr>
          <w:spacing w:val="-2"/>
          <w:vertAlign w:val="baseline"/>
        </w:rPr>
        <w:t> </w:t>
      </w:r>
      <w:r>
        <w:rPr>
          <w:vertAlign w:val="baseline"/>
        </w:rPr>
        <w:t>0.1%</w:t>
      </w:r>
      <w:r>
        <w:rPr>
          <w:spacing w:val="-3"/>
          <w:vertAlign w:val="baseline"/>
        </w:rPr>
        <w:t> </w:t>
      </w:r>
      <w:r>
        <w:rPr>
          <w:vertAlign w:val="baseline"/>
        </w:rPr>
        <w:t>to</w:t>
      </w:r>
      <w:r>
        <w:rPr>
          <w:spacing w:val="-3"/>
          <w:vertAlign w:val="baseline"/>
        </w:rPr>
        <w:t> </w:t>
      </w:r>
      <w:r>
        <w:rPr>
          <w:vertAlign w:val="baseline"/>
        </w:rPr>
        <w:t>0.5%</w:t>
      </w:r>
      <w:r>
        <w:rPr>
          <w:spacing w:val="-2"/>
          <w:vertAlign w:val="baseline"/>
        </w:rPr>
        <w:t> </w:t>
      </w:r>
      <w:r>
        <w:rPr>
          <w:vertAlign w:val="baseline"/>
        </w:rPr>
        <w:t>in</w:t>
      </w:r>
      <w:r>
        <w:rPr>
          <w:spacing w:val="-2"/>
          <w:vertAlign w:val="baseline"/>
        </w:rPr>
        <w:t> </w:t>
      </w:r>
      <w:r>
        <w:rPr>
          <w:vertAlign w:val="baseline"/>
        </w:rPr>
        <w:t>the</w:t>
      </w:r>
      <w:r>
        <w:rPr>
          <w:spacing w:val="-2"/>
          <w:vertAlign w:val="baseline"/>
        </w:rPr>
        <w:t> </w:t>
      </w:r>
      <w:r>
        <w:rPr>
          <w:vertAlign w:val="baseline"/>
        </w:rPr>
        <w:t>space</w:t>
      </w:r>
      <w:r>
        <w:rPr>
          <w:spacing w:val="-3"/>
          <w:vertAlign w:val="baseline"/>
        </w:rPr>
        <w:t> </w:t>
      </w:r>
      <w:r>
        <w:rPr>
          <w:vertAlign w:val="baseline"/>
        </w:rPr>
        <w:t>of</w:t>
      </w:r>
      <w:r>
        <w:rPr>
          <w:spacing w:val="-2"/>
          <w:vertAlign w:val="baseline"/>
        </w:rPr>
        <w:t> </w:t>
      </w:r>
      <w:r>
        <w:rPr>
          <w:vertAlign w:val="baseline"/>
        </w:rPr>
        <w:t>just</w:t>
      </w:r>
      <w:r>
        <w:rPr>
          <w:spacing w:val="-3"/>
          <w:vertAlign w:val="baseline"/>
        </w:rPr>
        <w:t> </w:t>
      </w:r>
      <w:r>
        <w:rPr>
          <w:vertAlign w:val="baseline"/>
        </w:rPr>
        <w:t>twelve</w:t>
      </w:r>
      <w:r>
        <w:rPr>
          <w:spacing w:val="-2"/>
          <w:vertAlign w:val="baseline"/>
        </w:rPr>
        <w:t> </w:t>
      </w:r>
      <w:r>
        <w:rPr>
          <w:vertAlign w:val="baseline"/>
        </w:rPr>
        <w:t>months.</w:t>
      </w:r>
    </w:p>
    <w:p>
      <w:pPr>
        <w:pStyle w:val="BodyText"/>
        <w:rPr>
          <w:sz w:val="30"/>
        </w:rPr>
      </w:pPr>
    </w:p>
    <w:p>
      <w:pPr>
        <w:pStyle w:val="BodyText"/>
        <w:spacing w:line="360" w:lineRule="auto"/>
        <w:ind w:left="234" w:right="198"/>
      </w:pPr>
      <w:r>
        <w:rPr/>
        <w:t>For all these reasons, I believe we need to be particularly wary of basing monetary policy at present on fine judgements about the current and future growth of the economy. The MPC’s remit is clearly couched in terms of keeping consumer price inflation on target and we have a responsibility to take action when we see the sort of significant upside deviations we have experienced, not just recently, but over a number of years now.</w:t>
      </w:r>
    </w:p>
    <w:p>
      <w:pPr>
        <w:pStyle w:val="BodyText"/>
        <w:rPr>
          <w:sz w:val="30"/>
        </w:rPr>
      </w:pPr>
    </w:p>
    <w:p>
      <w:pPr>
        <w:pStyle w:val="BodyText"/>
        <w:spacing w:line="360" w:lineRule="auto"/>
        <w:ind w:left="234" w:right="153"/>
      </w:pPr>
      <w:r>
        <w:rPr/>
        <w:t>Most of the evidence suggests that recovery is underway and it is likely to continue, even though the pace of growth is somewhat uncertain. There are upside risks to the growth outlook as well as downside concerns. The world economy is growing strongly and this is a major factor underlying current inflationary pressures from global energy and commodity prices. And a stronger response of wage growth to current high headline inflation could support stronger growth of consumption than most forecasters currently expect.</w:t>
      </w:r>
    </w:p>
    <w:p>
      <w:pPr>
        <w:pStyle w:val="BodyText"/>
        <w:rPr>
          <w:sz w:val="30"/>
        </w:rPr>
      </w:pPr>
    </w:p>
    <w:p>
      <w:pPr>
        <w:pStyle w:val="BodyText"/>
        <w:spacing w:line="360" w:lineRule="auto" w:before="1"/>
        <w:ind w:left="234" w:right="198"/>
      </w:pPr>
      <w:r>
        <w:rPr/>
        <w:t>We have entered a period of UK monetary policy-making when the judgements made by the MPC are much less straightforward than they appeared to be before the financial crisis. The global climate is now more inflationary and it seems unlikely that the margin of spare capacity in the UK economy will prevent current inflationary pressures from becoming embedded, without monetary policy being tightened. We have heard</w:t>
      </w:r>
    </w:p>
    <w:p>
      <w:pPr>
        <w:pStyle w:val="BodyText"/>
        <w:spacing w:before="1"/>
        <w:rPr>
          <w:sz w:val="9"/>
        </w:rPr>
      </w:pPr>
      <w:r>
        <w:rPr/>
        <w:pict>
          <v:shape style="position:absolute;margin-left:56.700001pt;margin-top:7.459146pt;width:144pt;height:.1pt;mso-position-horizontal-relative:page;mso-position-vertical-relative:paragraph;z-index:-251648000;mso-wrap-distance-left:0;mso-wrap-distance-right:0" coordorigin="1134,149" coordsize="2880,0" path="m1134,149l4014,149e" filled="false" stroked="true" strokeweight=".48001pt" strokecolor="#000000">
            <v:path arrowok="t"/>
            <v:stroke dashstyle="solid"/>
            <w10:wrap type="topAndBottom"/>
          </v:shape>
        </w:pict>
      </w:r>
    </w:p>
    <w:p>
      <w:pPr>
        <w:spacing w:line="196" w:lineRule="exact" w:before="31"/>
        <w:ind w:left="234" w:right="0" w:firstLine="0"/>
        <w:jc w:val="left"/>
        <w:rPr>
          <w:sz w:val="16"/>
        </w:rPr>
      </w:pPr>
      <w:r>
        <w:rPr>
          <w:position w:val="8"/>
          <w:sz w:val="10"/>
        </w:rPr>
        <w:t>6 </w:t>
      </w:r>
      <w:r>
        <w:rPr>
          <w:sz w:val="16"/>
        </w:rPr>
        <w:t>See Sentance (2011).</w:t>
      </w:r>
    </w:p>
    <w:p>
      <w:pPr>
        <w:spacing w:line="196" w:lineRule="exact" w:before="0"/>
        <w:ind w:left="234" w:right="0" w:firstLine="0"/>
        <w:jc w:val="left"/>
        <w:rPr>
          <w:sz w:val="16"/>
        </w:rPr>
      </w:pPr>
      <w:r>
        <w:rPr>
          <w:position w:val="8"/>
          <w:sz w:val="10"/>
        </w:rPr>
        <w:t>7 </w:t>
      </w:r>
      <w:r>
        <w:rPr>
          <w:sz w:val="16"/>
        </w:rPr>
        <w:t>This is a point repeatedly made by Orphanides. See his recent comments in Orphanides (2011), for example.</w:t>
      </w:r>
    </w:p>
    <w:p>
      <w:pPr>
        <w:spacing w:after="0" w:line="196" w:lineRule="exact"/>
        <w:jc w:val="left"/>
        <w:rPr>
          <w:sz w:val="16"/>
        </w:rPr>
        <w:sectPr>
          <w:pgSz w:w="11900" w:h="16840"/>
          <w:pgMar w:header="0" w:footer="1340" w:top="1540" w:bottom="1540" w:left="900" w:right="1020"/>
        </w:sectPr>
      </w:pPr>
    </w:p>
    <w:p>
      <w:pPr>
        <w:pStyle w:val="BodyText"/>
        <w:spacing w:line="360" w:lineRule="auto" w:before="76"/>
        <w:ind w:left="234" w:right="71"/>
      </w:pPr>
      <w:r>
        <w:rPr/>
        <w:t>the news today that CPI inflation has risen again – to 4.4% – and it could easily rise above 5% later this year. Once businesses and individuals come to expect higher inflation – and there are increasing signs that they are beginning to do so – these expectations will be much harder to dislodge.</w:t>
      </w:r>
    </w:p>
    <w:p>
      <w:pPr>
        <w:pStyle w:val="BodyText"/>
        <w:rPr>
          <w:sz w:val="30"/>
        </w:rPr>
      </w:pPr>
    </w:p>
    <w:p>
      <w:pPr>
        <w:pStyle w:val="BodyText"/>
        <w:spacing w:line="360" w:lineRule="auto"/>
        <w:ind w:left="234" w:right="243"/>
      </w:pPr>
      <w:r>
        <w:rPr/>
        <w:t>In this environment, with inflation running very considerably above its target level and set to rise further, failure to take timely monetary policy action risks a more abrupt and destabilising rise in interest rates in the future. That is surely something which the businesses represented here today would not want to see. And that could be a much bigger threat to future economic growth than the gradual increases in interest rates which I have been arguing for since the middle of last year.</w:t>
      </w:r>
    </w:p>
    <w:p>
      <w:pPr>
        <w:spacing w:after="0" w:line="360" w:lineRule="auto"/>
        <w:sectPr>
          <w:pgSz w:w="11900" w:h="16840"/>
          <w:pgMar w:header="0" w:footer="1340" w:top="1540" w:bottom="1540" w:left="900" w:right="1020"/>
        </w:sectPr>
      </w:pPr>
    </w:p>
    <w:p>
      <w:pPr>
        <w:spacing w:before="77"/>
        <w:ind w:left="234" w:right="0" w:firstLine="0"/>
        <w:jc w:val="left"/>
        <w:rPr>
          <w:b/>
          <w:sz w:val="24"/>
        </w:rPr>
      </w:pPr>
      <w:r>
        <w:rPr>
          <w:b/>
          <w:sz w:val="24"/>
        </w:rPr>
        <w:t>References</w:t>
      </w:r>
    </w:p>
    <w:p>
      <w:pPr>
        <w:pStyle w:val="BodyText"/>
        <w:spacing w:before="10"/>
        <w:rPr>
          <w:b/>
          <w:sz w:val="23"/>
        </w:rPr>
      </w:pPr>
    </w:p>
    <w:p>
      <w:pPr>
        <w:spacing w:before="0"/>
        <w:ind w:left="233" w:right="934" w:firstLine="0"/>
        <w:jc w:val="left"/>
        <w:rPr>
          <w:i/>
          <w:sz w:val="20"/>
        </w:rPr>
      </w:pPr>
      <w:r>
        <w:rPr>
          <w:b/>
          <w:sz w:val="20"/>
        </w:rPr>
        <w:t>Orphanides, A. (2011) </w:t>
      </w:r>
      <w:r>
        <w:rPr>
          <w:sz w:val="20"/>
        </w:rPr>
        <w:t>“The role of central banks – lessons from the crisis” </w:t>
      </w:r>
      <w:r>
        <w:rPr>
          <w:i/>
          <w:sz w:val="20"/>
        </w:rPr>
        <w:t>Panel remarks at the VI </w:t>
      </w:r>
      <w:r>
        <w:rPr>
          <w:i/>
          <w:sz w:val="20"/>
        </w:rPr>
        <w:t>International Symposium of the Banque de France on 4 March 2011</w:t>
      </w:r>
    </w:p>
    <w:p>
      <w:pPr>
        <w:pStyle w:val="BodyText"/>
        <w:rPr>
          <w:i/>
        </w:rPr>
      </w:pPr>
    </w:p>
    <w:p>
      <w:pPr>
        <w:spacing w:before="0"/>
        <w:ind w:left="233" w:right="588" w:firstLine="0"/>
        <w:jc w:val="left"/>
        <w:rPr>
          <w:i/>
          <w:sz w:val="20"/>
        </w:rPr>
      </w:pPr>
      <w:r>
        <w:rPr>
          <w:b/>
          <w:sz w:val="20"/>
        </w:rPr>
        <w:t>Sentance, A. (2011) </w:t>
      </w:r>
      <w:r>
        <w:rPr>
          <w:sz w:val="20"/>
        </w:rPr>
        <w:t>“The UK’s Inflation Problem: Selling England by the Pound?” </w:t>
      </w:r>
      <w:r>
        <w:rPr>
          <w:i/>
          <w:sz w:val="20"/>
        </w:rPr>
        <w:t>Speech at </w:t>
      </w:r>
      <w:r>
        <w:rPr>
          <w:i/>
          <w:color w:val="404041"/>
          <w:sz w:val="20"/>
        </w:rPr>
        <w:t>to the IEA </w:t>
      </w:r>
      <w:r>
        <w:rPr>
          <w:i/>
          <w:color w:val="404041"/>
          <w:sz w:val="20"/>
        </w:rPr>
        <w:t>State of the Economy Conference </w:t>
      </w:r>
      <w:r>
        <w:rPr>
          <w:i/>
          <w:sz w:val="20"/>
        </w:rPr>
        <w:t>on 17 February 2011</w:t>
      </w:r>
    </w:p>
    <w:sectPr>
      <w:pgSz w:w="11900" w:h="16840"/>
      <w:pgMar w:header="0" w:footer="1340" w:top="1540" w:bottom="154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607936" from="56.700001pt,758.880005pt" to="538.680001pt,758.880005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5.700001pt;margin-top:773.048828pt;width:379.35pt;height:13.2pt;mso-position-horizontal-relative:page;mso-position-vertical-relative:page;z-index:-253606912"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605888" from="56.700001pt,761.099976pt" to="538.680001pt,761.099976pt" stroked="true" strokeweight=".23999pt" strokecolor="#000000">
          <v:stroke dashstyle="solid"/>
          <w10:wrap type="none"/>
        </v:line>
      </w:pict>
    </w:r>
    <w:r>
      <w:rPr/>
      <w:pict>
        <v:shape style="position:absolute;margin-left:493.459991pt;margin-top:760.19635pt;width:2.6pt;height:3.15pt;mso-position-horizontal-relative:page;mso-position-vertical-relative:page;z-index:-253604864" type="#_x0000_t202" filled="false" stroked="false">
          <v:textbox inset="0,0,0,0">
            <w:txbxContent>
              <w:p>
                <w:pPr>
                  <w:pStyle w:val="BodyText"/>
                  <w:rPr>
                    <w:sz w:val="2"/>
                  </w:rPr>
                </w:pPr>
              </w:p>
              <w:p>
                <w:pPr>
                  <w:spacing w:before="0"/>
                  <w:ind w:left="0" w:right="0" w:firstLine="0"/>
                  <w:jc w:val="center"/>
                  <w:rPr>
                    <w:sz w:val="2"/>
                  </w:rPr>
                </w:pPr>
                <w:r>
                  <w:rPr>
                    <w:w w:val="101"/>
                    <w:sz w:val="2"/>
                  </w:rPr>
                  <w:t>2</w:t>
                </w:r>
              </w:p>
            </w:txbxContent>
          </v:textbox>
          <w10:wrap type="none"/>
        </v:shape>
      </w:pict>
    </w:r>
    <w:r>
      <w:rPr/>
      <w:pict>
        <v:shape style="position:absolute;margin-left:61.099777pt;margin-top:771.849426pt;width:379.35pt;height:13.2pt;mso-position-horizontal-relative:page;mso-position-vertical-relative:page;z-index:-253603840"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3602816" type="#_x0000_t202" filled="false" stroked="false">
          <v:textbox inset="0,0,0,0">
            <w:txbxContent>
              <w:p>
                <w:pPr>
                  <w:pStyle w:val="BodyText"/>
                  <w:spacing w:before="14"/>
                  <w:ind w:left="20"/>
                </w:pPr>
                <w:r>
                  <w:rPr>
                    <w:w w:val="100"/>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601792" from="56.700001pt,761.099976pt" to="538.680001pt,761.099976pt" stroked="true" strokeweight=".23999pt" strokecolor="#000000">
          <v:stroke dashstyle="solid"/>
          <w10:wrap type="none"/>
        </v:line>
      </w:pict>
    </w:r>
    <w:r>
      <w:rPr/>
      <w:pict>
        <v:shape style="position:absolute;margin-left:491.459991pt;margin-top:760.19635pt;width:6.6pt;height:3.15pt;mso-position-horizontal-relative:page;mso-position-vertical-relative:page;z-index:-253600768"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3</w:t>
                </w:r>
                <w:r>
                  <w:rPr/>
                  <w:fldChar w:fldCharType="end"/>
                </w:r>
              </w:p>
            </w:txbxContent>
          </v:textbox>
          <w10:wrap type="none"/>
        </v:shape>
      </w:pict>
    </w:r>
    <w:r>
      <w:rPr/>
      <w:pict>
        <v:shape style="position:absolute;margin-left:61.099777pt;margin-top:771.849426pt;width:379.35pt;height:13.2pt;mso-position-horizontal-relative:page;mso-position-vertical-relative:page;z-index:-253599744"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3598720" type="#_x0000_t202" filled="false" stroked="false">
          <v:textbox inset="0,0,0,0">
            <w:txbxContent>
              <w:p>
                <w:pPr>
                  <w:pStyle w:val="BodyText"/>
                  <w:spacing w:before="14"/>
                  <w:ind w:left="20"/>
                </w:pPr>
                <w:r>
                  <w:rPr>
                    <w:w w:val="100"/>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597696" from="56.700001pt,761.099976pt" to="538.680001pt,761.099976pt" stroked="true" strokeweight=".23999pt" strokecolor="#000000">
          <v:stroke dashstyle="solid"/>
          <w10:wrap type="none"/>
        </v:line>
      </w:pict>
    </w:r>
    <w:r>
      <w:rPr/>
      <w:pict>
        <v:shape style="position:absolute;margin-left:491.459991pt;margin-top:760.19635pt;width:7.1pt;height:3.15pt;mso-position-horizontal-relative:page;mso-position-vertical-relative:page;z-index:-253596672"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61.099777pt;margin-top:771.849426pt;width:379.35pt;height:13.2pt;mso-position-horizontal-relative:page;mso-position-vertical-relative:page;z-index:-253595648"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1.179871pt;margin-top:773.048828pt;width:13.2pt;height:13.2pt;mso-position-horizontal-relative:page;mso-position-vertical-relative:page;z-index:-253594624" type="#_x0000_t202" filled="false" stroked="false">
          <v:textbox inset="0,0,0,0">
            <w:txbxContent>
              <w:p>
                <w:pPr>
                  <w:pStyle w:val="BodyText"/>
                  <w:spacing w:before="14"/>
                  <w:ind w:left="20"/>
                </w:pPr>
                <w:r>
                  <w:rPr/>
                  <w:t>10</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ind w:left="234"/>
      <w:outlineLvl w:val="1"/>
    </w:pPr>
    <w:rPr>
      <w:rFonts w:ascii="Arial" w:hAnsi="Arial" w:eastAsia="Arial" w:cs="Arial"/>
      <w:b/>
      <w:bCs/>
      <w:sz w:val="20"/>
      <w:szCs w:val="20"/>
    </w:rPr>
  </w:style>
  <w:style w:styleId="ListParagraph" w:type="paragraph">
    <w:name w:val="List Paragraph"/>
    <w:basedOn w:val="Normal"/>
    <w:uiPriority w:val="1"/>
    <w:qFormat/>
    <w:pPr/>
    <w:rPr/>
  </w:style>
  <w:style w:styleId="TableParagraph" w:type="paragraph">
    <w:name w:val="Table Paragraph"/>
    <w:basedOn w:val="Normal"/>
    <w:uiPriority w:val="1"/>
    <w:qFormat/>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Andrew Sentance on 22 March 2011</dc:subject>
  <dc:title>Let it grow: how monetary policy can support sustainable economic growth - Speech by Andrew Sentance</dc:title>
  <dcterms:created xsi:type="dcterms:W3CDTF">2020-06-02T17:49:24Z</dcterms:created>
  <dcterms:modified xsi:type="dcterms:W3CDTF">2020-06-02T17:49:24Z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2011-03-22T00:00:00Z</vt:filetime>
  </property>
  <property fmtid="{D5CDD505-2E9C-101B-9397-08002B2CF9AE}" pid="3" name="Creator">
    <vt:lpwstr>PScript5.dll Version 5.2.2</vt:lpwstr>
  </property>
  <property fmtid="{D5CDD505-2E9C-101B-9397-08002B2CF9AE}" pid="4" name="LastSaved">
    <vt:filetime>2020-06-02T00:00:00Z</vt:filetime>
  </property>
</Properties>
</file>