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99" w:firstLine="0"/>
        <w:jc w:val="left"/>
        <w:rPr>
          <w:b/>
          <w:sz w:val="32"/>
        </w:rPr>
      </w:pPr>
      <w:r>
        <w:rPr>
          <w:b/>
          <w:color w:val="6773B6"/>
          <w:sz w:val="32"/>
        </w:rPr>
        <w:t>Light is therefore Colour: Remarks at the launch of the new £20 banknote</w:t>
      </w:r>
    </w:p>
    <w:p>
      <w:pPr>
        <w:pStyle w:val="Heading1"/>
        <w:spacing w:before="280"/>
      </w:pPr>
      <w:r>
        <w:rPr/>
        <w:t>Speech given by</w:t>
      </w:r>
    </w:p>
    <w:p>
      <w:pPr>
        <w:spacing w:before="137"/>
        <w:ind w:left="233" w:right="0" w:firstLine="0"/>
        <w:jc w:val="left"/>
        <w:rPr>
          <w:sz w:val="24"/>
        </w:rPr>
      </w:pPr>
      <w:r>
        <w:rPr>
          <w:sz w:val="24"/>
        </w:rPr>
        <w:t>Mark Carney, Governor of the Bank of England</w:t>
      </w:r>
    </w:p>
    <w:p>
      <w:pPr>
        <w:pStyle w:val="BodyText"/>
        <w:rPr>
          <w:sz w:val="26"/>
        </w:rPr>
      </w:pPr>
    </w:p>
    <w:p>
      <w:pPr>
        <w:pStyle w:val="BodyText"/>
        <w:rPr>
          <w:sz w:val="22"/>
        </w:rPr>
      </w:pPr>
    </w:p>
    <w:p>
      <w:pPr>
        <w:spacing w:line="360" w:lineRule="auto" w:before="1"/>
        <w:ind w:left="233" w:right="5602" w:firstLine="0"/>
        <w:jc w:val="left"/>
        <w:rPr>
          <w:sz w:val="24"/>
        </w:rPr>
      </w:pPr>
      <w:r>
        <w:rPr>
          <w:sz w:val="24"/>
        </w:rPr>
        <w:t>Turner Contemporary Gallery, Margate 10 October 2019</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7"/>
        </w:rPr>
      </w:pPr>
    </w:p>
    <w:p>
      <w:pPr>
        <w:pStyle w:val="BodyText"/>
        <w:spacing w:before="93"/>
        <w:ind w:left="233" w:right="965"/>
      </w:pPr>
      <w:r>
        <w:rPr/>
        <w:t>I would like to thank Clare Macallan for her assistance in preparing these remarks and Lizzie Levett and Lisa Young for providing background information.</w:t>
      </w:r>
    </w:p>
    <w:p>
      <w:pPr>
        <w:spacing w:after="0"/>
        <w:sectPr>
          <w:footerReference w:type="default" r:id="rId5"/>
          <w:type w:val="continuous"/>
          <w:pgSz w:w="11910" w:h="16840"/>
          <w:pgMar w:footer="1338" w:top="1180" w:bottom="1520" w:left="900" w:right="1020"/>
        </w:sectPr>
      </w:pPr>
    </w:p>
    <w:p>
      <w:pPr>
        <w:pStyle w:val="BodyText"/>
        <w:spacing w:line="357" w:lineRule="auto" w:before="81"/>
        <w:ind w:left="233" w:right="115"/>
        <w:jc w:val="both"/>
      </w:pPr>
      <w:r>
        <w:rPr/>
        <w:t>It is a pleasure to be back at Turner Contemporary in Margate to unveil the new £20 banknote featuring JMW Turner.</w:t>
      </w:r>
    </w:p>
    <w:p>
      <w:pPr>
        <w:pStyle w:val="BodyText"/>
        <w:rPr>
          <w:sz w:val="21"/>
        </w:rPr>
      </w:pPr>
    </w:p>
    <w:p>
      <w:pPr>
        <w:pStyle w:val="Heading2"/>
        <w:jc w:val="both"/>
      </w:pPr>
      <w:r>
        <w:rPr/>
        <w:t>Banknote character</w:t>
      </w:r>
    </w:p>
    <w:p>
      <w:pPr>
        <w:pStyle w:val="BodyText"/>
        <w:spacing w:before="1"/>
        <w:rPr>
          <w:b/>
          <w:sz w:val="31"/>
        </w:rPr>
      </w:pPr>
    </w:p>
    <w:p>
      <w:pPr>
        <w:pStyle w:val="BodyText"/>
        <w:spacing w:line="360" w:lineRule="auto"/>
        <w:ind w:left="233" w:right="112"/>
        <w:jc w:val="both"/>
      </w:pPr>
      <w:r>
        <w:rPr/>
        <w:t>Turner was a frequent visitor to Margate, drawn by “the skies over Thanet”, which he held to be “the loveliest in all Europe”. The East Kent coast inspired more than 100 of his works and this gallery stands on the site of Mrs Booth’s seafront guesthouse, where Turner stayed whenever he visited.</w:t>
      </w:r>
    </w:p>
    <w:p>
      <w:pPr>
        <w:pStyle w:val="BodyText"/>
        <w:spacing w:before="10"/>
      </w:pPr>
    </w:p>
    <w:p>
      <w:pPr>
        <w:pStyle w:val="BodyText"/>
        <w:spacing w:line="360" w:lineRule="auto"/>
        <w:ind w:left="233" w:right="112"/>
        <w:jc w:val="both"/>
      </w:pPr>
      <w:r>
        <w:rPr/>
        <w:t>Turner’s contribution to art extends well beyond this stretch of shoreline. He was precocious – exhibiting at the Royal Academy at 15, and becoming an Academician at 24 – as well as prolific, producing more than 550 oil paintings, 2,000 watercolours, and 30,000 sketches and</w:t>
      </w:r>
      <w:r>
        <w:rPr>
          <w:spacing w:val="-5"/>
        </w:rPr>
        <w:t> </w:t>
      </w:r>
      <w:r>
        <w:rPr/>
        <w:t>drawings.</w:t>
      </w:r>
    </w:p>
    <w:p>
      <w:pPr>
        <w:pStyle w:val="BodyText"/>
        <w:spacing w:before="10"/>
      </w:pPr>
    </w:p>
    <w:p>
      <w:pPr>
        <w:pStyle w:val="BodyText"/>
        <w:spacing w:line="360" w:lineRule="auto"/>
        <w:ind w:left="233" w:right="116"/>
        <w:jc w:val="both"/>
      </w:pPr>
      <w:r>
        <w:rPr/>
        <w:t>Turner is rightly celebrated for his unique ability to capture light and highly varied atmospheric effects through use of vibrant colour and flowing brushwork; he often went to extremes in pursuit of the visceral artistic experience. His paintings blaze with the heat of the sun, shimmer in moonshine, and rumble under the weight of gathering storm</w:t>
      </w:r>
      <w:r>
        <w:rPr>
          <w:spacing w:val="1"/>
        </w:rPr>
        <w:t> </w:t>
      </w:r>
      <w:r>
        <w:rPr/>
        <w:t>clouds.</w:t>
      </w:r>
    </w:p>
    <w:p>
      <w:pPr>
        <w:pStyle w:val="BodyText"/>
        <w:spacing w:before="10"/>
      </w:pPr>
    </w:p>
    <w:p>
      <w:pPr>
        <w:pStyle w:val="BodyText"/>
        <w:spacing w:line="360" w:lineRule="auto"/>
        <w:ind w:left="233" w:right="110"/>
        <w:jc w:val="both"/>
      </w:pPr>
      <w:r>
        <w:rPr/>
        <w:t>These works transformed the field of landscape art. Before Turner, landscapes were generally viewed as subjects unworthy in their own right; their role was merely to provide backdrop to the real action. Turner elevated the genre by showing how paint could not only convey the appearance of a place but also capture something of its spirit.</w:t>
      </w:r>
    </w:p>
    <w:p>
      <w:pPr>
        <w:pStyle w:val="BodyText"/>
        <w:spacing w:before="10"/>
      </w:pPr>
    </w:p>
    <w:p>
      <w:pPr>
        <w:spacing w:line="360" w:lineRule="auto" w:before="0"/>
        <w:ind w:left="233" w:right="110" w:firstLine="0"/>
        <w:jc w:val="both"/>
        <w:rPr>
          <w:sz w:val="20"/>
        </w:rPr>
      </w:pPr>
      <w:r>
        <w:rPr>
          <w:sz w:val="20"/>
        </w:rPr>
        <w:t>Turner also used art to hold a mirror to the technological and social transformations happening around him. Masterpieces such as </w:t>
      </w:r>
      <w:r>
        <w:rPr>
          <w:i/>
          <w:sz w:val="20"/>
        </w:rPr>
        <w:t>Rain, Steam and Speed – The Great Western Railway </w:t>
      </w:r>
      <w:r>
        <w:rPr>
          <w:sz w:val="20"/>
        </w:rPr>
        <w:t>captured the advent of the steam age. </w:t>
      </w:r>
      <w:r>
        <w:rPr>
          <w:i/>
          <w:sz w:val="20"/>
        </w:rPr>
        <w:t>The Slave Ship </w:t>
      </w:r>
      <w:r>
        <w:rPr>
          <w:sz w:val="20"/>
        </w:rPr>
        <w:t>reflected on the moral preoccupations of his times.</w:t>
      </w:r>
    </w:p>
    <w:p>
      <w:pPr>
        <w:pStyle w:val="BodyText"/>
        <w:spacing w:before="10"/>
      </w:pPr>
    </w:p>
    <w:p>
      <w:pPr>
        <w:pStyle w:val="BodyText"/>
        <w:spacing w:line="360" w:lineRule="auto"/>
        <w:ind w:left="233" w:right="107"/>
        <w:jc w:val="both"/>
        <w:rPr>
          <w:sz w:val="13"/>
        </w:rPr>
      </w:pPr>
      <w:r>
        <w:rPr/>
        <w:t>The artistic developments that Turner pioneered resonated well beyond his lifetime, providing inspiration to the Impressionists and leading Mark Rothko to joke “This man Turner, he learnt a lot from me”. A contemporary reviewer may have put it best when he placed Turner among ‘the masters whose day is not so much of to-day, as of “all times”’.</w:t>
      </w:r>
      <w:r>
        <w:rPr>
          <w:position w:val="6"/>
          <w:sz w:val="13"/>
        </w:rPr>
        <w:t>1</w:t>
      </w:r>
    </w:p>
    <w:p>
      <w:pPr>
        <w:pStyle w:val="BodyText"/>
        <w:spacing w:before="10"/>
      </w:pPr>
    </w:p>
    <w:p>
      <w:pPr>
        <w:pStyle w:val="BodyText"/>
        <w:spacing w:line="360" w:lineRule="auto"/>
        <w:ind w:left="233" w:right="113"/>
        <w:jc w:val="both"/>
      </w:pPr>
      <w:r>
        <w:rPr/>
        <w:t>Indeed, Turner’s legacy endures today through his influence on art for over two centuries, to the prize that bears his name to celebrate British contemporary art, to this magnificent gallery, the Turner Contemporary.</w:t>
      </w:r>
    </w:p>
    <w:p>
      <w:pPr>
        <w:pStyle w:val="BodyText"/>
        <w:rPr>
          <w:sz w:val="21"/>
        </w:rPr>
      </w:pPr>
    </w:p>
    <w:p>
      <w:pPr>
        <w:pStyle w:val="BodyText"/>
        <w:spacing w:line="357" w:lineRule="auto"/>
        <w:ind w:left="233" w:right="115"/>
        <w:jc w:val="both"/>
      </w:pPr>
      <w:r>
        <w:rPr/>
        <w:t>Soon Turner’s work will feature on another 2 billion works of art – the new £20 notes from the Bank of England.</w:t>
      </w:r>
    </w:p>
    <w:p>
      <w:pPr>
        <w:pStyle w:val="BodyText"/>
      </w:pPr>
    </w:p>
    <w:p>
      <w:pPr>
        <w:pStyle w:val="BodyText"/>
      </w:pPr>
    </w:p>
    <w:p>
      <w:pPr>
        <w:pStyle w:val="BodyText"/>
      </w:pPr>
    </w:p>
    <w:p>
      <w:pPr>
        <w:pStyle w:val="BodyText"/>
      </w:pPr>
    </w:p>
    <w:p>
      <w:pPr>
        <w:pStyle w:val="BodyText"/>
        <w:spacing w:before="9"/>
        <w:rPr>
          <w:sz w:val="27"/>
        </w:rPr>
      </w:pPr>
      <w:r>
        <w:rPr/>
        <w:pict>
          <v:shape style="position:absolute;margin-left:56.664001pt;margin-top:18.208797pt;width:144.050pt;height:.1pt;mso-position-horizontal-relative:page;mso-position-vertical-relative:paragraph;z-index:-251657216;mso-wrap-distance-left:0;mso-wrap-distance-right:0" coordorigin="1133,364" coordsize="2881,0" path="m1133,364l4014,364e" filled="false" stroked="true" strokeweight=".48004pt" strokecolor="#000000">
            <v:path arrowok="t"/>
            <v:stroke dashstyle="solid"/>
            <w10:wrap type="topAndBottom"/>
          </v:shape>
        </w:pict>
      </w:r>
    </w:p>
    <w:p>
      <w:pPr>
        <w:spacing w:before="47"/>
        <w:ind w:left="233" w:right="0" w:firstLine="0"/>
        <w:jc w:val="left"/>
        <w:rPr>
          <w:sz w:val="16"/>
        </w:rPr>
      </w:pPr>
      <w:r>
        <w:rPr>
          <w:position w:val="6"/>
          <w:sz w:val="10"/>
        </w:rPr>
        <w:t>1 </w:t>
      </w:r>
      <w:r>
        <w:rPr>
          <w:i/>
          <w:sz w:val="16"/>
        </w:rPr>
        <w:t>The Champion</w:t>
      </w:r>
      <w:r>
        <w:rPr>
          <w:sz w:val="16"/>
        </w:rPr>
        <w:t>, Newspaper Article, published 7 May 1815.</w:t>
      </w:r>
    </w:p>
    <w:p>
      <w:pPr>
        <w:spacing w:after="0"/>
        <w:jc w:val="left"/>
        <w:rPr>
          <w:sz w:val="16"/>
        </w:rPr>
        <w:sectPr>
          <w:footerReference w:type="default" r:id="rId7"/>
          <w:pgSz w:w="11910" w:h="16840"/>
          <w:pgMar w:footer="1338" w:header="0" w:top="1520" w:bottom="1520" w:left="900" w:right="1020"/>
        </w:sectPr>
      </w:pPr>
    </w:p>
    <w:p>
      <w:pPr>
        <w:pStyle w:val="Heading2"/>
        <w:spacing w:before="79"/>
      </w:pPr>
      <w:r>
        <w:rPr/>
        <w:t>Banknote design</w:t>
      </w:r>
    </w:p>
    <w:p>
      <w:pPr>
        <w:pStyle w:val="BodyText"/>
        <w:spacing w:before="10"/>
        <w:rPr>
          <w:b/>
          <w:sz w:val="30"/>
        </w:rPr>
      </w:pPr>
    </w:p>
    <w:p>
      <w:pPr>
        <w:pStyle w:val="BodyText"/>
        <w:spacing w:before="1"/>
        <w:ind w:left="233"/>
      </w:pPr>
      <w:r>
        <w:rPr/>
        <w:t>The new £20 note celebrates Turner, his art and his legacy in all their radiant, colourful glory.</w:t>
      </w:r>
    </w:p>
    <w:p>
      <w:pPr>
        <w:pStyle w:val="BodyText"/>
        <w:spacing w:before="8"/>
        <w:rPr>
          <w:sz w:val="30"/>
        </w:rPr>
      </w:pPr>
    </w:p>
    <w:p>
      <w:pPr>
        <w:pStyle w:val="BodyText"/>
        <w:spacing w:line="360" w:lineRule="auto"/>
        <w:ind w:left="233" w:right="110"/>
        <w:jc w:val="both"/>
        <w:rPr>
          <w:sz w:val="13"/>
        </w:rPr>
      </w:pPr>
      <w:r>
        <w:rPr/>
        <w:t>The design features Turner’s self-portrait, from 1799, alongside one of his most eminent paintings, </w:t>
      </w:r>
      <w:r>
        <w:rPr>
          <w:i/>
        </w:rPr>
        <w:t>The </w:t>
      </w:r>
      <w:r>
        <w:rPr>
          <w:i/>
        </w:rPr>
        <w:t>Fighting Temeraire</w:t>
      </w:r>
      <w:r>
        <w:rPr/>
        <w:t>.</w:t>
      </w:r>
      <w:r>
        <w:rPr>
          <w:position w:val="6"/>
          <w:sz w:val="13"/>
        </w:rPr>
        <w:t>2 </w:t>
      </w:r>
      <w:r>
        <w:rPr/>
        <w:t>This painting is a tribute to the HMS Temeraire – which battled with distinction during Nelson’s victory at Trafalgar in 1805 – and an elegy to the decline of sail, showing the great warship being pulled by a steam tug to her last berth to be broken up for scrap. The novelist William  Makepeace  Thackeray called it “as grand a painting as ever figured on the walls of any academy, or came from the easel of any painter”.</w:t>
      </w:r>
      <w:r>
        <w:rPr>
          <w:position w:val="6"/>
          <w:sz w:val="13"/>
        </w:rPr>
        <w:t>3 </w:t>
      </w:r>
      <w:r>
        <w:rPr/>
        <w:t>The public clearly agrees, voting it Britain’s greatest painting in a BBC poll in</w:t>
      </w:r>
      <w:r>
        <w:rPr>
          <w:spacing w:val="-32"/>
        </w:rPr>
        <w:t> </w:t>
      </w:r>
      <w:r>
        <w:rPr/>
        <w:t>2005.</w:t>
      </w:r>
      <w:r>
        <w:rPr>
          <w:position w:val="6"/>
          <w:sz w:val="13"/>
        </w:rPr>
        <w:t>4</w:t>
      </w:r>
    </w:p>
    <w:p>
      <w:pPr>
        <w:pStyle w:val="BodyText"/>
        <w:spacing w:before="9"/>
      </w:pPr>
    </w:p>
    <w:p>
      <w:pPr>
        <w:pStyle w:val="BodyText"/>
        <w:spacing w:line="362" w:lineRule="auto"/>
        <w:ind w:left="233" w:right="113"/>
        <w:jc w:val="both"/>
      </w:pPr>
      <w:r>
        <w:rPr>
          <w:i/>
        </w:rPr>
        <w:t>The Fighting Temeraire </w:t>
      </w:r>
      <w:r>
        <w:rPr/>
        <w:t>exemplifies Turner’s innovative use of light, shade, colour and tone. These contributions to the visual arts are captured in the quote – ‘Light is therefore colour’ – which is from an 1818 lecture by Turner.</w:t>
      </w:r>
    </w:p>
    <w:p>
      <w:pPr>
        <w:pStyle w:val="BodyText"/>
        <w:spacing w:before="8"/>
      </w:pPr>
    </w:p>
    <w:p>
      <w:pPr>
        <w:pStyle w:val="BodyText"/>
        <w:spacing w:line="360" w:lineRule="auto"/>
        <w:ind w:left="233" w:right="116"/>
        <w:jc w:val="both"/>
      </w:pPr>
      <w:r>
        <w:rPr/>
        <w:t>Turner rarely signed his paintings, so the signature on the banknote was taken from his will. That is fitting because, in a codicil to that testament, he bequeathed his paintings to the nation, and in doing so made a significant contribution to British society. Few Turners are locked away in private collections or spread to the four winds. The vast majority are free for the British public to see across some of our greatest galleries.</w:t>
      </w:r>
    </w:p>
    <w:p>
      <w:pPr>
        <w:pStyle w:val="BodyText"/>
        <w:spacing w:before="10"/>
      </w:pPr>
    </w:p>
    <w:p>
      <w:pPr>
        <w:pStyle w:val="BodyText"/>
        <w:spacing w:line="360" w:lineRule="auto"/>
        <w:ind w:left="233" w:right="110"/>
        <w:jc w:val="both"/>
      </w:pPr>
      <w:r>
        <w:rPr/>
        <w:t>The note references several of these galleries. A small purple foil on the reverse side of the note echoes the spiral staircase at Tate Britain, which holds most of the Turner Bequest in the Clore Gallery. The main foil of the note contains an image of Turner Contemporary in blue. And the shape of the window around the foil is based on the Trafalgar Fountains, which are an iconic feature in the square outside The National Gallery where </w:t>
      </w:r>
      <w:r>
        <w:rPr>
          <w:i/>
        </w:rPr>
        <w:t>The Fighting Temeraire </w:t>
      </w:r>
      <w:r>
        <w:rPr/>
        <w:t>hangs.</w:t>
      </w:r>
    </w:p>
    <w:p>
      <w:pPr>
        <w:pStyle w:val="BodyText"/>
        <w:spacing w:before="9"/>
      </w:pPr>
    </w:p>
    <w:p>
      <w:pPr>
        <w:pStyle w:val="BodyText"/>
        <w:spacing w:line="360" w:lineRule="auto"/>
        <w:ind w:left="233" w:right="123"/>
        <w:jc w:val="both"/>
      </w:pPr>
      <w:r>
        <w:rPr/>
        <w:t>The purpose of design features like these is not simply to make the banknotes beautiful but also to strengthen their security.</w:t>
      </w:r>
    </w:p>
    <w:p>
      <w:pPr>
        <w:pStyle w:val="BodyText"/>
        <w:spacing w:before="11"/>
      </w:pPr>
    </w:p>
    <w:p>
      <w:pPr>
        <w:pStyle w:val="BodyText"/>
        <w:spacing w:line="360" w:lineRule="auto"/>
        <w:ind w:left="233" w:right="115"/>
        <w:jc w:val="both"/>
      </w:pPr>
      <w:r>
        <w:rPr/>
        <w:t>The new £20 will be our most secure note yet, featuring several innovative elements. For example, rather than having a single foil element – the Turner Contemporary in blue – there is an additional foil in a second colour: the Margate Lighthouse in gold. And there is a second transparent element in the bottom corner of the note, inspired by the windows of Tintern Abbey, which was a popular tourist spot in Turner’s times and which he memorialised in another of his great watercolours in</w:t>
      </w:r>
      <w:r>
        <w:rPr>
          <w:spacing w:val="-3"/>
        </w:rPr>
        <w:t> </w:t>
      </w:r>
      <w:r>
        <w:rPr/>
        <w:t>1794.</w:t>
      </w:r>
    </w:p>
    <w:p>
      <w:pPr>
        <w:pStyle w:val="BodyText"/>
        <w:spacing w:before="8"/>
      </w:pPr>
    </w:p>
    <w:p>
      <w:pPr>
        <w:pStyle w:val="BodyText"/>
        <w:spacing w:line="362" w:lineRule="auto"/>
        <w:ind w:left="233" w:right="117"/>
        <w:jc w:val="both"/>
      </w:pPr>
      <w:r>
        <w:rPr/>
        <w:t>These security features are made possible by printing the new £20 on polymer, rather than paper. Polymer banknotes also remain in good condition for longer, meaning the new £20 will be safer, cleaner and stronger.</w:t>
      </w:r>
    </w:p>
    <w:p>
      <w:pPr>
        <w:pStyle w:val="BodyText"/>
      </w:pPr>
    </w:p>
    <w:p>
      <w:pPr>
        <w:pStyle w:val="BodyText"/>
      </w:pPr>
    </w:p>
    <w:p>
      <w:pPr>
        <w:pStyle w:val="BodyText"/>
        <w:spacing w:before="10"/>
        <w:rPr>
          <w:sz w:val="25"/>
        </w:rPr>
      </w:pPr>
      <w:r>
        <w:rPr/>
        <w:pict>
          <v:shape style="position:absolute;margin-left:56.664001pt;margin-top:17.117306pt;width:144.050pt;height:.1pt;mso-position-horizontal-relative:page;mso-position-vertical-relative:paragraph;z-index:-251656192;mso-wrap-distance-left:0;mso-wrap-distance-right:0" coordorigin="1133,342" coordsize="2881,0" path="m1133,342l4014,342e" filled="false" stroked="true" strokeweight=".47998pt" strokecolor="#000000">
            <v:path arrowok="t"/>
            <v:stroke dashstyle="solid"/>
            <w10:wrap type="topAndBottom"/>
          </v:shape>
        </w:pict>
      </w:r>
    </w:p>
    <w:p>
      <w:pPr>
        <w:spacing w:line="186" w:lineRule="exact" w:before="50"/>
        <w:ind w:left="233" w:right="0" w:firstLine="0"/>
        <w:jc w:val="left"/>
        <w:rPr>
          <w:sz w:val="16"/>
        </w:rPr>
      </w:pPr>
      <w:r>
        <w:rPr>
          <w:position w:val="6"/>
          <w:sz w:val="10"/>
        </w:rPr>
        <w:t>2 </w:t>
      </w:r>
      <w:r>
        <w:rPr>
          <w:sz w:val="16"/>
        </w:rPr>
        <w:t>The self-portrait is currently on display in Tate Britain, and </w:t>
      </w:r>
      <w:r>
        <w:rPr>
          <w:i/>
          <w:sz w:val="16"/>
        </w:rPr>
        <w:t>The Fighting Temeraire </w:t>
      </w:r>
      <w:r>
        <w:rPr>
          <w:sz w:val="16"/>
        </w:rPr>
        <w:t>can been seen in The National Gallery.</w:t>
      </w:r>
    </w:p>
    <w:p>
      <w:pPr>
        <w:spacing w:line="184" w:lineRule="exact" w:before="0"/>
        <w:ind w:left="233" w:right="0" w:firstLine="0"/>
        <w:jc w:val="left"/>
        <w:rPr>
          <w:sz w:val="16"/>
        </w:rPr>
      </w:pPr>
      <w:r>
        <w:rPr>
          <w:position w:val="6"/>
          <w:sz w:val="10"/>
        </w:rPr>
        <w:t>3 </w:t>
      </w:r>
      <w:r>
        <w:rPr>
          <w:sz w:val="16"/>
        </w:rPr>
        <w:t>P. Ackroyd, </w:t>
      </w:r>
      <w:r>
        <w:rPr>
          <w:i/>
          <w:sz w:val="16"/>
        </w:rPr>
        <w:t>Turner </w:t>
      </w:r>
      <w:r>
        <w:rPr>
          <w:sz w:val="16"/>
        </w:rPr>
        <w:t>(Vintage, 2006) page 136.</w:t>
      </w:r>
    </w:p>
    <w:p>
      <w:pPr>
        <w:spacing w:line="185" w:lineRule="exact" w:before="0"/>
        <w:ind w:left="233" w:right="0" w:firstLine="0"/>
        <w:jc w:val="left"/>
        <w:rPr>
          <w:sz w:val="16"/>
        </w:rPr>
      </w:pPr>
      <w:r>
        <w:rPr>
          <w:position w:val="6"/>
          <w:sz w:val="10"/>
        </w:rPr>
        <w:t>4 </w:t>
      </w:r>
      <w:r>
        <w:rPr>
          <w:sz w:val="16"/>
        </w:rPr>
        <w:t>See: </w:t>
      </w:r>
      <w:hyperlink r:id="rId9">
        <w:r>
          <w:rPr>
            <w:color w:val="0000FF"/>
            <w:sz w:val="16"/>
            <w:u w:val="single" w:color="0000FF"/>
          </w:rPr>
          <w:t>http://news.bbc.co.uk/1/hi/entertainment/4214824.stm</w:t>
        </w:r>
        <w:r>
          <w:rPr>
            <w:sz w:val="16"/>
          </w:rPr>
          <w:t>.</w:t>
        </w:r>
      </w:hyperlink>
    </w:p>
    <w:p>
      <w:pPr>
        <w:spacing w:after="0" w:line="185" w:lineRule="exact"/>
        <w:jc w:val="left"/>
        <w:rPr>
          <w:sz w:val="16"/>
        </w:rPr>
        <w:sectPr>
          <w:footerReference w:type="default" r:id="rId8"/>
          <w:pgSz w:w="11910" w:h="16840"/>
          <w:pgMar w:footer="1338" w:header="0" w:top="1520" w:bottom="1520" w:left="900" w:right="1020"/>
        </w:sectPr>
      </w:pPr>
    </w:p>
    <w:p>
      <w:pPr>
        <w:pStyle w:val="BodyText"/>
        <w:spacing w:line="360" w:lineRule="auto" w:before="81"/>
        <w:ind w:left="233" w:right="113"/>
        <w:jc w:val="both"/>
      </w:pPr>
      <w:r>
        <w:rPr/>
        <w:t>The varied colour of our banknotes also plays an important role in making the nation’s money as inclusive as possible. Features like the differing colour palettes, differing sizes and raised print enable those who are visually impaired to recognise different notes. As with the new polymer £10, the new £20 will also include a tactile feature – a series of raised dots in the upper left-hand corner – to improve accessibility further.</w:t>
      </w:r>
    </w:p>
    <w:p>
      <w:pPr>
        <w:pStyle w:val="BodyText"/>
        <w:spacing w:before="8"/>
      </w:pPr>
    </w:p>
    <w:p>
      <w:pPr>
        <w:pStyle w:val="Heading2"/>
      </w:pPr>
      <w:r>
        <w:rPr/>
        <w:t>Conclusion</w:t>
      </w:r>
    </w:p>
    <w:p>
      <w:pPr>
        <w:pStyle w:val="BodyText"/>
        <w:spacing w:before="10"/>
        <w:rPr>
          <w:b/>
          <w:sz w:val="30"/>
        </w:rPr>
      </w:pPr>
    </w:p>
    <w:p>
      <w:pPr>
        <w:pStyle w:val="BodyText"/>
        <w:spacing w:line="360" w:lineRule="auto" w:before="1"/>
        <w:ind w:left="233" w:right="113"/>
        <w:jc w:val="both"/>
      </w:pPr>
      <w:r>
        <w:rPr/>
        <w:t>As the man whom Turner will replace on the £20 Adam Smith observed, banknotes may be mere barren tokens but they are the “universal instrument of commerce”.</w:t>
      </w:r>
      <w:r>
        <w:rPr>
          <w:position w:val="6"/>
          <w:sz w:val="13"/>
        </w:rPr>
        <w:t>5 </w:t>
      </w:r>
      <w:r>
        <w:rPr/>
        <w:t>They facilitate trade. They store value. They  act as a unit of</w:t>
      </w:r>
      <w:r>
        <w:rPr>
          <w:spacing w:val="-1"/>
        </w:rPr>
        <w:t> </w:t>
      </w:r>
      <w:r>
        <w:rPr/>
        <w:t>account.</w:t>
      </w:r>
    </w:p>
    <w:p>
      <w:pPr>
        <w:pStyle w:val="BodyText"/>
        <w:spacing w:before="9"/>
      </w:pPr>
    </w:p>
    <w:p>
      <w:pPr>
        <w:pStyle w:val="BodyText"/>
        <w:spacing w:line="360" w:lineRule="auto"/>
        <w:ind w:left="233" w:right="123"/>
        <w:jc w:val="both"/>
      </w:pPr>
      <w:r>
        <w:rPr/>
        <w:t>And money serves as a collective memory for a country and its people; it has cultural value as well as economic.</w:t>
      </w:r>
    </w:p>
    <w:p>
      <w:pPr>
        <w:pStyle w:val="BodyText"/>
        <w:rPr>
          <w:sz w:val="21"/>
        </w:rPr>
      </w:pPr>
    </w:p>
    <w:p>
      <w:pPr>
        <w:pStyle w:val="BodyText"/>
        <w:spacing w:line="360" w:lineRule="auto" w:before="1"/>
        <w:ind w:left="233" w:right="110"/>
        <w:jc w:val="both"/>
      </w:pPr>
      <w:r>
        <w:rPr/>
        <w:t>As the new Turner £20 testifies, money can be a work of art in everyone’s pocket. Far from being “barren”,</w:t>
      </w:r>
      <w:r>
        <w:rPr>
          <w:position w:val="6"/>
          <w:sz w:val="13"/>
        </w:rPr>
        <w:t>6 </w:t>
      </w:r>
      <w:r>
        <w:rPr/>
        <w:t>our banknotes celebrate UK’s heritage, salute its culture and testify to the great achievements of its most notable citizens.</w:t>
      </w:r>
    </w:p>
    <w:p>
      <w:pPr>
        <w:pStyle w:val="BodyText"/>
        <w:spacing w:before="9"/>
      </w:pPr>
    </w:p>
    <w:p>
      <w:pPr>
        <w:pStyle w:val="BodyText"/>
        <w:spacing w:line="360" w:lineRule="auto"/>
        <w:ind w:left="233" w:right="116"/>
        <w:jc w:val="both"/>
      </w:pPr>
      <w:r>
        <w:rPr/>
        <w:t>That tradition continues with the new £20. JMW Turner will circulate alongside Winston Churchill on the £5, and Jane Austen on the £10. In 2021, Alan Turing will replace Boulton and Watt on the £50. These individuals have advanced British thought, demonstrated exceptional leadership, and more generally helped to shape this diverse society and forge our common values.</w:t>
      </w:r>
    </w:p>
    <w:p>
      <w:pPr>
        <w:pStyle w:val="BodyText"/>
        <w:spacing w:before="10"/>
      </w:pPr>
    </w:p>
    <w:p>
      <w:pPr>
        <w:pStyle w:val="BodyText"/>
        <w:spacing w:line="360" w:lineRule="auto"/>
        <w:ind w:left="233" w:right="110"/>
        <w:jc w:val="both"/>
      </w:pPr>
      <w:r>
        <w:rPr/>
        <w:t>I’m delighted to be joined today to celebrate Turner’s continuing influence by one of our most eminent artists, someone whom Turner has influenced and one of Margate’s own. As precocious and prolific as Turner, a fellow Royal Academician, and the master of confessional art, please welcome Tracey Emin.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8"/>
        </w:rPr>
      </w:pPr>
      <w:r>
        <w:rPr/>
        <w:pict>
          <v:shape style="position:absolute;margin-left:56.664001pt;margin-top:12.567793pt;width:144.050pt;height:.1pt;mso-position-horizontal-relative:page;mso-position-vertical-relative:paragraph;z-index:-251655168;mso-wrap-distance-left:0;mso-wrap-distance-right:0" coordorigin="1133,251" coordsize="2881,0" path="m1133,251l4014,251e" filled="false" stroked="true" strokeweight=".47998pt" strokecolor="#000000">
            <v:path arrowok="t"/>
            <v:stroke dashstyle="solid"/>
            <w10:wrap type="topAndBottom"/>
          </v:shape>
        </w:pict>
      </w:r>
    </w:p>
    <w:p>
      <w:pPr>
        <w:spacing w:before="50"/>
        <w:ind w:left="233" w:right="115" w:firstLine="0"/>
        <w:jc w:val="left"/>
        <w:rPr>
          <w:sz w:val="16"/>
        </w:rPr>
      </w:pPr>
      <w:r>
        <w:rPr>
          <w:position w:val="6"/>
          <w:sz w:val="10"/>
        </w:rPr>
        <w:t>5 </w:t>
      </w:r>
      <w:r>
        <w:rPr>
          <w:sz w:val="16"/>
        </w:rPr>
        <w:t>Book I, Chapter 4 “On the Origin and Use of Money” of Smith, A (1776), </w:t>
      </w:r>
      <w:r>
        <w:rPr>
          <w:i/>
          <w:sz w:val="16"/>
        </w:rPr>
        <w:t>An Inquiry into the Nature and Causes of the Wealth of </w:t>
      </w:r>
      <w:r>
        <w:rPr>
          <w:i/>
          <w:sz w:val="16"/>
        </w:rPr>
        <w:t>Nations</w:t>
      </w:r>
      <w:r>
        <w:rPr>
          <w:sz w:val="16"/>
        </w:rPr>
        <w:t>.</w:t>
      </w:r>
    </w:p>
    <w:p>
      <w:pPr>
        <w:spacing w:line="183" w:lineRule="exact" w:before="0"/>
        <w:ind w:left="233" w:right="0" w:firstLine="0"/>
        <w:jc w:val="left"/>
        <w:rPr>
          <w:sz w:val="16"/>
        </w:rPr>
      </w:pPr>
      <w:r>
        <w:rPr>
          <w:position w:val="6"/>
          <w:sz w:val="10"/>
        </w:rPr>
        <w:t>6 </w:t>
      </w:r>
      <w:r>
        <w:rPr>
          <w:sz w:val="16"/>
        </w:rPr>
        <w:t>A moniker used by Kocherlakota. See Kocherlakota, N (1998), “Money is Memory”, Journal of Economic Theory, 81 (2).</w:t>
      </w:r>
    </w:p>
    <w:sectPr>
      <w:footerReference w:type="default" r:id="rId10"/>
      <w:pgSz w:w="11910" w:h="16840"/>
      <w:pgMar w:footer="1338" w:header="0" w:top="152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9121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346924pt;width:2.550pt;height:3.1pt;mso-position-horizontal-relative:page;mso-position-vertical-relative:page;z-index:-251911168"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2.119446pt;width:349.85pt;height:13.15pt;mso-position-horizontal-relative:page;mso-position-vertical-relative:page;z-index:-251910144"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90912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346924pt;width:2.550pt;height:3.1pt;mso-position-horizontal-relative:page;mso-position-vertical-relative:page;z-index:-251908096"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2.119446pt;width:349.85pt;height:13.15pt;mso-position-horizontal-relative:page;mso-position-vertical-relative:page;z-index:-251907072"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44.520020pt;margin-top:773.319458pt;width:7.55pt;height:13.15pt;mso-position-horizontal-relative:page;mso-position-vertical-relative:page;z-index:-251906048"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90502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346924pt;width:2.550pt;height:3.1pt;mso-position-horizontal-relative:page;mso-position-vertical-relative:page;z-index:-251904000"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2.119446pt;width:349.85pt;height:13.15pt;mso-position-horizontal-relative:page;mso-position-vertical-relative:page;z-index:-251902976"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44.520020pt;margin-top:773.319458pt;width:7.55pt;height:13.15pt;mso-position-horizontal-relative:page;mso-position-vertical-relative:page;z-index:-251901952"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90092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346924pt;width:2.550pt;height:3.1pt;mso-position-horizontal-relative:page;mso-position-vertical-relative:page;z-index:-251899904"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2.119446pt;width:349.85pt;height:13.15pt;mso-position-horizontal-relative:page;mso-position-vertical-relative:page;z-index:-251898880"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44.520020pt;margin-top:773.319458pt;width:7.55pt;height:13.15pt;mso-position-horizontal-relative:page;mso-position-vertical-relative:page;z-index:-251897856" type="#_x0000_t202" filled="false" stroked="false">
          <v:textbox inset="0,0,0,0">
            <w:txbxContent>
              <w:p>
                <w:pPr>
                  <w:pStyle w:val="BodyText"/>
                  <w:spacing w:before="12"/>
                  <w:ind w:left="20"/>
                </w:pPr>
                <w:r>
                  <w:rPr>
                    <w:w w:val="99"/>
                  </w:rPr>
                  <w:t>4</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1"/>
      <w:ind w:left="233"/>
      <w:outlineLvl w:val="1"/>
    </w:pPr>
    <w:rPr>
      <w:rFonts w:ascii="Arial" w:hAnsi="Arial" w:eastAsia="Arial" w:cs="Arial"/>
      <w:sz w:val="24"/>
      <w:szCs w:val="24"/>
      <w:lang w:val="en-gb" w:eastAsia="en-gb" w:bidi="en-gb"/>
    </w:rPr>
  </w:style>
  <w:style w:styleId="Heading2" w:type="paragraph">
    <w:name w:val="Heading 2"/>
    <w:basedOn w:val="Normal"/>
    <w:uiPriority w:val="1"/>
    <w:qFormat/>
    <w:pPr>
      <w:ind w:left="233"/>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news.bbc.co.uk/1/hi/entertainment/4214824.stm" TargetMode="External"/><Relationship Id="rId10"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Mark Carney at the Turner Contemporary Gallery, Margate, on Thursday 10 October 2019.</dc:subject>
  <dc:title>Speech by Mark Carney at the Turner Contemporary Gallery, Margate, on Thursday 10 October 2019.</dc:title>
  <dcterms:created xsi:type="dcterms:W3CDTF">2020-06-02T17:49:39Z</dcterms:created>
  <dcterms:modified xsi:type="dcterms:W3CDTF">2020-06-02T17:49:39Z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2019-10-10T00:00:00Z</vt:filetime>
  </property>
  <property fmtid="{D5CDD505-2E9C-101B-9397-08002B2CF9AE}" pid="3" name="LastSaved">
    <vt:filetime>2020-06-02T00:00:00Z</vt:filetime>
  </property>
</Properties>
</file>