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MPC Two Years On</w:t>
      </w:r>
    </w:p>
    <w:p>
      <w:pPr>
        <w:pStyle w:val="BodyText"/>
        <w:spacing w:before="274"/>
        <w:ind w:left="354"/>
        <w:rPr>
          <w:rFonts w:ascii="Arial"/>
        </w:rPr>
      </w:pPr>
      <w:r>
        <w:rPr>
          <w:rFonts w:ascii="Arial"/>
        </w:rPr>
        <w:t>Speech given by</w:t>
      </w:r>
    </w:p>
    <w:p>
      <w:pPr>
        <w:pStyle w:val="BodyText"/>
        <w:spacing w:line="720" w:lineRule="auto" w:before="138"/>
        <w:ind w:left="354" w:right="6191"/>
        <w:rPr>
          <w:rFonts w:ascii="Arial"/>
        </w:rPr>
      </w:pPr>
      <w:r>
        <w:rPr>
          <w:rFonts w:ascii="Arial"/>
        </w:rPr>
        <w:t>Mervyn King, Deputy Governor 17 May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353" w:right="582" w:firstLine="0"/>
        <w:jc w:val="left"/>
        <w:rPr>
          <w:rFonts w:ascii="Arial" w:hAnsi="Arial"/>
          <w:sz w:val="20"/>
        </w:rPr>
      </w:pPr>
      <w:r>
        <w:rPr>
          <w:rFonts w:ascii="Arial" w:hAnsi="Arial"/>
          <w:sz w:val="20"/>
        </w:rPr>
        <w:t>Text of a lecture to be delivered to the Queen’s University, Belfast, on 17 May 1999. I am indebted to Mark Cornelius, Spencer Dale and Anthony Yates for invaluable assistance in the preparation of this lecture, and to Andrew Bailey, Paul Fisher and Nigel Jenkinson for helpful comments on an earlier draft.</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rPr>
          <w:rFonts w:ascii="Arial"/>
          <w:sz w:val="20"/>
        </w:rPr>
      </w:pPr>
    </w:p>
    <w:p>
      <w:pPr>
        <w:pStyle w:val="BodyText"/>
        <w:spacing w:before="7"/>
        <w:rPr>
          <w:rFonts w:ascii="Arial"/>
          <w:sz w:val="29"/>
        </w:rPr>
      </w:pPr>
    </w:p>
    <w:p>
      <w:pPr>
        <w:pStyle w:val="Heading3"/>
        <w:numPr>
          <w:ilvl w:val="0"/>
          <w:numId w:val="1"/>
        </w:numPr>
        <w:tabs>
          <w:tab w:pos="1744" w:val="left" w:leader="none"/>
          <w:tab w:pos="1745" w:val="left" w:leader="none"/>
        </w:tabs>
        <w:spacing w:line="240" w:lineRule="auto" w:before="90" w:after="0"/>
        <w:ind w:left="1744" w:right="0" w:hanging="721"/>
        <w:jc w:val="left"/>
      </w:pPr>
      <w:r>
        <w:rPr/>
        <w:t>Present at the</w:t>
      </w:r>
      <w:r>
        <w:rPr>
          <w:spacing w:val="2"/>
        </w:rPr>
        <w:t> </w:t>
      </w:r>
      <w:r>
        <w:rPr/>
        <w:t>creation</w:t>
      </w:r>
    </w:p>
    <w:p>
      <w:pPr>
        <w:pStyle w:val="BodyText"/>
        <w:spacing w:before="7"/>
        <w:rPr>
          <w:b/>
          <w:sz w:val="23"/>
        </w:rPr>
      </w:pPr>
    </w:p>
    <w:p>
      <w:pPr>
        <w:pStyle w:val="BodyText"/>
        <w:ind w:left="1024" w:right="568"/>
      </w:pPr>
      <w:r>
        <w:rPr/>
        <w:t>Two years ago, when it announced that the Bank of England would be granted independence, the n(N)ew Labour Government surprised everyone, not least the Bank of England. Since then, decisions on interest rates have been taken not by the Chancellor but by the Monetary Policy Committee. Much has followed from that single bold decision to take interest rates out of day-to-day politics. The transfer of the operational responsibility for setting interest rates to a new Monetary Policy Committee was a major policy, indeed constitutional, innovation. The excitement of being involved in the construction of a new monetary institution for the</w:t>
      </w:r>
    </w:p>
    <w:p>
      <w:pPr>
        <w:pStyle w:val="BodyText"/>
        <w:ind w:left="1024" w:right="825"/>
      </w:pPr>
      <w:r>
        <w:rPr/>
        <w:t>United Kingdom has both motivated and rewarded the extraordinary efforts of the Bank staff who made the new process work, and I want publicly to thank them for that. In the words of Dean Acheson, to be “present at the creation” is an experience which few involved in policy are ever privileged to share.</w:t>
      </w:r>
    </w:p>
    <w:p>
      <w:pPr>
        <w:pStyle w:val="BodyText"/>
        <w:spacing w:before="9"/>
        <w:rPr>
          <w:sz w:val="23"/>
        </w:rPr>
      </w:pPr>
    </w:p>
    <w:p>
      <w:pPr>
        <w:pStyle w:val="BodyText"/>
        <w:ind w:left="1024" w:right="582"/>
      </w:pPr>
      <w:r>
        <w:rPr/>
        <w:t>Inevitably there have been changes to the Bank. It has had to redirect its resources to focus on achieving and maintaining monetary stability in this country. Responsibility for banking supervision has been transferred from the Bank to the new Financial Services Authority. The job of managing public sector debt has passed to a new Debt Management Office. And, the Treasury, relieved of its responsibility for setting interest rates, can now focus on fiscal policy and measures to raise the long-run growth rate of the UK economy, as well as ensure that the fruits of that growth are distributed fairly. Each body now has clearer responsibilities.</w:t>
      </w:r>
    </w:p>
    <w:p>
      <w:pPr>
        <w:pStyle w:val="BodyText"/>
        <w:spacing w:before="3"/>
      </w:pPr>
    </w:p>
    <w:p>
      <w:pPr>
        <w:pStyle w:val="BodyText"/>
        <w:ind w:left="1024" w:right="605"/>
      </w:pPr>
      <w:r>
        <w:rPr/>
        <w:t>Of course, not all of our present monetary framework dates from 1997. It was following our exit from the ERM in September 1992 that monetary policy was first directed to achieving an explicit inflation target, initially a range of 1-4% and, subsequently 2½% or less. With a floating exchange rate, any anchor for the price level had to be based on a domestic nominal target. The move from secrecy to transparency in the conduct of policy also dates back to 1992 when the then Chancellor asked the Bank to produce a regular independent </w:t>
      </w:r>
      <w:r>
        <w:rPr>
          <w:i/>
        </w:rPr>
        <w:t>Inflation Report </w:t>
      </w:r>
      <w:r>
        <w:rPr/>
        <w:t>in order “to make the formation of policy more transparent and our decisions more accountable”. The first </w:t>
      </w:r>
      <w:r>
        <w:rPr>
          <w:i/>
        </w:rPr>
        <w:t>Inflation Report </w:t>
      </w:r>
      <w:r>
        <w:rPr/>
        <w:t>appeared in February 1993. Those changes led to a significant improvement in our macroeconomic performance.</w:t>
      </w:r>
    </w:p>
    <w:p>
      <w:pPr>
        <w:pStyle w:val="BodyText"/>
        <w:spacing w:before="9"/>
        <w:rPr>
          <w:sz w:val="23"/>
        </w:rPr>
      </w:pPr>
    </w:p>
    <w:p>
      <w:pPr>
        <w:pStyle w:val="BodyText"/>
        <w:ind w:left="1024" w:right="582"/>
      </w:pPr>
      <w:r>
        <w:rPr/>
        <w:t>But many, especially elsewhere in Europe, doubted the UK’s commitment to monetary stability in the absence of a willingness to remove operational decisions on interest rates from the political arena. Long-term interest rates contained a risk premium to reflect the possibility that the timing and magnitude of interest rate changes might reflect political considerations. The “Ken and Eddie” show was probably nearing the end of its run. And both principals needed their own show.</w:t>
      </w:r>
    </w:p>
    <w:p>
      <w:pPr>
        <w:pStyle w:val="BodyText"/>
        <w:spacing w:before="2"/>
      </w:pPr>
    </w:p>
    <w:p>
      <w:pPr>
        <w:pStyle w:val="BodyText"/>
        <w:spacing w:before="1"/>
        <w:ind w:left="1024" w:right="763"/>
        <w:jc w:val="both"/>
      </w:pPr>
      <w:r>
        <w:rPr/>
        <w:t>So when Gordon Brown announced radical changes </w:t>
      </w:r>
      <w:r>
        <w:rPr>
          <w:spacing w:val="2"/>
        </w:rPr>
        <w:t>to </w:t>
      </w:r>
      <w:r>
        <w:rPr/>
        <w:t>the Bank </w:t>
      </w:r>
      <w:r>
        <w:rPr>
          <w:spacing w:val="2"/>
        </w:rPr>
        <w:t>of </w:t>
      </w:r>
      <w:r>
        <w:rPr/>
        <w:t>England and the monetary</w:t>
      </w:r>
      <w:r>
        <w:rPr>
          <w:spacing w:val="-7"/>
        </w:rPr>
        <w:t> </w:t>
      </w:r>
      <w:r>
        <w:rPr/>
        <w:t>policy</w:t>
      </w:r>
      <w:r>
        <w:rPr>
          <w:spacing w:val="-7"/>
        </w:rPr>
        <w:t> </w:t>
      </w:r>
      <w:r>
        <w:rPr/>
        <w:t>framework</w:t>
      </w:r>
      <w:r>
        <w:rPr>
          <w:spacing w:val="-7"/>
        </w:rPr>
        <w:t> </w:t>
      </w:r>
      <w:r>
        <w:rPr/>
        <w:t>two</w:t>
      </w:r>
      <w:r>
        <w:rPr>
          <w:spacing w:val="-7"/>
        </w:rPr>
        <w:t> </w:t>
      </w:r>
      <w:r>
        <w:rPr/>
        <w:t>years</w:t>
      </w:r>
      <w:r>
        <w:rPr>
          <w:spacing w:val="-7"/>
        </w:rPr>
        <w:t> </w:t>
      </w:r>
      <w:r>
        <w:rPr/>
        <w:t>ago</w:t>
      </w:r>
      <w:r>
        <w:rPr>
          <w:spacing w:val="-7"/>
        </w:rPr>
        <w:t> </w:t>
      </w:r>
      <w:r>
        <w:rPr/>
        <w:t>they</w:t>
      </w:r>
      <w:r>
        <w:rPr>
          <w:spacing w:val="-7"/>
        </w:rPr>
        <w:t> </w:t>
      </w:r>
      <w:r>
        <w:rPr/>
        <w:t>were</w:t>
      </w:r>
      <w:r>
        <w:rPr>
          <w:spacing w:val="-7"/>
        </w:rPr>
        <w:t> </w:t>
      </w:r>
      <w:r>
        <w:rPr/>
        <w:t>widely</w:t>
      </w:r>
      <w:r>
        <w:rPr>
          <w:spacing w:val="-7"/>
        </w:rPr>
        <w:t> </w:t>
      </w:r>
      <w:r>
        <w:rPr/>
        <w:t>welcomed</w:t>
      </w:r>
      <w:r>
        <w:rPr>
          <w:spacing w:val="-7"/>
        </w:rPr>
        <w:t> </w:t>
      </w:r>
      <w:r>
        <w:rPr/>
        <w:t>because</w:t>
      </w:r>
      <w:r>
        <w:rPr>
          <w:spacing w:val="-7"/>
        </w:rPr>
        <w:t> </w:t>
      </w:r>
      <w:r>
        <w:rPr/>
        <w:t>they </w:t>
      </w:r>
      <w:r>
        <w:rPr>
          <w:spacing w:val="5"/>
        </w:rPr>
        <w:t>offered </w:t>
      </w:r>
      <w:r>
        <w:rPr/>
        <w:t>the basis for a durable commitment </w:t>
      </w:r>
      <w:r>
        <w:rPr>
          <w:spacing w:val="3"/>
        </w:rPr>
        <w:t>to </w:t>
      </w:r>
      <w:r>
        <w:rPr/>
        <w:t>price</w:t>
      </w:r>
      <w:r>
        <w:rPr>
          <w:spacing w:val="12"/>
        </w:rPr>
        <w:t> </w:t>
      </w:r>
      <w:r>
        <w:rPr/>
        <w:t>stability.</w:t>
      </w:r>
    </w:p>
    <w:p>
      <w:pPr>
        <w:pStyle w:val="BodyText"/>
      </w:pPr>
    </w:p>
    <w:p>
      <w:pPr>
        <w:pStyle w:val="BodyText"/>
        <w:ind w:left="1024" w:right="558"/>
      </w:pPr>
      <w:r>
        <w:rPr/>
        <w:t>What, then, is the substance of the main reforms announced in May 1997? First, there is a clear and unambiguous objective for monetary policy – an inflation target of 2½%, - set by the Government, with inflation defined as the increase in retail prices,</w:t>
      </w:r>
    </w:p>
    <w:p>
      <w:pPr>
        <w:spacing w:after="0"/>
        <w:sectPr>
          <w:headerReference w:type="default" r:id="rId7"/>
          <w:pgSz w:w="11900" w:h="16840"/>
          <w:pgMar w:header="714" w:footer="0" w:top="1200" w:bottom="280" w:left="780" w:right="1260"/>
          <w:pgNumType w:start="2"/>
        </w:sectPr>
      </w:pPr>
    </w:p>
    <w:p>
      <w:pPr>
        <w:pStyle w:val="BodyText"/>
        <w:spacing w:before="10"/>
        <w:rPr>
          <w:sz w:val="12"/>
        </w:rPr>
      </w:pPr>
    </w:p>
    <w:p>
      <w:pPr>
        <w:pStyle w:val="BodyText"/>
        <w:spacing w:before="90"/>
        <w:ind w:left="1024" w:right="597"/>
      </w:pPr>
      <w:r>
        <w:rPr/>
        <w:t>excluding mortgage interest payments, over the previous twelve months – RPIX inflation. Second, decisions on interest rates are taken by a Monetary Policy Committee, or MPC, comprised of nine individuals with expertise in monetary policy</w:t>
      </w:r>
    </w:p>
    <w:p>
      <w:pPr>
        <w:pStyle w:val="BodyText"/>
        <w:spacing w:before="3"/>
        <w:ind w:left="1024" w:right="737"/>
      </w:pPr>
      <w:r>
        <w:rPr/>
        <w:t>– five executive members of the Bank and four non-executives - who operate on the basis of one person one vote. Third, the process is characterised by a high degree of transparency and accountability, both to provide the public with explanations of the MPC’s actions and to hold members of the MPC individually accountable for their decisions. Have these reforms made a difference to the UK economy? My aim this evening is to pose and begin to answer three questions about the MPC two years on.</w:t>
      </w:r>
    </w:p>
    <w:p>
      <w:pPr>
        <w:pStyle w:val="BodyText"/>
        <w:spacing w:before="9"/>
        <w:rPr>
          <w:sz w:val="23"/>
        </w:rPr>
      </w:pPr>
    </w:p>
    <w:p>
      <w:pPr>
        <w:pStyle w:val="ListParagraph"/>
        <w:numPr>
          <w:ilvl w:val="0"/>
          <w:numId w:val="2"/>
        </w:numPr>
        <w:tabs>
          <w:tab w:pos="1433" w:val="left" w:leader="none"/>
        </w:tabs>
        <w:spacing w:line="240" w:lineRule="auto" w:before="0" w:after="0"/>
        <w:ind w:left="1432" w:right="0" w:hanging="409"/>
        <w:jc w:val="left"/>
        <w:rPr>
          <w:sz w:val="24"/>
        </w:rPr>
      </w:pPr>
      <w:r>
        <w:rPr>
          <w:sz w:val="24"/>
        </w:rPr>
        <w:t>What is the track record of the MPC after two</w:t>
      </w:r>
      <w:r>
        <w:rPr>
          <w:spacing w:val="11"/>
          <w:sz w:val="24"/>
        </w:rPr>
        <w:t> </w:t>
      </w:r>
      <w:r>
        <w:rPr>
          <w:sz w:val="24"/>
        </w:rPr>
        <w:t>years?</w:t>
      </w:r>
    </w:p>
    <w:p>
      <w:pPr>
        <w:pStyle w:val="ListParagraph"/>
        <w:numPr>
          <w:ilvl w:val="0"/>
          <w:numId w:val="2"/>
        </w:numPr>
        <w:tabs>
          <w:tab w:pos="1436" w:val="left" w:leader="none"/>
        </w:tabs>
        <w:spacing w:line="275" w:lineRule="exact" w:before="2" w:after="0"/>
        <w:ind w:left="1435" w:right="0" w:hanging="412"/>
        <w:jc w:val="left"/>
        <w:rPr>
          <w:sz w:val="24"/>
        </w:rPr>
      </w:pPr>
      <w:r>
        <w:rPr>
          <w:sz w:val="24"/>
        </w:rPr>
        <w:t>What has the MPC learnt during that</w:t>
      </w:r>
      <w:r>
        <w:rPr>
          <w:spacing w:val="26"/>
          <w:sz w:val="24"/>
        </w:rPr>
        <w:t> </w:t>
      </w:r>
      <w:r>
        <w:rPr>
          <w:sz w:val="24"/>
        </w:rPr>
        <w:t>period?</w:t>
      </w:r>
    </w:p>
    <w:p>
      <w:pPr>
        <w:pStyle w:val="ListParagraph"/>
        <w:numPr>
          <w:ilvl w:val="0"/>
          <w:numId w:val="2"/>
        </w:numPr>
        <w:tabs>
          <w:tab w:pos="1434" w:val="left" w:leader="none"/>
        </w:tabs>
        <w:spacing w:line="275" w:lineRule="exact" w:before="0" w:after="0"/>
        <w:ind w:left="1434" w:right="0" w:hanging="410"/>
        <w:jc w:val="left"/>
        <w:rPr>
          <w:sz w:val="24"/>
        </w:rPr>
      </w:pPr>
      <w:r>
        <w:rPr>
          <w:sz w:val="24"/>
        </w:rPr>
        <w:t>What are the challenges for the next two</w:t>
      </w:r>
      <w:r>
        <w:rPr>
          <w:spacing w:val="10"/>
          <w:sz w:val="24"/>
        </w:rPr>
        <w:t> </w:t>
      </w:r>
      <w:r>
        <w:rPr>
          <w:sz w:val="24"/>
        </w:rPr>
        <w:t>years?</w:t>
      </w:r>
    </w:p>
    <w:p>
      <w:pPr>
        <w:pStyle w:val="BodyText"/>
        <w:spacing w:before="5"/>
      </w:pPr>
    </w:p>
    <w:p>
      <w:pPr>
        <w:pStyle w:val="Heading3"/>
        <w:numPr>
          <w:ilvl w:val="0"/>
          <w:numId w:val="1"/>
        </w:numPr>
        <w:tabs>
          <w:tab w:pos="1744" w:val="left" w:leader="none"/>
          <w:tab w:pos="1745" w:val="left" w:leader="none"/>
        </w:tabs>
        <w:spacing w:line="240" w:lineRule="auto" w:before="0" w:after="0"/>
        <w:ind w:left="1744" w:right="0" w:hanging="721"/>
        <w:jc w:val="left"/>
      </w:pPr>
      <w:r>
        <w:rPr/>
        <w:t>What is the </w:t>
      </w:r>
      <w:r>
        <w:rPr>
          <w:spacing w:val="-6"/>
        </w:rPr>
        <w:t>MPC’s </w:t>
      </w:r>
      <w:r>
        <w:rPr/>
        <w:t>track</w:t>
      </w:r>
      <w:r>
        <w:rPr>
          <w:spacing w:val="8"/>
        </w:rPr>
        <w:t> </w:t>
      </w:r>
      <w:r>
        <w:rPr/>
        <w:t>record?</w:t>
      </w:r>
    </w:p>
    <w:p>
      <w:pPr>
        <w:pStyle w:val="BodyText"/>
        <w:spacing w:before="7"/>
        <w:rPr>
          <w:b/>
          <w:sz w:val="23"/>
        </w:rPr>
      </w:pPr>
    </w:p>
    <w:p>
      <w:pPr>
        <w:pStyle w:val="BodyText"/>
        <w:ind w:left="1024" w:right="582"/>
      </w:pPr>
      <w:r>
        <w:rPr/>
        <w:t>Because of the infamous “long and variable” lags between changes in interest rates and their impact on inflation, the MPC does not yet have much of a track record in terms of inflation outturns. But since the target given to the MPC is for inflation, let me start there. Between June 1997 and March 1999 (the latest month for which inflation has been published) RPIX inflation averaged 2.7%. During that period, inflation ranged from a low of 2.4% to a high of 3.2%. Over the past nine months it has remained within 0.2 percentage points of the target, a remarkable degree of stability.</w:t>
      </w:r>
    </w:p>
    <w:p>
      <w:pPr>
        <w:pStyle w:val="BodyText"/>
        <w:ind w:left="1024" w:right="558"/>
      </w:pPr>
      <w:r>
        <w:rPr/>
        <w:t>It is most unlikely that inflation can remain, month-by-month, as close to the target as that. Unexpected movements in the exchange rate, oil or other commodity prices, indirect tax rates or a multitude of other influences, could all lead to divergences of inflation from target. Because of the lags I mentioned earlier, it would take the MPC some time to bring inflation back to the target level. What matters, however, is not relatively small month-to-month movements in the inflation rate, but the expectation that inflation will average 2</w:t>
      </w:r>
      <w:r>
        <w:rPr>
          <w:rFonts w:ascii="Gill Sans MT"/>
        </w:rPr>
        <w:t>2 </w:t>
      </w:r>
      <w:r>
        <w:rPr/>
        <w:t>% over a number of years.</w:t>
      </w:r>
    </w:p>
    <w:p>
      <w:pPr>
        <w:pStyle w:val="BodyText"/>
        <w:spacing w:before="1"/>
      </w:pPr>
    </w:p>
    <w:p>
      <w:pPr>
        <w:pStyle w:val="BodyText"/>
        <w:spacing w:before="1"/>
        <w:ind w:left="1024" w:right="582"/>
      </w:pPr>
      <w:r>
        <w:rPr/>
        <w:t>As</w:t>
      </w:r>
      <w:r>
        <w:rPr>
          <w:spacing w:val="-9"/>
        </w:rPr>
        <w:t> </w:t>
      </w:r>
      <w:r>
        <w:rPr/>
        <w:t>part</w:t>
      </w:r>
      <w:r>
        <w:rPr>
          <w:spacing w:val="-3"/>
        </w:rPr>
        <w:t> </w:t>
      </w:r>
      <w:r>
        <w:rPr>
          <w:spacing w:val="2"/>
        </w:rPr>
        <w:t>of</w:t>
      </w:r>
      <w:r>
        <w:rPr>
          <w:spacing w:val="-5"/>
        </w:rPr>
        <w:t> </w:t>
      </w:r>
      <w:r>
        <w:rPr/>
        <w:t>the</w:t>
      </w:r>
      <w:r>
        <w:rPr>
          <w:spacing w:val="-8"/>
        </w:rPr>
        <w:t> </w:t>
      </w:r>
      <w:r>
        <w:rPr/>
        <w:t>arrangements</w:t>
      </w:r>
      <w:r>
        <w:rPr>
          <w:spacing w:val="-8"/>
        </w:rPr>
        <w:t> </w:t>
      </w:r>
      <w:r>
        <w:rPr/>
        <w:t>for</w:t>
      </w:r>
      <w:r>
        <w:rPr>
          <w:spacing w:val="-9"/>
        </w:rPr>
        <w:t> </w:t>
      </w:r>
      <w:r>
        <w:rPr/>
        <w:t>accountability,</w:t>
      </w:r>
      <w:r>
        <w:rPr>
          <w:spacing w:val="-7"/>
        </w:rPr>
        <w:t> </w:t>
      </w:r>
      <w:r>
        <w:rPr/>
        <w:t>the</w:t>
      </w:r>
      <w:r>
        <w:rPr>
          <w:spacing w:val="-9"/>
        </w:rPr>
        <w:t> </w:t>
      </w:r>
      <w:r>
        <w:rPr/>
        <w:t>Governor,</w:t>
      </w:r>
      <w:r>
        <w:rPr>
          <w:spacing w:val="-8"/>
        </w:rPr>
        <w:t> </w:t>
      </w:r>
      <w:r>
        <w:rPr>
          <w:spacing w:val="2"/>
        </w:rPr>
        <w:t>on</w:t>
      </w:r>
      <w:r>
        <w:rPr>
          <w:spacing w:val="-4"/>
        </w:rPr>
        <w:t> </w:t>
      </w:r>
      <w:r>
        <w:rPr/>
        <w:t>behalf</w:t>
      </w:r>
      <w:r>
        <w:rPr>
          <w:spacing w:val="-9"/>
        </w:rPr>
        <w:t> </w:t>
      </w:r>
      <w:r>
        <w:rPr>
          <w:spacing w:val="2"/>
        </w:rPr>
        <w:t>of</w:t>
      </w:r>
      <w:r>
        <w:rPr>
          <w:spacing w:val="-4"/>
        </w:rPr>
        <w:t> </w:t>
      </w:r>
      <w:r>
        <w:rPr/>
        <w:t>the</w:t>
      </w:r>
      <w:r>
        <w:rPr>
          <w:spacing w:val="-8"/>
        </w:rPr>
        <w:t> </w:t>
      </w:r>
      <w:r>
        <w:rPr/>
        <w:t>MPC,</w:t>
      </w:r>
      <w:r>
        <w:rPr>
          <w:spacing w:val="-9"/>
        </w:rPr>
        <w:t> </w:t>
      </w:r>
      <w:r>
        <w:rPr/>
        <w:t>is required</w:t>
      </w:r>
      <w:r>
        <w:rPr>
          <w:spacing w:val="-6"/>
        </w:rPr>
        <w:t> </w:t>
      </w:r>
      <w:r>
        <w:rPr>
          <w:spacing w:val="3"/>
        </w:rPr>
        <w:t>to</w:t>
      </w:r>
      <w:r>
        <w:rPr>
          <w:spacing w:val="-3"/>
        </w:rPr>
        <w:t> </w:t>
      </w:r>
      <w:r>
        <w:rPr/>
        <w:t>write</w:t>
      </w:r>
      <w:r>
        <w:rPr>
          <w:spacing w:val="-7"/>
        </w:rPr>
        <w:t> </w:t>
      </w:r>
      <w:r>
        <w:rPr/>
        <w:t>an</w:t>
      </w:r>
      <w:r>
        <w:rPr>
          <w:spacing w:val="-8"/>
        </w:rPr>
        <w:t> </w:t>
      </w:r>
      <w:r>
        <w:rPr>
          <w:spacing w:val="3"/>
        </w:rPr>
        <w:t>open</w:t>
      </w:r>
      <w:r>
        <w:rPr>
          <w:spacing w:val="-3"/>
        </w:rPr>
        <w:t> </w:t>
      </w:r>
      <w:r>
        <w:rPr/>
        <w:t>letter</w:t>
      </w:r>
      <w:r>
        <w:rPr>
          <w:spacing w:val="-7"/>
        </w:rPr>
        <w:t> </w:t>
      </w:r>
      <w:r>
        <w:rPr>
          <w:spacing w:val="3"/>
        </w:rPr>
        <w:t>to</w:t>
      </w:r>
      <w:r>
        <w:rPr>
          <w:spacing w:val="-2"/>
        </w:rPr>
        <w:t> </w:t>
      </w:r>
      <w:r>
        <w:rPr/>
        <w:t>the</w:t>
      </w:r>
      <w:r>
        <w:rPr>
          <w:spacing w:val="-7"/>
        </w:rPr>
        <w:t> </w:t>
      </w:r>
      <w:r>
        <w:rPr/>
        <w:t>Chancellor</w:t>
      </w:r>
      <w:r>
        <w:rPr>
          <w:spacing w:val="-8"/>
        </w:rPr>
        <w:t> </w:t>
      </w:r>
      <w:r>
        <w:rPr/>
        <w:t>whenever</w:t>
      </w:r>
      <w:r>
        <w:rPr>
          <w:spacing w:val="-7"/>
        </w:rPr>
        <w:t> </w:t>
      </w:r>
      <w:r>
        <w:rPr/>
        <w:t>inflation</w:t>
      </w:r>
      <w:r>
        <w:rPr>
          <w:spacing w:val="-7"/>
        </w:rPr>
        <w:t> </w:t>
      </w:r>
      <w:r>
        <w:rPr/>
        <w:t>deviates</w:t>
      </w:r>
      <w:r>
        <w:rPr>
          <w:spacing w:val="-7"/>
        </w:rPr>
        <w:t> </w:t>
      </w:r>
      <w:r>
        <w:rPr/>
        <w:t>by</w:t>
      </w:r>
      <w:r>
        <w:rPr>
          <w:spacing w:val="-8"/>
        </w:rPr>
        <w:t> </w:t>
      </w:r>
      <w:r>
        <w:rPr/>
        <w:t>more than a percentage point from the target. At the </w:t>
      </w:r>
      <w:r>
        <w:rPr>
          <w:spacing w:val="4"/>
        </w:rPr>
        <w:t>outset, </w:t>
      </w:r>
      <w:r>
        <w:rPr/>
        <w:t>the fan charts published in the Inflation Report showed that the </w:t>
      </w:r>
      <w:r>
        <w:rPr>
          <w:spacing w:val="3"/>
        </w:rPr>
        <w:t>odds </w:t>
      </w:r>
      <w:r>
        <w:rPr>
          <w:spacing w:val="2"/>
        </w:rPr>
        <w:t>on </w:t>
      </w:r>
      <w:r>
        <w:rPr/>
        <w:t>writing such a letter during the following two years were 3 </w:t>
      </w:r>
      <w:r>
        <w:rPr>
          <w:spacing w:val="2"/>
        </w:rPr>
        <w:t>to </w:t>
      </w:r>
      <w:r>
        <w:rPr/>
        <w:t>1 </w:t>
      </w:r>
      <w:r>
        <w:rPr>
          <w:spacing w:val="2"/>
        </w:rPr>
        <w:t>on. </w:t>
      </w:r>
      <w:r>
        <w:rPr/>
        <w:t>In the event, no letter was required. Although the probability </w:t>
      </w:r>
      <w:r>
        <w:rPr>
          <w:spacing w:val="3"/>
        </w:rPr>
        <w:t>of </w:t>
      </w:r>
      <w:r>
        <w:rPr/>
        <w:t>writing such a </w:t>
      </w:r>
      <w:r>
        <w:rPr>
          <w:spacing w:val="2"/>
        </w:rPr>
        <w:t>letter </w:t>
      </w:r>
      <w:r>
        <w:rPr/>
        <w:t>has diminished, it </w:t>
      </w:r>
      <w:r>
        <w:rPr>
          <w:spacing w:val="2"/>
        </w:rPr>
        <w:t>remains </w:t>
      </w:r>
      <w:r>
        <w:rPr/>
        <w:t>high. </w:t>
      </w:r>
      <w:r>
        <w:rPr>
          <w:spacing w:val="2"/>
        </w:rPr>
        <w:t>The </w:t>
      </w:r>
      <w:r>
        <w:rPr/>
        <w:t>latest </w:t>
      </w:r>
      <w:r>
        <w:rPr>
          <w:spacing w:val="2"/>
        </w:rPr>
        <w:t>Inflation </w:t>
      </w:r>
      <w:r>
        <w:rPr/>
        <w:t>Report published last Wednesday implies that the </w:t>
      </w:r>
      <w:r>
        <w:rPr>
          <w:spacing w:val="4"/>
        </w:rPr>
        <w:t>odds </w:t>
      </w:r>
      <w:r>
        <w:rPr>
          <w:spacing w:val="3"/>
        </w:rPr>
        <w:t>on </w:t>
      </w:r>
      <w:r>
        <w:rPr>
          <w:spacing w:val="4"/>
        </w:rPr>
        <w:t>our </w:t>
      </w:r>
      <w:r>
        <w:rPr/>
        <w:t>having </w:t>
      </w:r>
      <w:r>
        <w:rPr>
          <w:spacing w:val="4"/>
        </w:rPr>
        <w:t>to </w:t>
      </w:r>
      <w:r>
        <w:rPr/>
        <w:t>write a letter </w:t>
      </w:r>
      <w:r>
        <w:rPr>
          <w:spacing w:val="3"/>
        </w:rPr>
        <w:t>over </w:t>
      </w:r>
      <w:r>
        <w:rPr/>
        <w:t>the next two years are 2 </w:t>
      </w:r>
      <w:r>
        <w:rPr>
          <w:spacing w:val="2"/>
        </w:rPr>
        <w:t>to </w:t>
      </w:r>
      <w:r>
        <w:rPr/>
        <w:t>1 against, or </w:t>
      </w:r>
      <w:r>
        <w:rPr>
          <w:spacing w:val="2"/>
        </w:rPr>
        <w:t>one </w:t>
      </w:r>
      <w:r>
        <w:rPr/>
        <w:t>in</w:t>
      </w:r>
      <w:r>
        <w:rPr>
          <w:spacing w:val="-7"/>
        </w:rPr>
        <w:t> </w:t>
      </w:r>
      <w:r>
        <w:rPr/>
        <w:t>three.</w:t>
      </w:r>
    </w:p>
    <w:p>
      <w:pPr>
        <w:pStyle w:val="BodyText"/>
        <w:spacing w:before="9"/>
        <w:rPr>
          <w:sz w:val="23"/>
        </w:rPr>
      </w:pPr>
    </w:p>
    <w:p>
      <w:pPr>
        <w:pStyle w:val="BodyText"/>
        <w:ind w:left="1024" w:right="608"/>
      </w:pPr>
      <w:r>
        <w:rPr>
          <w:spacing w:val="2"/>
        </w:rPr>
        <w:t>Thirty </w:t>
      </w:r>
      <w:r>
        <w:rPr/>
        <w:t>years ago the UK embarked </w:t>
      </w:r>
      <w:r>
        <w:rPr>
          <w:spacing w:val="3"/>
        </w:rPr>
        <w:t>on </w:t>
      </w:r>
      <w:r>
        <w:rPr/>
        <w:t>an inflationary journey, and what a </w:t>
      </w:r>
      <w:r>
        <w:rPr>
          <w:spacing w:val="2"/>
        </w:rPr>
        <w:t>roller </w:t>
      </w:r>
      <w:r>
        <w:rPr/>
        <w:t>coaster ride it turned </w:t>
      </w:r>
      <w:r>
        <w:rPr>
          <w:spacing w:val="3"/>
        </w:rPr>
        <w:t>out </w:t>
      </w:r>
      <w:r>
        <w:rPr>
          <w:spacing w:val="2"/>
        </w:rPr>
        <w:t>to </w:t>
      </w:r>
      <w:r>
        <w:rPr/>
        <w:t>be. During the 1970s inflation averaged no less than 13% a year, with a peak </w:t>
      </w:r>
      <w:r>
        <w:rPr>
          <w:spacing w:val="2"/>
        </w:rPr>
        <w:t>of </w:t>
      </w:r>
      <w:r>
        <w:rPr>
          <w:spacing w:val="3"/>
        </w:rPr>
        <w:t>over </w:t>
      </w:r>
      <w:r>
        <w:rPr/>
        <w:t>27% in August 1975. During the 1980s inflation averaged 7% a year, and it has fallen </w:t>
      </w:r>
      <w:r>
        <w:rPr>
          <w:spacing w:val="2"/>
        </w:rPr>
        <w:t>to </w:t>
      </w:r>
      <w:r>
        <w:rPr/>
        <w:t>4% during the 1990s. That period also contained two </w:t>
      </w:r>
      <w:r>
        <w:rPr>
          <w:spacing w:val="2"/>
        </w:rPr>
        <w:t>of </w:t>
      </w:r>
      <w:r>
        <w:rPr/>
        <w:t>the deepest recessions experienced by any major industrial country in the post-war period. Since the inflation target was adopted in October 1992 inflation has averaged 2.8%. The improvement in inflation performance during the 1990s can be seen in chart 1. </w:t>
      </w:r>
      <w:r>
        <w:rPr>
          <w:spacing w:val="2"/>
        </w:rPr>
        <w:t>Inflation </w:t>
      </w:r>
      <w:r>
        <w:rPr/>
        <w:t>has been </w:t>
      </w:r>
      <w:r>
        <w:rPr>
          <w:spacing w:val="2"/>
        </w:rPr>
        <w:t>remarkably </w:t>
      </w:r>
      <w:r>
        <w:rPr/>
        <w:t>stable during the six years since an</w:t>
      </w:r>
      <w:r>
        <w:rPr>
          <w:spacing w:val="4"/>
        </w:rPr>
        <w:t> </w:t>
      </w:r>
      <w:r>
        <w:rPr/>
        <w:t>inflation</w:t>
      </w:r>
    </w:p>
    <w:p>
      <w:pPr>
        <w:spacing w:after="0"/>
        <w:sectPr>
          <w:pgSz w:w="11900" w:h="16840"/>
          <w:pgMar w:header="714" w:footer="0" w:top="1200" w:bottom="280" w:left="780" w:right="1260"/>
        </w:sectPr>
      </w:pPr>
    </w:p>
    <w:p>
      <w:pPr>
        <w:pStyle w:val="BodyText"/>
        <w:spacing w:before="10"/>
        <w:rPr>
          <w:sz w:val="12"/>
        </w:rPr>
      </w:pPr>
    </w:p>
    <w:p>
      <w:pPr>
        <w:pStyle w:val="BodyText"/>
        <w:spacing w:line="242" w:lineRule="auto" w:before="90"/>
        <w:ind w:left="1024" w:right="582"/>
      </w:pPr>
      <w:r>
        <w:rPr/>
        <w:t>target was introduced. Indeed, it has been more stable than in any period since monthly RPI figures were first collected in 1947.</w:t>
      </w:r>
    </w:p>
    <w:p>
      <w:pPr>
        <w:pStyle w:val="BodyText"/>
        <w:spacing w:before="8"/>
        <w:rPr>
          <w:sz w:val="23"/>
        </w:rPr>
      </w:pPr>
    </w:p>
    <w:p>
      <w:pPr>
        <w:pStyle w:val="BodyText"/>
        <w:ind w:left="1024" w:right="505"/>
      </w:pPr>
      <w:r>
        <w:rPr/>
        <w:t>Moreover, the adoption of a monetary regime which produced low and stable inflation has not damaged growth in output and employment. Since the end of 1992 output has grown at an average annual rate of 2.8%, well above the post-war average. More significantly, growth was more stable, with a standard deviation less than one-half</w:t>
      </w:r>
    </w:p>
    <w:p>
      <w:pPr>
        <w:pStyle w:val="BodyText"/>
        <w:spacing w:before="1"/>
        <w:ind w:left="1024" w:right="737"/>
      </w:pPr>
      <w:r>
        <w:rPr/>
        <w:t>that of output growth in earlier post-war decades. And unemployment, as measured by the Labour Force Survey, has fallen from 10.7% at its peak in 1993 to a current level of 6.3%.</w:t>
      </w:r>
    </w:p>
    <w:p>
      <w:pPr>
        <w:pStyle w:val="BodyText"/>
        <w:spacing w:before="11"/>
        <w:rPr>
          <w:sz w:val="23"/>
        </w:rPr>
      </w:pPr>
    </w:p>
    <w:p>
      <w:pPr>
        <w:pStyle w:val="BodyText"/>
        <w:ind w:left="1024" w:right="538"/>
      </w:pPr>
      <w:r>
        <w:rPr/>
        <w:t>So since the inflation target was adopted inflation has been lower, and growth as high, as in any post-war decade, and both have been more stable. And total output in the economy has now increased for 27 consecutive quarters, the longest period of uninterrupted growth since the Second World War.</w:t>
      </w:r>
    </w:p>
    <w:p>
      <w:pPr>
        <w:pStyle w:val="BodyText"/>
        <w:spacing w:before="9"/>
        <w:rPr>
          <w:sz w:val="23"/>
        </w:rPr>
      </w:pPr>
    </w:p>
    <w:p>
      <w:pPr>
        <w:pStyle w:val="BodyText"/>
        <w:ind w:left="1024" w:right="541"/>
      </w:pPr>
      <w:r>
        <w:rPr/>
        <w:t>Part </w:t>
      </w:r>
      <w:r>
        <w:rPr>
          <w:spacing w:val="2"/>
        </w:rPr>
        <w:t>of </w:t>
      </w:r>
      <w:r>
        <w:rPr/>
        <w:t>the credit for this improvement in UK macroeconomic performance belongs </w:t>
      </w:r>
      <w:r>
        <w:rPr>
          <w:spacing w:val="3"/>
        </w:rPr>
        <w:t>to </w:t>
      </w:r>
      <w:r>
        <w:rPr/>
        <w:t>the policy framework (both pre- and post-MPC), and part was the result </w:t>
      </w:r>
      <w:r>
        <w:rPr>
          <w:spacing w:val="2"/>
        </w:rPr>
        <w:t>of </w:t>
      </w:r>
      <w:r>
        <w:rPr/>
        <w:t>favourable economic circumstances. From 1992 </w:t>
      </w:r>
      <w:r>
        <w:rPr>
          <w:spacing w:val="2"/>
        </w:rPr>
        <w:t>to </w:t>
      </w:r>
      <w:r>
        <w:rPr/>
        <w:t>1996, the ability </w:t>
      </w:r>
      <w:r>
        <w:rPr>
          <w:spacing w:val="2"/>
        </w:rPr>
        <w:t>to </w:t>
      </w:r>
      <w:r>
        <w:rPr/>
        <w:t>grow at above trend rates without</w:t>
      </w:r>
      <w:r>
        <w:rPr>
          <w:spacing w:val="-1"/>
        </w:rPr>
        <w:t> </w:t>
      </w:r>
      <w:r>
        <w:rPr/>
        <w:t>an</w:t>
      </w:r>
      <w:r>
        <w:rPr>
          <w:spacing w:val="-6"/>
        </w:rPr>
        <w:t> </w:t>
      </w:r>
      <w:r>
        <w:rPr/>
        <w:t>increase</w:t>
      </w:r>
      <w:r>
        <w:rPr>
          <w:spacing w:val="-5"/>
        </w:rPr>
        <w:t> </w:t>
      </w:r>
      <w:r>
        <w:rPr/>
        <w:t>in</w:t>
      </w:r>
      <w:r>
        <w:rPr>
          <w:spacing w:val="-6"/>
        </w:rPr>
        <w:t> </w:t>
      </w:r>
      <w:r>
        <w:rPr/>
        <w:t>inflationary</w:t>
      </w:r>
      <w:r>
        <w:rPr>
          <w:spacing w:val="-5"/>
        </w:rPr>
        <w:t> </w:t>
      </w:r>
      <w:r>
        <w:rPr/>
        <w:t>pressure</w:t>
      </w:r>
      <w:r>
        <w:rPr>
          <w:spacing w:val="-6"/>
        </w:rPr>
        <w:t> </w:t>
      </w:r>
      <w:r>
        <w:rPr/>
        <w:t>was</w:t>
      </w:r>
      <w:r>
        <w:rPr>
          <w:spacing w:val="-5"/>
        </w:rPr>
        <w:t> </w:t>
      </w:r>
      <w:r>
        <w:rPr/>
        <w:t>made</w:t>
      </w:r>
      <w:r>
        <w:rPr>
          <w:spacing w:val="-6"/>
        </w:rPr>
        <w:t> </w:t>
      </w:r>
      <w:r>
        <w:rPr/>
        <w:t>possible</w:t>
      </w:r>
      <w:r>
        <w:rPr>
          <w:spacing w:val="-5"/>
        </w:rPr>
        <w:t> </w:t>
      </w:r>
      <w:r>
        <w:rPr/>
        <w:t>by</w:t>
      </w:r>
      <w:r>
        <w:rPr>
          <w:spacing w:val="-6"/>
        </w:rPr>
        <w:t> </w:t>
      </w:r>
      <w:r>
        <w:rPr/>
        <w:t>using</w:t>
      </w:r>
      <w:r>
        <w:rPr>
          <w:spacing w:val="-5"/>
        </w:rPr>
        <w:t> </w:t>
      </w:r>
      <w:r>
        <w:rPr/>
        <w:t>up</w:t>
      </w:r>
      <w:r>
        <w:rPr>
          <w:spacing w:val="-5"/>
        </w:rPr>
        <w:t> </w:t>
      </w:r>
      <w:r>
        <w:rPr/>
        <w:t>the</w:t>
      </w:r>
      <w:r>
        <w:rPr>
          <w:spacing w:val="-6"/>
        </w:rPr>
        <w:t> </w:t>
      </w:r>
      <w:r>
        <w:rPr/>
        <w:t>margin </w:t>
      </w:r>
      <w:r>
        <w:rPr>
          <w:spacing w:val="2"/>
        </w:rPr>
        <w:t>of </w:t>
      </w:r>
      <w:r>
        <w:rPr/>
        <w:t>spare capacity created by the deep recession </w:t>
      </w:r>
      <w:r>
        <w:rPr>
          <w:spacing w:val="2"/>
        </w:rPr>
        <w:t>of </w:t>
      </w:r>
      <w:r>
        <w:rPr/>
        <w:t>the early 1990s. After 1996, inflationary pressures were contained by lower commodity and </w:t>
      </w:r>
      <w:r>
        <w:rPr>
          <w:spacing w:val="4"/>
        </w:rPr>
        <w:t>other </w:t>
      </w:r>
      <w:r>
        <w:rPr/>
        <w:t>world prices, and the impact </w:t>
      </w:r>
      <w:r>
        <w:rPr>
          <w:spacing w:val="2"/>
        </w:rPr>
        <w:t>of </w:t>
      </w:r>
      <w:r>
        <w:rPr/>
        <w:t>a sharp appreciation </w:t>
      </w:r>
      <w:r>
        <w:rPr>
          <w:spacing w:val="2"/>
        </w:rPr>
        <w:t>of </w:t>
      </w:r>
      <w:r>
        <w:rPr/>
        <w:t>sterling. </w:t>
      </w:r>
      <w:r>
        <w:rPr>
          <w:spacing w:val="2"/>
        </w:rPr>
        <w:t>These </w:t>
      </w:r>
      <w:r>
        <w:rPr/>
        <w:t>developments have had a significant impact </w:t>
      </w:r>
      <w:r>
        <w:rPr>
          <w:spacing w:val="3"/>
        </w:rPr>
        <w:t>on </w:t>
      </w:r>
      <w:r>
        <w:rPr/>
        <w:t>inflation. And they were largely unpredicted. So, although monetary policy has faced some difficult choices </w:t>
      </w:r>
      <w:r>
        <w:rPr>
          <w:spacing w:val="3"/>
        </w:rPr>
        <w:t>over </w:t>
      </w:r>
      <w:r>
        <w:rPr/>
        <w:t>the past two years, it has benefited from an unexpected downward movement in imported inflation. These external influences have </w:t>
      </w:r>
      <w:r>
        <w:rPr>
          <w:spacing w:val="5"/>
        </w:rPr>
        <w:t>offset </w:t>
      </w:r>
      <w:r>
        <w:rPr/>
        <w:t>a much higher level </w:t>
      </w:r>
      <w:r>
        <w:rPr>
          <w:spacing w:val="3"/>
        </w:rPr>
        <w:t>of </w:t>
      </w:r>
      <w:r>
        <w:rPr/>
        <w:t>domestically </w:t>
      </w:r>
      <w:r>
        <w:rPr>
          <w:spacing w:val="2"/>
        </w:rPr>
        <w:t>generated </w:t>
      </w:r>
      <w:r>
        <w:rPr/>
        <w:t>inflation. Despite that, inflation has been above the target more </w:t>
      </w:r>
      <w:r>
        <w:rPr>
          <w:spacing w:val="4"/>
        </w:rPr>
        <w:t>often </w:t>
      </w:r>
      <w:r>
        <w:rPr/>
        <w:t>than it has been below – in fact, it has been below the target in </w:t>
      </w:r>
      <w:r>
        <w:rPr>
          <w:spacing w:val="3"/>
        </w:rPr>
        <w:t>only one </w:t>
      </w:r>
      <w:r>
        <w:rPr/>
        <w:t>month so far since the MPC was set up. As the benign effects </w:t>
      </w:r>
      <w:r>
        <w:rPr>
          <w:spacing w:val="3"/>
        </w:rPr>
        <w:t>of </w:t>
      </w:r>
      <w:r>
        <w:rPr/>
        <w:t>those temporary external influences </w:t>
      </w:r>
      <w:r>
        <w:rPr>
          <w:spacing w:val="3"/>
        </w:rPr>
        <w:t>on </w:t>
      </w:r>
      <w:r>
        <w:rPr/>
        <w:t>inflation start</w:t>
      </w:r>
      <w:r>
        <w:rPr>
          <w:spacing w:val="-1"/>
        </w:rPr>
        <w:t> </w:t>
      </w:r>
      <w:r>
        <w:rPr>
          <w:spacing w:val="3"/>
        </w:rPr>
        <w:t>to</w:t>
      </w:r>
      <w:r>
        <w:rPr>
          <w:spacing w:val="-1"/>
        </w:rPr>
        <w:t> </w:t>
      </w:r>
      <w:r>
        <w:rPr/>
        <w:t>wear</w:t>
      </w:r>
      <w:r>
        <w:rPr>
          <w:spacing w:val="-5"/>
        </w:rPr>
        <w:t> </w:t>
      </w:r>
      <w:r>
        <w:rPr>
          <w:spacing w:val="4"/>
        </w:rPr>
        <w:t>off,</w:t>
      </w:r>
      <w:r>
        <w:rPr/>
        <w:t> the</w:t>
      </w:r>
      <w:r>
        <w:rPr>
          <w:spacing w:val="-5"/>
        </w:rPr>
        <w:t> </w:t>
      </w:r>
      <w:r>
        <w:rPr/>
        <w:t>challenges</w:t>
      </w:r>
      <w:r>
        <w:rPr>
          <w:spacing w:val="-5"/>
        </w:rPr>
        <w:t> </w:t>
      </w:r>
      <w:r>
        <w:rPr/>
        <w:t>facing</w:t>
      </w:r>
      <w:r>
        <w:rPr>
          <w:spacing w:val="-5"/>
        </w:rPr>
        <w:t> </w:t>
      </w:r>
      <w:r>
        <w:rPr/>
        <w:t>the</w:t>
      </w:r>
      <w:r>
        <w:rPr>
          <w:spacing w:val="-5"/>
        </w:rPr>
        <w:t> </w:t>
      </w:r>
      <w:r>
        <w:rPr/>
        <w:t>MPC</w:t>
      </w:r>
      <w:r>
        <w:rPr>
          <w:spacing w:val="-5"/>
        </w:rPr>
        <w:t> </w:t>
      </w:r>
      <w:r>
        <w:rPr/>
        <w:t>will</w:t>
      </w:r>
      <w:r>
        <w:rPr>
          <w:spacing w:val="-5"/>
        </w:rPr>
        <w:t> </w:t>
      </w:r>
      <w:r>
        <w:rPr/>
        <w:t>become,</w:t>
      </w:r>
      <w:r>
        <w:rPr>
          <w:spacing w:val="-5"/>
        </w:rPr>
        <w:t> </w:t>
      </w:r>
      <w:r>
        <w:rPr/>
        <w:t>if</w:t>
      </w:r>
      <w:r>
        <w:rPr>
          <w:spacing w:val="-5"/>
        </w:rPr>
        <w:t> </w:t>
      </w:r>
      <w:r>
        <w:rPr/>
        <w:t>anything,</w:t>
      </w:r>
      <w:r>
        <w:rPr>
          <w:spacing w:val="-5"/>
        </w:rPr>
        <w:t> </w:t>
      </w:r>
      <w:r>
        <w:rPr/>
        <w:t>even</w:t>
      </w:r>
      <w:r>
        <w:rPr>
          <w:spacing w:val="-5"/>
        </w:rPr>
        <w:t> </w:t>
      </w:r>
      <w:r>
        <w:rPr/>
        <w:t>greater than those in its first two</w:t>
      </w:r>
      <w:r>
        <w:rPr>
          <w:spacing w:val="24"/>
        </w:rPr>
        <w:t> </w:t>
      </w:r>
      <w:r>
        <w:rPr/>
        <w:t>years.</w:t>
      </w:r>
    </w:p>
    <w:p>
      <w:pPr>
        <w:pStyle w:val="BodyText"/>
        <w:spacing w:before="3"/>
      </w:pPr>
    </w:p>
    <w:p>
      <w:pPr>
        <w:pStyle w:val="BodyText"/>
        <w:ind w:left="1024" w:right="551"/>
      </w:pPr>
      <w:r>
        <w:rPr/>
        <w:t>If the time lags in the monetary transmission process mean that it is too early to judge the MPC on its inflation track record, then what other criteria for assessing its performance might be relevant? One measure would be expectations of future inflation. Following Gordon Brown’s announcement of Bank independence on 6 May 1997, inflation expectations in financial markets fell sharply. Chart 2 shows the expected inflation rate at different horizons implied by yields on conventional and index-linked government bonds. These expectations fell by about 0.5 percentage points on the day of the announcement. Since then inflation expectations have fallen further. Chart 3 shows the way in which two particular measures of inflation expectations have evolved since May 1997. The first of these measures is the expectation of inflation ten years ahead implied by bond market yields. The second is a Consensus Economics average of the expectations of inflation five years ahead held by economic forecasters. Since 1997, inflation expectations on both measures have steadily fallen towards the target, and the economic forecasters’ expectation has now become firmly anchored on the target. The bond market measure has risen somewhat in recent months, although this reflects unusually low real yields on index-linked debt</w:t>
      </w:r>
    </w:p>
    <w:p>
      <w:pPr>
        <w:spacing w:after="0"/>
        <w:sectPr>
          <w:pgSz w:w="11900" w:h="16840"/>
          <w:pgMar w:header="714" w:footer="0" w:top="1200" w:bottom="280" w:left="780" w:right="1260"/>
        </w:sectPr>
      </w:pPr>
    </w:p>
    <w:p>
      <w:pPr>
        <w:pStyle w:val="BodyText"/>
        <w:spacing w:before="10"/>
        <w:rPr>
          <w:sz w:val="12"/>
        </w:rPr>
      </w:pPr>
    </w:p>
    <w:p>
      <w:pPr>
        <w:pStyle w:val="BodyText"/>
        <w:spacing w:line="242" w:lineRule="auto" w:before="90"/>
        <w:ind w:left="1024" w:right="582"/>
      </w:pPr>
      <w:r>
        <w:rPr/>
        <w:t>following the introduction of the minimum funding requirement for UK pension funds.</w:t>
      </w:r>
    </w:p>
    <w:p>
      <w:pPr>
        <w:pStyle w:val="BodyText"/>
        <w:spacing w:before="8"/>
        <w:rPr>
          <w:sz w:val="23"/>
        </w:rPr>
      </w:pPr>
    </w:p>
    <w:p>
      <w:pPr>
        <w:pStyle w:val="BodyText"/>
        <w:ind w:left="1024" w:right="505"/>
      </w:pPr>
      <w:r>
        <w:rPr/>
        <w:t>Does this fall in inflation expectations matter? The simple answer is yes. If the MPC can anchor inflation expectations on the target, then unexpected movements in inflation will not immediately lead wage bargainers or price-setters to change their view of where inflation is headed and hence will help make less likely the inflationary spirals of the past. Both inflation and output should be less volatile as a result.</w:t>
      </w:r>
    </w:p>
    <w:p>
      <w:pPr>
        <w:pStyle w:val="BodyText"/>
      </w:pPr>
    </w:p>
    <w:p>
      <w:pPr>
        <w:pStyle w:val="BodyText"/>
        <w:spacing w:before="1"/>
        <w:ind w:left="1024" w:right="612"/>
      </w:pPr>
      <w:r>
        <w:rPr/>
        <w:t>But there is also another, albeit </w:t>
      </w:r>
      <w:r>
        <w:rPr>
          <w:spacing w:val="5"/>
        </w:rPr>
        <w:t>one-off, </w:t>
      </w:r>
      <w:r>
        <w:rPr/>
        <w:t>benefit from the new-found credibility </w:t>
      </w:r>
      <w:r>
        <w:rPr>
          <w:spacing w:val="3"/>
        </w:rPr>
        <w:t>of </w:t>
      </w:r>
      <w:r>
        <w:rPr/>
        <w:t>policy and the subsequent reduction in inflation expectations. Over the past two years, inflation has been close </w:t>
      </w:r>
      <w:r>
        <w:rPr>
          <w:spacing w:val="3"/>
        </w:rPr>
        <w:t>to </w:t>
      </w:r>
      <w:r>
        <w:rPr/>
        <w:t>2.5%. If inflation expectations had not themselves converged </w:t>
      </w:r>
      <w:r>
        <w:rPr>
          <w:spacing w:val="2"/>
        </w:rPr>
        <w:t>on </w:t>
      </w:r>
      <w:r>
        <w:rPr/>
        <w:t>the target, then inflation would have been lower than expected. Why does this matter? Suppose wage bargains are struck </w:t>
      </w:r>
      <w:r>
        <w:rPr>
          <w:spacing w:val="2"/>
        </w:rPr>
        <w:t>on </w:t>
      </w:r>
      <w:r>
        <w:rPr/>
        <w:t>the assumption that inflation will be 3 per cent, but prices in fact rise by 2.5 per cent. Real wages will be higher than either employers and employees expect, and employment – the demand for labour – will fall. An unexpected fall in inflation lowers both </w:t>
      </w:r>
      <w:r>
        <w:rPr>
          <w:spacing w:val="5"/>
        </w:rPr>
        <w:t>output </w:t>
      </w:r>
      <w:r>
        <w:rPr/>
        <w:t>and employment. So by bringing inflation expectations down towards actual inflation, </w:t>
      </w:r>
      <w:r>
        <w:rPr>
          <w:spacing w:val="2"/>
        </w:rPr>
        <w:t>the </w:t>
      </w:r>
      <w:r>
        <w:rPr/>
        <w:t>new monetary policy framework has probably led </w:t>
      </w:r>
      <w:r>
        <w:rPr>
          <w:spacing w:val="3"/>
        </w:rPr>
        <w:t>to </w:t>
      </w:r>
      <w:r>
        <w:rPr/>
        <w:t>higher </w:t>
      </w:r>
      <w:r>
        <w:rPr>
          <w:spacing w:val="4"/>
        </w:rPr>
        <w:t>output </w:t>
      </w:r>
      <w:r>
        <w:rPr/>
        <w:t>and lower unemployment than might </w:t>
      </w:r>
      <w:r>
        <w:rPr>
          <w:spacing w:val="5"/>
        </w:rPr>
        <w:t>otherwise </w:t>
      </w:r>
      <w:r>
        <w:rPr/>
        <w:t>have </w:t>
      </w:r>
      <w:r>
        <w:rPr>
          <w:spacing w:val="5"/>
        </w:rPr>
        <w:t>occurred. </w:t>
      </w:r>
      <w:r>
        <w:rPr/>
        <w:t>We might call these benefits a “credibility windfall”. It is extremely difficult, if not impossible, </w:t>
      </w:r>
      <w:r>
        <w:rPr>
          <w:spacing w:val="3"/>
        </w:rPr>
        <w:t>to </w:t>
      </w:r>
      <w:r>
        <w:rPr/>
        <w:t>know how large that windfall might have been. But even a windfall </w:t>
      </w:r>
      <w:r>
        <w:rPr>
          <w:spacing w:val="3"/>
        </w:rPr>
        <w:t>of </w:t>
      </w:r>
      <w:r>
        <w:rPr/>
        <w:t>0.1 percentage points </w:t>
      </w:r>
      <w:r>
        <w:rPr>
          <w:spacing w:val="3"/>
        </w:rPr>
        <w:t>of </w:t>
      </w:r>
      <w:r>
        <w:rPr/>
        <w:t>GDP is a sizeable amount. Of course, somebody might very well point </w:t>
      </w:r>
      <w:r>
        <w:rPr>
          <w:spacing w:val="3"/>
        </w:rPr>
        <w:t>out </w:t>
      </w:r>
      <w:r>
        <w:rPr/>
        <w:t>that we could have </w:t>
      </w:r>
      <w:r>
        <w:rPr>
          <w:spacing w:val="2"/>
        </w:rPr>
        <w:t>reaped </w:t>
      </w:r>
      <w:r>
        <w:rPr/>
        <w:t>this same “windfall” by allowing inflation </w:t>
      </w:r>
      <w:r>
        <w:rPr>
          <w:spacing w:val="3"/>
        </w:rPr>
        <w:t>to </w:t>
      </w:r>
      <w:r>
        <w:rPr>
          <w:spacing w:val="2"/>
        </w:rPr>
        <w:t>rise </w:t>
      </w:r>
      <w:r>
        <w:rPr>
          <w:spacing w:val="3"/>
        </w:rPr>
        <w:t>to </w:t>
      </w:r>
      <w:r>
        <w:rPr/>
        <w:t>match the higher inflation expectations. But that would be inconsistent with aiming </w:t>
      </w:r>
      <w:r>
        <w:rPr>
          <w:spacing w:val="3"/>
        </w:rPr>
        <w:t>to </w:t>
      </w:r>
      <w:r>
        <w:rPr/>
        <w:t>hit the inflation target, and might well have led </w:t>
      </w:r>
      <w:r>
        <w:rPr>
          <w:spacing w:val="2"/>
        </w:rPr>
        <w:t>to </w:t>
      </w:r>
      <w:r>
        <w:rPr/>
        <w:t>a further ratcheting-up </w:t>
      </w:r>
      <w:r>
        <w:rPr>
          <w:spacing w:val="2"/>
        </w:rPr>
        <w:t>of </w:t>
      </w:r>
      <w:r>
        <w:rPr/>
        <w:t>inflation expectations. It would have lost us all the benefits that low and stable inflation</w:t>
      </w:r>
      <w:r>
        <w:rPr>
          <w:spacing w:val="16"/>
        </w:rPr>
        <w:t> </w:t>
      </w:r>
      <w:r>
        <w:rPr/>
        <w:t>brings.</w:t>
      </w:r>
    </w:p>
    <w:p>
      <w:pPr>
        <w:pStyle w:val="BodyText"/>
        <w:spacing w:before="2"/>
      </w:pPr>
    </w:p>
    <w:p>
      <w:pPr>
        <w:pStyle w:val="Heading3"/>
        <w:numPr>
          <w:ilvl w:val="0"/>
          <w:numId w:val="1"/>
        </w:numPr>
        <w:tabs>
          <w:tab w:pos="1744" w:val="left" w:leader="none"/>
          <w:tab w:pos="1745" w:val="left" w:leader="none"/>
        </w:tabs>
        <w:spacing w:line="240" w:lineRule="auto" w:before="0" w:after="0"/>
        <w:ind w:left="1744" w:right="0" w:hanging="721"/>
        <w:jc w:val="left"/>
      </w:pPr>
      <w:r>
        <w:rPr/>
        <w:t>What has the MPC learnt in the past two</w:t>
      </w:r>
      <w:r>
        <w:rPr>
          <w:spacing w:val="-2"/>
        </w:rPr>
        <w:t> </w:t>
      </w:r>
      <w:r>
        <w:rPr/>
        <w:t>years?</w:t>
      </w:r>
    </w:p>
    <w:p>
      <w:pPr>
        <w:pStyle w:val="BodyText"/>
        <w:spacing w:before="7"/>
        <w:rPr>
          <w:b/>
          <w:sz w:val="23"/>
        </w:rPr>
      </w:pPr>
    </w:p>
    <w:p>
      <w:pPr>
        <w:pStyle w:val="BodyText"/>
        <w:ind w:left="1024" w:right="545"/>
      </w:pPr>
      <w:r>
        <w:rPr/>
        <w:t>The first two years </w:t>
      </w:r>
      <w:r>
        <w:rPr>
          <w:spacing w:val="2"/>
        </w:rPr>
        <w:t>of </w:t>
      </w:r>
      <w:r>
        <w:rPr/>
        <w:t>the MPC has been a learning process for all concerned, both the members </w:t>
      </w:r>
      <w:r>
        <w:rPr>
          <w:spacing w:val="2"/>
        </w:rPr>
        <w:t>of </w:t>
      </w:r>
      <w:r>
        <w:rPr/>
        <w:t>the MPC and those </w:t>
      </w:r>
      <w:r>
        <w:rPr>
          <w:spacing w:val="4"/>
        </w:rPr>
        <w:t>outside </w:t>
      </w:r>
      <w:r>
        <w:rPr/>
        <w:t>who </w:t>
      </w:r>
      <w:r>
        <w:rPr>
          <w:spacing w:val="4"/>
        </w:rPr>
        <w:t>observe </w:t>
      </w:r>
      <w:r>
        <w:rPr/>
        <w:t>and comment </w:t>
      </w:r>
      <w:r>
        <w:rPr>
          <w:spacing w:val="2"/>
        </w:rPr>
        <w:t>on </w:t>
      </w:r>
      <w:r>
        <w:rPr/>
        <w:t>its actions. We have learnt from experience and made changes where necessary. For example, the minutes </w:t>
      </w:r>
      <w:r>
        <w:rPr>
          <w:spacing w:val="2"/>
        </w:rPr>
        <w:t>of </w:t>
      </w:r>
      <w:r>
        <w:rPr/>
        <w:t>MPC meetings are now published after two rather than six weeks. </w:t>
      </w:r>
      <w:r>
        <w:rPr>
          <w:spacing w:val="2"/>
        </w:rPr>
        <w:t>The </w:t>
      </w:r>
      <w:r>
        <w:rPr/>
        <w:t>additional delay created unnecessary speculation about the issues </w:t>
      </w:r>
      <w:r>
        <w:rPr>
          <w:spacing w:val="3"/>
        </w:rPr>
        <w:t>on </w:t>
      </w:r>
      <w:r>
        <w:rPr/>
        <w:t>the minds </w:t>
      </w:r>
      <w:r>
        <w:rPr>
          <w:spacing w:val="3"/>
        </w:rPr>
        <w:t>of </w:t>
      </w:r>
      <w:r>
        <w:rPr/>
        <w:t>MPC members, and made it difficult for us </w:t>
      </w:r>
      <w:r>
        <w:rPr>
          <w:spacing w:val="3"/>
        </w:rPr>
        <w:t>to </w:t>
      </w:r>
      <w:r>
        <w:rPr/>
        <w:t>explain </w:t>
      </w:r>
      <w:r>
        <w:rPr>
          <w:spacing w:val="3"/>
        </w:rPr>
        <w:t>our </w:t>
      </w:r>
      <w:r>
        <w:rPr/>
        <w:t>actions – for example, </w:t>
      </w:r>
      <w:r>
        <w:rPr>
          <w:spacing w:val="3"/>
        </w:rPr>
        <w:t>to </w:t>
      </w:r>
      <w:r>
        <w:rPr/>
        <w:t>the Treasury Select Committee – when </w:t>
      </w:r>
      <w:r>
        <w:rPr>
          <w:spacing w:val="3"/>
        </w:rPr>
        <w:t>our </w:t>
      </w:r>
      <w:r>
        <w:rPr/>
        <w:t>decisions had moved </w:t>
      </w:r>
      <w:r>
        <w:rPr>
          <w:spacing w:val="2"/>
        </w:rPr>
        <w:t>on </w:t>
      </w:r>
      <w:r>
        <w:rPr/>
        <w:t>from those described in the most recent minutes. So we decided </w:t>
      </w:r>
      <w:r>
        <w:rPr>
          <w:spacing w:val="3"/>
        </w:rPr>
        <w:t>to </w:t>
      </w:r>
      <w:r>
        <w:rPr/>
        <w:t>accelerate</w:t>
      </w:r>
      <w:r>
        <w:rPr>
          <w:spacing w:val="-17"/>
        </w:rPr>
        <w:t> </w:t>
      </w:r>
      <w:r>
        <w:rPr/>
        <w:t>publication.</w:t>
      </w:r>
    </w:p>
    <w:p>
      <w:pPr>
        <w:pStyle w:val="BodyText"/>
        <w:spacing w:before="3"/>
      </w:pPr>
    </w:p>
    <w:p>
      <w:pPr>
        <w:pStyle w:val="BodyText"/>
        <w:ind w:left="1024" w:right="578"/>
      </w:pPr>
      <w:r>
        <w:rPr/>
        <w:t>I would like to focus on two main lessons from the first two years. The first is the crucial importance of a symmetric inflation target. The second concerns how to manage a process in which the group has a common objective but in which individual members are held personally accountable for their decisions.</w:t>
      </w:r>
    </w:p>
    <w:p>
      <w:pPr>
        <w:pStyle w:val="BodyText"/>
        <w:rPr>
          <w:sz w:val="26"/>
        </w:rPr>
      </w:pPr>
    </w:p>
    <w:p>
      <w:pPr>
        <w:pStyle w:val="BodyText"/>
        <w:rPr>
          <w:sz w:val="22"/>
        </w:rPr>
      </w:pPr>
    </w:p>
    <w:p>
      <w:pPr>
        <w:spacing w:before="0"/>
        <w:ind w:left="1024" w:right="0" w:firstLine="0"/>
        <w:jc w:val="left"/>
        <w:rPr>
          <w:i/>
          <w:sz w:val="24"/>
        </w:rPr>
      </w:pPr>
      <w:r>
        <w:rPr>
          <w:i/>
          <w:sz w:val="24"/>
        </w:rPr>
        <w:t>Symmetry of the target</w:t>
      </w:r>
    </w:p>
    <w:p>
      <w:pPr>
        <w:pStyle w:val="BodyText"/>
        <w:spacing w:before="2"/>
        <w:rPr>
          <w:i/>
        </w:rPr>
      </w:pPr>
    </w:p>
    <w:p>
      <w:pPr>
        <w:pStyle w:val="BodyText"/>
        <w:spacing w:line="237" w:lineRule="auto"/>
        <w:ind w:left="1024" w:right="664"/>
      </w:pPr>
      <w:r>
        <w:rPr/>
        <w:t>The inflation target which the Chancellor has given to the MPC is a simple point target for RPIX inflation of 2</w:t>
      </w:r>
      <w:r>
        <w:rPr>
          <w:rFonts w:ascii="Gill Sans MT" w:hAnsi="Gill Sans MT"/>
        </w:rPr>
        <w:t>2 </w:t>
      </w:r>
      <w:r>
        <w:rPr/>
        <w:t>%. Prior to May 1997, the inflation target was 2</w:t>
      </w:r>
      <w:r>
        <w:rPr>
          <w:rFonts w:ascii="Gill Sans MT" w:hAnsi="Gill Sans MT"/>
        </w:rPr>
        <w:t>2 </w:t>
      </w:r>
      <w:r>
        <w:rPr/>
        <w:t>% or less. The meaning of those words “or less” was never entirely clear. Rarely in the</w:t>
      </w:r>
    </w:p>
    <w:p>
      <w:pPr>
        <w:spacing w:after="0" w:line="237" w:lineRule="auto"/>
        <w:sectPr>
          <w:pgSz w:w="11900" w:h="16840"/>
          <w:pgMar w:header="714" w:footer="0" w:top="1200" w:bottom="280" w:left="780" w:right="1260"/>
        </w:sectPr>
      </w:pPr>
    </w:p>
    <w:p>
      <w:pPr>
        <w:pStyle w:val="BodyText"/>
        <w:spacing w:before="10"/>
        <w:rPr>
          <w:sz w:val="12"/>
        </w:rPr>
      </w:pPr>
    </w:p>
    <w:p>
      <w:pPr>
        <w:pStyle w:val="BodyText"/>
        <w:spacing w:before="90"/>
        <w:ind w:left="1024" w:right="558"/>
      </w:pPr>
      <w:r>
        <w:rPr/>
        <w:t>history of economic policy have so few words caused so much confusion to so many economic commentators. Moving to a symmetric point target has removed any ambiguity as to the objectives of the MPC. That is important because the rationale for handing operational responsibility for setting interest rates to the MPC is that it is better qualified to make those decisions than elected politicians, whereas elected politicians have the democratic legitimacy to choose the target.</w:t>
      </w:r>
    </w:p>
    <w:p>
      <w:pPr>
        <w:pStyle w:val="BodyText"/>
        <w:spacing w:before="2"/>
      </w:pPr>
    </w:p>
    <w:p>
      <w:pPr>
        <w:pStyle w:val="BodyText"/>
        <w:spacing w:before="1"/>
        <w:ind w:left="1024" w:right="582"/>
      </w:pPr>
      <w:r>
        <w:rPr/>
        <w:t>A symmetric inflation target should also make it easier for people to understand how the MPC is likely to react to the different types of shock that may hit the economy from time to time. In more technical language, the MPC’s policy reaction function should be predictable. When an unexpected shock moves inflation away from the target, it may not always be sensible, or indeed feasible, for the MPC to return inflation to the target level immediately. Shocks stay in the twelve-month increase of the RPIX index for at least twelve months. To offset the impact of a shock on RPIX inflation in less than a year or so might imply undesirable volatility in output.</w:t>
      </w:r>
    </w:p>
    <w:p>
      <w:pPr>
        <w:pStyle w:val="BodyText"/>
        <w:spacing w:before="9"/>
        <w:rPr>
          <w:sz w:val="23"/>
        </w:rPr>
      </w:pPr>
    </w:p>
    <w:p>
      <w:pPr>
        <w:pStyle w:val="BodyText"/>
        <w:ind w:left="1024" w:right="582"/>
      </w:pPr>
      <w:r>
        <w:rPr/>
        <w:t>Hence the MPC has been given “constrained discretion” concerning the horizon over which it tries to bring inflation back to the target level. The appropriate horizon depends, in general, on the type and persistence of the shock. There is no simple rule to determine the appropriate horizon. It depends on the nature of the shocks. That is why the MPC spends so much time trying to unravel recent economic history. On average, since shocks may take several months to have their full effect, a horizon of about two years is a reasonable one over which to bring inflation back to its target.</w:t>
      </w:r>
    </w:p>
    <w:p>
      <w:pPr>
        <w:pStyle w:val="BodyText"/>
        <w:spacing w:before="2"/>
        <w:ind w:left="1024" w:right="582"/>
      </w:pPr>
      <w:r>
        <w:rPr/>
        <w:t>But if shocks are sufficiently large – in either direction – then it may be sensible to aim to bring inflation back to the target level over a somewhat different horizon. In such circumstances, the MPC would make that clear both in the minutes of its meetings and in the Inflation Report, and, if required, in an open letter to the Chancellor.</w:t>
      </w:r>
    </w:p>
    <w:p>
      <w:pPr>
        <w:pStyle w:val="BodyText"/>
      </w:pPr>
    </w:p>
    <w:p>
      <w:pPr>
        <w:spacing w:before="1"/>
        <w:ind w:left="1024" w:right="0" w:firstLine="0"/>
        <w:jc w:val="left"/>
        <w:rPr>
          <w:i/>
          <w:sz w:val="24"/>
        </w:rPr>
      </w:pPr>
      <w:r>
        <w:rPr>
          <w:i/>
          <w:sz w:val="24"/>
        </w:rPr>
        <w:t>Common objectives versus individual accountability</w:t>
      </w:r>
    </w:p>
    <w:p>
      <w:pPr>
        <w:pStyle w:val="BodyText"/>
        <w:spacing w:before="11"/>
        <w:rPr>
          <w:i/>
          <w:sz w:val="23"/>
        </w:rPr>
      </w:pPr>
    </w:p>
    <w:p>
      <w:pPr>
        <w:pStyle w:val="BodyText"/>
        <w:ind w:left="1024" w:right="504"/>
      </w:pPr>
      <w:r>
        <w:rPr/>
        <w:t>During its first two years, the MPC has had to develop a modus vivendi to manage the potential tension between operating as a team with a common objective, on the one hand, and the requirement for individual accountability of its members, on the other. The Committee as a whole needs to explain its view of where the economy is heading. The Inflation Report has been the main vehicle for expressing the collective view of the Committee. Together with the minutes of the monthly meetings, it provides an explanation of past actions which should enable others to understand how we are likely to behave in the future.</w:t>
      </w:r>
    </w:p>
    <w:p>
      <w:pPr>
        <w:pStyle w:val="BodyText"/>
        <w:spacing w:before="9"/>
        <w:rPr>
          <w:sz w:val="23"/>
        </w:rPr>
      </w:pPr>
    </w:p>
    <w:p>
      <w:pPr>
        <w:pStyle w:val="BodyText"/>
        <w:ind w:left="1024" w:right="505"/>
      </w:pPr>
      <w:r>
        <w:rPr/>
        <w:t>At the same time, the voting records of individual members of the MPC are in the public domain. That disclosure improves the quality of decisions, as well as the accountability of Committee members, because there is no better incentive to cast one’s vote for the policy most likely to hit the inflation target than the prospect of having to defend that voting record in public. Of course, all members of the MPC are well aware that there is no certainty about the precise level of interest rates which is desirable in any given month. That is why we discuss with each other at great length the appropriate course of action before each member makes his or her own mind. For such a system to work it is crucial that MPC members give their best judgment and do not try to reach an artificial consensus. How, then, should we balance the need to</w:t>
      </w:r>
    </w:p>
    <w:p>
      <w:pPr>
        <w:spacing w:after="0"/>
        <w:sectPr>
          <w:pgSz w:w="11900" w:h="16840"/>
          <w:pgMar w:header="714" w:footer="0" w:top="1200" w:bottom="280" w:left="780" w:right="1260"/>
        </w:sectPr>
      </w:pPr>
    </w:p>
    <w:p>
      <w:pPr>
        <w:pStyle w:val="BodyText"/>
        <w:spacing w:before="10"/>
        <w:rPr>
          <w:sz w:val="12"/>
        </w:rPr>
      </w:pPr>
    </w:p>
    <w:p>
      <w:pPr>
        <w:pStyle w:val="BodyText"/>
        <w:spacing w:line="242" w:lineRule="auto" w:before="90"/>
        <w:ind w:left="1024" w:right="1031"/>
      </w:pPr>
      <w:r>
        <w:rPr/>
        <w:t>give a clear view about how the Committee sees economic developments and the requirement of individual accountability?</w:t>
      </w:r>
    </w:p>
    <w:p>
      <w:pPr>
        <w:pStyle w:val="BodyText"/>
        <w:spacing w:before="8"/>
        <w:rPr>
          <w:sz w:val="23"/>
        </w:rPr>
      </w:pPr>
    </w:p>
    <w:p>
      <w:pPr>
        <w:pStyle w:val="BodyText"/>
        <w:ind w:left="1024" w:right="582"/>
      </w:pPr>
      <w:r>
        <w:rPr/>
        <w:t>There have been two main criticisms of the MPC in this respect. First, that the MPC has been too open about differences within it. Second, that the Committee has been not open enough. Let me start with the first criticism. From its first meeting in June 1997 to the end of that year, the Committee were unanimous on all six occasions.</w:t>
      </w:r>
    </w:p>
    <w:p>
      <w:pPr>
        <w:pStyle w:val="BodyText"/>
        <w:spacing w:before="1"/>
        <w:ind w:left="1024" w:right="586"/>
      </w:pPr>
      <w:r>
        <w:rPr/>
        <w:t>Output appeared </w:t>
      </w:r>
      <w:r>
        <w:rPr>
          <w:spacing w:val="2"/>
        </w:rPr>
        <w:t>to </w:t>
      </w:r>
      <w:r>
        <w:rPr/>
        <w:t>be above trend, the labour market was continuing </w:t>
      </w:r>
      <w:r>
        <w:rPr>
          <w:spacing w:val="2"/>
        </w:rPr>
        <w:t>to </w:t>
      </w:r>
      <w:r>
        <w:rPr/>
        <w:t>tighten, and there was a need </w:t>
      </w:r>
      <w:r>
        <w:rPr>
          <w:spacing w:val="2"/>
        </w:rPr>
        <w:t>to </w:t>
      </w:r>
      <w:r>
        <w:rPr/>
        <w:t>slow the growth of domestic demand in </w:t>
      </w:r>
      <w:r>
        <w:rPr>
          <w:spacing w:val="3"/>
        </w:rPr>
        <w:t>order </w:t>
      </w:r>
      <w:r>
        <w:rPr>
          <w:spacing w:val="2"/>
        </w:rPr>
        <w:t>to </w:t>
      </w:r>
      <w:r>
        <w:rPr/>
        <w:t>reduce pressure </w:t>
      </w:r>
      <w:r>
        <w:rPr>
          <w:spacing w:val="2"/>
        </w:rPr>
        <w:t>on </w:t>
      </w:r>
      <w:r>
        <w:rPr/>
        <w:t>supply capacity. Interest rates were raised at each meeting between June and August, and again in November. At that point the Committee was accused </w:t>
      </w:r>
      <w:r>
        <w:rPr>
          <w:spacing w:val="2"/>
        </w:rPr>
        <w:t>of </w:t>
      </w:r>
      <w:r>
        <w:rPr/>
        <w:t>acting like a </w:t>
      </w:r>
      <w:r>
        <w:rPr>
          <w:spacing w:val="-3"/>
        </w:rPr>
        <w:t>“politburo”. </w:t>
      </w:r>
      <w:r>
        <w:rPr/>
        <w:t>But in January 1998 the first disagreement </w:t>
      </w:r>
      <w:r>
        <w:rPr>
          <w:spacing w:val="4"/>
        </w:rPr>
        <w:t>occurred. </w:t>
      </w:r>
      <w:r>
        <w:rPr/>
        <w:t>The Committee voted by five votes </w:t>
      </w:r>
      <w:r>
        <w:rPr>
          <w:spacing w:val="3"/>
        </w:rPr>
        <w:t>to </w:t>
      </w:r>
      <w:r>
        <w:rPr/>
        <w:t>three (the ninth member, John Vickers, did not join the MPC until June </w:t>
      </w:r>
      <w:r>
        <w:rPr>
          <w:spacing w:val="2"/>
        </w:rPr>
        <w:t>of </w:t>
      </w:r>
      <w:r>
        <w:rPr/>
        <w:t>last year) </w:t>
      </w:r>
      <w:r>
        <w:rPr>
          <w:spacing w:val="2"/>
        </w:rPr>
        <w:t>to </w:t>
      </w:r>
      <w:r>
        <w:rPr/>
        <w:t>hold interest rates constant. In February and March the Committee was evenly divided, and the Governor used his casting vote in favour </w:t>
      </w:r>
      <w:r>
        <w:rPr>
          <w:spacing w:val="2"/>
        </w:rPr>
        <w:t>of </w:t>
      </w:r>
      <w:r>
        <w:rPr/>
        <w:t>an unchanged level </w:t>
      </w:r>
      <w:r>
        <w:rPr>
          <w:spacing w:val="2"/>
        </w:rPr>
        <w:t>of </w:t>
      </w:r>
      <w:r>
        <w:rPr/>
        <w:t>interest rates. Disagreements continued and in June the Committee voted 8 </w:t>
      </w:r>
      <w:r>
        <w:rPr>
          <w:spacing w:val="2"/>
        </w:rPr>
        <w:t>to </w:t>
      </w:r>
      <w:r>
        <w:rPr/>
        <w:t>1 </w:t>
      </w:r>
      <w:r>
        <w:rPr>
          <w:spacing w:val="2"/>
        </w:rPr>
        <w:t>to </w:t>
      </w:r>
      <w:r>
        <w:rPr/>
        <w:t>raise interest rates for, as it turned </w:t>
      </w:r>
      <w:r>
        <w:rPr>
          <w:spacing w:val="3"/>
        </w:rPr>
        <w:t>out, </w:t>
      </w:r>
      <w:r>
        <w:rPr/>
        <w:t>the last time in that interest rate cycle. By now, many commentators were disillusioned with the evidence </w:t>
      </w:r>
      <w:r>
        <w:rPr>
          <w:spacing w:val="3"/>
        </w:rPr>
        <w:t>of </w:t>
      </w:r>
      <w:r>
        <w:rPr/>
        <w:t>disagreements within the Committee. If I single </w:t>
      </w:r>
      <w:r>
        <w:rPr>
          <w:spacing w:val="4"/>
        </w:rPr>
        <w:t>out </w:t>
      </w:r>
      <w:r>
        <w:rPr/>
        <w:t>Philip Stephens from </w:t>
      </w:r>
      <w:r>
        <w:rPr>
          <w:spacing w:val="2"/>
        </w:rPr>
        <w:t>The </w:t>
      </w:r>
      <w:r>
        <w:rPr/>
        <w:t>Financial </w:t>
      </w:r>
      <w:r>
        <w:rPr>
          <w:spacing w:val="3"/>
        </w:rPr>
        <w:t>Times </w:t>
      </w:r>
      <w:r>
        <w:rPr/>
        <w:t>it is </w:t>
      </w:r>
      <w:r>
        <w:rPr>
          <w:spacing w:val="4"/>
        </w:rPr>
        <w:t>only </w:t>
      </w:r>
      <w:r>
        <w:rPr/>
        <w:t>because his </w:t>
      </w:r>
      <w:r>
        <w:rPr>
          <w:spacing w:val="2"/>
        </w:rPr>
        <w:t>description, written </w:t>
      </w:r>
      <w:r>
        <w:rPr/>
        <w:t>in July 1998, </w:t>
      </w:r>
      <w:r>
        <w:rPr>
          <w:spacing w:val="4"/>
        </w:rPr>
        <w:t>of </w:t>
      </w:r>
      <w:r>
        <w:rPr/>
        <w:t>unhappiness with the Committee was more vivid and articulate than most. He</w:t>
      </w:r>
      <w:r>
        <w:rPr>
          <w:spacing w:val="-40"/>
        </w:rPr>
        <w:t> </w:t>
      </w:r>
      <w:r>
        <w:rPr/>
        <w:t>wrote:</w:t>
      </w:r>
    </w:p>
    <w:p>
      <w:pPr>
        <w:pStyle w:val="BodyText"/>
        <w:spacing w:before="9"/>
        <w:rPr>
          <w:sz w:val="23"/>
        </w:rPr>
      </w:pPr>
    </w:p>
    <w:p>
      <w:pPr>
        <w:pStyle w:val="BodyText"/>
        <w:tabs>
          <w:tab w:pos="8984" w:val="left" w:leader="none"/>
        </w:tabs>
        <w:ind w:left="1745" w:right="585"/>
      </w:pPr>
      <w:r>
        <w:rPr>
          <w:spacing w:val="-4"/>
        </w:rPr>
        <w:t>“The</w:t>
      </w:r>
      <w:r>
        <w:rPr>
          <w:spacing w:val="-9"/>
        </w:rPr>
        <w:t> </w:t>
      </w:r>
      <w:r>
        <w:rPr/>
        <w:t>Committee</w:t>
      </w:r>
      <w:r>
        <w:rPr>
          <w:spacing w:val="-10"/>
        </w:rPr>
        <w:t> </w:t>
      </w:r>
      <w:r>
        <w:rPr/>
        <w:t>has</w:t>
      </w:r>
      <w:r>
        <w:rPr>
          <w:spacing w:val="-10"/>
        </w:rPr>
        <w:t> </w:t>
      </w:r>
      <w:r>
        <w:rPr/>
        <w:t>thus</w:t>
      </w:r>
      <w:r>
        <w:rPr>
          <w:spacing w:val="-10"/>
        </w:rPr>
        <w:t> </w:t>
      </w:r>
      <w:r>
        <w:rPr/>
        <w:t>far</w:t>
      </w:r>
      <w:r>
        <w:rPr>
          <w:spacing w:val="-9"/>
        </w:rPr>
        <w:t> </w:t>
      </w:r>
      <w:r>
        <w:rPr/>
        <w:t>lacked</w:t>
      </w:r>
      <w:r>
        <w:rPr>
          <w:spacing w:val="-10"/>
        </w:rPr>
        <w:t> </w:t>
      </w:r>
      <w:r>
        <w:rPr/>
        <w:t>both</w:t>
      </w:r>
      <w:r>
        <w:rPr>
          <w:spacing w:val="-10"/>
        </w:rPr>
        <w:t> </w:t>
      </w:r>
      <w:r>
        <w:rPr/>
        <w:t>leadership</w:t>
      </w:r>
      <w:r>
        <w:rPr>
          <w:spacing w:val="-10"/>
        </w:rPr>
        <w:t> </w:t>
      </w:r>
      <w:r>
        <w:rPr/>
        <w:t>and</w:t>
      </w:r>
      <w:r>
        <w:rPr>
          <w:spacing w:val="-10"/>
        </w:rPr>
        <w:t> </w:t>
      </w:r>
      <w:r>
        <w:rPr/>
        <w:t>predictability.</w:t>
      </w:r>
      <w:r>
        <w:rPr>
          <w:spacing w:val="39"/>
        </w:rPr>
        <w:t> </w:t>
      </w:r>
      <w:r>
        <w:rPr>
          <w:w w:val="95"/>
        </w:rPr>
        <w:t>…</w:t>
        <w:tab/>
      </w:r>
      <w:r>
        <w:rPr>
          <w:spacing w:val="-9"/>
        </w:rPr>
        <w:t>On </w:t>
      </w:r>
      <w:r>
        <w:rPr/>
        <w:t>the evidence </w:t>
      </w:r>
      <w:r>
        <w:rPr>
          <w:spacing w:val="2"/>
        </w:rPr>
        <w:t>of </w:t>
      </w:r>
      <w:r>
        <w:rPr/>
        <w:t>the previous six months, the MPC bears a closer resemblance </w:t>
      </w:r>
      <w:r>
        <w:rPr>
          <w:spacing w:val="2"/>
        </w:rPr>
        <w:t>to</w:t>
      </w:r>
      <w:r>
        <w:rPr>
          <w:spacing w:val="-5"/>
        </w:rPr>
        <w:t> </w:t>
      </w:r>
      <w:r>
        <w:rPr/>
        <w:t>a</w:t>
      </w:r>
      <w:r>
        <w:rPr>
          <w:spacing w:val="-9"/>
        </w:rPr>
        <w:t> </w:t>
      </w:r>
      <w:r>
        <w:rPr/>
        <w:t>post-graduate</w:t>
      </w:r>
      <w:r>
        <w:rPr>
          <w:spacing w:val="-9"/>
        </w:rPr>
        <w:t> </w:t>
      </w:r>
      <w:r>
        <w:rPr/>
        <w:t>seminar</w:t>
      </w:r>
      <w:r>
        <w:rPr>
          <w:spacing w:val="-9"/>
        </w:rPr>
        <w:t> </w:t>
      </w:r>
      <w:r>
        <w:rPr/>
        <w:t>than</w:t>
      </w:r>
      <w:r>
        <w:rPr>
          <w:spacing w:val="-8"/>
        </w:rPr>
        <w:t> </w:t>
      </w:r>
      <w:r>
        <w:rPr>
          <w:spacing w:val="2"/>
        </w:rPr>
        <w:t>to</w:t>
      </w:r>
      <w:r>
        <w:rPr>
          <w:spacing w:val="-5"/>
        </w:rPr>
        <w:t> </w:t>
      </w:r>
      <w:r>
        <w:rPr/>
        <w:t>a</w:t>
      </w:r>
      <w:r>
        <w:rPr>
          <w:spacing w:val="-9"/>
        </w:rPr>
        <w:t> </w:t>
      </w:r>
      <w:r>
        <w:rPr/>
        <w:t>forum</w:t>
      </w:r>
      <w:r>
        <w:rPr>
          <w:spacing w:val="-9"/>
        </w:rPr>
        <w:t> </w:t>
      </w:r>
      <w:r>
        <w:rPr/>
        <w:t>for</w:t>
      </w:r>
      <w:r>
        <w:rPr>
          <w:spacing w:val="-8"/>
        </w:rPr>
        <w:t> </w:t>
      </w:r>
      <w:r>
        <w:rPr/>
        <w:t>strategic</w:t>
      </w:r>
      <w:r>
        <w:rPr>
          <w:spacing w:val="-9"/>
        </w:rPr>
        <w:t> </w:t>
      </w:r>
      <w:r>
        <w:rPr/>
        <w:t>decision-making.</w:t>
      </w:r>
      <w:r>
        <w:rPr>
          <w:spacing w:val="-9"/>
        </w:rPr>
        <w:t> </w:t>
      </w:r>
      <w:r>
        <w:rPr>
          <w:w w:val="95"/>
        </w:rPr>
        <w:t>…</w:t>
      </w:r>
    </w:p>
    <w:p>
      <w:pPr>
        <w:pStyle w:val="BodyText"/>
        <w:spacing w:before="3"/>
        <w:ind w:left="1744" w:right="971"/>
      </w:pPr>
      <w:r>
        <w:rPr/>
        <w:t>To put [several] economists in the same room is to invite what one commentator has called paralysis by analysis. As a result the Committee’s conclusions are entirely unpredictable.”</w:t>
      </w:r>
    </w:p>
    <w:p>
      <w:pPr>
        <w:pStyle w:val="BodyText"/>
        <w:spacing w:before="11"/>
        <w:rPr>
          <w:sz w:val="23"/>
        </w:rPr>
      </w:pPr>
    </w:p>
    <w:p>
      <w:pPr>
        <w:pStyle w:val="BodyText"/>
        <w:ind w:left="1024" w:right="558"/>
      </w:pPr>
      <w:r>
        <w:rPr/>
        <w:t>Since the beginning of 1998, the Committee has been unanimous at only one out of sixteen meetings. That was in July of last year when the Committee voted to hold interest rates constant at 7.5%. Disagreements have become the norm, and are much less remarked upon by the press than they were before. Moreover, disagreement is now more widely accepted as natural. It would be strange if the uncertainties facing the Committee were not reflected in small differences of opinion. And views of the appropriate level of rates have never differed by more than 0.5 percentage points. Nor have these technical disagreements led to “paralysis by analysis”. Indeed, the Committee has reduced interest rates by 2</w:t>
      </w:r>
      <w:r>
        <w:rPr>
          <w:rFonts w:ascii="Gill Sans MT" w:hAnsi="Gill Sans MT"/>
        </w:rPr>
        <w:t>3 </w:t>
      </w:r>
      <w:r>
        <w:rPr/>
        <w:t>percentage points since October of last year. It was precisely the analysis that led to the action.</w:t>
      </w:r>
    </w:p>
    <w:p>
      <w:pPr>
        <w:pStyle w:val="BodyText"/>
        <w:spacing w:before="11"/>
        <w:rPr>
          <w:sz w:val="23"/>
        </w:rPr>
      </w:pPr>
    </w:p>
    <w:p>
      <w:pPr>
        <w:pStyle w:val="BodyText"/>
        <w:ind w:left="1024" w:right="605"/>
      </w:pPr>
      <w:r>
        <w:rPr/>
        <w:t>The willingness of the MPC to change interest rates either up or down in order to meet the symmetric inflation target has altered commentator’s perceptions of the Committee itself. Early in its history, commentators were unable to resist labelling members of the Committee as either “hawks” or “doves”. I argued then that it made no sense to use these descriptions because each member of the Committee had the same objective. Members of the MPC cannot entertain closet views about their desired inflation rate because they will be held personally accountable for their judgments about the level of interest rates necessary to meet the inflation target. No matter. A good argument will never beat a good headline. Hawks and doves it was, though there were also references to ostriches, foxes and hedgehogs, and headless</w:t>
      </w:r>
    </w:p>
    <w:p>
      <w:pPr>
        <w:spacing w:after="0"/>
        <w:sectPr>
          <w:pgSz w:w="11900" w:h="16840"/>
          <w:pgMar w:header="714" w:footer="0" w:top="1200" w:bottom="280" w:left="780" w:right="1260"/>
        </w:sectPr>
      </w:pPr>
    </w:p>
    <w:p>
      <w:pPr>
        <w:pStyle w:val="BodyText"/>
        <w:spacing w:before="10"/>
        <w:rPr>
          <w:sz w:val="12"/>
        </w:rPr>
      </w:pPr>
    </w:p>
    <w:p>
      <w:pPr>
        <w:pStyle w:val="BodyText"/>
        <w:spacing w:before="90"/>
        <w:ind w:left="1024" w:right="671"/>
      </w:pPr>
      <w:r>
        <w:rPr/>
        <w:t>chickens. No doubt there were even less flattering comparisons made in private. Still,</w:t>
      </w:r>
      <w:r>
        <w:rPr>
          <w:spacing w:val="-7"/>
        </w:rPr>
        <w:t> </w:t>
      </w:r>
      <w:r>
        <w:rPr/>
        <w:t>unlike</w:t>
      </w:r>
      <w:r>
        <w:rPr>
          <w:spacing w:val="-8"/>
        </w:rPr>
        <w:t> </w:t>
      </w:r>
      <w:r>
        <w:rPr/>
        <w:t>England</w:t>
      </w:r>
      <w:r>
        <w:rPr>
          <w:spacing w:val="-5"/>
        </w:rPr>
        <w:t> </w:t>
      </w:r>
      <w:r>
        <w:rPr/>
        <w:t>football</w:t>
      </w:r>
      <w:r>
        <w:rPr>
          <w:spacing w:val="-8"/>
        </w:rPr>
        <w:t> </w:t>
      </w:r>
      <w:r>
        <w:rPr/>
        <w:t>managers,</w:t>
      </w:r>
      <w:r>
        <w:rPr>
          <w:spacing w:val="-7"/>
        </w:rPr>
        <w:t> </w:t>
      </w:r>
      <w:r>
        <w:rPr/>
        <w:t>we</w:t>
      </w:r>
      <w:r>
        <w:rPr>
          <w:spacing w:val="-8"/>
        </w:rPr>
        <w:t> </w:t>
      </w:r>
      <w:r>
        <w:rPr/>
        <w:t>have</w:t>
      </w:r>
      <w:r>
        <w:rPr>
          <w:spacing w:val="-7"/>
        </w:rPr>
        <w:t> </w:t>
      </w:r>
      <w:r>
        <w:rPr/>
        <w:t>not</w:t>
      </w:r>
      <w:r>
        <w:rPr>
          <w:spacing w:val="-3"/>
        </w:rPr>
        <w:t> </w:t>
      </w:r>
      <w:r>
        <w:rPr/>
        <w:t>–</w:t>
      </w:r>
      <w:r>
        <w:rPr>
          <w:spacing w:val="-1"/>
        </w:rPr>
        <w:t> </w:t>
      </w:r>
      <w:r>
        <w:rPr/>
        <w:t>yet</w:t>
      </w:r>
      <w:r>
        <w:rPr>
          <w:spacing w:val="-3"/>
        </w:rPr>
        <w:t> </w:t>
      </w:r>
      <w:r>
        <w:rPr/>
        <w:t>–</w:t>
      </w:r>
      <w:r>
        <w:rPr>
          <w:spacing w:val="-2"/>
        </w:rPr>
        <w:t> </w:t>
      </w:r>
      <w:r>
        <w:rPr/>
        <w:t>been</w:t>
      </w:r>
      <w:r>
        <w:rPr>
          <w:spacing w:val="-7"/>
        </w:rPr>
        <w:t> </w:t>
      </w:r>
      <w:r>
        <w:rPr/>
        <w:t>compared</w:t>
      </w:r>
      <w:r>
        <w:rPr>
          <w:spacing w:val="-7"/>
        </w:rPr>
        <w:t> </w:t>
      </w:r>
      <w:r>
        <w:rPr/>
        <w:t>with</w:t>
      </w:r>
      <w:r>
        <w:rPr>
          <w:spacing w:val="-8"/>
        </w:rPr>
        <w:t> </w:t>
      </w:r>
      <w:r>
        <w:rPr/>
        <w:t>root vegetables. And we have made progress. As chart 4 shows, press references </w:t>
      </w:r>
      <w:r>
        <w:rPr>
          <w:spacing w:val="3"/>
        </w:rPr>
        <w:t>to </w:t>
      </w:r>
      <w:r>
        <w:rPr>
          <w:spacing w:val="-3"/>
        </w:rPr>
        <w:t>“hawks </w:t>
      </w:r>
      <w:r>
        <w:rPr/>
        <w:t>and doves” </w:t>
      </w:r>
      <w:r>
        <w:rPr>
          <w:spacing w:val="2"/>
        </w:rPr>
        <w:t>reached </w:t>
      </w:r>
      <w:r>
        <w:rPr/>
        <w:t>a peak in mid-1998 and have declined markedly</w:t>
      </w:r>
      <w:r>
        <w:rPr>
          <w:spacing w:val="-34"/>
        </w:rPr>
        <w:t> </w:t>
      </w:r>
      <w:r>
        <w:rPr/>
        <w:t>since.</w:t>
      </w:r>
    </w:p>
    <w:p>
      <w:pPr>
        <w:pStyle w:val="BodyText"/>
        <w:spacing w:line="242" w:lineRule="auto"/>
        <w:ind w:left="1024" w:right="582"/>
      </w:pPr>
      <w:r>
        <w:rPr/>
        <w:t>As I predicted in a speech in May last year, “as circumstances change, it is easy to imagine that the ‘hawks’ shall be ‘doves’ and the ‘doves’ shall be ‘hawks’”.</w:t>
      </w:r>
    </w:p>
    <w:p>
      <w:pPr>
        <w:pStyle w:val="BodyText"/>
        <w:spacing w:before="8"/>
        <w:rPr>
          <w:sz w:val="23"/>
        </w:rPr>
      </w:pPr>
    </w:p>
    <w:p>
      <w:pPr>
        <w:pStyle w:val="BodyText"/>
        <w:spacing w:before="1"/>
        <w:ind w:left="1024" w:right="566"/>
      </w:pPr>
      <w:r>
        <w:rPr/>
        <w:t>But we were also criticised for not being </w:t>
      </w:r>
      <w:r>
        <w:rPr>
          <w:spacing w:val="3"/>
        </w:rPr>
        <w:t>open </w:t>
      </w:r>
      <w:r>
        <w:rPr/>
        <w:t>enough about differences </w:t>
      </w:r>
      <w:r>
        <w:rPr>
          <w:spacing w:val="2"/>
        </w:rPr>
        <w:t>of </w:t>
      </w:r>
      <w:r>
        <w:rPr/>
        <w:t>view. The early minutes were thought </w:t>
      </w:r>
      <w:r>
        <w:rPr>
          <w:spacing w:val="3"/>
        </w:rPr>
        <w:t>to </w:t>
      </w:r>
      <w:r>
        <w:rPr/>
        <w:t>be </w:t>
      </w:r>
      <w:r>
        <w:rPr>
          <w:spacing w:val="4"/>
        </w:rPr>
        <w:t>too </w:t>
      </w:r>
      <w:r>
        <w:rPr/>
        <w:t>bland and </w:t>
      </w:r>
      <w:r>
        <w:rPr>
          <w:spacing w:val="3"/>
        </w:rPr>
        <w:t>to </w:t>
      </w:r>
      <w:r>
        <w:rPr/>
        <w:t>conceal expressions </w:t>
      </w:r>
      <w:r>
        <w:rPr>
          <w:spacing w:val="2"/>
        </w:rPr>
        <w:t>of </w:t>
      </w:r>
      <w:r>
        <w:rPr/>
        <w:t>individual points </w:t>
      </w:r>
      <w:r>
        <w:rPr>
          <w:spacing w:val="2"/>
        </w:rPr>
        <w:t>of </w:t>
      </w:r>
      <w:r>
        <w:rPr/>
        <w:t>view. Much </w:t>
      </w:r>
      <w:r>
        <w:rPr>
          <w:spacing w:val="2"/>
        </w:rPr>
        <w:t>of </w:t>
      </w:r>
      <w:r>
        <w:rPr/>
        <w:t>that criticism was indeed fair. And we have tried </w:t>
      </w:r>
      <w:r>
        <w:rPr>
          <w:spacing w:val="3"/>
        </w:rPr>
        <w:t>to </w:t>
      </w:r>
      <w:r>
        <w:rPr/>
        <w:t>respond by making the minutes a more accurate expression </w:t>
      </w:r>
      <w:r>
        <w:rPr>
          <w:spacing w:val="2"/>
        </w:rPr>
        <w:t>of </w:t>
      </w:r>
      <w:r>
        <w:rPr/>
        <w:t>the range </w:t>
      </w:r>
      <w:r>
        <w:rPr>
          <w:spacing w:val="2"/>
        </w:rPr>
        <w:t>of </w:t>
      </w:r>
      <w:r>
        <w:rPr/>
        <w:t>points </w:t>
      </w:r>
      <w:r>
        <w:rPr>
          <w:spacing w:val="2"/>
        </w:rPr>
        <w:t>of </w:t>
      </w:r>
      <w:r>
        <w:rPr/>
        <w:t>view that are expressed at the meeting. But I should stress that the discussion </w:t>
      </w:r>
      <w:r>
        <w:rPr>
          <w:spacing w:val="2"/>
        </w:rPr>
        <w:t>of </w:t>
      </w:r>
      <w:r>
        <w:rPr/>
        <w:t>the MPC focuses </w:t>
      </w:r>
      <w:r>
        <w:rPr>
          <w:spacing w:val="3"/>
        </w:rPr>
        <w:t>on </w:t>
      </w:r>
      <w:r>
        <w:rPr/>
        <w:t>the </w:t>
      </w:r>
      <w:r>
        <w:rPr>
          <w:spacing w:val="2"/>
        </w:rPr>
        <w:t>relative </w:t>
      </w:r>
      <w:r>
        <w:rPr/>
        <w:t>merits </w:t>
      </w:r>
      <w:r>
        <w:rPr>
          <w:spacing w:val="3"/>
        </w:rPr>
        <w:t>of </w:t>
      </w:r>
      <w:r>
        <w:rPr/>
        <w:t>different possible explanations </w:t>
      </w:r>
      <w:r>
        <w:rPr>
          <w:spacing w:val="3"/>
        </w:rPr>
        <w:t>of </w:t>
      </w:r>
      <w:r>
        <w:rPr/>
        <w:t>what is happening in the economy, in a spirit </w:t>
      </w:r>
      <w:r>
        <w:rPr>
          <w:spacing w:val="3"/>
        </w:rPr>
        <w:t>of </w:t>
      </w:r>
      <w:r>
        <w:rPr/>
        <w:t>mutual enquiry, </w:t>
      </w:r>
      <w:r>
        <w:rPr>
          <w:spacing w:val="2"/>
        </w:rPr>
        <w:t>rather </w:t>
      </w:r>
      <w:r>
        <w:rPr/>
        <w:t>than an exchange </w:t>
      </w:r>
      <w:r>
        <w:rPr>
          <w:spacing w:val="3"/>
        </w:rPr>
        <w:t>of </w:t>
      </w:r>
      <w:r>
        <w:rPr/>
        <w:t>fixed and conflicting views. A second criticism, made by the IMF team during the </w:t>
      </w:r>
      <w:r>
        <w:rPr>
          <w:spacing w:val="2"/>
        </w:rPr>
        <w:t>recent </w:t>
      </w:r>
      <w:r>
        <w:rPr/>
        <w:t>Article IV consultation, was </w:t>
      </w:r>
      <w:r>
        <w:rPr>
          <w:spacing w:val="2"/>
        </w:rPr>
        <w:t>that, </w:t>
      </w:r>
      <w:r>
        <w:rPr/>
        <w:t>whereas the minutes explained in some detail differences</w:t>
      </w:r>
      <w:r>
        <w:rPr>
          <w:spacing w:val="-10"/>
        </w:rPr>
        <w:t> </w:t>
      </w:r>
      <w:r>
        <w:rPr>
          <w:spacing w:val="3"/>
        </w:rPr>
        <w:t>of</w:t>
      </w:r>
      <w:r>
        <w:rPr>
          <w:spacing w:val="-5"/>
        </w:rPr>
        <w:t> </w:t>
      </w:r>
      <w:r>
        <w:rPr/>
        <w:t>view</w:t>
      </w:r>
      <w:r>
        <w:rPr>
          <w:spacing w:val="-9"/>
        </w:rPr>
        <w:t> </w:t>
      </w:r>
      <w:r>
        <w:rPr/>
        <w:t>among</w:t>
      </w:r>
      <w:r>
        <w:rPr>
          <w:spacing w:val="-9"/>
        </w:rPr>
        <w:t> </w:t>
      </w:r>
      <w:r>
        <w:rPr/>
        <w:t>Committee</w:t>
      </w:r>
      <w:r>
        <w:rPr>
          <w:spacing w:val="-9"/>
        </w:rPr>
        <w:t> </w:t>
      </w:r>
      <w:r>
        <w:rPr/>
        <w:t>members,</w:t>
      </w:r>
      <w:r>
        <w:rPr>
          <w:spacing w:val="-9"/>
        </w:rPr>
        <w:t> </w:t>
      </w:r>
      <w:r>
        <w:rPr/>
        <w:t>the</w:t>
      </w:r>
      <w:r>
        <w:rPr>
          <w:spacing w:val="-9"/>
        </w:rPr>
        <w:t> </w:t>
      </w:r>
      <w:r>
        <w:rPr>
          <w:spacing w:val="2"/>
        </w:rPr>
        <w:t>Inflation</w:t>
      </w:r>
      <w:r>
        <w:rPr>
          <w:spacing w:val="-8"/>
        </w:rPr>
        <w:t> </w:t>
      </w:r>
      <w:r>
        <w:rPr/>
        <w:t>Report</w:t>
      </w:r>
      <w:r>
        <w:rPr>
          <w:spacing w:val="-5"/>
        </w:rPr>
        <w:t> </w:t>
      </w:r>
      <w:r>
        <w:rPr/>
        <w:t>contained</w:t>
      </w:r>
      <w:r>
        <w:rPr>
          <w:spacing w:val="-9"/>
        </w:rPr>
        <w:t> </w:t>
      </w:r>
      <w:r>
        <w:rPr>
          <w:spacing w:val="4"/>
        </w:rPr>
        <w:t>only</w:t>
      </w:r>
      <w:r>
        <w:rPr>
          <w:spacing w:val="-5"/>
        </w:rPr>
        <w:t> </w:t>
      </w:r>
      <w:r>
        <w:rPr/>
        <w:t>a single projection for the inflation </w:t>
      </w:r>
      <w:r>
        <w:rPr>
          <w:spacing w:val="4"/>
        </w:rPr>
        <w:t>outlook. </w:t>
      </w:r>
      <w:r>
        <w:rPr/>
        <w:t>Again, there was some justice in this criticism, and we have responded </w:t>
      </w:r>
      <w:r>
        <w:rPr>
          <w:spacing w:val="2"/>
        </w:rPr>
        <w:t>to </w:t>
      </w:r>
      <w:r>
        <w:rPr/>
        <w:t>it. In fact, for three </w:t>
      </w:r>
      <w:r>
        <w:rPr>
          <w:spacing w:val="3"/>
        </w:rPr>
        <w:t>out </w:t>
      </w:r>
      <w:r>
        <w:rPr>
          <w:spacing w:val="2"/>
        </w:rPr>
        <w:t>of </w:t>
      </w:r>
      <w:r>
        <w:rPr/>
        <w:t>the past four Inflation Reports, there have been explicit descriptions </w:t>
      </w:r>
      <w:r>
        <w:rPr>
          <w:spacing w:val="3"/>
        </w:rPr>
        <w:t>of </w:t>
      </w:r>
      <w:r>
        <w:rPr/>
        <w:t>differences </w:t>
      </w:r>
      <w:r>
        <w:rPr>
          <w:spacing w:val="3"/>
        </w:rPr>
        <w:t>of </w:t>
      </w:r>
      <w:r>
        <w:rPr/>
        <w:t>view among Committee members about prospects for</w:t>
      </w:r>
      <w:r>
        <w:rPr>
          <w:spacing w:val="18"/>
        </w:rPr>
        <w:t> </w:t>
      </w:r>
      <w:r>
        <w:rPr/>
        <w:t>inflation.</w:t>
      </w:r>
    </w:p>
    <w:p>
      <w:pPr>
        <w:pStyle w:val="BodyText"/>
        <w:spacing w:before="2"/>
      </w:pPr>
    </w:p>
    <w:p>
      <w:pPr>
        <w:pStyle w:val="Heading3"/>
        <w:numPr>
          <w:ilvl w:val="0"/>
          <w:numId w:val="1"/>
        </w:numPr>
        <w:tabs>
          <w:tab w:pos="1744" w:val="left" w:leader="none"/>
          <w:tab w:pos="1745" w:val="left" w:leader="none"/>
        </w:tabs>
        <w:spacing w:line="240" w:lineRule="auto" w:before="0" w:after="0"/>
        <w:ind w:left="1744" w:right="0" w:hanging="721"/>
        <w:jc w:val="left"/>
      </w:pPr>
      <w:r>
        <w:rPr/>
        <w:t>What are the challenges for the next two</w:t>
      </w:r>
      <w:r>
        <w:rPr>
          <w:spacing w:val="9"/>
        </w:rPr>
        <w:t> </w:t>
      </w:r>
      <w:r>
        <w:rPr/>
        <w:t>years?</w:t>
      </w:r>
    </w:p>
    <w:p>
      <w:pPr>
        <w:pStyle w:val="BodyText"/>
        <w:spacing w:before="7"/>
        <w:rPr>
          <w:b/>
          <w:sz w:val="23"/>
        </w:rPr>
      </w:pPr>
    </w:p>
    <w:p>
      <w:pPr>
        <w:pStyle w:val="BodyText"/>
        <w:ind w:left="1024" w:right="597"/>
      </w:pPr>
      <w:r>
        <w:rPr/>
        <w:t>If monetary stability is to be a permanent feature of British economic life, the MPC will have to overcome several challenges in the years ahead. Two of these I would like to discuss briefly. First, how will the Committee deal with expectations that have been raised by the remarkable stability of inflation during its first two years? Second, how can the MPC build a constituency for low inflation?</w:t>
      </w:r>
    </w:p>
    <w:p>
      <w:pPr>
        <w:pStyle w:val="BodyText"/>
      </w:pPr>
    </w:p>
    <w:p>
      <w:pPr>
        <w:pStyle w:val="BodyText"/>
        <w:ind w:left="1024" w:right="558"/>
      </w:pPr>
      <w:r>
        <w:rPr/>
        <w:t>Despite the openness and transparency of the new monetary framework, the British, indeed the world, economy often moves in mysterious ways. Monetary policy is decision making under uncertainty. That is why MPC projections are published as fan charts, not as point estimates. The lags between a change in interest rates and its effects on output, demand and, ultimately, inflation mean that rough weather and occasional storms in the world economy are likely to blow us off course, at least for a time. A true test of the MPC is not whether it hits the target when the sea is calm, but how it reacts to the storms, or economic shocks, that will inevitably arise.</w:t>
      </w:r>
    </w:p>
    <w:p>
      <w:pPr>
        <w:pStyle w:val="BodyText"/>
        <w:spacing w:before="3"/>
      </w:pPr>
    </w:p>
    <w:p>
      <w:pPr>
        <w:pStyle w:val="BodyText"/>
        <w:ind w:left="1024" w:right="605"/>
      </w:pPr>
      <w:r>
        <w:rPr/>
        <w:t>The most immediate challenge for the MPC is that, although inflation may fall below the target over the next year, before long the inflation prospect further ahead will depend more on domestic inflationary pressures than it has over the past year or so when external factors made a major contribution in holding down retail price inflation. Lags mean that the MPC needs to look ahead. The test of the MPC will be how it responds to the inflation prospect.</w:t>
      </w:r>
    </w:p>
    <w:p>
      <w:pPr>
        <w:pStyle w:val="BodyText"/>
        <w:spacing w:before="9"/>
        <w:rPr>
          <w:sz w:val="23"/>
        </w:rPr>
      </w:pPr>
    </w:p>
    <w:p>
      <w:pPr>
        <w:pStyle w:val="BodyText"/>
        <w:ind w:left="1024" w:right="582"/>
      </w:pPr>
      <w:r>
        <w:rPr/>
        <w:t>Even in the absence of unexpected shocks there are major uncertainties. Trying to understand changes in the way the economy behaves is a crucial part of the MPC’s work. In recent years we have seen a combination of lower inflation, lower earnings growth and faster output growth than previous relationships would have led us to</w:t>
      </w:r>
    </w:p>
    <w:p>
      <w:pPr>
        <w:spacing w:after="0"/>
        <w:sectPr>
          <w:pgSz w:w="11900" w:h="16840"/>
          <w:pgMar w:header="714" w:footer="0" w:top="1200" w:bottom="280" w:left="780" w:right="1260"/>
        </w:sectPr>
      </w:pPr>
    </w:p>
    <w:p>
      <w:pPr>
        <w:pStyle w:val="BodyText"/>
        <w:spacing w:before="10"/>
        <w:rPr>
          <w:sz w:val="12"/>
        </w:rPr>
      </w:pPr>
    </w:p>
    <w:p>
      <w:pPr>
        <w:pStyle w:val="BodyText"/>
        <w:spacing w:before="90"/>
        <w:ind w:left="1024" w:right="582"/>
      </w:pPr>
      <w:r>
        <w:rPr/>
        <w:t>expect. The reasons for this benign combination of growth with low inflation are not easy to diagnose. Some have talked about a new era or a “new paradigm” in which productivity growth has permanently risen. We should be cautious about those who speak of new paradigms. Paradigm is a word too often used by those who would like to have a new idea but cannot think of one.</w:t>
      </w:r>
    </w:p>
    <w:p>
      <w:pPr>
        <w:pStyle w:val="BodyText"/>
      </w:pPr>
    </w:p>
    <w:p>
      <w:pPr>
        <w:pStyle w:val="BodyText"/>
        <w:ind w:left="1024" w:right="582"/>
      </w:pPr>
      <w:r>
        <w:rPr/>
        <w:t>Optimism about growth rates has been greatest in the United States, which is hardly surprising given the recent performance of the US economy. But wiser heads counsel caution. Alan Greenspan has argued that, although there is evidence of a structural shift in the level of productivity, the laws of supply and demand have not been repealed. Eventually the old relationships will return.</w:t>
      </w:r>
    </w:p>
    <w:p>
      <w:pPr>
        <w:pStyle w:val="BodyText"/>
      </w:pPr>
    </w:p>
    <w:p>
      <w:pPr>
        <w:pStyle w:val="BodyText"/>
        <w:ind w:left="1024" w:right="604"/>
      </w:pPr>
      <w:r>
        <w:rPr/>
        <w:t>If the UK economy moves in mysterious ways, it does not always perform wonders. A comparison between the US and UK is instructive. In both countries earnings growth has been lower, given the level </w:t>
      </w:r>
      <w:r>
        <w:rPr>
          <w:spacing w:val="3"/>
        </w:rPr>
        <w:t>of </w:t>
      </w:r>
      <w:r>
        <w:rPr/>
        <w:t>unemployment, than would have been predicted </w:t>
      </w:r>
      <w:r>
        <w:rPr>
          <w:spacing w:val="2"/>
        </w:rPr>
        <w:t>on </w:t>
      </w:r>
      <w:r>
        <w:rPr/>
        <w:t>the basis </w:t>
      </w:r>
      <w:r>
        <w:rPr>
          <w:spacing w:val="2"/>
        </w:rPr>
        <w:t>of </w:t>
      </w:r>
      <w:r>
        <w:rPr/>
        <w:t>past relationships. Inflation has not picked up despite a tight labour market. In the US </w:t>
      </w:r>
      <w:r>
        <w:rPr>
          <w:spacing w:val="3"/>
        </w:rPr>
        <w:t>one </w:t>
      </w:r>
      <w:r>
        <w:rPr/>
        <w:t>explanation for this benign </w:t>
      </w:r>
      <w:r>
        <w:rPr>
          <w:spacing w:val="4"/>
        </w:rPr>
        <w:t>outcome </w:t>
      </w:r>
      <w:r>
        <w:rPr/>
        <w:t>is that costs have been held down by an increase in productivity growth. Over the past three years labour</w:t>
      </w:r>
      <w:r>
        <w:rPr>
          <w:spacing w:val="-7"/>
        </w:rPr>
        <w:t> </w:t>
      </w:r>
      <w:r>
        <w:rPr/>
        <w:t>productivity</w:t>
      </w:r>
      <w:r>
        <w:rPr>
          <w:spacing w:val="-6"/>
        </w:rPr>
        <w:t> </w:t>
      </w:r>
      <w:r>
        <w:rPr/>
        <w:t>(output</w:t>
      </w:r>
      <w:r>
        <w:rPr>
          <w:spacing w:val="-4"/>
        </w:rPr>
        <w:t> </w:t>
      </w:r>
      <w:r>
        <w:rPr/>
        <w:t>per</w:t>
      </w:r>
      <w:r>
        <w:rPr>
          <w:spacing w:val="-6"/>
        </w:rPr>
        <w:t> </w:t>
      </w:r>
      <w:r>
        <w:rPr/>
        <w:t>person</w:t>
      </w:r>
      <w:r>
        <w:rPr>
          <w:spacing w:val="-6"/>
        </w:rPr>
        <w:t> </w:t>
      </w:r>
      <w:r>
        <w:rPr/>
        <w:t>hour)</w:t>
      </w:r>
      <w:r>
        <w:rPr>
          <w:spacing w:val="-6"/>
        </w:rPr>
        <w:t> </w:t>
      </w:r>
      <w:r>
        <w:rPr/>
        <w:t>in</w:t>
      </w:r>
      <w:r>
        <w:rPr>
          <w:spacing w:val="-7"/>
        </w:rPr>
        <w:t> </w:t>
      </w:r>
      <w:r>
        <w:rPr/>
        <w:t>the</w:t>
      </w:r>
      <w:r>
        <w:rPr>
          <w:spacing w:val="-6"/>
        </w:rPr>
        <w:t> </w:t>
      </w:r>
      <w:r>
        <w:rPr/>
        <w:t>US</w:t>
      </w:r>
      <w:r>
        <w:rPr>
          <w:spacing w:val="-6"/>
        </w:rPr>
        <w:t> </w:t>
      </w:r>
      <w:r>
        <w:rPr/>
        <w:t>has</w:t>
      </w:r>
      <w:r>
        <w:rPr>
          <w:spacing w:val="-6"/>
        </w:rPr>
        <w:t> </w:t>
      </w:r>
      <w:r>
        <w:rPr/>
        <w:t>grown</w:t>
      </w:r>
      <w:r>
        <w:rPr>
          <w:spacing w:val="-6"/>
        </w:rPr>
        <w:t> </w:t>
      </w:r>
      <w:r>
        <w:rPr/>
        <w:t>at</w:t>
      </w:r>
      <w:r>
        <w:rPr>
          <w:spacing w:val="-2"/>
        </w:rPr>
        <w:t> </w:t>
      </w:r>
      <w:r>
        <w:rPr/>
        <w:t>an</w:t>
      </w:r>
      <w:r>
        <w:rPr>
          <w:spacing w:val="-6"/>
        </w:rPr>
        <w:t> </w:t>
      </w:r>
      <w:r>
        <w:rPr/>
        <w:t>average</w:t>
      </w:r>
      <w:r>
        <w:rPr>
          <w:spacing w:val="-6"/>
        </w:rPr>
        <w:t> </w:t>
      </w:r>
      <w:r>
        <w:rPr/>
        <w:t>annual rate of around </w:t>
      </w:r>
      <w:r>
        <w:rPr>
          <w:spacing w:val="2"/>
        </w:rPr>
        <w:t>2</w:t>
      </w:r>
      <w:r>
        <w:rPr>
          <w:rFonts w:ascii="Gill Sans MT"/>
          <w:spacing w:val="2"/>
        </w:rPr>
        <w:t>2 </w:t>
      </w:r>
      <w:r>
        <w:rPr/>
        <w:t>%, well </w:t>
      </w:r>
      <w:r>
        <w:rPr>
          <w:u w:val="single"/>
        </w:rPr>
        <w:t>above</w:t>
      </w:r>
      <w:r>
        <w:rPr/>
        <w:t> the average rate of 1-1</w:t>
      </w:r>
      <w:r>
        <w:rPr>
          <w:rFonts w:ascii="Gill Sans MT"/>
        </w:rPr>
        <w:t>2  </w:t>
      </w:r>
      <w:r>
        <w:rPr/>
        <w:t>% </w:t>
      </w:r>
      <w:r>
        <w:rPr>
          <w:spacing w:val="3"/>
        </w:rPr>
        <w:t>over </w:t>
      </w:r>
      <w:r>
        <w:rPr/>
        <w:t>the past thirty years; and </w:t>
      </w:r>
      <w:r>
        <w:rPr>
          <w:spacing w:val="3"/>
        </w:rPr>
        <w:t>over </w:t>
      </w:r>
      <w:r>
        <w:rPr/>
        <w:t>the past year productivity growth rose </w:t>
      </w:r>
      <w:r>
        <w:rPr>
          <w:spacing w:val="2"/>
        </w:rPr>
        <w:t>to </w:t>
      </w:r>
      <w:r>
        <w:rPr/>
        <w:t>an annualised rate </w:t>
      </w:r>
      <w:r>
        <w:rPr>
          <w:spacing w:val="2"/>
        </w:rPr>
        <w:t>of </w:t>
      </w:r>
      <w:r>
        <w:rPr/>
        <w:t>3% or more. Over the same three years productivity growth in the UK has been 1 </w:t>
      </w:r>
      <w:r>
        <w:rPr>
          <w:rFonts w:ascii="Gill Sans MT"/>
        </w:rPr>
        <w:t>2 </w:t>
      </w:r>
      <w:r>
        <w:rPr/>
        <w:t>% a year, well </w:t>
      </w:r>
      <w:r>
        <w:rPr>
          <w:u w:val="single"/>
        </w:rPr>
        <w:t>below</w:t>
      </w:r>
      <w:r>
        <w:rPr/>
        <w:t> the thirty-year average </w:t>
      </w:r>
      <w:r>
        <w:rPr>
          <w:spacing w:val="2"/>
        </w:rPr>
        <w:t>of </w:t>
      </w:r>
      <w:r>
        <w:rPr/>
        <w:t>2-2 </w:t>
      </w:r>
      <w:r>
        <w:rPr>
          <w:rFonts w:ascii="Gill Sans MT"/>
        </w:rPr>
        <w:t>2 </w:t>
      </w:r>
      <w:r>
        <w:rPr/>
        <w:t>% a year. In the US the application </w:t>
      </w:r>
      <w:r>
        <w:rPr>
          <w:spacing w:val="3"/>
        </w:rPr>
        <w:t>of </w:t>
      </w:r>
      <w:r>
        <w:rPr/>
        <w:t>new technology, especially information technology, is </w:t>
      </w:r>
      <w:r>
        <w:rPr>
          <w:spacing w:val="4"/>
        </w:rPr>
        <w:t>often </w:t>
      </w:r>
      <w:r>
        <w:rPr/>
        <w:t>held </w:t>
      </w:r>
      <w:r>
        <w:rPr>
          <w:spacing w:val="2"/>
        </w:rPr>
        <w:t>responsible </w:t>
      </w:r>
      <w:r>
        <w:rPr/>
        <w:t>for this improved performance. Such explanations should, in principle, apply </w:t>
      </w:r>
      <w:r>
        <w:rPr>
          <w:spacing w:val="3"/>
        </w:rPr>
        <w:t>to </w:t>
      </w:r>
      <w:r>
        <w:rPr/>
        <w:t>most industrialised countries, at least </w:t>
      </w:r>
      <w:r>
        <w:rPr>
          <w:spacing w:val="3"/>
        </w:rPr>
        <w:t>to </w:t>
      </w:r>
      <w:r>
        <w:rPr/>
        <w:t>some degree. But, whatever similarities there are in</w:t>
      </w:r>
      <w:r>
        <w:rPr>
          <w:spacing w:val="-8"/>
        </w:rPr>
        <w:t> </w:t>
      </w:r>
      <w:r>
        <w:rPr/>
        <w:t>the</w:t>
      </w:r>
      <w:r>
        <w:rPr>
          <w:spacing w:val="-7"/>
        </w:rPr>
        <w:t> </w:t>
      </w:r>
      <w:r>
        <w:rPr/>
        <w:t>recent</w:t>
      </w:r>
      <w:r>
        <w:rPr>
          <w:spacing w:val="-5"/>
        </w:rPr>
        <w:t> </w:t>
      </w:r>
      <w:r>
        <w:rPr/>
        <w:t>economic</w:t>
      </w:r>
      <w:r>
        <w:rPr>
          <w:spacing w:val="-8"/>
        </w:rPr>
        <w:t> </w:t>
      </w:r>
      <w:r>
        <w:rPr/>
        <w:t>performance</w:t>
      </w:r>
      <w:r>
        <w:rPr>
          <w:spacing w:val="-7"/>
        </w:rPr>
        <w:t> </w:t>
      </w:r>
      <w:r>
        <w:rPr>
          <w:spacing w:val="2"/>
        </w:rPr>
        <w:t>of</w:t>
      </w:r>
      <w:r>
        <w:rPr>
          <w:spacing w:val="-3"/>
        </w:rPr>
        <w:t> </w:t>
      </w:r>
      <w:r>
        <w:rPr/>
        <w:t>the</w:t>
      </w:r>
      <w:r>
        <w:rPr>
          <w:spacing w:val="-7"/>
        </w:rPr>
        <w:t> </w:t>
      </w:r>
      <w:r>
        <w:rPr/>
        <w:t>US</w:t>
      </w:r>
      <w:r>
        <w:rPr>
          <w:spacing w:val="-7"/>
        </w:rPr>
        <w:t> </w:t>
      </w:r>
      <w:r>
        <w:rPr/>
        <w:t>and</w:t>
      </w:r>
      <w:r>
        <w:rPr>
          <w:spacing w:val="-7"/>
        </w:rPr>
        <w:t> </w:t>
      </w:r>
      <w:r>
        <w:rPr/>
        <w:t>UK,</w:t>
      </w:r>
      <w:r>
        <w:rPr>
          <w:spacing w:val="-7"/>
        </w:rPr>
        <w:t> </w:t>
      </w:r>
      <w:r>
        <w:rPr/>
        <w:t>productivity</w:t>
      </w:r>
      <w:r>
        <w:rPr>
          <w:spacing w:val="-8"/>
        </w:rPr>
        <w:t> </w:t>
      </w:r>
      <w:r>
        <w:rPr/>
        <w:t>growth</w:t>
      </w:r>
      <w:r>
        <w:rPr>
          <w:spacing w:val="-7"/>
        </w:rPr>
        <w:t> </w:t>
      </w:r>
      <w:r>
        <w:rPr/>
        <w:t>is</w:t>
      </w:r>
      <w:r>
        <w:rPr>
          <w:spacing w:val="-7"/>
        </w:rPr>
        <w:t> </w:t>
      </w:r>
      <w:r>
        <w:rPr/>
        <w:t>not</w:t>
      </w:r>
      <w:r>
        <w:rPr>
          <w:spacing w:val="-2"/>
        </w:rPr>
        <w:t> </w:t>
      </w:r>
      <w:r>
        <w:rPr>
          <w:spacing w:val="3"/>
        </w:rPr>
        <w:t>one </w:t>
      </w:r>
      <w:r>
        <w:rPr>
          <w:spacing w:val="2"/>
        </w:rPr>
        <w:t>of </w:t>
      </w:r>
      <w:r>
        <w:rPr/>
        <w:t>them. Indeed, since 1990, UK productivity growth has been exactly in line with the thirty-year average. So it would be premature at this stage, </w:t>
      </w:r>
      <w:r>
        <w:rPr>
          <w:spacing w:val="2"/>
        </w:rPr>
        <w:t>to </w:t>
      </w:r>
      <w:r>
        <w:rPr/>
        <w:t>suppose that there has been a permanent shift in productivity behaviour in the UK, although further study </w:t>
      </w:r>
      <w:r>
        <w:rPr>
          <w:spacing w:val="2"/>
        </w:rPr>
        <w:t>of </w:t>
      </w:r>
      <w:r>
        <w:rPr/>
        <w:t>the recent differences in productivity growth across countries and how they might </w:t>
      </w:r>
      <w:r>
        <w:rPr>
          <w:spacing w:val="2"/>
        </w:rPr>
        <w:t>relate </w:t>
      </w:r>
      <w:r>
        <w:rPr>
          <w:spacing w:val="3"/>
        </w:rPr>
        <w:t>to </w:t>
      </w:r>
      <w:r>
        <w:rPr/>
        <w:t>differences in the way information technology has affected working practices is</w:t>
      </w:r>
      <w:r>
        <w:rPr>
          <w:spacing w:val="13"/>
        </w:rPr>
        <w:t> </w:t>
      </w:r>
      <w:r>
        <w:rPr/>
        <w:t>important.</w:t>
      </w:r>
    </w:p>
    <w:p>
      <w:pPr>
        <w:pStyle w:val="BodyText"/>
      </w:pPr>
    </w:p>
    <w:p>
      <w:pPr>
        <w:pStyle w:val="BodyText"/>
        <w:ind w:left="1024" w:right="505"/>
      </w:pPr>
      <w:r>
        <w:rPr/>
        <w:t>If not productivity, what other changes might help to explain the recent benign behaviour of inflation? A more plausible explanation for the lower-than-expected growth rates of earnings, and hence prices, is, in my view, a fall in inflation expectations. If that is the case, then part of the improved performance of the last two or three years can be attributed to a combination of the “credibility windfall” resulting from the new monetary policy framework and the benign impact on inflation of the higher exchange rate and lower commodity and import prices.</w:t>
      </w:r>
    </w:p>
    <w:p>
      <w:pPr>
        <w:pStyle w:val="BodyText"/>
      </w:pPr>
    </w:p>
    <w:p>
      <w:pPr>
        <w:pStyle w:val="BodyText"/>
        <w:ind w:left="1024" w:right="582"/>
      </w:pPr>
      <w:r>
        <w:rPr/>
        <w:t>In order to assess whether economic relationships have changed, it is vital that the MPC have access to timely and accurate information. Official statistics comprise the bulk of information available to the MPC. Following the recent review of data on average earnings it has been decided to put the relationship between the Bank and the Office for National Statistics on a more formal basis with a Service Level Agreement between the two organisations. Good progress has been made on drafting that Agreement. But the MPC cannot live by official statistics alone, nor even on a diet of business and household surveys. In addition the Bank has a network of twelve</w:t>
      </w:r>
    </w:p>
    <w:p>
      <w:pPr>
        <w:spacing w:after="0"/>
        <w:sectPr>
          <w:pgSz w:w="11900" w:h="16840"/>
          <w:pgMar w:header="714" w:footer="0" w:top="1200" w:bottom="280" w:left="780" w:right="1260"/>
        </w:sectPr>
      </w:pPr>
    </w:p>
    <w:p>
      <w:pPr>
        <w:pStyle w:val="BodyText"/>
        <w:spacing w:before="10"/>
        <w:rPr>
          <w:sz w:val="12"/>
        </w:rPr>
      </w:pPr>
    </w:p>
    <w:p>
      <w:pPr>
        <w:pStyle w:val="BodyText"/>
        <w:spacing w:before="90"/>
        <w:ind w:left="1024" w:right="590"/>
      </w:pPr>
      <w:r>
        <w:rPr/>
        <w:t>Regional Agents. </w:t>
      </w:r>
      <w:r>
        <w:rPr>
          <w:spacing w:val="2"/>
        </w:rPr>
        <w:t>Their </w:t>
      </w:r>
      <w:r>
        <w:rPr/>
        <w:t>main task is </w:t>
      </w:r>
      <w:r>
        <w:rPr>
          <w:spacing w:val="3"/>
        </w:rPr>
        <w:t>to </w:t>
      </w:r>
      <w:r>
        <w:rPr/>
        <w:t>ask local people how they view the current state </w:t>
      </w:r>
      <w:r>
        <w:rPr>
          <w:spacing w:val="2"/>
        </w:rPr>
        <w:t>of </w:t>
      </w:r>
      <w:r>
        <w:rPr/>
        <w:t>the economy. Each year the </w:t>
      </w:r>
      <w:r>
        <w:rPr>
          <w:spacing w:val="-5"/>
        </w:rPr>
        <w:t>Bank’s </w:t>
      </w:r>
      <w:r>
        <w:rPr/>
        <w:t>Agents make, in total, around seven thousand visits </w:t>
      </w:r>
      <w:r>
        <w:rPr>
          <w:spacing w:val="2"/>
        </w:rPr>
        <w:t>to </w:t>
      </w:r>
      <w:r>
        <w:rPr/>
        <w:t>business contacts across the country. The attraction </w:t>
      </w:r>
      <w:r>
        <w:rPr>
          <w:spacing w:val="2"/>
        </w:rPr>
        <w:t>of </w:t>
      </w:r>
      <w:r>
        <w:rPr/>
        <w:t>this information is that it is timely and focussed </w:t>
      </w:r>
      <w:r>
        <w:rPr>
          <w:spacing w:val="3"/>
        </w:rPr>
        <w:t>on </w:t>
      </w:r>
      <w:r>
        <w:rPr/>
        <w:t>the Committee’s needs. Other data are </w:t>
      </w:r>
      <w:r>
        <w:rPr>
          <w:spacing w:val="4"/>
        </w:rPr>
        <w:t>often </w:t>
      </w:r>
      <w:r>
        <w:rPr/>
        <w:t>published with a considerable lag. And there are frequently gaps and puzzles in those data which the Agents can help </w:t>
      </w:r>
      <w:r>
        <w:rPr>
          <w:spacing w:val="2"/>
        </w:rPr>
        <w:t>to </w:t>
      </w:r>
      <w:r>
        <w:rPr/>
        <w:t>resolve. Each month the MPC decides </w:t>
      </w:r>
      <w:r>
        <w:rPr>
          <w:spacing w:val="2"/>
        </w:rPr>
        <w:t>on </w:t>
      </w:r>
      <w:r>
        <w:rPr/>
        <w:t>a “question</w:t>
      </w:r>
      <w:r>
        <w:rPr>
          <w:spacing w:val="-9"/>
        </w:rPr>
        <w:t> </w:t>
      </w:r>
      <w:r>
        <w:rPr>
          <w:spacing w:val="2"/>
        </w:rPr>
        <w:t>of</w:t>
      </w:r>
      <w:r>
        <w:rPr>
          <w:spacing w:val="-4"/>
        </w:rPr>
        <w:t> </w:t>
      </w:r>
      <w:r>
        <w:rPr/>
        <w:t>the</w:t>
      </w:r>
      <w:r>
        <w:rPr>
          <w:spacing w:val="-8"/>
        </w:rPr>
        <w:t> </w:t>
      </w:r>
      <w:r>
        <w:rPr/>
        <w:t>month”</w:t>
      </w:r>
      <w:r>
        <w:rPr>
          <w:spacing w:val="1"/>
        </w:rPr>
        <w:t> </w:t>
      </w:r>
      <w:r>
        <w:rPr/>
        <w:t>which</w:t>
      </w:r>
      <w:r>
        <w:rPr>
          <w:spacing w:val="-11"/>
        </w:rPr>
        <w:t> </w:t>
      </w:r>
      <w:r>
        <w:rPr/>
        <w:t>the</w:t>
      </w:r>
      <w:r>
        <w:rPr>
          <w:spacing w:val="-10"/>
        </w:rPr>
        <w:t> </w:t>
      </w:r>
      <w:r>
        <w:rPr/>
        <w:t>Agents</w:t>
      </w:r>
      <w:r>
        <w:rPr>
          <w:spacing w:val="-11"/>
        </w:rPr>
        <w:t> </w:t>
      </w:r>
      <w:r>
        <w:rPr/>
        <w:t>then</w:t>
      </w:r>
      <w:r>
        <w:rPr>
          <w:spacing w:val="-10"/>
        </w:rPr>
        <w:t> </w:t>
      </w:r>
      <w:r>
        <w:rPr/>
        <w:t>put</w:t>
      </w:r>
      <w:r>
        <w:rPr>
          <w:spacing w:val="-7"/>
        </w:rPr>
        <w:t> </w:t>
      </w:r>
      <w:r>
        <w:rPr>
          <w:spacing w:val="2"/>
        </w:rPr>
        <w:t>to</w:t>
      </w:r>
      <w:r>
        <w:rPr>
          <w:spacing w:val="-6"/>
        </w:rPr>
        <w:t> </w:t>
      </w:r>
      <w:r>
        <w:rPr/>
        <w:t>their</w:t>
      </w:r>
      <w:r>
        <w:rPr>
          <w:spacing w:val="-11"/>
        </w:rPr>
        <w:t> </w:t>
      </w:r>
      <w:r>
        <w:rPr/>
        <w:t>contacts.</w:t>
      </w:r>
      <w:r>
        <w:rPr>
          <w:spacing w:val="39"/>
        </w:rPr>
        <w:t> </w:t>
      </w:r>
      <w:r>
        <w:rPr/>
        <w:t>Recent</w:t>
      </w:r>
      <w:r>
        <w:rPr>
          <w:spacing w:val="-6"/>
        </w:rPr>
        <w:t> </w:t>
      </w:r>
      <w:r>
        <w:rPr/>
        <w:t>questions have</w:t>
      </w:r>
      <w:r>
        <w:rPr>
          <w:spacing w:val="-6"/>
        </w:rPr>
        <w:t> </w:t>
      </w:r>
      <w:r>
        <w:rPr/>
        <w:t>covered</w:t>
      </w:r>
      <w:r>
        <w:rPr>
          <w:spacing w:val="-5"/>
        </w:rPr>
        <w:t> </w:t>
      </w:r>
      <w:r>
        <w:rPr/>
        <w:t>trends</w:t>
      </w:r>
      <w:r>
        <w:rPr>
          <w:spacing w:val="-5"/>
        </w:rPr>
        <w:t> </w:t>
      </w:r>
      <w:r>
        <w:rPr/>
        <w:t>in</w:t>
      </w:r>
      <w:r>
        <w:rPr>
          <w:spacing w:val="-5"/>
        </w:rPr>
        <w:t> </w:t>
      </w:r>
      <w:r>
        <w:rPr/>
        <w:t>employment, the</w:t>
      </w:r>
      <w:r>
        <w:rPr>
          <w:spacing w:val="-5"/>
        </w:rPr>
        <w:t> </w:t>
      </w:r>
      <w:r>
        <w:rPr/>
        <w:t>behaviour</w:t>
      </w:r>
      <w:r>
        <w:rPr>
          <w:spacing w:val="-5"/>
        </w:rPr>
        <w:t> </w:t>
      </w:r>
      <w:r>
        <w:rPr>
          <w:spacing w:val="2"/>
        </w:rPr>
        <w:t>of</w:t>
      </w:r>
      <w:r>
        <w:rPr>
          <w:spacing w:val="-1"/>
        </w:rPr>
        <w:t> </w:t>
      </w:r>
      <w:r>
        <w:rPr/>
        <w:t>earnings,</w:t>
      </w:r>
      <w:r>
        <w:rPr>
          <w:spacing w:val="-5"/>
        </w:rPr>
        <w:t> </w:t>
      </w:r>
      <w:r>
        <w:rPr/>
        <w:t>the</w:t>
      </w:r>
      <w:r>
        <w:rPr>
          <w:spacing w:val="-5"/>
        </w:rPr>
        <w:t> </w:t>
      </w:r>
      <w:r>
        <w:rPr/>
        <w:t>reaction</w:t>
      </w:r>
      <w:r>
        <w:rPr>
          <w:spacing w:val="-3"/>
        </w:rPr>
        <w:t> </w:t>
      </w:r>
      <w:r>
        <w:rPr>
          <w:spacing w:val="2"/>
        </w:rPr>
        <w:t>of</w:t>
      </w:r>
      <w:r>
        <w:rPr>
          <w:spacing w:val="-1"/>
        </w:rPr>
        <w:t> </w:t>
      </w:r>
      <w:r>
        <w:rPr/>
        <w:t>exports </w:t>
      </w:r>
      <w:r>
        <w:rPr>
          <w:spacing w:val="3"/>
        </w:rPr>
        <w:t>to </w:t>
      </w:r>
      <w:r>
        <w:rPr>
          <w:spacing w:val="2"/>
        </w:rPr>
        <w:t>the rise </w:t>
      </w:r>
      <w:r>
        <w:rPr/>
        <w:t>in </w:t>
      </w:r>
      <w:r>
        <w:rPr>
          <w:spacing w:val="2"/>
        </w:rPr>
        <w:t>sterling, </w:t>
      </w:r>
      <w:r>
        <w:rPr/>
        <w:t>and </w:t>
      </w:r>
      <w:r>
        <w:rPr>
          <w:spacing w:val="2"/>
        </w:rPr>
        <w:t>the </w:t>
      </w:r>
      <w:r>
        <w:rPr/>
        <w:t>likely effects </w:t>
      </w:r>
      <w:r>
        <w:rPr>
          <w:spacing w:val="3"/>
        </w:rPr>
        <w:t>of </w:t>
      </w:r>
      <w:r>
        <w:rPr>
          <w:spacing w:val="2"/>
        </w:rPr>
        <w:t>the </w:t>
      </w:r>
      <w:r>
        <w:rPr/>
        <w:t>Millennium </w:t>
      </w:r>
      <w:r>
        <w:rPr>
          <w:spacing w:val="3"/>
        </w:rPr>
        <w:t>on </w:t>
      </w:r>
      <w:r>
        <w:rPr/>
        <w:t>investment expenditure. Within a couple </w:t>
      </w:r>
      <w:r>
        <w:rPr>
          <w:spacing w:val="2"/>
        </w:rPr>
        <w:t>of </w:t>
      </w:r>
      <w:r>
        <w:rPr/>
        <w:t>weeks the responses from a sample </w:t>
      </w:r>
      <w:r>
        <w:rPr>
          <w:spacing w:val="2"/>
        </w:rPr>
        <w:t>of </w:t>
      </w:r>
      <w:r>
        <w:rPr/>
        <w:t>about 150 companies are available </w:t>
      </w:r>
      <w:r>
        <w:rPr>
          <w:spacing w:val="3"/>
        </w:rPr>
        <w:t>to </w:t>
      </w:r>
      <w:r>
        <w:rPr/>
        <w:t>the MPC. More generally, the views </w:t>
      </w:r>
      <w:r>
        <w:rPr>
          <w:spacing w:val="3"/>
        </w:rPr>
        <w:t>of </w:t>
      </w:r>
      <w:r>
        <w:rPr/>
        <w:t>businesses around the country about the state of trade are passed directly </w:t>
      </w:r>
      <w:r>
        <w:rPr>
          <w:spacing w:val="2"/>
        </w:rPr>
        <w:t>to </w:t>
      </w:r>
      <w:r>
        <w:rPr/>
        <w:t>the MPC through the intermediary </w:t>
      </w:r>
      <w:r>
        <w:rPr>
          <w:spacing w:val="3"/>
        </w:rPr>
        <w:t>of </w:t>
      </w:r>
      <w:r>
        <w:rPr/>
        <w:t>the </w:t>
      </w:r>
      <w:r>
        <w:rPr>
          <w:spacing w:val="2"/>
        </w:rPr>
        <w:t>regional </w:t>
      </w:r>
      <w:r>
        <w:rPr/>
        <w:t>Agents who attend the monthly pre-MPC briefing meetings. </w:t>
      </w:r>
      <w:r>
        <w:rPr>
          <w:spacing w:val="2"/>
        </w:rPr>
        <w:t>This </w:t>
      </w:r>
      <w:r>
        <w:rPr/>
        <w:t>may not be quite </w:t>
      </w:r>
      <w:r>
        <w:rPr>
          <w:spacing w:val="-5"/>
        </w:rPr>
        <w:t>“One </w:t>
      </w:r>
      <w:r>
        <w:rPr/>
        <w:t>2 One” but it is a rapid and direct </w:t>
      </w:r>
      <w:r>
        <w:rPr>
          <w:spacing w:val="2"/>
        </w:rPr>
        <w:t>communication.</w:t>
      </w:r>
    </w:p>
    <w:p>
      <w:pPr>
        <w:pStyle w:val="BodyText"/>
      </w:pPr>
    </w:p>
    <w:p>
      <w:pPr>
        <w:pStyle w:val="BodyText"/>
        <w:spacing w:line="242" w:lineRule="auto"/>
        <w:ind w:left="1025" w:right="582" w:hanging="1"/>
      </w:pPr>
      <w:r>
        <w:rPr/>
        <w:t>The Bank </w:t>
      </w:r>
      <w:r>
        <w:rPr>
          <w:spacing w:val="3"/>
        </w:rPr>
        <w:t>of </w:t>
      </w:r>
      <w:r>
        <w:rPr>
          <w:spacing w:val="2"/>
        </w:rPr>
        <w:t>England </w:t>
      </w:r>
      <w:r>
        <w:rPr/>
        <w:t>has never had an Agency </w:t>
      </w:r>
      <w:r>
        <w:rPr>
          <w:spacing w:val="5"/>
        </w:rPr>
        <w:t>office </w:t>
      </w:r>
      <w:r>
        <w:rPr/>
        <w:t>in Northern Ireland. It is time to put that</w:t>
      </w:r>
      <w:r>
        <w:rPr>
          <w:spacing w:val="14"/>
        </w:rPr>
        <w:t> </w:t>
      </w:r>
      <w:r>
        <w:rPr/>
        <w:t>right.</w:t>
      </w:r>
    </w:p>
    <w:p>
      <w:pPr>
        <w:pStyle w:val="BodyText"/>
        <w:ind w:left="1024" w:right="582"/>
      </w:pPr>
      <w:r>
        <w:rPr/>
        <w:t>I am very pleased, therefore, to announce that in January next year the Bank of England will open an Agency in Belfast. It will increase our contacts with, and knowledge of, the economy and people of Northern Ireland. Nigel Falls, one of our most experienced Agents will be the first Agent for Northern Ireland. He is here tonight, and you will be seeing a great deal of him in future.</w:t>
      </w:r>
    </w:p>
    <w:p>
      <w:pPr>
        <w:pStyle w:val="BodyText"/>
        <w:spacing w:before="6"/>
        <w:rPr>
          <w:sz w:val="23"/>
        </w:rPr>
      </w:pPr>
    </w:p>
    <w:p>
      <w:pPr>
        <w:pStyle w:val="BodyText"/>
        <w:spacing w:before="1"/>
        <w:ind w:left="1024" w:right="558"/>
      </w:pPr>
      <w:r>
        <w:rPr/>
        <w:t>The second challenge for the future is to build a constituency for low inflation. There is , I believe, a good deal of support in this country for monetary stability. Those who experienced the high and unpredictable rates of inflation of the 1970s and 1980s – the “inflation generation” - have ensured that all major political parties are now committed to stability. But there have been times in the past when low and stable inflation was abandoned by those who succumbed to the temptations of monetary laxity. Some of you here tonight are, I hope, taking a break from revision for your final examinations. Thirty years ago this month I was in your position. As part of my revision, I studied the inflation rates since the Second World War for several different measures of inflation. They were all at or very close to 3% a year. No-one in</w:t>
      </w:r>
    </w:p>
    <w:p>
      <w:pPr>
        <w:pStyle w:val="BodyText"/>
        <w:ind w:left="1024" w:right="511"/>
      </w:pPr>
      <w:r>
        <w:rPr/>
        <w:t>Cambridge at that time – and certainly not the students that were to become part of the inflation generation – heeded the late Richard Kahn’s warning that creeping inflation was about to accelerate. The rest, as they say, is monetary history. I would like those of you revising for your final exams this month to be able to look back in thirty years time and recall that the year in which you graduated was when we finally laid to rest the idea that the UK was an inflation-prone economy. Inflation was the norm for</w:t>
      </w:r>
    </w:p>
    <w:p>
      <w:pPr>
        <w:pStyle w:val="BodyText"/>
        <w:ind w:left="1024"/>
      </w:pPr>
      <w:r>
        <w:rPr/>
        <w:t>most </w:t>
      </w:r>
      <w:r>
        <w:rPr>
          <w:spacing w:val="2"/>
        </w:rPr>
        <w:t>of </w:t>
      </w:r>
      <w:r>
        <w:rPr/>
        <w:t>my adult life. It should not be in</w:t>
      </w:r>
      <w:r>
        <w:rPr>
          <w:spacing w:val="54"/>
        </w:rPr>
        <w:t> </w:t>
      </w:r>
      <w:r>
        <w:rPr/>
        <w:t>yours.</w:t>
      </w:r>
    </w:p>
    <w:p>
      <w:pPr>
        <w:pStyle w:val="BodyText"/>
      </w:pPr>
    </w:p>
    <w:p>
      <w:pPr>
        <w:pStyle w:val="BodyText"/>
        <w:ind w:left="1024" w:right="582"/>
      </w:pPr>
      <w:r>
        <w:rPr/>
        <w:t>Why then, you may ask, do we need to build a constituency for low inflation? There are two reasons. First, it is important that support for low inflation not wane as the experience of high and unstable inflation of the past recedes. It would be a counsel of despair to believe that the inflationary excesses of the recent past would have to be repeated in order to retain support for low inflation. Yet, in a recent survey of households in Germany, Robert Shiller </w:t>
      </w:r>
      <w:r>
        <w:rPr>
          <w:vertAlign w:val="superscript"/>
        </w:rPr>
        <w:t>1</w:t>
      </w:r>
      <w:r>
        <w:rPr>
          <w:vertAlign w:val="baseline"/>
        </w:rPr>
        <w:t> found that support for stability was much</w:t>
      </w:r>
    </w:p>
    <w:p>
      <w:pPr>
        <w:pStyle w:val="BodyText"/>
        <w:spacing w:before="7"/>
        <w:rPr>
          <w:sz w:val="28"/>
        </w:rPr>
      </w:pPr>
      <w:r>
        <w:rPr/>
        <w:pict>
          <v:shape style="position:absolute;margin-left:90.239998pt;margin-top:18.66581pt;width:144pt;height:.1pt;mso-position-horizontal-relative:page;mso-position-vertical-relative:paragraph;z-index:-251656192;mso-wrap-distance-left:0;mso-wrap-distance-right:0" coordorigin="1805,373" coordsize="2880,0" path="m1805,373l4685,373e" filled="false" stroked="true" strokeweight=".48pt" strokecolor="#000000">
            <v:path arrowok="t"/>
            <v:stroke dashstyle="solid"/>
            <w10:wrap type="topAndBottom"/>
          </v:shape>
        </w:pict>
      </w:r>
    </w:p>
    <w:p>
      <w:pPr>
        <w:spacing w:before="47"/>
        <w:ind w:left="1024" w:right="0" w:firstLine="0"/>
        <w:jc w:val="left"/>
        <w:rPr>
          <w:sz w:val="20"/>
        </w:rPr>
      </w:pPr>
      <w:r>
        <w:rPr>
          <w:position w:val="9"/>
          <w:sz w:val="13"/>
        </w:rPr>
        <w:t>1 </w:t>
      </w:r>
      <w:r>
        <w:rPr>
          <w:sz w:val="20"/>
        </w:rPr>
        <w:t>Shiller, R (1996) “Why do people dislike inflation?” NBER Working Paper No.5539, April</w:t>
      </w:r>
    </w:p>
    <w:p>
      <w:pPr>
        <w:spacing w:after="0"/>
        <w:jc w:val="left"/>
        <w:rPr>
          <w:sz w:val="20"/>
        </w:rPr>
        <w:sectPr>
          <w:pgSz w:w="11900" w:h="16840"/>
          <w:pgMar w:header="714" w:footer="0" w:top="1200" w:bottom="280" w:left="780" w:right="1260"/>
        </w:sectPr>
      </w:pPr>
    </w:p>
    <w:p>
      <w:pPr>
        <w:pStyle w:val="BodyText"/>
        <w:spacing w:before="10"/>
        <w:rPr>
          <w:sz w:val="12"/>
        </w:rPr>
      </w:pPr>
    </w:p>
    <w:p>
      <w:pPr>
        <w:pStyle w:val="BodyText"/>
        <w:spacing w:before="90"/>
        <w:ind w:left="1024" w:right="605"/>
      </w:pPr>
      <w:r>
        <w:rPr/>
        <w:t>higher among those who had experienced hyperinflation. Of those born before 1940 as many as 90% agreed with the statement that “the control of inflation is one of the most important missions of German economic policy”, whereas only 51% of those born after 1950 agreed with the statement. Those who value health most are often those who have experienced sickness. There is a lesson here. The past decade has been good for central banks and central bankers. But that success should not blind us to the realisation that if public acceptance of price stability is based on no more than recent experience of the opposite, then the democratic legitimacy of central banks requires a more solid foundation.</w:t>
      </w:r>
    </w:p>
    <w:p>
      <w:pPr>
        <w:pStyle w:val="BodyText"/>
      </w:pPr>
    </w:p>
    <w:p>
      <w:pPr>
        <w:pStyle w:val="BodyText"/>
        <w:ind w:left="1024" w:right="583"/>
      </w:pPr>
      <w:r>
        <w:rPr/>
        <w:t>So how can we build the constituency for low inflation? Openness and transparency </w:t>
      </w:r>
      <w:r>
        <w:rPr>
          <w:spacing w:val="2"/>
        </w:rPr>
        <w:t>of </w:t>
      </w:r>
      <w:r>
        <w:rPr/>
        <w:t>the MPC, and explanations </w:t>
      </w:r>
      <w:r>
        <w:rPr>
          <w:spacing w:val="2"/>
        </w:rPr>
        <w:t>of </w:t>
      </w:r>
      <w:r>
        <w:rPr>
          <w:spacing w:val="3"/>
        </w:rPr>
        <w:t>our </w:t>
      </w:r>
      <w:r>
        <w:rPr/>
        <w:t>actions, are an essential part </w:t>
      </w:r>
      <w:r>
        <w:rPr>
          <w:spacing w:val="2"/>
        </w:rPr>
        <w:t>of </w:t>
      </w:r>
      <w:r>
        <w:rPr>
          <w:spacing w:val="3"/>
        </w:rPr>
        <w:t>our </w:t>
      </w:r>
      <w:r>
        <w:rPr/>
        <w:t>task. But we can do more. Over the past few months I have been chairing a working party in the Bank designed </w:t>
      </w:r>
      <w:r>
        <w:rPr>
          <w:spacing w:val="2"/>
        </w:rPr>
        <w:t>to </w:t>
      </w:r>
      <w:r>
        <w:rPr/>
        <w:t>answer the question </w:t>
      </w:r>
      <w:r>
        <w:rPr>
          <w:spacing w:val="2"/>
        </w:rPr>
        <w:t>of </w:t>
      </w:r>
      <w:r>
        <w:rPr/>
        <w:t>how we can build the constituency for low inflation. We have been exploring possible educational initiatives </w:t>
      </w:r>
      <w:r>
        <w:rPr>
          <w:spacing w:val="3"/>
        </w:rPr>
        <w:t>to </w:t>
      </w:r>
      <w:r>
        <w:rPr/>
        <w:t>increase public understanding </w:t>
      </w:r>
      <w:r>
        <w:rPr>
          <w:spacing w:val="3"/>
        </w:rPr>
        <w:t>of </w:t>
      </w:r>
      <w:r>
        <w:rPr/>
        <w:t>the benefits </w:t>
      </w:r>
      <w:r>
        <w:rPr>
          <w:spacing w:val="3"/>
        </w:rPr>
        <w:t>of </w:t>
      </w:r>
      <w:r>
        <w:rPr/>
        <w:t>monetary stability. And we have also been considering the way in which public </w:t>
      </w:r>
      <w:r>
        <w:rPr>
          <w:spacing w:val="5"/>
        </w:rPr>
        <w:t>opinion </w:t>
      </w:r>
      <w:r>
        <w:rPr/>
        <w:t>polls might be used </w:t>
      </w:r>
      <w:r>
        <w:rPr>
          <w:spacing w:val="3"/>
        </w:rPr>
        <w:t>to </w:t>
      </w:r>
      <w:r>
        <w:rPr/>
        <w:t>tell us about </w:t>
      </w:r>
      <w:r>
        <w:rPr>
          <w:spacing w:val="2"/>
        </w:rPr>
        <w:t>the </w:t>
      </w:r>
      <w:r>
        <w:rPr/>
        <w:t>degree </w:t>
      </w:r>
      <w:r>
        <w:rPr>
          <w:spacing w:val="2"/>
        </w:rPr>
        <w:t>of </w:t>
      </w:r>
      <w:r>
        <w:rPr/>
        <w:t>public understanding </w:t>
      </w:r>
      <w:r>
        <w:rPr>
          <w:spacing w:val="2"/>
        </w:rPr>
        <w:t>of </w:t>
      </w:r>
      <w:r>
        <w:rPr/>
        <w:t>the inflation target, the role </w:t>
      </w:r>
      <w:r>
        <w:rPr>
          <w:spacing w:val="2"/>
        </w:rPr>
        <w:t>of </w:t>
      </w:r>
      <w:r>
        <w:rPr/>
        <w:t>the MPC in achieving </w:t>
      </w:r>
      <w:r>
        <w:rPr>
          <w:spacing w:val="2"/>
        </w:rPr>
        <w:t>it, </w:t>
      </w:r>
      <w:r>
        <w:rPr/>
        <w:t>and, more generally, about the inflation process itself. I hope we shall be able </w:t>
      </w:r>
      <w:r>
        <w:rPr>
          <w:spacing w:val="3"/>
        </w:rPr>
        <w:t>to </w:t>
      </w:r>
      <w:r>
        <w:rPr/>
        <w:t>announce the results </w:t>
      </w:r>
      <w:r>
        <w:rPr>
          <w:spacing w:val="2"/>
        </w:rPr>
        <w:t>of </w:t>
      </w:r>
      <w:r>
        <w:rPr/>
        <w:t>those deliberations before long. The aim is </w:t>
      </w:r>
      <w:r>
        <w:rPr>
          <w:spacing w:val="3"/>
        </w:rPr>
        <w:t>to </w:t>
      </w:r>
      <w:r>
        <w:rPr/>
        <w:t>ensure that the inflation generation is replaced by a new generation, a generation for whom economic success will depend more </w:t>
      </w:r>
      <w:r>
        <w:rPr>
          <w:spacing w:val="2"/>
        </w:rPr>
        <w:t>on </w:t>
      </w:r>
      <w:r>
        <w:rPr/>
        <w:t>their </w:t>
      </w:r>
      <w:r>
        <w:rPr>
          <w:spacing w:val="3"/>
        </w:rPr>
        <w:t>own </w:t>
      </w:r>
      <w:r>
        <w:rPr/>
        <w:t>efforts than </w:t>
      </w:r>
      <w:r>
        <w:rPr>
          <w:spacing w:val="2"/>
        </w:rPr>
        <w:t>on </w:t>
      </w:r>
      <w:r>
        <w:rPr/>
        <w:t>the accidental consequences</w:t>
      </w:r>
      <w:r>
        <w:rPr>
          <w:spacing w:val="-7"/>
        </w:rPr>
        <w:t> </w:t>
      </w:r>
      <w:r>
        <w:rPr>
          <w:spacing w:val="3"/>
        </w:rPr>
        <w:t>of</w:t>
      </w:r>
      <w:r>
        <w:rPr>
          <w:spacing w:val="-3"/>
        </w:rPr>
        <w:t> </w:t>
      </w:r>
      <w:r>
        <w:rPr/>
        <w:t>high</w:t>
      </w:r>
      <w:r>
        <w:rPr>
          <w:spacing w:val="-6"/>
        </w:rPr>
        <w:t> </w:t>
      </w:r>
      <w:r>
        <w:rPr/>
        <w:t>and</w:t>
      </w:r>
      <w:r>
        <w:rPr>
          <w:spacing w:val="-7"/>
        </w:rPr>
        <w:t> </w:t>
      </w:r>
      <w:r>
        <w:rPr/>
        <w:t>unstable</w:t>
      </w:r>
      <w:r>
        <w:rPr>
          <w:spacing w:val="-7"/>
        </w:rPr>
        <w:t> </w:t>
      </w:r>
      <w:r>
        <w:rPr/>
        <w:t>inflation</w:t>
      </w:r>
      <w:r>
        <w:rPr>
          <w:spacing w:val="-7"/>
        </w:rPr>
        <w:t> </w:t>
      </w:r>
      <w:r>
        <w:rPr/>
        <w:t>for</w:t>
      </w:r>
      <w:r>
        <w:rPr>
          <w:spacing w:val="-6"/>
        </w:rPr>
        <w:t> </w:t>
      </w:r>
      <w:r>
        <w:rPr/>
        <w:t>the</w:t>
      </w:r>
      <w:r>
        <w:rPr>
          <w:spacing w:val="-7"/>
        </w:rPr>
        <w:t> </w:t>
      </w:r>
      <w:r>
        <w:rPr/>
        <w:t>distribution</w:t>
      </w:r>
      <w:r>
        <w:rPr>
          <w:spacing w:val="-7"/>
        </w:rPr>
        <w:t> </w:t>
      </w:r>
      <w:r>
        <w:rPr>
          <w:spacing w:val="3"/>
        </w:rPr>
        <w:t>of</w:t>
      </w:r>
      <w:r>
        <w:rPr>
          <w:spacing w:val="-2"/>
        </w:rPr>
        <w:t> </w:t>
      </w:r>
      <w:r>
        <w:rPr/>
        <w:t>wealth</w:t>
      </w:r>
      <w:r>
        <w:rPr>
          <w:spacing w:val="-7"/>
        </w:rPr>
        <w:t> </w:t>
      </w:r>
      <w:r>
        <w:rPr/>
        <w:t>–</w:t>
      </w:r>
      <w:r>
        <w:rPr>
          <w:spacing w:val="-1"/>
        </w:rPr>
        <w:t> </w:t>
      </w:r>
      <w:r>
        <w:rPr/>
        <w:t>whether</w:t>
      </w:r>
      <w:r>
        <w:rPr>
          <w:spacing w:val="-7"/>
        </w:rPr>
        <w:t> </w:t>
      </w:r>
      <w:r>
        <w:rPr/>
        <w:t>in housing, pensions </w:t>
      </w:r>
      <w:r>
        <w:rPr>
          <w:spacing w:val="3"/>
        </w:rPr>
        <w:t>or </w:t>
      </w:r>
      <w:r>
        <w:rPr/>
        <w:t>financial</w:t>
      </w:r>
      <w:r>
        <w:rPr>
          <w:spacing w:val="18"/>
        </w:rPr>
        <w:t> </w:t>
      </w:r>
      <w:r>
        <w:rPr/>
        <w:t>savings.</w:t>
      </w:r>
    </w:p>
    <w:p>
      <w:pPr>
        <w:pStyle w:val="BodyText"/>
        <w:spacing w:before="8"/>
      </w:pPr>
    </w:p>
    <w:p>
      <w:pPr>
        <w:pStyle w:val="Heading3"/>
        <w:numPr>
          <w:ilvl w:val="0"/>
          <w:numId w:val="1"/>
        </w:numPr>
        <w:tabs>
          <w:tab w:pos="1744" w:val="left" w:leader="none"/>
          <w:tab w:pos="1745" w:val="left" w:leader="none"/>
        </w:tabs>
        <w:spacing w:line="240" w:lineRule="auto" w:before="0" w:after="0"/>
        <w:ind w:left="1744" w:right="0" w:hanging="721"/>
        <w:jc w:val="left"/>
      </w:pPr>
      <w:r>
        <w:rPr/>
        <w:t>Conclusions</w:t>
      </w:r>
    </w:p>
    <w:p>
      <w:pPr>
        <w:pStyle w:val="BodyText"/>
        <w:spacing w:before="6"/>
        <w:rPr>
          <w:b/>
          <w:sz w:val="23"/>
        </w:rPr>
      </w:pPr>
    </w:p>
    <w:p>
      <w:pPr>
        <w:pStyle w:val="BodyText"/>
        <w:spacing w:before="1"/>
        <w:ind w:left="1024" w:right="791"/>
      </w:pPr>
      <w:r>
        <w:rPr/>
        <w:t>So what should we make of the Monetary Policy Committee after two years? As all parents know, second birthdays are often the prelude to a difficult period: the “terrible twos”. But I am confident that, whatever difficulties lie ahead, the Chancellor will be able to take some pride in his offspring. Philip Ziegler has described the British constitution as an accumulation of “instantly invented</w:t>
      </w:r>
    </w:p>
    <w:p>
      <w:pPr>
        <w:pStyle w:val="BodyText"/>
        <w:ind w:left="1024" w:right="542"/>
        <w:jc w:val="both"/>
      </w:pPr>
      <w:r>
        <w:rPr/>
        <w:t>precedents”. Indeed, there is a tradition in the UK of making radical reforms in such a way that it is impossible, after a few years, to imagine that things were done any other way. That I predict will be true of the MPC.</w:t>
      </w:r>
    </w:p>
    <w:p>
      <w:pPr>
        <w:pStyle w:val="BodyText"/>
        <w:spacing w:before="9"/>
        <w:rPr>
          <w:sz w:val="23"/>
        </w:rPr>
      </w:pPr>
    </w:p>
    <w:p>
      <w:pPr>
        <w:pStyle w:val="BodyText"/>
        <w:ind w:left="1024" w:right="613"/>
      </w:pPr>
      <w:r>
        <w:rPr/>
        <w:t>The</w:t>
      </w:r>
      <w:r>
        <w:rPr>
          <w:spacing w:val="-4"/>
        </w:rPr>
        <w:t> </w:t>
      </w:r>
      <w:r>
        <w:rPr/>
        <w:t>whole</w:t>
      </w:r>
      <w:r>
        <w:rPr>
          <w:spacing w:val="-6"/>
        </w:rPr>
        <w:t> </w:t>
      </w:r>
      <w:r>
        <w:rPr/>
        <w:t>monetary</w:t>
      </w:r>
      <w:r>
        <w:rPr>
          <w:spacing w:val="-7"/>
        </w:rPr>
        <w:t> </w:t>
      </w:r>
      <w:r>
        <w:rPr/>
        <w:t>policy</w:t>
      </w:r>
      <w:r>
        <w:rPr>
          <w:spacing w:val="-6"/>
        </w:rPr>
        <w:t> </w:t>
      </w:r>
      <w:r>
        <w:rPr/>
        <w:t>process</w:t>
      </w:r>
      <w:r>
        <w:rPr>
          <w:spacing w:val="-6"/>
        </w:rPr>
        <w:t> </w:t>
      </w:r>
      <w:r>
        <w:rPr/>
        <w:t>is</w:t>
      </w:r>
      <w:r>
        <w:rPr>
          <w:spacing w:val="-6"/>
        </w:rPr>
        <w:t> </w:t>
      </w:r>
      <w:r>
        <w:rPr/>
        <w:t>today</w:t>
      </w:r>
      <w:r>
        <w:rPr>
          <w:spacing w:val="-6"/>
        </w:rPr>
        <w:t> </w:t>
      </w:r>
      <w:r>
        <w:rPr/>
        <w:t>systematic</w:t>
      </w:r>
      <w:r>
        <w:rPr>
          <w:spacing w:val="-6"/>
        </w:rPr>
        <w:t> </w:t>
      </w:r>
      <w:r>
        <w:rPr/>
        <w:t>and</w:t>
      </w:r>
      <w:r>
        <w:rPr>
          <w:spacing w:val="-6"/>
        </w:rPr>
        <w:t> </w:t>
      </w:r>
      <w:r>
        <w:rPr/>
        <w:t>professional</w:t>
      </w:r>
      <w:r>
        <w:rPr>
          <w:spacing w:val="-7"/>
        </w:rPr>
        <w:t> </w:t>
      </w:r>
      <w:r>
        <w:rPr/>
        <w:t>in</w:t>
      </w:r>
      <w:r>
        <w:rPr>
          <w:spacing w:val="-6"/>
        </w:rPr>
        <w:t> </w:t>
      </w:r>
      <w:r>
        <w:rPr/>
        <w:t>a</w:t>
      </w:r>
      <w:r>
        <w:rPr>
          <w:spacing w:val="-6"/>
        </w:rPr>
        <w:t> </w:t>
      </w:r>
      <w:r>
        <w:rPr/>
        <w:t>way</w:t>
      </w:r>
      <w:r>
        <w:rPr>
          <w:spacing w:val="-6"/>
        </w:rPr>
        <w:t> </w:t>
      </w:r>
      <w:r>
        <w:rPr/>
        <w:t>that was unimaginable less than ten years ago. </w:t>
      </w:r>
      <w:r>
        <w:rPr>
          <w:spacing w:val="2"/>
        </w:rPr>
        <w:t>Then, </w:t>
      </w:r>
      <w:r>
        <w:rPr/>
        <w:t>meetings between the Chancellor and</w:t>
      </w:r>
      <w:r>
        <w:rPr>
          <w:spacing w:val="-5"/>
        </w:rPr>
        <w:t> </w:t>
      </w:r>
      <w:r>
        <w:rPr/>
        <w:t>Governor</w:t>
      </w:r>
      <w:r>
        <w:rPr>
          <w:spacing w:val="-5"/>
        </w:rPr>
        <w:t> </w:t>
      </w:r>
      <w:r>
        <w:rPr>
          <w:spacing w:val="2"/>
        </w:rPr>
        <w:t>to</w:t>
      </w:r>
      <w:r>
        <w:rPr/>
        <w:t> discuss</w:t>
      </w:r>
      <w:r>
        <w:rPr>
          <w:spacing w:val="-5"/>
        </w:rPr>
        <w:t> </w:t>
      </w:r>
      <w:r>
        <w:rPr/>
        <w:t>interest rates</w:t>
      </w:r>
      <w:r>
        <w:rPr>
          <w:spacing w:val="-4"/>
        </w:rPr>
        <w:t> </w:t>
      </w:r>
      <w:r>
        <w:rPr/>
        <w:t>were</w:t>
      </w:r>
      <w:r>
        <w:rPr>
          <w:spacing w:val="-5"/>
        </w:rPr>
        <w:t> </w:t>
      </w:r>
      <w:r>
        <w:rPr>
          <w:spacing w:val="4"/>
        </w:rPr>
        <w:t>often</w:t>
      </w:r>
      <w:r>
        <w:rPr/>
        <w:t> called</w:t>
      </w:r>
      <w:r>
        <w:rPr>
          <w:spacing w:val="-5"/>
        </w:rPr>
        <w:t> </w:t>
      </w:r>
      <w:r>
        <w:rPr/>
        <w:t>at </w:t>
      </w:r>
      <w:r>
        <w:rPr>
          <w:spacing w:val="3"/>
        </w:rPr>
        <w:t>only</w:t>
      </w:r>
      <w:r>
        <w:rPr>
          <w:spacing w:val="-1"/>
        </w:rPr>
        <w:t> </w:t>
      </w:r>
      <w:r>
        <w:rPr/>
        <w:t>a</w:t>
      </w:r>
      <w:r>
        <w:rPr>
          <w:spacing w:val="-5"/>
        </w:rPr>
        <w:t> </w:t>
      </w:r>
      <w:r>
        <w:rPr/>
        <w:t>few</w:t>
      </w:r>
      <w:r>
        <w:rPr>
          <w:spacing w:val="-4"/>
        </w:rPr>
        <w:t> </w:t>
      </w:r>
      <w:r>
        <w:rPr/>
        <w:t>hours</w:t>
      </w:r>
      <w:r>
        <w:rPr>
          <w:spacing w:val="-5"/>
        </w:rPr>
        <w:t> </w:t>
      </w:r>
      <w:r>
        <w:rPr/>
        <w:t>notice.</w:t>
      </w:r>
    </w:p>
    <w:p>
      <w:pPr>
        <w:pStyle w:val="BodyText"/>
        <w:spacing w:before="2"/>
        <w:ind w:left="1024" w:right="582"/>
      </w:pPr>
      <w:r>
        <w:rPr/>
        <w:t>Now, analysis, meetings of the MPC and the publication of both the decision and the reasons for it, proceed on a pre-announced timetable. The change has significantly reduced the uncertainty facing financial markets and enhanced the quality of the decisions themselves. It is a massive improvement, and one which has earned the UK a good deal of respect on the international stage, as judged by the Article IV reports from the IMF and the convergence reports of the European Union.</w:t>
      </w:r>
    </w:p>
    <w:p>
      <w:pPr>
        <w:pStyle w:val="BodyText"/>
        <w:spacing w:before="9"/>
        <w:rPr>
          <w:sz w:val="23"/>
        </w:rPr>
      </w:pPr>
    </w:p>
    <w:p>
      <w:pPr>
        <w:pStyle w:val="BodyText"/>
        <w:spacing w:before="1"/>
        <w:ind w:left="1024" w:right="582"/>
      </w:pPr>
      <w:r>
        <w:rPr/>
        <w:t>Shortly after Robert Rubin announced last week his impending departure as US Treasury Secretary, he gave the Commencement Address at New York University. In it he stated the four principles for decision-making that had guided him during his career. They encapsulate exactly the philosophy of the MPC. First, the only certainty</w:t>
      </w:r>
    </w:p>
    <w:p>
      <w:pPr>
        <w:spacing w:after="0"/>
        <w:sectPr>
          <w:pgSz w:w="11900" w:h="16840"/>
          <w:pgMar w:header="714" w:footer="0" w:top="1200" w:bottom="280" w:left="780" w:right="1260"/>
        </w:sectPr>
      </w:pPr>
    </w:p>
    <w:p>
      <w:pPr>
        <w:pStyle w:val="BodyText"/>
        <w:spacing w:before="10"/>
        <w:rPr>
          <w:sz w:val="12"/>
        </w:rPr>
      </w:pPr>
    </w:p>
    <w:p>
      <w:pPr>
        <w:pStyle w:val="BodyText"/>
        <w:spacing w:before="90"/>
        <w:ind w:left="1024" w:right="610"/>
      </w:pPr>
      <w:r>
        <w:rPr/>
        <w:t>is that there is no certainty. Second, every decision is a matter </w:t>
      </w:r>
      <w:r>
        <w:rPr>
          <w:spacing w:val="2"/>
        </w:rPr>
        <w:t>of </w:t>
      </w:r>
      <w:r>
        <w:rPr/>
        <w:t>weighing probabilities, </w:t>
      </w:r>
      <w:r>
        <w:rPr>
          <w:spacing w:val="2"/>
        </w:rPr>
        <w:t>or </w:t>
      </w:r>
      <w:r>
        <w:rPr/>
        <w:t>the balance </w:t>
      </w:r>
      <w:r>
        <w:rPr>
          <w:spacing w:val="2"/>
        </w:rPr>
        <w:t>of </w:t>
      </w:r>
      <w:r>
        <w:rPr/>
        <w:t>risks, as we say. </w:t>
      </w:r>
      <w:r>
        <w:rPr>
          <w:spacing w:val="2"/>
        </w:rPr>
        <w:t>Third, </w:t>
      </w:r>
      <w:r>
        <w:rPr/>
        <w:t>despite uncertainty we have </w:t>
      </w:r>
      <w:r>
        <w:rPr>
          <w:spacing w:val="3"/>
        </w:rPr>
        <w:t>to </w:t>
      </w:r>
      <w:r>
        <w:rPr/>
        <w:t>decide and act. Fourth, decisions should be judged not </w:t>
      </w:r>
      <w:r>
        <w:rPr>
          <w:spacing w:val="3"/>
        </w:rPr>
        <w:t>only </w:t>
      </w:r>
      <w:r>
        <w:rPr>
          <w:spacing w:val="2"/>
        </w:rPr>
        <w:t>on </w:t>
      </w:r>
      <w:r>
        <w:rPr/>
        <w:t>the results but also </w:t>
      </w:r>
      <w:r>
        <w:rPr>
          <w:spacing w:val="3"/>
        </w:rPr>
        <w:t>on </w:t>
      </w:r>
      <w:r>
        <w:rPr/>
        <w:t>how they were made.  The first three principles guide every meeting </w:t>
      </w:r>
      <w:r>
        <w:rPr>
          <w:spacing w:val="2"/>
        </w:rPr>
        <w:t>of </w:t>
      </w:r>
      <w:r>
        <w:rPr/>
        <w:t>the MPC. And the fourth is </w:t>
      </w:r>
      <w:r>
        <w:rPr>
          <w:spacing w:val="3"/>
        </w:rPr>
        <w:t>one </w:t>
      </w:r>
      <w:r>
        <w:rPr/>
        <w:t>I commend </w:t>
      </w:r>
      <w:r>
        <w:rPr>
          <w:spacing w:val="2"/>
        </w:rPr>
        <w:t>to </w:t>
      </w:r>
      <w:r>
        <w:rPr/>
        <w:t>all those who wish </w:t>
      </w:r>
      <w:r>
        <w:rPr>
          <w:spacing w:val="2"/>
        </w:rPr>
        <w:t>to </w:t>
      </w:r>
      <w:r>
        <w:rPr/>
        <w:t>make their </w:t>
      </w:r>
      <w:r>
        <w:rPr>
          <w:spacing w:val="3"/>
        </w:rPr>
        <w:t>own </w:t>
      </w:r>
      <w:r>
        <w:rPr/>
        <w:t>judgment about the MPC two years</w:t>
      </w:r>
      <w:r>
        <w:rPr>
          <w:spacing w:val="2"/>
        </w:rPr>
        <w:t> on.</w:t>
      </w:r>
    </w:p>
    <w:p>
      <w:pPr>
        <w:pStyle w:val="BodyText"/>
        <w:spacing w:before="2"/>
      </w:pPr>
    </w:p>
    <w:p>
      <w:pPr>
        <w:pStyle w:val="BodyText"/>
        <w:spacing w:before="1"/>
        <w:ind w:left="1024" w:right="721"/>
      </w:pPr>
      <w:r>
        <w:rPr/>
        <w:t>Institutions matter. The Bank </w:t>
      </w:r>
      <w:r>
        <w:rPr>
          <w:spacing w:val="2"/>
        </w:rPr>
        <w:t>of </w:t>
      </w:r>
      <w:r>
        <w:rPr/>
        <w:t>England is an </w:t>
      </w:r>
      <w:r>
        <w:rPr>
          <w:spacing w:val="3"/>
        </w:rPr>
        <w:t>old </w:t>
      </w:r>
      <w:r>
        <w:rPr/>
        <w:t>institution. But its success has been based </w:t>
      </w:r>
      <w:r>
        <w:rPr>
          <w:spacing w:val="2"/>
        </w:rPr>
        <w:t>on </w:t>
      </w:r>
      <w:r>
        <w:rPr/>
        <w:t>its willingness </w:t>
      </w:r>
      <w:r>
        <w:rPr>
          <w:spacing w:val="3"/>
        </w:rPr>
        <w:t>to </w:t>
      </w:r>
      <w:r>
        <w:rPr/>
        <w:t>change and adapt. In its three hundred-year history probably no change has been as significant as </w:t>
      </w:r>
      <w:r>
        <w:rPr>
          <w:spacing w:val="5"/>
        </w:rPr>
        <w:t>operational </w:t>
      </w:r>
      <w:r>
        <w:rPr/>
        <w:t>independence and </w:t>
      </w:r>
      <w:r>
        <w:rPr>
          <w:spacing w:val="2"/>
        </w:rPr>
        <w:t>the </w:t>
      </w:r>
      <w:r>
        <w:rPr/>
        <w:t>creation </w:t>
      </w:r>
      <w:r>
        <w:rPr>
          <w:spacing w:val="2"/>
        </w:rPr>
        <w:t>of </w:t>
      </w:r>
      <w:r>
        <w:rPr/>
        <w:t>the Monetary Policy Committee. The Bank aims </w:t>
      </w:r>
      <w:r>
        <w:rPr>
          <w:spacing w:val="2"/>
        </w:rPr>
        <w:t>to </w:t>
      </w:r>
      <w:r>
        <w:rPr/>
        <w:t>be at the forefront </w:t>
      </w:r>
      <w:r>
        <w:rPr>
          <w:spacing w:val="3"/>
        </w:rPr>
        <w:t>of </w:t>
      </w:r>
      <w:r>
        <w:rPr/>
        <w:t>the theory and practice </w:t>
      </w:r>
      <w:r>
        <w:rPr>
          <w:spacing w:val="2"/>
        </w:rPr>
        <w:t>of </w:t>
      </w:r>
      <w:r>
        <w:rPr/>
        <w:t>monetary policy. But we cannot rest </w:t>
      </w:r>
      <w:r>
        <w:rPr>
          <w:spacing w:val="2"/>
        </w:rPr>
        <w:t>on </w:t>
      </w:r>
      <w:r>
        <w:rPr>
          <w:spacing w:val="3"/>
        </w:rPr>
        <w:t>our </w:t>
      </w:r>
      <w:r>
        <w:rPr/>
        <w:t>laurels. There is still much </w:t>
      </w:r>
      <w:r>
        <w:rPr>
          <w:spacing w:val="3"/>
        </w:rPr>
        <w:t>to </w:t>
      </w:r>
      <w:r>
        <w:rPr/>
        <w:t>learn and </w:t>
      </w:r>
      <w:r>
        <w:rPr>
          <w:spacing w:val="3"/>
        </w:rPr>
        <w:t>to </w:t>
      </w:r>
      <w:r>
        <w:rPr/>
        <w:t>change. </w:t>
      </w:r>
      <w:r>
        <w:rPr>
          <w:spacing w:val="2"/>
        </w:rPr>
        <w:t>Economic </w:t>
      </w:r>
      <w:r>
        <w:rPr/>
        <w:t>theory moves forward and economic behaviour is never constant. The practice </w:t>
      </w:r>
      <w:r>
        <w:rPr>
          <w:spacing w:val="2"/>
        </w:rPr>
        <w:t>of </w:t>
      </w:r>
      <w:r>
        <w:rPr/>
        <w:t>monetary policy must keep up. But what we will not change is </w:t>
      </w:r>
      <w:r>
        <w:rPr>
          <w:spacing w:val="3"/>
        </w:rPr>
        <w:t>our </w:t>
      </w:r>
      <w:r>
        <w:rPr/>
        <w:t>commitment </w:t>
      </w:r>
      <w:r>
        <w:rPr>
          <w:spacing w:val="3"/>
        </w:rPr>
        <w:t>to </w:t>
      </w:r>
      <w:r>
        <w:rPr/>
        <w:t>monetary stability and </w:t>
      </w:r>
      <w:r>
        <w:rPr>
          <w:spacing w:val="3"/>
        </w:rPr>
        <w:t>to </w:t>
      </w:r>
      <w:r>
        <w:rPr/>
        <w:t>the achievement </w:t>
      </w:r>
      <w:r>
        <w:rPr>
          <w:spacing w:val="3"/>
        </w:rPr>
        <w:t>of </w:t>
      </w:r>
      <w:r>
        <w:rPr/>
        <w:t>the Government’s inflation target. It is that commitment which can deliver economic stability </w:t>
      </w:r>
      <w:r>
        <w:rPr>
          <w:spacing w:val="3"/>
        </w:rPr>
        <w:t>to </w:t>
      </w:r>
      <w:r>
        <w:rPr/>
        <w:t>this</w:t>
      </w:r>
      <w:r>
        <w:rPr>
          <w:spacing w:val="11"/>
        </w:rPr>
        <w:t> </w:t>
      </w:r>
      <w:r>
        <w:rPr/>
        <w:t>country.</w:t>
      </w:r>
    </w:p>
    <w:p>
      <w:pPr>
        <w:spacing w:after="0"/>
        <w:sectPr>
          <w:pgSz w:w="11900" w:h="16840"/>
          <w:pgMar w:header="714" w:footer="0" w:top="1200" w:bottom="280" w:left="78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spacing w:before="82"/>
        <w:ind w:left="0" w:right="603" w:firstLine="0"/>
        <w:jc w:val="center"/>
        <w:rPr>
          <w:sz w:val="44"/>
        </w:rPr>
      </w:pPr>
      <w:r>
        <w:rPr>
          <w:sz w:val="44"/>
        </w:rPr>
        <w:t>THE MPC TWO YEARS ON</w:t>
      </w:r>
    </w:p>
    <w:p>
      <w:pPr>
        <w:pStyle w:val="BodyText"/>
        <w:spacing w:before="8"/>
        <w:rPr>
          <w:sz w:val="51"/>
        </w:rPr>
      </w:pPr>
    </w:p>
    <w:p>
      <w:pPr>
        <w:pStyle w:val="Heading1"/>
        <w:ind w:right="615"/>
      </w:pPr>
      <w:r>
        <w:rPr/>
        <w:t>Mervyn King</w:t>
      </w:r>
    </w:p>
    <w:p>
      <w:pPr>
        <w:spacing w:before="93"/>
        <w:ind w:left="0" w:right="613" w:firstLine="0"/>
        <w:jc w:val="center"/>
        <w:rPr>
          <w:sz w:val="32"/>
        </w:rPr>
      </w:pPr>
      <w:r>
        <w:rPr>
          <w:sz w:val="32"/>
        </w:rPr>
        <w:t>Deputy Governor, Bank of England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2"/>
        <w:ind w:left="2464"/>
      </w:pPr>
      <w:r>
        <w:rPr/>
        <w:t>Chart 1: RPIX inflation</w:t>
      </w:r>
    </w:p>
    <w:p>
      <w:pPr>
        <w:spacing w:before="25"/>
        <w:ind w:left="4581" w:right="1294" w:firstLine="0"/>
        <w:jc w:val="center"/>
        <w:rPr>
          <w:sz w:val="16"/>
        </w:rPr>
      </w:pPr>
      <w:r>
        <w:rPr/>
        <w:pict>
          <v:group style="position:absolute;margin-left:167.279999pt;margin-top:5.478749pt;width:192.75pt;height:137.8pt;mso-position-horizontal-relative:page;mso-position-vertical-relative:paragraph;z-index:251661312" coordorigin="3346,110" coordsize="3855,2756">
            <v:shape style="position:absolute;left:3355;top:111;width:3845;height:2751" coordorigin="3355,112" coordsize="3845,2751" path="m7152,112l7152,2862m7152,2862l7200,2862m7152,2589l7200,2589m7152,2315l7200,2315m7152,2037l7200,2037m7152,1763l7200,1763m7152,1485l7200,1485m7152,1216l7200,1216m7152,938l7200,938m7152,664l7200,664m7152,390l7200,390m7152,112l7200,112m3355,2862l7152,2862m3355,2862l3355,2810m3768,2862l3768,2810m4186,2862l4186,2810m4598,2862l4598,2810m5011,2862l5011,2810m5429,2862l5429,2810m5842,2862l5842,2810m6254,2862l6254,2810m6672,2862l6672,2810m7085,2862l7085,2810e" filled="false" stroked="true" strokeweight=".24pt" strokecolor="#000000">
              <v:path arrowok="t"/>
              <v:stroke dashstyle="solid"/>
            </v:shape>
            <v:shape style="position:absolute;left:3345;top:678;width:130;height:514" coordorigin="3346,678" coordsize="130,514" path="m3398,1178l3379,1144,3346,1158,3365,1192,3398,1178m3475,683l3437,678,3404,1133,3384,1144,3398,1178,3432,1163,3426,1146,3446,1149,3475,683e" filled="true" fillcolor="#000080" stroked="false">
              <v:path arrowok="t"/>
              <v:fill type="solid"/>
            </v:shape>
            <v:shape style="position:absolute;left:3441;top:236;width:413;height:452" type="#_x0000_t75" stroked="false">
              <v:imagedata r:id="rId8" o:title=""/>
            </v:shape>
            <v:shape style="position:absolute;left:3816;top:543;width:3356;height:1791" coordorigin="3816,544" coordsize="3356,1791" path="m4032,1144l3994,995,3977,1000,3989,986,3955,962,3944,977,3926,966,3902,1006,3892,995,3859,544,3816,549,3854,1000,3876,1000,3859,1014,3888,1053,3908,1039,3926,1048,3949,1006,3962,1013,3994,1154,4032,1144m4339,1398l4310,1283,4289,1289,4291,1269,4253,1264,4250,1284,4238,1274,4215,1297,4197,1294,4166,1259,4153,1269,4142,1250,4104,1274,4114,1292,4094,1283,4078,1314,4064,1293,4066,1293,4032,1149,3994,1158,4027,1302,4046,1298,4032,1307,4066,1365,4081,1356,4099,1365,4124,1307,4142,1295,4166,1326,4183,1312,4181,1336,4214,1341,4217,1319,4234,1336,4262,1304,4275,1306,4301,1408,4339,1398m4373,1533l4344,1398,4306,1408,4339,1542,4373,1533m4474,1744l4444,1706,4445,1706,4411,1638,4373,1533,4339,1547,4373,1653,4406,1720,4426,1713,4411,1725,4445,1768,4474,1744m4512,1792l4478,1749,4445,1768,4478,1816,4512,1792m4646,1950l4613,1926,4608,1932,4584,1845,4561,1850,4550,1835,4537,1846,4512,1797,4478,1816,4512,1883,4531,1873,4541,1888,4553,1881,4579,1979,4598,1974,4613,1989,4646,1950m5376,2248l5342,2234,5314,2291,5302,2284,5270,2229,5253,2239,5246,2224,5229,2231,5203,2190,5185,2201,5194,2181,5160,2162,5150,2180,5131,2166,5113,2190,5101,2182,5069,2080,5047,2088,5050,2066,5016,2061,5013,2084,4997,2070,4963,2114,4949,2130,4930,2075,4928,2076,4891,1955,4875,1960,4858,1946,4824,1984,4843,1998,4819,1989,4789,2062,4769,2078,4747,2066,4734,2088,4738,2061,4716,2058,4690,1898,4671,1902,4651,1888,4618,1926,4646,1950,4657,1939,4685,2080,4704,2077,4704,2099,4728,2099,4762,2118,4771,2102,4781,2118,4814,2094,4802,2076,4824,2085,4856,2007,4858,2008,4866,1997,4891,2090,4925,2171,4943,2163,4958,2176,4992,2138,5018,2104,5034,2104,5064,2195,5082,2191,5069,2210,5107,2234,5117,2217,5131,2229,5155,2202,5170,2210,5198,2262,5220,2251,5232,2272,5247,2265,5270,2306,5293,2293,5280,2315,5314,2334,5321,2317,5342,2325,5376,2248m5683,2075l5654,2051,5630,2072,5606,2066,5599,2084,5582,2070,5550,2108,5536,2113,5510,2080,5497,2091,5482,2075,5455,2102,5438,2090,5431,2103,5410,2094,5371,2176,5375,2177,5342,2229,5376,2248,5410,2195,5385,2181,5410,2190,5433,2133,5448,2142,5460,2128,5477,2142,5494,2123,5510,2147,5530,2133,5539,2157,5573,2138,5566,2121,5582,2133,5602,2107,5626,2114,5633,2093,5650,2109,5683,2075m6341,2123l6307,2066,6274,2003,6254,2014,6254,1994,6229,1997,6202,1946,6187,1954,6187,1936,6154,1936,6154,1954,6134,1946,6096,2042,6074,2064,6048,2061,6045,2082,6034,2066,6005,2085,5987,2085,5962,2051,5944,2063,5947,2042,5909,2037,5907,2051,5899,2037,5866,2056,5866,2057,5845,2063,5822,2037,5807,2050,5798,2027,5770,2044,5770,2042,5745,2042,5722,1998,5704,2007,5688,1998,5654,2051,5683,2070,5701,2046,5717,2070,5736,2059,5736,2080,5770,2080,5770,2058,5779,2080,5796,2073,5822,2099,5841,2081,5846,2104,5885,2090,5909,2076,5931,2079,5962,2114,5976,2102,5976,2123,6014,2123,6014,2102,6024,2118,6055,2101,6082,2104,6084,2087,6096,2099,6130,2066,6111,2047,6134,2056,6163,1976,6175,1977,6202,2027,6221,2016,6221,2037,6247,2037,6269,2085,6307,2142,6341,2123m6442,2133l6408,2114,6384,2157,6367,2157,6341,2123,6312,2147,6341,2186,6360,2175,6360,2195,6394,2195,6394,2176,6408,2186,6442,2133m6648,2118l6614,2080,6600,2094,6600,2070,6566,2070,6566,2095,6552,2075,6536,2086,6506,2071,6480,2037,6462,2049,6442,2042,6408,2114,6446,2133,6467,2085,6480,2099,6496,2085,6485,2109,6518,2128,6532,2106,6547,2128,6569,2114,6590,2114,6619,2142,6648,2118m6946,2142l6922,2142,6886,2125,6859,2080,6858,2081,6826,1979,6811,1983,6787,1970,6754,2042,6773,2051,6754,2046,6725,2133,6701,2133,6701,2150,6686,2138,6672,2154,6653,2123,6619,2142,6653,2195,6671,2185,6686,2200,6715,2171,6734,2171,6734,2153,6758,2162,6791,2060,6792,2061,6802,2036,6821,2099,6845,2090,6826,2104,6859,2147,6877,2135,6864,2162,6902,2181,6912,2162,6912,2181,6941,2186,6946,2142m7056,2171l7042,2133,7013,2144,7013,2142,6979,2142,6946,2142,6946,2186,6979,2186,7013,2186,7013,2166,7022,2186,7056,2171m7171,2123l7133,2109,7114,2158,7099,2138,7083,2147,7080,2123,7046,2128,7056,2171,7074,2168,7104,2210,7117,2202,7138,2210,7171,2123e" filled="true" fillcolor="#000080" stroked="false">
              <v:path arrowok="t"/>
              <v:fill type="solid"/>
            </v:shape>
            <w10:wrap type="none"/>
          </v:group>
        </w:pict>
      </w:r>
      <w:r>
        <w:rPr>
          <w:sz w:val="16"/>
        </w:rPr>
        <w:t>10</w:t>
      </w:r>
    </w:p>
    <w:p>
      <w:pPr>
        <w:spacing w:before="89"/>
        <w:ind w:left="3204" w:right="0" w:firstLine="0"/>
        <w:jc w:val="center"/>
        <w:rPr>
          <w:sz w:val="16"/>
        </w:rPr>
      </w:pPr>
      <w:r>
        <w:rPr>
          <w:sz w:val="16"/>
        </w:rPr>
        <w:t>9</w:t>
      </w:r>
    </w:p>
    <w:p>
      <w:pPr>
        <w:spacing w:before="90"/>
        <w:ind w:left="3204" w:right="0" w:firstLine="0"/>
        <w:jc w:val="center"/>
        <w:rPr>
          <w:sz w:val="16"/>
        </w:rPr>
      </w:pPr>
      <w:r>
        <w:rPr>
          <w:sz w:val="16"/>
        </w:rPr>
        <w:t>8</w:t>
      </w:r>
    </w:p>
    <w:p>
      <w:pPr>
        <w:spacing w:before="94"/>
        <w:ind w:left="3204" w:right="0" w:firstLine="0"/>
        <w:jc w:val="center"/>
        <w:rPr>
          <w:sz w:val="16"/>
        </w:rPr>
      </w:pPr>
      <w:r>
        <w:rPr/>
        <w:pict>
          <v:shape style="position:absolute;margin-left:373.133575pt;margin-top:9.884547pt;width:12.3pt;height:31.3pt;mso-position-horizontal-relative:page;mso-position-vertical-relative:paragraph;z-index:251662336" type="#_x0000_t202" filled="false" stroked="false">
            <v:textbox inset="0,0,0,0" style="layout-flow:vertical">
              <w:txbxContent>
                <w:p>
                  <w:pPr>
                    <w:spacing w:before="8"/>
                    <w:ind w:left="20" w:right="0" w:firstLine="0"/>
                    <w:jc w:val="left"/>
                    <w:rPr>
                      <w:sz w:val="18"/>
                    </w:rPr>
                  </w:pPr>
                  <w:r>
                    <w:rPr>
                      <w:sz w:val="18"/>
                    </w:rPr>
                    <w:t>Per cen</w:t>
                  </w:r>
                  <w:r>
                    <w:rPr>
                      <w:position w:val="1"/>
                      <w:sz w:val="18"/>
                    </w:rPr>
                    <w:t>t</w:t>
                  </w:r>
                </w:p>
              </w:txbxContent>
            </v:textbox>
            <w10:wrap type="none"/>
          </v:shape>
        </w:pict>
      </w:r>
      <w:r>
        <w:rPr>
          <w:sz w:val="16"/>
        </w:rPr>
        <w:t>7</w:t>
      </w:r>
    </w:p>
    <w:p>
      <w:pPr>
        <w:spacing w:before="90"/>
        <w:ind w:left="3204" w:right="0" w:firstLine="0"/>
        <w:jc w:val="center"/>
        <w:rPr>
          <w:sz w:val="16"/>
        </w:rPr>
      </w:pPr>
      <w:r>
        <w:rPr>
          <w:sz w:val="16"/>
        </w:rPr>
        <w:t>6</w:t>
      </w:r>
    </w:p>
    <w:p>
      <w:pPr>
        <w:spacing w:before="90"/>
        <w:ind w:left="3204" w:right="0" w:firstLine="0"/>
        <w:jc w:val="center"/>
        <w:rPr>
          <w:sz w:val="16"/>
        </w:rPr>
      </w:pPr>
      <w:r>
        <w:rPr>
          <w:sz w:val="16"/>
        </w:rPr>
        <w:t>5</w:t>
      </w:r>
    </w:p>
    <w:p>
      <w:pPr>
        <w:spacing w:before="89"/>
        <w:ind w:left="3204" w:right="0" w:firstLine="0"/>
        <w:jc w:val="center"/>
        <w:rPr>
          <w:sz w:val="16"/>
        </w:rPr>
      </w:pPr>
      <w:r>
        <w:rPr>
          <w:sz w:val="16"/>
        </w:rPr>
        <w:t>4</w:t>
      </w:r>
    </w:p>
    <w:p>
      <w:pPr>
        <w:spacing w:before="95"/>
        <w:ind w:left="3204" w:right="0" w:firstLine="0"/>
        <w:jc w:val="center"/>
        <w:rPr>
          <w:sz w:val="16"/>
        </w:rPr>
      </w:pPr>
      <w:r>
        <w:rPr>
          <w:sz w:val="16"/>
        </w:rPr>
        <w:t>3</w:t>
      </w:r>
    </w:p>
    <w:p>
      <w:pPr>
        <w:spacing w:before="89"/>
        <w:ind w:left="3204" w:right="0" w:firstLine="0"/>
        <w:jc w:val="center"/>
        <w:rPr>
          <w:sz w:val="16"/>
        </w:rPr>
      </w:pPr>
      <w:r>
        <w:rPr>
          <w:sz w:val="16"/>
        </w:rPr>
        <w:t>2</w:t>
      </w:r>
    </w:p>
    <w:p>
      <w:pPr>
        <w:spacing w:before="90"/>
        <w:ind w:left="3204" w:right="0" w:firstLine="0"/>
        <w:jc w:val="center"/>
        <w:rPr>
          <w:sz w:val="16"/>
        </w:rPr>
      </w:pPr>
      <w:r>
        <w:rPr>
          <w:sz w:val="16"/>
        </w:rPr>
        <w:t>1</w:t>
      </w:r>
    </w:p>
    <w:p>
      <w:pPr>
        <w:spacing w:before="90"/>
        <w:ind w:left="3204" w:right="0" w:firstLine="0"/>
        <w:jc w:val="center"/>
        <w:rPr>
          <w:sz w:val="16"/>
        </w:rPr>
      </w:pPr>
      <w:r>
        <w:rPr>
          <w:sz w:val="16"/>
        </w:rPr>
        <w:t>0</w:t>
      </w:r>
    </w:p>
    <w:p>
      <w:pPr>
        <w:spacing w:before="56"/>
        <w:ind w:left="0" w:right="931" w:firstLine="0"/>
        <w:jc w:val="center"/>
        <w:rPr>
          <w:sz w:val="16"/>
        </w:rPr>
      </w:pPr>
      <w:r>
        <w:rPr>
          <w:sz w:val="16"/>
        </w:rPr>
        <w:t>1990 1991 1992 1993 1994 1995 1996 1997 1998 1999</w:t>
      </w:r>
    </w:p>
    <w:p>
      <w:pPr>
        <w:spacing w:after="0"/>
        <w:jc w:val="center"/>
        <w:rPr>
          <w:sz w:val="16"/>
        </w:rPr>
        <w:sectPr>
          <w:pgSz w:w="11900" w:h="16840"/>
          <w:pgMar w:header="714" w:footer="0" w:top="1200" w:bottom="280" w:left="780" w:right="1260"/>
        </w:sectPr>
      </w:pPr>
    </w:p>
    <w:p>
      <w:pPr>
        <w:pStyle w:val="BodyText"/>
        <w:rPr>
          <w:sz w:val="20"/>
        </w:rPr>
      </w:pPr>
    </w:p>
    <w:p>
      <w:pPr>
        <w:spacing w:after="0"/>
        <w:rPr>
          <w:sz w:val="20"/>
        </w:rPr>
        <w:sectPr>
          <w:pgSz w:w="11900" w:h="16840"/>
          <w:pgMar w:header="714" w:footer="0" w:top="1200" w:bottom="280" w:left="780" w:right="1260"/>
        </w:sectPr>
      </w:pPr>
    </w:p>
    <w:p>
      <w:pPr>
        <w:pStyle w:val="BodyText"/>
        <w:spacing w:before="3"/>
        <w:rPr>
          <w:sz w:val="23"/>
        </w:rPr>
      </w:pPr>
    </w:p>
    <w:p>
      <w:pPr>
        <w:pStyle w:val="Heading3"/>
        <w:ind w:left="2095" w:firstLine="0"/>
      </w:pPr>
      <w:r>
        <w:rPr/>
        <w:t>Chart 2: Expected</w:t>
      </w:r>
      <w:r>
        <w:rPr>
          <w:spacing w:val="-22"/>
        </w:rPr>
        <w:t> </w:t>
      </w:r>
      <w:r>
        <w:rPr/>
        <w:t>Inflation</w:t>
      </w:r>
    </w:p>
    <w:p>
      <w:pPr>
        <w:pStyle w:val="BodyText"/>
        <w:rPr>
          <w:b/>
          <w:sz w:val="20"/>
        </w:rPr>
      </w:pPr>
      <w:r>
        <w:rPr/>
        <w:br w:type="column"/>
      </w:r>
      <w:r>
        <w:rPr>
          <w:b/>
          <w:sz w:val="20"/>
        </w:rPr>
      </w:r>
    </w:p>
    <w:p>
      <w:pPr>
        <w:pStyle w:val="BodyText"/>
        <w:spacing w:before="10"/>
        <w:rPr>
          <w:b/>
          <w:sz w:val="26"/>
        </w:rPr>
      </w:pPr>
    </w:p>
    <w:p>
      <w:pPr>
        <w:spacing w:line="199" w:lineRule="exact" w:before="0"/>
        <w:ind w:left="0" w:right="2894" w:firstLine="0"/>
        <w:jc w:val="right"/>
        <w:rPr>
          <w:sz w:val="18"/>
        </w:rPr>
      </w:pPr>
      <w:r>
        <w:rPr>
          <w:sz w:val="18"/>
        </w:rPr>
        <w:t>Per cent</w:t>
      </w:r>
    </w:p>
    <w:p>
      <w:pPr>
        <w:spacing w:line="199" w:lineRule="exact" w:before="0"/>
        <w:ind w:left="0" w:right="2836" w:firstLine="0"/>
        <w:jc w:val="right"/>
        <w:rPr>
          <w:sz w:val="18"/>
        </w:rPr>
      </w:pPr>
      <w:r>
        <w:rPr/>
        <w:pict>
          <v:group style="position:absolute;margin-left:148.559998pt;margin-top:4.78779pt;width:226.45pt;height:146.4pt;mso-position-horizontal-relative:page;mso-position-vertical-relative:paragraph;z-index:251665408" coordorigin="2971,96" coordsize="4529,2928">
            <v:shape style="position:absolute;left:2976;top:98;width:4522;height:2924" coordorigin="2976,98" coordsize="4522,2924" path="m7454,98l7454,3021,7498,3021m7454,2733l7498,2733m7454,2441l7498,2441m7454,2138l7498,2138m7454,1850l7498,1850m7454,1562l7498,1562m7454,1274l7498,1274m7454,981l7498,981m7454,679l7498,679m7454,391l7498,391m7454,98l7498,98m2976,3021l7450,3021m2976,3021l2976,2973m3667,3021l3667,2973m4354,3021l4354,2973m5045,3021l5045,2973m5736,3021l5736,2973m6427,3021l6427,2973m7114,3021l7114,2973e" filled="false" stroked="true" strokeweight=".24pt" strokecolor="#000000">
              <v:path arrowok="t"/>
              <v:stroke dashstyle="solid"/>
            </v:shape>
            <v:shape style="position:absolute;left:2971;top:299;width:4479;height:1253" coordorigin="2971,300" coordsize="4479,1253" path="m3485,1293l3307,1375,3149,1457,2971,1533,2981,1553,3154,1471,3317,1389,3494,1313,3509,1303,3490,1303,3485,1298,3487,1297,3485,1293xm3487,1297l3485,1298,3490,1303,3487,1297xm5736,333l5558,348,5381,381,5222,415,5218,415,5045,458,4867,506,4690,573,4526,655,4354,751,4176,847,4171,847,3994,962,3835,1073,3487,1297,3490,1303,3509,1303,3845,1087,4003,972,4181,861,4176,852,4199,852,4536,669,4694,588,4690,578,4720,578,4872,521,5050,477,5222,429,5222,420,5268,420,5381,396,5381,386,5440,386,5558,367,5558,357,5647,357,5736,348,5845,338,5736,338,5736,333xm4199,852l4176,852,4181,861,4199,852xm4720,578l4690,578,4694,588,4720,578xm5268,420l5222,420,5222,429,5268,420xm5440,386l5381,386,5381,396,5440,386xm5647,357l5558,357,5558,367,5647,357xm7114,300l6072,300,5894,314,5736,333,5736,338,5845,338,5899,333,5894,333,5894,324,6013,324,6072,319,7450,319,7450,314,7277,314,7114,300xm5894,324l5894,333,5899,333,5894,324xm5899,333l5894,333,5899,333,5899,333xm7450,319l7114,319,7277,333,7450,333,7450,319xm6013,324l5894,324,5899,333,6013,324xe" filled="true" fillcolor="#000080" stroked="false">
              <v:path arrowok="t"/>
              <v:fill type="solid"/>
            </v:shape>
            <v:shape style="position:absolute;left:2976;top:1634;width:4474;height:288" coordorigin="2976,1634" coordsize="4474,288" path="m3667,1903l2976,1903,2976,1922,3667,1922,3718,1913,3667,1913,3667,1903xm3840,1874l3667,1903,3667,1913,3718,1913,3845,1889,3890,1879,3840,1879,3840,1874xm4531,1745l4176,1812,3998,1841,3840,1874,3840,1879,3890,1879,4001,1855,3998,1850,4054,1850,4181,1826,4358,1797,4531,1764,4531,1759,4558,1754,4531,1754,4531,1745xm4054,1850l3998,1850,4003,1855,4001,1855,4003,1860,4054,1850xm3998,1850l4001,1855,4003,1855,3998,1850xm4867,1697l4690,1711,4531,1745,4531,1754,4558,1754,4694,1730,4690,1730,4690,1721,4808,1721,4867,1716,4872,1716,4961,1706,4867,1706,4867,1697xm4690,1721l4690,1730,4694,1730,4690,1721xm4694,1730l4690,1730,4694,1730,4694,1730xm4808,1721l4690,1721,4694,1730,4808,1721xm5222,1663l5045,1682,4867,1697,4867,1706,4961,1706,5050,1697,5045,1697,5045,1687,5163,1687,5222,1682,5302,1673,5222,1673,5222,1663xm5045,1687l5045,1697,5049,1696,5045,1687xm5049,1696l5045,1697,5050,1697,5049,1696xm5163,1687l5045,1687,5049,1696,5163,1687xm7000,1653l6936,1653,6936,1663,7114,1682,7450,1682,7450,1673,7114,1673,7114,1663,7118,1663,7000,1653xm6586,1634l5558,1634,5222,1663,5222,1673,5302,1673,5381,1663,5381,1653,5499,1653,5558,1649,6758,1649,6586,1634xm7118,1663l7114,1663,7114,1673,7118,1663xm7450,1663l7118,1663,7114,1673,7450,1673,7450,1663xm5499,1653l5381,1653,5381,1663,5499,1653xm6941,1649l6586,1649,6758,1663,6936,1663,6936,1653,7000,1653,6941,1649xe" filled="true" fillcolor="#ff00ff" stroked="false">
              <v:path arrowok="t"/>
              <v:fill type="solid"/>
            </v:shape>
            <v:shape style="position:absolute;left:5404;top:456;width:1477;height:200" type="#_x0000_t202" filled="false" stroked="false">
              <v:textbox inset="0,0,0,0">
                <w:txbxContent>
                  <w:p>
                    <w:pPr>
                      <w:spacing w:line="199" w:lineRule="exact" w:before="0"/>
                      <w:ind w:left="0" w:right="0" w:firstLine="0"/>
                      <w:jc w:val="left"/>
                      <w:rPr>
                        <w:sz w:val="12"/>
                      </w:rPr>
                    </w:pPr>
                    <w:r>
                      <w:rPr>
                        <w:sz w:val="18"/>
                      </w:rPr>
                      <w:t>Pre-announcement </w:t>
                    </w:r>
                    <w:r>
                      <w:rPr>
                        <w:position w:val="5"/>
                        <w:sz w:val="12"/>
                      </w:rPr>
                      <w:t>1</w:t>
                    </w:r>
                  </w:p>
                </w:txbxContent>
              </v:textbox>
              <w10:wrap type="none"/>
            </v:shape>
            <v:shape style="position:absolute;left:5044;top:1833;width:1544;height:200" type="#_x0000_t202" filled="false" stroked="false">
              <v:textbox inset="0,0,0,0">
                <w:txbxContent>
                  <w:p>
                    <w:pPr>
                      <w:spacing w:line="199" w:lineRule="exact" w:before="0"/>
                      <w:ind w:left="0" w:right="0" w:firstLine="0"/>
                      <w:jc w:val="left"/>
                      <w:rPr>
                        <w:sz w:val="12"/>
                      </w:rPr>
                    </w:pPr>
                    <w:r>
                      <w:rPr>
                        <w:sz w:val="18"/>
                      </w:rPr>
                      <w:t>Post-announcement </w:t>
                    </w:r>
                    <w:r>
                      <w:rPr>
                        <w:position w:val="5"/>
                        <w:sz w:val="12"/>
                      </w:rPr>
                      <w:t>2</w:t>
                    </w:r>
                  </w:p>
                </w:txbxContent>
              </v:textbox>
              <w10:wrap type="none"/>
            </v:shape>
            <w10:wrap type="none"/>
          </v:group>
        </w:pict>
      </w:r>
      <w:r>
        <w:rPr>
          <w:spacing w:val="-1"/>
          <w:sz w:val="18"/>
        </w:rPr>
        <w:t>4.2</w:t>
      </w:r>
    </w:p>
    <w:p>
      <w:pPr>
        <w:spacing w:before="81"/>
        <w:ind w:left="1815" w:right="2815" w:firstLine="0"/>
        <w:jc w:val="center"/>
        <w:rPr>
          <w:sz w:val="18"/>
        </w:rPr>
      </w:pPr>
      <w:r>
        <w:rPr>
          <w:sz w:val="18"/>
        </w:rPr>
        <w:t>4.1</w:t>
      </w:r>
    </w:p>
    <w:p>
      <w:pPr>
        <w:spacing w:before="86"/>
        <w:ind w:left="1815" w:right="2815" w:firstLine="0"/>
        <w:jc w:val="center"/>
        <w:rPr>
          <w:sz w:val="18"/>
        </w:rPr>
      </w:pPr>
      <w:r>
        <w:rPr>
          <w:sz w:val="18"/>
        </w:rPr>
        <w:t>4.0</w:t>
      </w:r>
    </w:p>
    <w:p>
      <w:pPr>
        <w:spacing w:before="96"/>
        <w:ind w:left="1815" w:right="2815" w:firstLine="0"/>
        <w:jc w:val="center"/>
        <w:rPr>
          <w:sz w:val="18"/>
        </w:rPr>
      </w:pPr>
      <w:r>
        <w:rPr>
          <w:sz w:val="18"/>
        </w:rPr>
        <w:t>3.9</w:t>
      </w:r>
    </w:p>
    <w:p>
      <w:pPr>
        <w:spacing w:before="81"/>
        <w:ind w:left="1815" w:right="2815" w:firstLine="0"/>
        <w:jc w:val="center"/>
        <w:rPr>
          <w:sz w:val="18"/>
        </w:rPr>
      </w:pPr>
      <w:r>
        <w:rPr>
          <w:sz w:val="18"/>
        </w:rPr>
        <w:t>3.8</w:t>
      </w:r>
    </w:p>
    <w:p>
      <w:pPr>
        <w:spacing w:before="85"/>
        <w:ind w:left="1815" w:right="2815" w:firstLine="0"/>
        <w:jc w:val="center"/>
        <w:rPr>
          <w:sz w:val="18"/>
        </w:rPr>
      </w:pPr>
      <w:r>
        <w:rPr>
          <w:sz w:val="18"/>
        </w:rPr>
        <w:t>3.7</w:t>
      </w:r>
    </w:p>
    <w:p>
      <w:pPr>
        <w:spacing w:before="81"/>
        <w:ind w:left="1815" w:right="2815" w:firstLine="0"/>
        <w:jc w:val="center"/>
        <w:rPr>
          <w:sz w:val="18"/>
        </w:rPr>
      </w:pPr>
      <w:r>
        <w:rPr>
          <w:sz w:val="18"/>
        </w:rPr>
        <w:t>3.6</w:t>
      </w:r>
    </w:p>
    <w:p>
      <w:pPr>
        <w:spacing w:before="81"/>
        <w:ind w:left="1815" w:right="2815" w:firstLine="0"/>
        <w:jc w:val="center"/>
        <w:rPr>
          <w:sz w:val="18"/>
        </w:rPr>
      </w:pPr>
      <w:r>
        <w:rPr>
          <w:sz w:val="18"/>
        </w:rPr>
        <w:t>3.5</w:t>
      </w:r>
    </w:p>
    <w:p>
      <w:pPr>
        <w:spacing w:before="101"/>
        <w:ind w:left="1815" w:right="2815" w:firstLine="0"/>
        <w:jc w:val="center"/>
        <w:rPr>
          <w:sz w:val="18"/>
        </w:rPr>
      </w:pPr>
      <w:r>
        <w:rPr>
          <w:sz w:val="18"/>
        </w:rPr>
        <w:t>3.4</w:t>
      </w:r>
    </w:p>
    <w:p>
      <w:pPr>
        <w:spacing w:before="76"/>
        <w:ind w:left="1815" w:right="2815" w:firstLine="0"/>
        <w:jc w:val="center"/>
        <w:rPr>
          <w:sz w:val="18"/>
        </w:rPr>
      </w:pPr>
      <w:r>
        <w:rPr>
          <w:sz w:val="18"/>
        </w:rPr>
        <w:t>3.3</w:t>
      </w:r>
    </w:p>
    <w:p>
      <w:pPr>
        <w:spacing w:before="86"/>
        <w:ind w:left="1815" w:right="2815" w:firstLine="0"/>
        <w:jc w:val="center"/>
        <w:rPr>
          <w:sz w:val="18"/>
        </w:rPr>
      </w:pPr>
      <w:r>
        <w:rPr>
          <w:sz w:val="18"/>
        </w:rPr>
        <w:t>3.2</w:t>
      </w:r>
    </w:p>
    <w:p>
      <w:pPr>
        <w:spacing w:after="0"/>
        <w:jc w:val="center"/>
        <w:rPr>
          <w:sz w:val="18"/>
        </w:rPr>
        <w:sectPr>
          <w:type w:val="continuous"/>
          <w:pgSz w:w="11900" w:h="16840"/>
          <w:pgMar w:top="1200" w:bottom="280" w:left="780" w:right="1260"/>
          <w:cols w:num="2" w:equalWidth="0">
            <w:col w:w="4925" w:space="40"/>
            <w:col w:w="4895"/>
          </w:cols>
        </w:sectPr>
      </w:pPr>
    </w:p>
    <w:p>
      <w:pPr>
        <w:tabs>
          <w:tab w:pos="691" w:val="left" w:leader="none"/>
          <w:tab w:pos="1382" w:val="left" w:leader="none"/>
          <w:tab w:pos="2073" w:val="left" w:leader="none"/>
          <w:tab w:pos="2716" w:val="left" w:leader="none"/>
          <w:tab w:pos="3403" w:val="left" w:leader="none"/>
          <w:tab w:pos="4094" w:val="left" w:leader="none"/>
        </w:tabs>
        <w:spacing w:line="183" w:lineRule="exact" w:before="47"/>
        <w:ind w:left="0" w:right="1294" w:firstLine="0"/>
        <w:jc w:val="center"/>
        <w:rPr>
          <w:sz w:val="18"/>
        </w:rPr>
      </w:pPr>
      <w:r>
        <w:rPr>
          <w:sz w:val="18"/>
        </w:rPr>
        <w:t>2</w:t>
        <w:tab/>
        <w:t>4</w:t>
        <w:tab/>
        <w:t>6</w:t>
        <w:tab/>
        <w:t>8</w:t>
        <w:tab/>
        <w:t>10</w:t>
        <w:tab/>
        <w:t>12</w:t>
        <w:tab/>
        <w:t>14</w:t>
      </w:r>
    </w:p>
    <w:p>
      <w:pPr>
        <w:spacing w:line="183" w:lineRule="exact" w:before="0"/>
        <w:ind w:left="0" w:right="1322" w:firstLine="0"/>
        <w:jc w:val="center"/>
        <w:rPr>
          <w:sz w:val="18"/>
        </w:rPr>
      </w:pPr>
      <w:r>
        <w:rPr>
          <w:sz w:val="18"/>
        </w:rPr>
        <w:t>Horizon</w:t>
      </w:r>
    </w:p>
    <w:p>
      <w:pPr>
        <w:pStyle w:val="BodyText"/>
        <w:spacing w:before="2"/>
      </w:pPr>
    </w:p>
    <w:p>
      <w:pPr>
        <w:spacing w:before="92"/>
        <w:ind w:left="1984" w:right="0" w:firstLine="0"/>
        <w:jc w:val="left"/>
        <w:rPr>
          <w:sz w:val="20"/>
        </w:rPr>
      </w:pPr>
      <w:r>
        <w:rPr>
          <w:sz w:val="20"/>
        </w:rPr>
        <w:t>1 . Implied forward rate close </w:t>
      </w:r>
      <w:r>
        <w:rPr>
          <w:spacing w:val="2"/>
          <w:sz w:val="20"/>
        </w:rPr>
        <w:t>of </w:t>
      </w:r>
      <w:r>
        <w:rPr>
          <w:sz w:val="20"/>
        </w:rPr>
        <w:t>business 2</w:t>
      </w:r>
      <w:r>
        <w:rPr>
          <w:spacing w:val="-29"/>
          <w:sz w:val="20"/>
        </w:rPr>
        <w:t> </w:t>
      </w:r>
      <w:r>
        <w:rPr>
          <w:sz w:val="20"/>
        </w:rPr>
        <w:t>May</w:t>
      </w:r>
    </w:p>
    <w:p>
      <w:pPr>
        <w:spacing w:before="10"/>
        <w:ind w:left="1984" w:right="0" w:firstLine="0"/>
        <w:jc w:val="left"/>
        <w:rPr>
          <w:sz w:val="20"/>
        </w:rPr>
      </w:pPr>
      <w:r>
        <w:rPr>
          <w:sz w:val="20"/>
        </w:rPr>
        <w:t>2.  Implied forward rate close </w:t>
      </w:r>
      <w:r>
        <w:rPr>
          <w:spacing w:val="2"/>
          <w:sz w:val="20"/>
        </w:rPr>
        <w:t>of </w:t>
      </w:r>
      <w:r>
        <w:rPr>
          <w:sz w:val="20"/>
        </w:rPr>
        <w:t>business 6</w:t>
      </w:r>
      <w:r>
        <w:rPr>
          <w:spacing w:val="-28"/>
          <w:sz w:val="20"/>
        </w:rPr>
        <w:t> </w:t>
      </w:r>
      <w:r>
        <w:rPr>
          <w:sz w:val="20"/>
        </w:rPr>
        <w:t>May</w:t>
      </w:r>
    </w:p>
    <w:p>
      <w:pPr>
        <w:pStyle w:val="BodyText"/>
        <w:rPr>
          <w:sz w:val="20"/>
        </w:rPr>
      </w:pPr>
    </w:p>
    <w:p>
      <w:pPr>
        <w:pStyle w:val="BodyText"/>
        <w:rPr>
          <w:sz w:val="20"/>
        </w:rPr>
      </w:pPr>
    </w:p>
    <w:p>
      <w:pPr>
        <w:pStyle w:val="BodyText"/>
        <w:spacing w:before="9"/>
        <w:rPr>
          <w:sz w:val="27"/>
        </w:rPr>
      </w:pPr>
    </w:p>
    <w:p>
      <w:pPr>
        <w:pStyle w:val="Heading3"/>
        <w:spacing w:line="271" w:lineRule="exact" w:before="139"/>
        <w:ind w:left="0" w:right="330" w:firstLine="0"/>
        <w:jc w:val="center"/>
      </w:pPr>
      <w:r>
        <w:rPr/>
        <w:t>Chart 3: Expected inflation</w:t>
      </w:r>
      <w:r>
        <w:rPr>
          <w:vertAlign w:val="superscript"/>
        </w:rPr>
        <w:t>1</w:t>
      </w:r>
      <w:r>
        <w:rPr>
          <w:vertAlign w:val="baseline"/>
        </w:rPr>
        <w:t> May 1997-May 1999</w:t>
      </w:r>
    </w:p>
    <w:p>
      <w:pPr>
        <w:spacing w:line="169" w:lineRule="exact" w:before="0"/>
        <w:ind w:left="0" w:right="2644" w:firstLine="0"/>
        <w:jc w:val="right"/>
        <w:rPr>
          <w:sz w:val="16"/>
        </w:rPr>
      </w:pPr>
      <w:r>
        <w:rPr>
          <w:sz w:val="16"/>
        </w:rPr>
        <w:t>Per cent</w:t>
      </w:r>
    </w:p>
    <w:p>
      <w:pPr>
        <w:spacing w:line="174" w:lineRule="exact" w:before="0"/>
        <w:ind w:left="0" w:right="2561" w:firstLine="0"/>
        <w:jc w:val="right"/>
        <w:rPr>
          <w:sz w:val="16"/>
        </w:rPr>
      </w:pPr>
      <w:r>
        <w:rPr/>
        <w:pict>
          <v:group style="position:absolute;margin-left:153.119995pt;margin-top:4.429141pt;width:237.15pt;height:144.25pt;mso-position-horizontal-relative:page;mso-position-vertical-relative:paragraph;z-index:251669504" coordorigin="3062,89" coordsize="4743,2885">
            <v:shape style="position:absolute;left:3067;top:90;width:4738;height:2880" coordorigin="3067,91" coordsize="4738,2880" path="m7757,91l7757,2971m7757,2971l7805,2971m7757,2616l7805,2616m7757,2256l7805,2256m7757,1886l7805,1886m7757,1531l7805,1531m7757,1171l7805,1171m7757,816l7805,816m7757,446l7805,446m7757,91l7805,91m3067,2971l7757,2971m3067,2971l3067,2928m3259,2971l3259,2928m3451,2971l3451,2928m3658,2971l3658,2928m3854,2971l3854,2928m4046,2971l4046,2928m4238,2971l4238,2928m4430,2971l4430,2928m4627,2971l4627,2928m4834,2971l4834,2928m5026,2971l5026,2928m5218,2971l5218,2928m5414,2971l5414,2928m5606,2971l5606,2928m5798,2971l5798,2928m6005,2971l6005,2928m6202,2971l6202,2928m6394,2971l6394,2928m6586,2971l6586,2928m6778,2971l6778,2928m6974,2971l6974,2928m7181,2971l7181,2928m7373,2971l7373,2928m7565,2971l7565,2928m7757,2971l7757,2928e" filled="false" stroked="true" strokeweight=".24pt" strokecolor="#000000">
              <v:path arrowok="t"/>
              <v:stroke dashstyle="solid"/>
            </v:shape>
            <v:shape style="position:absolute;left:3062;top:350;width:3720;height:845" coordorigin="3062,350" coordsize="3720,845" path="m3259,437l3067,350,3062,365,3254,451,3259,437m3854,605l3662,499,3658,506,3653,499,3449,599,3264,441,3254,451,3446,614,3450,611,3451,614,3657,516,3850,614,3854,605m4046,691l3854,605,3850,619,4042,705,4046,691m4834,1017l4627,926,4626,930,4435,797,4430,804,4430,792,4238,720,4046,691,4046,705,4238,734,4429,806,4426,811,4622,945,4829,1032,4834,1017m5026,1061l4834,1017,4834,1032,5026,1075,5026,1061m5606,1065l5414,945,5412,953,5410,945,5218,1065,5222,1075,5412,961,5602,1075,5606,1065m6005,1046l5798,1017,5606,1061,5606,1065,5606,1075,5798,1032,6005,1061,6005,1046m6202,1185l6010,1051,6005,1065,6197,1195,6202,1185m6394,1166l6389,1152,6202,1181,6202,1185,6202,1195,6394,1166m6782,1181l6586,1123,6586,1118,6394,1152,6394,1166,6586,1137,6778,1195,6782,1181e" filled="true" fillcolor="#ff00ff" stroked="false">
              <v:path arrowok="t"/>
              <v:fill type="solid"/>
            </v:shape>
            <v:line style="position:absolute" from="6778,1188" to="6970,1188" stroked="true" strokeweight=".72pt" strokecolor="#ff00ff">
              <v:stroke dashstyle="solid"/>
            </v:line>
            <v:shape style="position:absolute;left:6969;top:930;width:404;height:264" coordorigin="6970,931" coordsize="404,264" path="m7373,945l7368,931,7176,1032,6970,1185,6979,1195,7181,1046,7373,945e" filled="true" fillcolor="#ff00ff" stroked="false">
              <v:path arrowok="t"/>
              <v:fill type="solid"/>
            </v:shape>
            <v:line style="position:absolute" from="7373,929" to="7565,929" stroked="true" strokeweight="1.68pt" strokecolor="#ff00ff">
              <v:stroke dashstyle="solid"/>
            </v:line>
            <v:shape style="position:absolute;left:7564;top:868;width:197;height:58" coordorigin="7565,869" coordsize="197,58" path="m7757,869l7565,912,7570,926,7762,883,7757,869xe" filled="true" fillcolor="#ff00ff" stroked="false">
              <v:path arrowok="t"/>
              <v:fill type="solid"/>
            </v:shape>
            <v:shape style="position:absolute;left:3067;top:868;width:980;height:164" coordorigin="3067,869" coordsize="980,164" path="m3067,869l3067,888,4042,1032,4046,1017,3067,869xe" filled="true" fillcolor="#800000" stroked="false">
              <v:path arrowok="t"/>
              <v:fill type="solid"/>
            </v:shape>
            <v:line style="position:absolute" from="4046,1061" to="5218,1061" stroked="true" strokeweight="4.32pt" strokecolor="#800000">
              <v:stroke dashstyle="solid"/>
            </v:line>
            <v:shape style="position:absolute;left:5217;top:1094;width:1172;height:164" coordorigin="5218,1094" coordsize="1172,164" path="m5218,1094l5218,1109,6389,1257,6389,1238,5218,1094xe" filled="true" fillcolor="#800000" stroked="false">
              <v:path arrowok="t"/>
              <v:fill type="solid"/>
            </v:shape>
            <v:shape style="position:absolute;left:3998;top:978;width:1263;height:164" coordorigin="3998,979" coordsize="1263,164" path="m4090,979l3998,979,3998,1070,4090,1070,4090,979m5261,1056l5174,1056,5174,1142,5261,1142,5261,1056e" filled="true" fillcolor="#800000" stroked="false">
              <v:path arrowok="t"/>
              <v:fill type="solid"/>
            </v:shape>
            <v:shape style="position:absolute;left:5400;top:697;width:599;height:178" type="#_x0000_t202" filled="false" stroked="false">
              <v:textbox inset="0,0,0,0">
                <w:txbxContent>
                  <w:p>
                    <w:pPr>
                      <w:spacing w:line="177" w:lineRule="exact" w:before="0"/>
                      <w:ind w:left="0" w:right="0" w:firstLine="0"/>
                      <w:jc w:val="left"/>
                      <w:rPr>
                        <w:sz w:val="16"/>
                      </w:rPr>
                    </w:pPr>
                    <w:r>
                      <w:rPr>
                        <w:sz w:val="16"/>
                      </w:rPr>
                      <w:t>Ten-year</w:t>
                    </w:r>
                  </w:p>
                </w:txbxContent>
              </v:textbox>
              <w10:wrap type="none"/>
            </v:shape>
            <v:shape style="position:absolute;left:3571;top:1172;width:1336;height:178" type="#_x0000_t202" filled="false" stroked="false">
              <v:textbox inset="0,0,0,0">
                <w:txbxContent>
                  <w:p>
                    <w:pPr>
                      <w:spacing w:line="177" w:lineRule="exact" w:before="0"/>
                      <w:ind w:left="0" w:right="0" w:firstLine="0"/>
                      <w:jc w:val="left"/>
                      <w:rPr>
                        <w:sz w:val="16"/>
                      </w:rPr>
                    </w:pPr>
                    <w:r>
                      <w:rPr>
                        <w:sz w:val="16"/>
                      </w:rPr>
                      <w:t>Consensus Forecasts</w:t>
                    </w:r>
                  </w:p>
                </w:txbxContent>
              </v:textbox>
              <w10:wrap type="none"/>
            </v:shape>
            <v:shape style="position:absolute;left:6345;top:1081;width:1318;height:178" type="#_x0000_t202" filled="false" stroked="false">
              <v:textbox inset="0,0,0,0">
                <w:txbxContent>
                  <w:p>
                    <w:pPr>
                      <w:tabs>
                        <w:tab w:pos="1297" w:val="left" w:leader="none"/>
                      </w:tabs>
                      <w:spacing w:line="177" w:lineRule="exact" w:before="0"/>
                      <w:ind w:left="0" w:right="0" w:firstLine="0"/>
                      <w:jc w:val="left"/>
                      <w:rPr>
                        <w:sz w:val="16"/>
                      </w:rPr>
                    </w:pPr>
                    <w:r>
                      <w:rPr>
                        <w:sz w:val="16"/>
                        <w:u w:val="single" w:color="800000"/>
                      </w:rPr>
                      <w:t> </w:t>
                      <w:tab/>
                    </w:r>
                  </w:p>
                </w:txbxContent>
              </v:textbox>
              <w10:wrap type="none"/>
            </v:shape>
            <w10:wrap type="none"/>
          </v:group>
        </w:pict>
      </w:r>
      <w:r>
        <w:rPr>
          <w:sz w:val="16"/>
        </w:rPr>
        <w:t>4.0</w:t>
      </w:r>
    </w:p>
    <w:p>
      <w:pPr>
        <w:pStyle w:val="BodyText"/>
        <w:spacing w:before="3"/>
        <w:rPr>
          <w:sz w:val="15"/>
        </w:rPr>
      </w:pPr>
    </w:p>
    <w:p>
      <w:pPr>
        <w:spacing w:before="0"/>
        <w:ind w:left="0" w:right="2561" w:firstLine="0"/>
        <w:jc w:val="right"/>
        <w:rPr>
          <w:sz w:val="16"/>
        </w:rPr>
      </w:pPr>
      <w:r>
        <w:rPr>
          <w:sz w:val="16"/>
        </w:rPr>
        <w:t>3.5</w:t>
      </w:r>
    </w:p>
    <w:p>
      <w:pPr>
        <w:pStyle w:val="BodyText"/>
        <w:spacing w:before="2"/>
        <w:rPr>
          <w:sz w:val="16"/>
        </w:rPr>
      </w:pPr>
    </w:p>
    <w:p>
      <w:pPr>
        <w:spacing w:before="0"/>
        <w:ind w:left="0" w:right="2561" w:firstLine="0"/>
        <w:jc w:val="right"/>
        <w:rPr>
          <w:sz w:val="16"/>
        </w:rPr>
      </w:pPr>
      <w:r>
        <w:rPr>
          <w:sz w:val="16"/>
        </w:rPr>
        <w:t>3.0</w:t>
      </w:r>
    </w:p>
    <w:p>
      <w:pPr>
        <w:pStyle w:val="BodyText"/>
        <w:spacing w:before="10"/>
        <w:rPr>
          <w:sz w:val="14"/>
        </w:rPr>
      </w:pPr>
    </w:p>
    <w:p>
      <w:pPr>
        <w:spacing w:before="0"/>
        <w:ind w:left="0" w:right="2561" w:firstLine="0"/>
        <w:jc w:val="right"/>
        <w:rPr>
          <w:sz w:val="16"/>
        </w:rPr>
      </w:pPr>
      <w:r>
        <w:rPr>
          <w:sz w:val="16"/>
        </w:rPr>
        <w:t>2.5</w:t>
      </w:r>
    </w:p>
    <w:p>
      <w:pPr>
        <w:pStyle w:val="BodyText"/>
        <w:spacing w:before="10"/>
        <w:rPr>
          <w:sz w:val="14"/>
        </w:rPr>
      </w:pPr>
    </w:p>
    <w:p>
      <w:pPr>
        <w:spacing w:before="0"/>
        <w:ind w:left="0" w:right="2561" w:firstLine="0"/>
        <w:jc w:val="right"/>
        <w:rPr>
          <w:sz w:val="16"/>
        </w:rPr>
      </w:pPr>
      <w:r>
        <w:rPr>
          <w:sz w:val="16"/>
        </w:rPr>
        <w:t>2.0</w:t>
      </w:r>
    </w:p>
    <w:p>
      <w:pPr>
        <w:pStyle w:val="BodyText"/>
        <w:spacing w:before="4"/>
        <w:rPr>
          <w:sz w:val="15"/>
        </w:rPr>
      </w:pPr>
    </w:p>
    <w:p>
      <w:pPr>
        <w:spacing w:before="0"/>
        <w:ind w:left="0" w:right="2561" w:firstLine="0"/>
        <w:jc w:val="right"/>
        <w:rPr>
          <w:sz w:val="16"/>
        </w:rPr>
      </w:pPr>
      <w:r>
        <w:rPr>
          <w:sz w:val="16"/>
        </w:rPr>
        <w:t>1.5</w:t>
      </w:r>
    </w:p>
    <w:p>
      <w:pPr>
        <w:pStyle w:val="BodyText"/>
        <w:spacing w:before="1"/>
        <w:rPr>
          <w:sz w:val="16"/>
        </w:rPr>
      </w:pPr>
    </w:p>
    <w:p>
      <w:pPr>
        <w:spacing w:before="0"/>
        <w:ind w:left="0" w:right="2561" w:firstLine="0"/>
        <w:jc w:val="right"/>
        <w:rPr>
          <w:sz w:val="16"/>
        </w:rPr>
      </w:pPr>
      <w:r>
        <w:rPr>
          <w:sz w:val="16"/>
        </w:rPr>
        <w:t>1.0</w:t>
      </w:r>
    </w:p>
    <w:p>
      <w:pPr>
        <w:pStyle w:val="BodyText"/>
        <w:spacing w:before="10"/>
        <w:rPr>
          <w:sz w:val="14"/>
        </w:rPr>
      </w:pPr>
    </w:p>
    <w:p>
      <w:pPr>
        <w:spacing w:before="1"/>
        <w:ind w:left="0" w:right="2561" w:firstLine="0"/>
        <w:jc w:val="right"/>
        <w:rPr>
          <w:sz w:val="16"/>
        </w:rPr>
      </w:pPr>
      <w:r>
        <w:rPr>
          <w:sz w:val="16"/>
        </w:rPr>
        <w:t>0.5</w:t>
      </w:r>
    </w:p>
    <w:p>
      <w:pPr>
        <w:pStyle w:val="BodyText"/>
        <w:spacing w:before="3"/>
        <w:rPr>
          <w:sz w:val="15"/>
        </w:rPr>
      </w:pPr>
    </w:p>
    <w:p>
      <w:pPr>
        <w:spacing w:before="0" w:after="58"/>
        <w:ind w:left="0" w:right="2561" w:firstLine="0"/>
        <w:jc w:val="right"/>
        <w:rPr>
          <w:sz w:val="16"/>
        </w:rPr>
      </w:pPr>
      <w:r>
        <w:rPr>
          <w:sz w:val="16"/>
        </w:rPr>
        <w:t>0.0</w:t>
      </w:r>
    </w:p>
    <w:tbl>
      <w:tblPr>
        <w:tblW w:w="0" w:type="auto"/>
        <w:jc w:val="left"/>
        <w:tblInd w:w="2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
        <w:gridCol w:w="547"/>
        <w:gridCol w:w="1769"/>
        <w:gridCol w:w="579"/>
        <w:gridCol w:w="445"/>
        <w:gridCol w:w="719"/>
        <w:gridCol w:w="496"/>
      </w:tblGrid>
      <w:tr>
        <w:trPr>
          <w:trHeight w:val="201" w:hRule="atLeast"/>
        </w:trPr>
        <w:tc>
          <w:tcPr>
            <w:tcW w:w="532" w:type="dxa"/>
          </w:tcPr>
          <w:p>
            <w:pPr>
              <w:pStyle w:val="TableParagraph"/>
              <w:ind w:left="50"/>
              <w:rPr>
                <w:sz w:val="16"/>
              </w:rPr>
            </w:pPr>
            <w:r>
              <w:rPr>
                <w:sz w:val="16"/>
              </w:rPr>
              <w:t>May</w:t>
            </w:r>
          </w:p>
        </w:tc>
        <w:tc>
          <w:tcPr>
            <w:tcW w:w="547" w:type="dxa"/>
          </w:tcPr>
          <w:p>
            <w:pPr>
              <w:pStyle w:val="TableParagraph"/>
              <w:ind w:left="127"/>
              <w:rPr>
                <w:sz w:val="16"/>
              </w:rPr>
            </w:pPr>
            <w:r>
              <w:rPr>
                <w:sz w:val="16"/>
              </w:rPr>
              <w:t>Aug</w:t>
            </w:r>
          </w:p>
        </w:tc>
        <w:tc>
          <w:tcPr>
            <w:tcW w:w="1769" w:type="dxa"/>
          </w:tcPr>
          <w:p>
            <w:pPr>
              <w:pStyle w:val="TableParagraph"/>
              <w:tabs>
                <w:tab w:pos="770" w:val="left" w:leader="none"/>
                <w:tab w:pos="1318" w:val="left" w:leader="none"/>
              </w:tabs>
              <w:ind w:left="146"/>
              <w:rPr>
                <w:sz w:val="16"/>
              </w:rPr>
            </w:pPr>
            <w:r>
              <w:rPr>
                <w:sz w:val="16"/>
              </w:rPr>
              <w:t>Nov</w:t>
              <w:tab/>
              <w:t>Feb</w:t>
              <w:tab/>
            </w:r>
            <w:r>
              <w:rPr>
                <w:spacing w:val="2"/>
                <w:sz w:val="16"/>
              </w:rPr>
              <w:t>May</w:t>
            </w:r>
          </w:p>
        </w:tc>
        <w:tc>
          <w:tcPr>
            <w:tcW w:w="579" w:type="dxa"/>
          </w:tcPr>
          <w:p>
            <w:pPr>
              <w:pStyle w:val="TableParagraph"/>
              <w:ind w:left="158"/>
              <w:rPr>
                <w:sz w:val="16"/>
              </w:rPr>
            </w:pPr>
            <w:r>
              <w:rPr>
                <w:sz w:val="16"/>
              </w:rPr>
              <w:t>Aug</w:t>
            </w:r>
          </w:p>
        </w:tc>
        <w:tc>
          <w:tcPr>
            <w:tcW w:w="445" w:type="dxa"/>
          </w:tcPr>
          <w:p>
            <w:pPr>
              <w:pStyle w:val="TableParagraph"/>
              <w:ind w:left="146"/>
              <w:rPr>
                <w:sz w:val="16"/>
              </w:rPr>
            </w:pPr>
            <w:r>
              <w:rPr>
                <w:sz w:val="16"/>
              </w:rPr>
              <w:t>Nov</w:t>
            </w:r>
          </w:p>
        </w:tc>
        <w:tc>
          <w:tcPr>
            <w:tcW w:w="719" w:type="dxa"/>
          </w:tcPr>
          <w:p>
            <w:pPr>
              <w:pStyle w:val="TableParagraph"/>
              <w:ind w:left="325"/>
              <w:rPr>
                <w:sz w:val="16"/>
              </w:rPr>
            </w:pPr>
            <w:r>
              <w:rPr>
                <w:sz w:val="16"/>
              </w:rPr>
              <w:t>Feb</w:t>
            </w:r>
          </w:p>
        </w:tc>
        <w:tc>
          <w:tcPr>
            <w:tcW w:w="496" w:type="dxa"/>
          </w:tcPr>
          <w:p>
            <w:pPr>
              <w:pStyle w:val="TableParagraph"/>
              <w:ind w:left="158"/>
              <w:rPr>
                <w:sz w:val="16"/>
              </w:rPr>
            </w:pPr>
            <w:r>
              <w:rPr>
                <w:sz w:val="16"/>
              </w:rPr>
              <w:t>May</w:t>
            </w:r>
          </w:p>
        </w:tc>
      </w:tr>
      <w:tr>
        <w:trPr>
          <w:trHeight w:val="201" w:hRule="atLeast"/>
        </w:trPr>
        <w:tc>
          <w:tcPr>
            <w:tcW w:w="532" w:type="dxa"/>
          </w:tcPr>
          <w:p>
            <w:pPr>
              <w:pStyle w:val="TableParagraph"/>
              <w:spacing w:line="164" w:lineRule="exact" w:before="17"/>
              <w:ind w:left="83"/>
              <w:rPr>
                <w:sz w:val="16"/>
              </w:rPr>
            </w:pPr>
            <w:r>
              <w:rPr>
                <w:sz w:val="16"/>
              </w:rPr>
              <w:t>1997</w:t>
            </w:r>
          </w:p>
        </w:tc>
        <w:tc>
          <w:tcPr>
            <w:tcW w:w="547" w:type="dxa"/>
          </w:tcPr>
          <w:p>
            <w:pPr>
              <w:pStyle w:val="TableParagraph"/>
              <w:spacing w:line="240" w:lineRule="auto"/>
              <w:rPr>
                <w:sz w:val="14"/>
              </w:rPr>
            </w:pPr>
          </w:p>
        </w:tc>
        <w:tc>
          <w:tcPr>
            <w:tcW w:w="1769" w:type="dxa"/>
          </w:tcPr>
          <w:p>
            <w:pPr>
              <w:pStyle w:val="TableParagraph"/>
              <w:spacing w:line="164" w:lineRule="exact" w:before="17"/>
              <w:ind w:left="545"/>
              <w:rPr>
                <w:sz w:val="16"/>
              </w:rPr>
            </w:pPr>
            <w:r>
              <w:rPr>
                <w:sz w:val="16"/>
              </w:rPr>
              <w:t>1998</w:t>
            </w:r>
          </w:p>
        </w:tc>
        <w:tc>
          <w:tcPr>
            <w:tcW w:w="579" w:type="dxa"/>
          </w:tcPr>
          <w:p>
            <w:pPr>
              <w:pStyle w:val="TableParagraph"/>
              <w:spacing w:line="240" w:lineRule="auto"/>
              <w:rPr>
                <w:sz w:val="14"/>
              </w:rPr>
            </w:pPr>
          </w:p>
        </w:tc>
        <w:tc>
          <w:tcPr>
            <w:tcW w:w="445" w:type="dxa"/>
          </w:tcPr>
          <w:p>
            <w:pPr>
              <w:pStyle w:val="TableParagraph"/>
              <w:spacing w:line="240" w:lineRule="auto"/>
              <w:rPr>
                <w:sz w:val="14"/>
              </w:rPr>
            </w:pPr>
          </w:p>
        </w:tc>
        <w:tc>
          <w:tcPr>
            <w:tcW w:w="719" w:type="dxa"/>
          </w:tcPr>
          <w:p>
            <w:pPr>
              <w:pStyle w:val="TableParagraph"/>
              <w:spacing w:line="164" w:lineRule="exact" w:before="17"/>
              <w:ind w:left="27"/>
              <w:rPr>
                <w:sz w:val="16"/>
              </w:rPr>
            </w:pPr>
            <w:r>
              <w:rPr>
                <w:sz w:val="16"/>
              </w:rPr>
              <w:t>1999</w:t>
            </w:r>
          </w:p>
        </w:tc>
        <w:tc>
          <w:tcPr>
            <w:tcW w:w="496" w:type="dxa"/>
          </w:tcPr>
          <w:p>
            <w:pPr>
              <w:pStyle w:val="TableParagraph"/>
              <w:spacing w:line="240" w:lineRule="auto"/>
              <w:rPr>
                <w:sz w:val="14"/>
              </w:rPr>
            </w:pPr>
          </w:p>
        </w:tc>
      </w:tr>
    </w:tbl>
    <w:p>
      <w:pPr>
        <w:pStyle w:val="BodyText"/>
        <w:rPr>
          <w:sz w:val="18"/>
        </w:rPr>
      </w:pPr>
    </w:p>
    <w:p>
      <w:pPr>
        <w:pStyle w:val="BodyText"/>
        <w:spacing w:before="4"/>
        <w:rPr>
          <w:sz w:val="25"/>
        </w:rPr>
      </w:pPr>
    </w:p>
    <w:p>
      <w:pPr>
        <w:spacing w:before="0"/>
        <w:ind w:left="2306" w:right="0" w:firstLine="0"/>
        <w:jc w:val="left"/>
        <w:rPr>
          <w:sz w:val="20"/>
        </w:rPr>
      </w:pPr>
      <w:r>
        <w:rPr>
          <w:sz w:val="20"/>
        </w:rPr>
        <w:t>1 . Forward inflation rates</w:t>
      </w:r>
    </w:p>
    <w:p>
      <w:pPr>
        <w:spacing w:after="0"/>
        <w:jc w:val="left"/>
        <w:rPr>
          <w:sz w:val="20"/>
        </w:rPr>
        <w:sectPr>
          <w:type w:val="continuous"/>
          <w:pgSz w:w="11900" w:h="16840"/>
          <w:pgMar w:top="1200" w:bottom="280" w:left="780" w:right="1260"/>
        </w:sectPr>
      </w:pPr>
    </w:p>
    <w:p>
      <w:pPr>
        <w:pStyle w:val="BodyText"/>
        <w:rPr>
          <w:sz w:val="20"/>
        </w:rPr>
      </w:pPr>
    </w:p>
    <w:p>
      <w:pPr>
        <w:pStyle w:val="BodyText"/>
        <w:rPr>
          <w:sz w:val="20"/>
        </w:rPr>
      </w:pPr>
    </w:p>
    <w:p>
      <w:pPr>
        <w:pStyle w:val="Heading2"/>
        <w:spacing w:before="225"/>
        <w:ind w:right="466"/>
        <w:jc w:val="center"/>
      </w:pPr>
      <w:r>
        <w:rPr/>
        <w:t>Chart 4: Press references to ‘Hawks and Doves’</w:t>
      </w:r>
    </w:p>
    <w:p>
      <w:pPr>
        <w:pStyle w:val="BodyText"/>
        <w:spacing w:before="9"/>
        <w:rPr>
          <w:b/>
          <w:sz w:val="20"/>
        </w:rPr>
      </w:pPr>
    </w:p>
    <w:p>
      <w:pPr>
        <w:spacing w:line="343" w:lineRule="auto" w:before="93"/>
        <w:ind w:left="2320" w:right="6997" w:hanging="96"/>
        <w:jc w:val="left"/>
        <w:rPr>
          <w:sz w:val="16"/>
        </w:rPr>
      </w:pPr>
      <w:r>
        <w:rPr/>
        <w:pict>
          <v:group style="position:absolute;margin-left:164.399994pt;margin-top:21.358721pt;width:224.8pt;height:113.55pt;mso-position-horizontal-relative:page;mso-position-vertical-relative:paragraph;z-index:-252235776" coordorigin="3288,427" coordsize="4496,2271">
            <v:shape style="position:absolute;left:3326;top:2363;width:4450;height:2" coordorigin="3326,2364" coordsize="4450,0" path="m5755,2364l7776,2364m5170,2364l5674,2364m3326,2364l5088,2364e" filled="false" stroked="true" strokeweight=".24pt" strokecolor="#000000">
              <v:path arrowok="t"/>
              <v:stroke dashstyle="solid"/>
            </v:shape>
            <v:line style="position:absolute" from="4939,2364" to="4939,2690" stroked="true" strokeweight="3.84pt" strokecolor="#9999ff">
              <v:stroke dashstyle="solid"/>
            </v:line>
            <v:rect style="position:absolute;left:4900;top:2363;width:77;height:327" filled="false" stroked="true" strokeweight=".72pt" strokecolor="#000000">
              <v:stroke dashstyle="solid"/>
            </v:rect>
            <v:shape style="position:absolute;left:3326;top:2051;width:2348;height:2" coordorigin="3326,2052" coordsize="2348,0" path="m5170,2052l5674,2052m3326,2052l5088,2052e" filled="false" stroked="true" strokeweight=".24pt" strokecolor="#000000">
              <v:path arrowok="t"/>
              <v:stroke dashstyle="solid"/>
            </v:shape>
            <v:line style="position:absolute" from="5129,2018" to="5129,2690" stroked="true" strokeweight="4.08pt" strokecolor="#9999ff">
              <v:stroke dashstyle="solid"/>
            </v:line>
            <v:rect style="position:absolute;left:5088;top:2018;width:82;height:672" filled="false" stroked="true" strokeweight=".72pt" strokecolor="#000000">
              <v:stroke dashstyle="solid"/>
            </v:rect>
            <v:line style="position:absolute" from="3326,1726" to="5674,1726" stroked="true" strokeweight=".24pt" strokecolor="#000000">
              <v:stroke dashstyle="solid"/>
            </v:line>
            <v:line style="position:absolute" from="5321,1500" to="5321,2690" stroked="true" strokeweight="3.6pt" strokecolor="#9999ff">
              <v:stroke dashstyle="solid"/>
            </v:line>
            <v:rect style="position:absolute;left:5284;top:1499;width:72;height:1191" filled="false" stroked="true" strokeweight=".72pt" strokecolor="#000000">
              <v:stroke dashstyle="solid"/>
            </v:rect>
            <v:line style="position:absolute" from="5510,2306" to="5510,2690" stroked="true" strokeweight="3.84pt" strokecolor="#9999ff">
              <v:stroke dashstyle="solid"/>
            </v:line>
            <v:rect style="position:absolute;left:5472;top:2306;width:77;height:384" filled="false" stroked="true" strokeweight=".72pt" strokecolor="#000000">
              <v:stroke dashstyle="solid"/>
            </v:rect>
            <v:shape style="position:absolute;left:5755;top:1725;width:2021;height:327" coordorigin="5755,1726" coordsize="2021,327" path="m5755,2052l7776,2052m5755,1726l7776,1726e" filled="false" stroked="true" strokeweight=".24pt" strokecolor="#000000">
              <v:path arrowok="t"/>
              <v:stroke dashstyle="solid"/>
            </v:shape>
            <v:line style="position:absolute" from="5714,1567" to="5714,2690" stroked="true" strokeweight="4.08pt" strokecolor="#9999ff">
              <v:stroke dashstyle="solid"/>
            </v:line>
            <v:rect style="position:absolute;left:5673;top:1567;width:82;height:1124" filled="false" stroked="true" strokeweight=".72pt" strokecolor="#000000">
              <v:stroke dashstyle="solid"/>
            </v:rect>
            <v:line style="position:absolute" from="5904,2052" to="5904,2690" stroked="true" strokeweight="3.84pt" strokecolor="#9999ff">
              <v:stroke dashstyle="solid"/>
            </v:line>
            <v:rect style="position:absolute;left:5865;top:2051;width:77;height:639" filled="false" stroked="true" strokeweight=".72pt" strokecolor="#000000">
              <v:stroke dashstyle="solid"/>
            </v:rect>
            <v:line style="position:absolute" from="6096,2398" to="6096,2690" stroked="true" strokeweight="3.84pt" strokecolor="#9999ff">
              <v:stroke dashstyle="solid"/>
            </v:line>
            <v:rect style="position:absolute;left:6057;top:2397;width:77;height:293" filled="false" stroked="true" strokeweight=".72pt" strokecolor="#000000">
              <v:stroke dashstyle="solid"/>
            </v:rect>
            <v:line style="position:absolute" from="6288,2436" to="6288,2690" stroked="true" strokeweight="3.84pt" strokecolor="#9999ff">
              <v:stroke dashstyle="solid"/>
            </v:line>
            <v:rect style="position:absolute;left:6249;top:2435;width:77;height:255" filled="false" stroked="true" strokeweight=".72pt" strokecolor="#000000">
              <v:stroke dashstyle="solid"/>
            </v:rect>
            <v:line style="position:absolute" from="6480,2143" to="6480,2690" stroked="true" strokeweight="3.84pt" strokecolor="#9999ff">
              <v:stroke dashstyle="solid"/>
            </v:line>
            <v:rect style="position:absolute;left:6441;top:2143;width:77;height:548" filled="false" stroked="true" strokeweight=".72pt" strokecolor="#000000">
              <v:stroke dashstyle="solid"/>
            </v:rect>
            <v:line style="position:absolute" from="6682,2532" to="6682,2690" stroked="true" strokeweight="3.84pt" strokecolor="#9999ff">
              <v:stroke dashstyle="solid"/>
            </v:line>
            <v:rect style="position:absolute;left:6643;top:2531;width:77;height:159" filled="false" stroked="true" strokeweight=".72pt" strokecolor="#000000">
              <v:stroke dashstyle="solid"/>
            </v:rect>
            <v:line style="position:absolute" from="6874,2503" to="6874,2690" stroked="true" strokeweight="3.84pt" strokecolor="#9999ff">
              <v:stroke dashstyle="solid"/>
            </v:line>
            <v:rect style="position:absolute;left:6835;top:2503;width:77;height:188" filled="false" stroked="true" strokeweight=".72pt" strokecolor="#000000">
              <v:stroke dashstyle="solid"/>
            </v:rect>
            <v:rect style="position:absolute;left:7027;top:2623;width:77;height:68" filled="true" fillcolor="#9999ff" stroked="false">
              <v:fill type="solid"/>
            </v:rect>
            <v:rect style="position:absolute;left:7027;top:2623;width:77;height:68" filled="false" stroked="true" strokeweight=".72pt" strokecolor="#000000">
              <v:stroke dashstyle="solid"/>
            </v:rect>
            <v:rect style="position:absolute;left:7219;top:2589;width:72;height:101" filled="true" fillcolor="#9999ff" stroked="false">
              <v:fill type="solid"/>
            </v:rect>
            <v:rect style="position:absolute;left:7219;top:2589;width:72;height:101" filled="false" stroked="true" strokeweight=".72pt" strokecolor="#000000">
              <v:stroke dashstyle="solid"/>
            </v:rect>
            <v:rect style="position:absolute;left:7420;top:2589;width:77;height:101" filled="true" fillcolor="#9999ff" stroked="false">
              <v:fill type="solid"/>
            </v:rect>
            <v:rect style="position:absolute;left:7420;top:2589;width:77;height:101" filled="false" stroked="true" strokeweight=".72pt" strokecolor="#000000">
              <v:stroke dashstyle="solid"/>
            </v:rect>
            <v:rect style="position:absolute;left:7612;top:2656;width:77;height:34" filled="true" fillcolor="#9999ff" stroked="false">
              <v:fill type="solid"/>
            </v:rect>
            <v:rect style="position:absolute;left:7612;top:2656;width:77;height:34" filled="false" stroked="true" strokeweight=".72pt" strokecolor="#000000">
              <v:stroke dashstyle="solid"/>
            </v:rect>
            <v:rect style="position:absolute;left:3345;top:2656;width:77;height:34" filled="true" fillcolor="#9999ff" stroked="false">
              <v:fill type="solid"/>
            </v:rect>
            <v:rect style="position:absolute;left:3345;top:2656;width:77;height:34" filled="false" stroked="true" strokeweight=".72pt" strokecolor="#000000">
              <v:stroke dashstyle="solid"/>
            </v:rect>
            <v:rect style="position:absolute;left:3537;top:2589;width:77;height:101" filled="true" fillcolor="#9999ff" stroked="false">
              <v:fill type="solid"/>
            </v:rect>
            <v:rect style="position:absolute;left:3537;top:2589;width:77;height:101" filled="false" stroked="true" strokeweight=".72pt" strokecolor="#000000">
              <v:stroke dashstyle="solid"/>
            </v:rect>
            <v:rect style="position:absolute;left:3427;top:2656;width:63;height:34" filled="true" fillcolor="#993366" stroked="false">
              <v:fill type="solid"/>
            </v:rect>
            <v:rect style="position:absolute;left:3427;top:2656;width:63;height:34" filled="false" stroked="true" strokeweight=".72pt" strokecolor="#000000">
              <v:stroke dashstyle="solid"/>
            </v:rect>
            <v:line style="position:absolute" from="3650,2532" to="3650,2690" stroked="true" strokeweight="3.12pt" strokecolor="#993366">
              <v:stroke dashstyle="solid"/>
            </v:line>
            <v:rect style="position:absolute;left:3619;top:2531;width:63;height:159" filled="false" stroked="true" strokeweight=".72pt" strokecolor="#000000">
              <v:stroke dashstyle="solid"/>
            </v:rect>
            <v:rect style="position:absolute;left:3931;top:2656;width:77;height:34" filled="true" fillcolor="#9999ff" stroked="false">
              <v:fill type="solid"/>
            </v:rect>
            <v:rect style="position:absolute;left:3931;top:2656;width:77;height:34" filled="false" stroked="true" strokeweight=".72pt" strokecolor="#000000">
              <v:stroke dashstyle="solid"/>
            </v:rect>
            <v:rect style="position:absolute;left:3806;top:2623;width:77;height:68" filled="true" fillcolor="#993366" stroked="false">
              <v:fill type="solid"/>
            </v:rect>
            <v:rect style="position:absolute;left:3806;top:2623;width:77;height:68" filled="false" stroked="true" strokeweight=".72pt" strokecolor="#000000">
              <v:stroke dashstyle="solid"/>
            </v:rect>
            <v:rect style="position:absolute;left:4008;top:2656;width:68;height:34" filled="true" fillcolor="#993366" stroked="false">
              <v:fill type="solid"/>
            </v:rect>
            <v:rect style="position:absolute;left:4008;top:2656;width:68;height:34" filled="false" stroked="true" strokeweight=".72pt" strokecolor="#000000">
              <v:stroke dashstyle="solid"/>
            </v:rect>
            <v:rect style="position:absolute;left:4507;top:2623;width:77;height:68" filled="true" fillcolor="#9999ff" stroked="false">
              <v:fill type="solid"/>
            </v:rect>
            <v:rect style="position:absolute;left:4507;top:2623;width:77;height:68" filled="false" stroked="true" strokeweight=".72pt" strokecolor="#000000">
              <v:stroke dashstyle="solid"/>
            </v:rect>
            <v:rect style="position:absolute;left:4392;top:2623;width:68;height:68" filled="true" fillcolor="#993366" stroked="false">
              <v:fill type="solid"/>
            </v:rect>
            <v:rect style="position:absolute;left:4392;top:2623;width:68;height:68" filled="false" stroked="true" strokeweight=".72pt" strokecolor="#000000">
              <v:stroke dashstyle="solid"/>
            </v:rect>
            <v:rect style="position:absolute;left:4708;top:2656;width:77;height:34" filled="true" fillcolor="#9999ff" stroked="false">
              <v:fill type="solid"/>
            </v:rect>
            <v:rect style="position:absolute;left:4708;top:2656;width:77;height:34" filled="false" stroked="true" strokeweight=".72pt" strokecolor="#000000">
              <v:stroke dashstyle="solid"/>
            </v:rect>
            <v:rect style="position:absolute;left:4584;top:2589;width:77;height:101" filled="true" fillcolor="#993366" stroked="false">
              <v:fill type="solid"/>
            </v:rect>
            <v:rect style="position:absolute;left:4584;top:2589;width:77;height:101" filled="false" stroked="true" strokeweight=".72pt" strokecolor="#000000">
              <v:stroke dashstyle="solid"/>
            </v:rect>
            <v:rect style="position:absolute;left:4785;top:2623;width:68;height:68" filled="true" fillcolor="#993366" stroked="false">
              <v:fill type="solid"/>
            </v:rect>
            <v:rect style="position:absolute;left:4785;top:2623;width:68;height:68" filled="false" stroked="true" strokeweight=".72pt" strokecolor="#000000">
              <v:stroke dashstyle="solid"/>
            </v:rect>
            <v:line style="position:absolute" from="5011,2143" to="5011,2690" stroked="true" strokeweight="3.36pt" strokecolor="#993366">
              <v:stroke dashstyle="solid"/>
            </v:line>
            <v:rect style="position:absolute;left:4977;top:2143;width:68;height:548" filled="false" stroked="true" strokeweight=".72pt" strokecolor="#000000">
              <v:stroke dashstyle="solid"/>
            </v:rect>
            <v:line style="position:absolute" from="5203,1567" to="5203,2690" stroked="true" strokeweight="3.36pt" strokecolor="#993366">
              <v:stroke dashstyle="solid"/>
            </v:line>
            <v:rect style="position:absolute;left:5169;top:1567;width:68;height:1124" filled="false" stroked="true" strokeweight=".72pt" strokecolor="#000000">
              <v:stroke dashstyle="solid"/>
            </v:rect>
            <v:shape style="position:absolute;left:3326;top:755;width:4450;height:644" coordorigin="3326,756" coordsize="4450,644" path="m3326,1399l7776,1399m3326,1073l7776,1073m3326,756l7776,756e" filled="false" stroked="true" strokeweight=".24pt" strokecolor="#000000">
              <v:path arrowok="t"/>
              <v:stroke dashstyle="solid"/>
            </v:shape>
            <v:line style="position:absolute" from="5393,655" to="5393,2690" stroked="true" strokeweight="3.12pt" strokecolor="#993366">
              <v:stroke dashstyle="solid"/>
            </v:line>
            <v:rect style="position:absolute;left:5361;top:655;width:63;height:2036" filled="false" stroked="true" strokeweight=".72pt" strokecolor="#000000">
              <v:stroke dashstyle="solid"/>
            </v:rect>
            <v:line style="position:absolute" from="5590,2210" to="5590,2690" stroked="true" strokeweight="3.6pt" strokecolor="#993366">
              <v:stroke dashstyle="solid"/>
            </v:line>
            <v:rect style="position:absolute;left:5553;top:2210;width:72;height:480" filled="false" stroked="true" strokeweight=".72pt" strokecolor="#000000">
              <v:stroke dashstyle="solid"/>
            </v:rect>
            <v:line style="position:absolute" from="5789,1274" to="5789,2690" stroked="true" strokeweight="3.36pt" strokecolor="#993366">
              <v:stroke dashstyle="solid"/>
            </v:line>
            <v:rect style="position:absolute;left:5755;top:1274;width:68;height:1416" filled="false" stroked="true" strokeweight=".72pt" strokecolor="#000000">
              <v:stroke dashstyle="solid"/>
            </v:rect>
            <v:line style="position:absolute" from="5978,1850" to="5978,2690" stroked="true" strokeweight="3.12pt" strokecolor="#993366">
              <v:stroke dashstyle="solid"/>
            </v:line>
            <v:rect style="position:absolute;left:5947;top:1850;width:63;height:840" filled="false" stroked="true" strokeweight=".72pt" strokecolor="#000000">
              <v:stroke dashstyle="solid"/>
            </v:rect>
            <v:line style="position:absolute" from="6170,2306" to="6170,2690" stroked="true" strokeweight="3.12pt" strokecolor="#993366">
              <v:stroke dashstyle="solid"/>
            </v:line>
            <v:rect style="position:absolute;left:6139;top:2306;width:63;height:384" filled="false" stroked="true" strokeweight=".72pt" strokecolor="#000000">
              <v:stroke dashstyle="solid"/>
            </v:rect>
            <v:line style="position:absolute" from="6360,2330" to="6360,2690" stroked="true" strokeweight="3.36pt" strokecolor="#993366">
              <v:stroke dashstyle="solid"/>
            </v:line>
            <v:rect style="position:absolute;left:6326;top:2330;width:68;height:360" filled="false" stroked="true" strokeweight=".72pt" strokecolor="#000000">
              <v:stroke dashstyle="solid"/>
            </v:rect>
            <v:line style="position:absolute" from="6557,1586" to="6557,2690" stroked="true" strokeweight="3.84pt" strokecolor="#993366">
              <v:stroke dashstyle="solid"/>
            </v:line>
            <v:rect style="position:absolute;left:6518;top:1586;width:77;height:1104" filled="false" stroked="true" strokeweight=".72pt" strokecolor="#000000">
              <v:stroke dashstyle="solid"/>
            </v:rect>
            <v:line style="position:absolute" from="6756,2436" to="6756,2690" stroked="true" strokeweight="3.12pt" strokecolor="#993366">
              <v:stroke dashstyle="solid"/>
            </v:line>
            <v:rect style="position:absolute;left:6724;top:2435;width:63;height:255" filled="false" stroked="true" strokeweight=".72pt" strokecolor="#000000">
              <v:stroke dashstyle="solid"/>
            </v:rect>
            <v:line style="position:absolute" from="6946,2465" to="6946,2690" stroked="true" strokeweight="3.36pt" strokecolor="#993366">
              <v:stroke dashstyle="solid"/>
            </v:line>
            <v:rect style="position:absolute;left:6912;top:2464;width:68;height:226" filled="false" stroked="true" strokeweight=".72pt" strokecolor="#000000">
              <v:stroke dashstyle="solid"/>
            </v:rect>
            <v:rect style="position:absolute;left:7104;top:2623;width:68;height:68" filled="true" fillcolor="#993366" stroked="false">
              <v:fill type="solid"/>
            </v:rect>
            <v:rect style="position:absolute;left:7104;top:2623;width:68;height:68" filled="false" stroked="true" strokeweight=".72pt" strokecolor="#000000">
              <v:stroke dashstyle="solid"/>
            </v:rect>
            <v:rect style="position:absolute;left:7296;top:2570;width:77;height:120" filled="true" fillcolor="#993366" stroked="false">
              <v:fill type="solid"/>
            </v:rect>
            <v:rect style="position:absolute;left:7296;top:2570;width:77;height:120" filled="false" stroked="true" strokeweight=".72pt" strokecolor="#000000">
              <v:stroke dashstyle="solid"/>
            </v:rect>
            <v:rect style="position:absolute;left:7497;top:2623;width:68;height:68" filled="true" fillcolor="#993366" stroked="false">
              <v:fill type="solid"/>
            </v:rect>
            <v:rect style="position:absolute;left:7497;top:2623;width:68;height:68" filled="false" stroked="true" strokeweight=".72pt" strokecolor="#000000">
              <v:stroke dashstyle="solid"/>
            </v:rect>
            <v:rect style="position:absolute;left:7689;top:2656;width:68;height:34" filled="true" fillcolor="#993366" stroked="false">
              <v:fill type="solid"/>
            </v:rect>
            <v:rect style="position:absolute;left:7689;top:2656;width:68;height:34" filled="false" stroked="true" strokeweight=".72pt" strokecolor="#000000">
              <v:stroke dashstyle="solid"/>
            </v:rect>
            <v:shape style="position:absolute;left:3288;top:429;width:4493;height:2261" coordorigin="3288,430" coordsize="4493,2261" path="m3326,430l7776,430m3326,430l3326,2690m3288,2690l3322,2690m3288,2364l3322,2364m3288,2052l3322,2052m3288,1726l3322,1726m3288,1399l3322,1399m3288,1073l3322,1073m3288,756l3322,756m3288,430l3322,430m3326,2690l7776,2690m3326,2690l3326,2657m3514,2690l3514,2657m3706,2690l3706,2657m3912,2690l3912,2657m4099,2690l4099,2657m4291,2690l4291,2657m4483,2690l4483,2657m4685,2690l4685,2657m4877,2690l4877,2657m5069,2690l5069,2657m5261,2690l5261,2657m5448,2690l5448,2657m5654,2690l5654,2657m5846,2690l5846,2657m6034,2690l6034,2657m6226,2690l6226,2657m6418,2690l6418,2657m6619,2690l6619,2657m6811,2690l6811,2657m7003,2690l7003,2657m7195,2690l7195,2657m7397,2690l7397,2657m7589,2690l7589,2657m7781,2690l7781,2657e" filled="false" stroked="true" strokeweight=".24pt" strokecolor="#000000">
              <v:path arrowok="t"/>
              <v:stroke dashstyle="solid"/>
            </v:shape>
            <w10:wrap type="none"/>
          </v:group>
        </w:pict>
      </w:r>
      <w:r>
        <w:rPr>
          <w:w w:val="95"/>
          <w:sz w:val="16"/>
        </w:rPr>
        <w:t>Number </w:t>
      </w:r>
      <w:r>
        <w:rPr>
          <w:sz w:val="16"/>
        </w:rPr>
        <w:t>70</w:t>
      </w:r>
    </w:p>
    <w:p>
      <w:pPr>
        <w:spacing w:before="64"/>
        <w:ind w:left="2320" w:right="0" w:firstLine="0"/>
        <w:jc w:val="left"/>
        <w:rPr>
          <w:sz w:val="16"/>
        </w:rPr>
      </w:pPr>
      <w:r>
        <w:rPr>
          <w:sz w:val="16"/>
        </w:rPr>
        <w:t>60</w:t>
      </w:r>
    </w:p>
    <w:p>
      <w:pPr>
        <w:spacing w:before="133"/>
        <w:ind w:left="2320" w:right="0" w:firstLine="0"/>
        <w:jc w:val="left"/>
        <w:rPr>
          <w:sz w:val="16"/>
        </w:rPr>
      </w:pPr>
      <w:r>
        <w:rPr>
          <w:sz w:val="16"/>
        </w:rPr>
        <w:t>50</w:t>
      </w:r>
    </w:p>
    <w:p>
      <w:pPr>
        <w:spacing w:before="142"/>
        <w:ind w:left="2320" w:right="0" w:firstLine="0"/>
        <w:jc w:val="left"/>
        <w:rPr>
          <w:sz w:val="16"/>
        </w:rPr>
      </w:pPr>
      <w:r>
        <w:rPr>
          <w:sz w:val="16"/>
        </w:rPr>
        <w:t>40</w:t>
      </w:r>
    </w:p>
    <w:p>
      <w:pPr>
        <w:spacing w:before="143"/>
        <w:ind w:left="2320" w:right="0" w:firstLine="0"/>
        <w:jc w:val="left"/>
        <w:rPr>
          <w:sz w:val="16"/>
        </w:rPr>
      </w:pPr>
      <w:r>
        <w:rPr>
          <w:sz w:val="16"/>
        </w:rPr>
        <w:t>30</w:t>
      </w:r>
    </w:p>
    <w:p>
      <w:pPr>
        <w:spacing w:before="137"/>
        <w:ind w:left="2320" w:right="0" w:firstLine="0"/>
        <w:jc w:val="left"/>
        <w:rPr>
          <w:sz w:val="16"/>
        </w:rPr>
      </w:pPr>
      <w:r>
        <w:rPr>
          <w:sz w:val="16"/>
        </w:rPr>
        <w:t>20</w:t>
      </w:r>
    </w:p>
    <w:p>
      <w:pPr>
        <w:spacing w:before="133"/>
        <w:ind w:left="2320" w:right="0" w:firstLine="0"/>
        <w:jc w:val="left"/>
        <w:rPr>
          <w:sz w:val="16"/>
        </w:rPr>
      </w:pPr>
      <w:r>
        <w:rPr>
          <w:sz w:val="16"/>
        </w:rPr>
        <w:t>10</w:t>
      </w:r>
    </w:p>
    <w:p>
      <w:pPr>
        <w:spacing w:before="143"/>
        <w:ind w:left="2388" w:right="0" w:firstLine="0"/>
        <w:jc w:val="left"/>
        <w:rPr>
          <w:sz w:val="16"/>
        </w:rPr>
      </w:pPr>
      <w:r>
        <w:rPr>
          <w:sz w:val="16"/>
        </w:rPr>
        <w:t>0</w:t>
      </w:r>
    </w:p>
    <w:p>
      <w:pPr>
        <w:spacing w:line="182" w:lineRule="exact" w:before="0"/>
        <w:ind w:left="0" w:right="249" w:firstLine="0"/>
        <w:jc w:val="center"/>
        <w:rPr>
          <w:sz w:val="16"/>
        </w:rPr>
      </w:pPr>
      <w:r>
        <w:rPr>
          <w:sz w:val="16"/>
        </w:rPr>
        <w:t>Jun Aug Oct Dec Feb Apr Jun Aug Oct Dec Feb Apr</w:t>
      </w:r>
    </w:p>
    <w:p>
      <w:pPr>
        <w:spacing w:after="0" w:line="182" w:lineRule="exact"/>
        <w:jc w:val="center"/>
        <w:rPr>
          <w:sz w:val="16"/>
        </w:rPr>
        <w:sectPr>
          <w:pgSz w:w="11900" w:h="16840"/>
          <w:pgMar w:header="714" w:footer="0" w:top="1200" w:bottom="280" w:left="780" w:right="1260"/>
        </w:sectPr>
      </w:pPr>
    </w:p>
    <w:p>
      <w:pPr>
        <w:spacing w:before="27"/>
        <w:ind w:left="0" w:right="0" w:firstLine="0"/>
        <w:jc w:val="right"/>
        <w:rPr>
          <w:sz w:val="16"/>
        </w:rPr>
      </w:pPr>
      <w:r>
        <w:rPr>
          <w:sz w:val="16"/>
        </w:rPr>
        <w:t>1997</w:t>
      </w:r>
    </w:p>
    <w:p>
      <w:pPr>
        <w:spacing w:line="178" w:lineRule="exact" w:before="0"/>
        <w:ind w:left="0" w:right="0" w:firstLine="0"/>
        <w:jc w:val="right"/>
        <w:rPr>
          <w:sz w:val="16"/>
        </w:rPr>
      </w:pPr>
      <w:r>
        <w:rPr/>
        <w:br w:type="column"/>
      </w:r>
      <w:r>
        <w:rPr>
          <w:sz w:val="16"/>
        </w:rPr>
        <w:t>1998</w:t>
      </w:r>
    </w:p>
    <w:p>
      <w:pPr>
        <w:pStyle w:val="BodyText"/>
        <w:spacing w:before="9"/>
        <w:rPr>
          <w:sz w:val="23"/>
        </w:rPr>
      </w:pPr>
      <w:r>
        <w:rPr/>
        <w:br w:type="column"/>
      </w:r>
      <w:r>
        <w:rPr>
          <w:sz w:val="23"/>
        </w:rPr>
      </w:r>
    </w:p>
    <w:p>
      <w:pPr>
        <w:tabs>
          <w:tab w:pos="819" w:val="left" w:leader="none"/>
        </w:tabs>
        <w:spacing w:before="0"/>
        <w:ind w:left="99" w:right="0" w:firstLine="0"/>
        <w:jc w:val="left"/>
        <w:rPr>
          <w:sz w:val="11"/>
        </w:rPr>
      </w:pPr>
      <w:r>
        <w:rPr/>
        <w:pict>
          <v:group style="position:absolute;margin-left:255.240005pt;margin-top:1.754773pt;width:4.6pt;height:4.6pt;mso-position-horizontal-relative:page;mso-position-vertical-relative:paragraph;z-index:251671552" coordorigin="5105,35" coordsize="92,92">
            <v:rect style="position:absolute;left:5112;top:42;width:77;height:77" filled="true" fillcolor="#9999ff" stroked="false">
              <v:fill type="solid"/>
            </v:rect>
            <v:rect style="position:absolute;left:5112;top:42;width:77;height:77" filled="false" stroked="true" strokeweight=".72pt" strokecolor="#000000">
              <v:stroke dashstyle="solid"/>
            </v:rect>
            <w10:wrap type="none"/>
          </v:group>
        </w:pict>
      </w:r>
      <w:r>
        <w:rPr/>
        <w:pict>
          <v:group style="position:absolute;margin-left:291.239990pt;margin-top:1.754773pt;width:4.6pt;height:4.6pt;mso-position-horizontal-relative:page;mso-position-vertical-relative:paragraph;z-index:-252233728" coordorigin="5825,35" coordsize="92,92">
            <v:rect style="position:absolute;left:5832;top:42;width:77;height:77" filled="true" fillcolor="#993366" stroked="false">
              <v:fill type="solid"/>
            </v:rect>
            <v:rect style="position:absolute;left:5832;top:42;width:77;height:77" filled="false" stroked="true" strokeweight=".72pt" strokecolor="#000000">
              <v:stroke dashstyle="solid"/>
            </v:rect>
            <w10:wrap type="none"/>
          </v:group>
        </w:pict>
      </w:r>
      <w:r>
        <w:rPr>
          <w:sz w:val="16"/>
        </w:rPr>
        <w:t>Dove</w:t>
      </w:r>
      <w:r>
        <w:rPr>
          <w:position w:val="5"/>
          <w:sz w:val="11"/>
        </w:rPr>
        <w:t>1</w:t>
        <w:tab/>
      </w:r>
      <w:r>
        <w:rPr>
          <w:spacing w:val="-5"/>
          <w:sz w:val="16"/>
        </w:rPr>
        <w:t>Hawk</w:t>
      </w:r>
      <w:r>
        <w:rPr>
          <w:spacing w:val="-5"/>
          <w:position w:val="5"/>
          <w:sz w:val="11"/>
        </w:rPr>
        <w:t>1</w:t>
      </w:r>
    </w:p>
    <w:p>
      <w:pPr>
        <w:spacing w:line="178" w:lineRule="exact" w:before="0"/>
        <w:ind w:left="581" w:right="0" w:firstLine="0"/>
        <w:jc w:val="left"/>
        <w:rPr>
          <w:sz w:val="16"/>
        </w:rPr>
      </w:pPr>
      <w:r>
        <w:rPr/>
        <w:br w:type="column"/>
      </w:r>
      <w:r>
        <w:rPr>
          <w:sz w:val="16"/>
        </w:rPr>
        <w:t>1999</w:t>
      </w:r>
    </w:p>
    <w:p>
      <w:pPr>
        <w:spacing w:after="0" w:line="178" w:lineRule="exact"/>
        <w:jc w:val="left"/>
        <w:rPr>
          <w:sz w:val="16"/>
        </w:rPr>
        <w:sectPr>
          <w:type w:val="continuous"/>
          <w:pgSz w:w="11900" w:h="16840"/>
          <w:pgMar w:top="1200" w:bottom="280" w:left="780" w:right="1260"/>
          <w:cols w:num="4" w:equalWidth="0">
            <w:col w:w="2936" w:space="40"/>
            <w:col w:w="1333" w:space="39"/>
            <w:col w:w="1254" w:space="40"/>
            <w:col w:w="4218"/>
          </w:cols>
        </w:sectPr>
      </w:pPr>
    </w:p>
    <w:p>
      <w:pPr>
        <w:pStyle w:val="BodyText"/>
        <w:spacing w:before="9"/>
        <w:rPr>
          <w:sz w:val="22"/>
        </w:rPr>
      </w:pPr>
    </w:p>
    <w:p>
      <w:pPr>
        <w:spacing w:line="249" w:lineRule="auto" w:before="95"/>
        <w:ind w:left="2536" w:right="4761" w:firstLine="0"/>
        <w:jc w:val="left"/>
        <w:rPr>
          <w:sz w:val="12"/>
        </w:rPr>
      </w:pPr>
      <w:r>
        <w:rPr>
          <w:sz w:val="12"/>
        </w:rPr>
        <w:t>1 First mentions of the words ‘hawks’ and ‘doves’ in newspaper reports about the MPC.</w:t>
      </w:r>
    </w:p>
    <w:sectPr>
      <w:type w:val="continuous"/>
      <w:pgSz w:w="11900" w:h="16840"/>
      <w:pgMar w:top="1200" w:bottom="280" w:left="7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Gill Sans MT">
    <w:altName w:val="Gill Sans 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7.640015pt;margin-top:34.689766pt;width:20.4pt;height:15.6pt;mso-position-horizontal-relative:page;mso-position-vertical-relative:page;z-index:-252248064"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32" w:hanging="408"/>
        <w:jc w:val="left"/>
      </w:pPr>
      <w:rPr>
        <w:rFonts w:hint="default" w:ascii="Times New Roman" w:hAnsi="Times New Roman" w:eastAsia="Times New Roman" w:cs="Times New Roman"/>
        <w:spacing w:val="0"/>
        <w:w w:val="92"/>
        <w:sz w:val="24"/>
        <w:szCs w:val="24"/>
      </w:rPr>
    </w:lvl>
    <w:lvl w:ilvl="1">
      <w:start w:val="0"/>
      <w:numFmt w:val="bullet"/>
      <w:lvlText w:val="•"/>
      <w:lvlJc w:val="left"/>
      <w:pPr>
        <w:ind w:left="2282" w:hanging="408"/>
      </w:pPr>
      <w:rPr>
        <w:rFonts w:hint="default"/>
      </w:rPr>
    </w:lvl>
    <w:lvl w:ilvl="2">
      <w:start w:val="0"/>
      <w:numFmt w:val="bullet"/>
      <w:lvlText w:val="•"/>
      <w:lvlJc w:val="left"/>
      <w:pPr>
        <w:ind w:left="3124" w:hanging="408"/>
      </w:pPr>
      <w:rPr>
        <w:rFonts w:hint="default"/>
      </w:rPr>
    </w:lvl>
    <w:lvl w:ilvl="3">
      <w:start w:val="0"/>
      <w:numFmt w:val="bullet"/>
      <w:lvlText w:val="•"/>
      <w:lvlJc w:val="left"/>
      <w:pPr>
        <w:ind w:left="3966" w:hanging="408"/>
      </w:pPr>
      <w:rPr>
        <w:rFonts w:hint="default"/>
      </w:rPr>
    </w:lvl>
    <w:lvl w:ilvl="4">
      <w:start w:val="0"/>
      <w:numFmt w:val="bullet"/>
      <w:lvlText w:val="•"/>
      <w:lvlJc w:val="left"/>
      <w:pPr>
        <w:ind w:left="4808" w:hanging="408"/>
      </w:pPr>
      <w:rPr>
        <w:rFonts w:hint="default"/>
      </w:rPr>
    </w:lvl>
    <w:lvl w:ilvl="5">
      <w:start w:val="0"/>
      <w:numFmt w:val="bullet"/>
      <w:lvlText w:val="•"/>
      <w:lvlJc w:val="left"/>
      <w:pPr>
        <w:ind w:left="5650" w:hanging="408"/>
      </w:pPr>
      <w:rPr>
        <w:rFonts w:hint="default"/>
      </w:rPr>
    </w:lvl>
    <w:lvl w:ilvl="6">
      <w:start w:val="0"/>
      <w:numFmt w:val="bullet"/>
      <w:lvlText w:val="•"/>
      <w:lvlJc w:val="left"/>
      <w:pPr>
        <w:ind w:left="6492" w:hanging="408"/>
      </w:pPr>
      <w:rPr>
        <w:rFonts w:hint="default"/>
      </w:rPr>
    </w:lvl>
    <w:lvl w:ilvl="7">
      <w:start w:val="0"/>
      <w:numFmt w:val="bullet"/>
      <w:lvlText w:val="•"/>
      <w:lvlJc w:val="left"/>
      <w:pPr>
        <w:ind w:left="7334" w:hanging="408"/>
      </w:pPr>
      <w:rPr>
        <w:rFonts w:hint="default"/>
      </w:rPr>
    </w:lvl>
    <w:lvl w:ilvl="8">
      <w:start w:val="0"/>
      <w:numFmt w:val="bullet"/>
      <w:lvlText w:val="•"/>
      <w:lvlJc w:val="left"/>
      <w:pPr>
        <w:ind w:left="8176" w:hanging="408"/>
      </w:pPr>
      <w:rPr>
        <w:rFonts w:hint="default"/>
      </w:rPr>
    </w:lvl>
  </w:abstractNum>
  <w:abstractNum w:abstractNumId="0">
    <w:multiLevelType w:val="hybridMultilevel"/>
    <w:lvl w:ilvl="0">
      <w:start w:val="1"/>
      <w:numFmt w:val="decimal"/>
      <w:lvlText w:val="%1"/>
      <w:lvlJc w:val="left"/>
      <w:pPr>
        <w:ind w:left="1744" w:hanging="720"/>
        <w:jc w:val="left"/>
      </w:pPr>
      <w:rPr>
        <w:rFonts w:hint="default" w:ascii="Times New Roman" w:hAnsi="Times New Roman" w:eastAsia="Times New Roman" w:cs="Times New Roman"/>
        <w:b/>
        <w:bCs/>
        <w:spacing w:val="-9"/>
        <w:w w:val="99"/>
        <w:sz w:val="24"/>
        <w:szCs w:val="24"/>
      </w:rPr>
    </w:lvl>
    <w:lvl w:ilvl="1">
      <w:start w:val="0"/>
      <w:numFmt w:val="bullet"/>
      <w:lvlText w:val="•"/>
      <w:lvlJc w:val="left"/>
      <w:pPr>
        <w:ind w:left="2140" w:hanging="720"/>
      </w:pPr>
      <w:rPr>
        <w:rFonts w:hint="default"/>
      </w:rPr>
    </w:lvl>
    <w:lvl w:ilvl="2">
      <w:start w:val="0"/>
      <w:numFmt w:val="bullet"/>
      <w:lvlText w:val="•"/>
      <w:lvlJc w:val="left"/>
      <w:pPr>
        <w:ind w:left="2997" w:hanging="720"/>
      </w:pPr>
      <w:rPr>
        <w:rFonts w:hint="default"/>
      </w:rPr>
    </w:lvl>
    <w:lvl w:ilvl="3">
      <w:start w:val="0"/>
      <w:numFmt w:val="bullet"/>
      <w:lvlText w:val="•"/>
      <w:lvlJc w:val="left"/>
      <w:pPr>
        <w:ind w:left="3855" w:hanging="720"/>
      </w:pPr>
      <w:rPr>
        <w:rFonts w:hint="default"/>
      </w:rPr>
    </w:lvl>
    <w:lvl w:ilvl="4">
      <w:start w:val="0"/>
      <w:numFmt w:val="bullet"/>
      <w:lvlText w:val="•"/>
      <w:lvlJc w:val="left"/>
      <w:pPr>
        <w:ind w:left="4713" w:hanging="720"/>
      </w:pPr>
      <w:rPr>
        <w:rFonts w:hint="default"/>
      </w:rPr>
    </w:lvl>
    <w:lvl w:ilvl="5">
      <w:start w:val="0"/>
      <w:numFmt w:val="bullet"/>
      <w:lvlText w:val="•"/>
      <w:lvlJc w:val="left"/>
      <w:pPr>
        <w:ind w:left="5571" w:hanging="720"/>
      </w:pPr>
      <w:rPr>
        <w:rFonts w:hint="default"/>
      </w:rPr>
    </w:lvl>
    <w:lvl w:ilvl="6">
      <w:start w:val="0"/>
      <w:numFmt w:val="bullet"/>
      <w:lvlText w:val="•"/>
      <w:lvlJc w:val="left"/>
      <w:pPr>
        <w:ind w:left="6428" w:hanging="720"/>
      </w:pPr>
      <w:rPr>
        <w:rFonts w:hint="default"/>
      </w:rPr>
    </w:lvl>
    <w:lvl w:ilvl="7">
      <w:start w:val="0"/>
      <w:numFmt w:val="bullet"/>
      <w:lvlText w:val="•"/>
      <w:lvlJc w:val="left"/>
      <w:pPr>
        <w:ind w:left="7286" w:hanging="720"/>
      </w:pPr>
      <w:rPr>
        <w:rFonts w:hint="default"/>
      </w:rPr>
    </w:lvl>
    <w:lvl w:ilvl="8">
      <w:start w:val="0"/>
      <w:numFmt w:val="bullet"/>
      <w:lvlText w:val="•"/>
      <w:lvlJc w:val="left"/>
      <w:pPr>
        <w:ind w:left="8144"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613"/>
      <w:jc w:val="center"/>
      <w:outlineLvl w:val="1"/>
    </w:pPr>
    <w:rPr>
      <w:rFonts w:ascii="Times New Roman" w:hAnsi="Times New Roman" w:eastAsia="Times New Roman" w:cs="Times New Roman"/>
      <w:sz w:val="32"/>
      <w:szCs w:val="32"/>
    </w:rPr>
  </w:style>
  <w:style w:styleId="Heading2" w:type="paragraph">
    <w:name w:val="Heading 2"/>
    <w:basedOn w:val="Normal"/>
    <w:uiPriority w:val="1"/>
    <w:qFormat/>
    <w:pPr>
      <w:spacing w:before="89"/>
      <w:outlineLvl w:val="2"/>
    </w:pPr>
    <w:rPr>
      <w:rFonts w:ascii="Times New Roman" w:hAnsi="Times New Roman" w:eastAsia="Times New Roman" w:cs="Times New Roman"/>
      <w:b/>
      <w:bCs/>
      <w:sz w:val="26"/>
      <w:szCs w:val="26"/>
    </w:rPr>
  </w:style>
  <w:style w:styleId="Heading3" w:type="paragraph">
    <w:name w:val="Heading 3"/>
    <w:basedOn w:val="Normal"/>
    <w:uiPriority w:val="1"/>
    <w:qFormat/>
    <w:pPr>
      <w:ind w:left="1744" w:hanging="721"/>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744" w:hanging="721"/>
    </w:pPr>
    <w:rPr>
      <w:rFonts w:ascii="Times New Roman" w:hAnsi="Times New Roman" w:eastAsia="Times New Roman" w:cs="Times New Roman"/>
    </w:rPr>
  </w:style>
  <w:style w:styleId="TableParagraph" w:type="paragraph">
    <w:name w:val="Table Paragraph"/>
    <w:basedOn w:val="Normal"/>
    <w:uiPriority w:val="1"/>
    <w:qFormat/>
    <w:pPr>
      <w:spacing w:line="177"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Monetary Policy Committee Two Years On</dc:subject>
  <dc:title>MPC Two Years On - Speech by Mervyn King, Deputy Governor</dc:title>
  <dcterms:created xsi:type="dcterms:W3CDTF">2020-06-02T18:05:03Z</dcterms:created>
  <dcterms:modified xsi:type="dcterms:W3CDTF">2020-06-02T18:05:03Z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1999-05-17T00:00:00Z</vt:filetime>
  </property>
  <property fmtid="{D5CDD505-2E9C-101B-9397-08002B2CF9AE}" pid="3" name="Creator">
    <vt:lpwstr>Microsoft Word - makni.doc</vt:lpwstr>
  </property>
  <property fmtid="{D5CDD505-2E9C-101B-9397-08002B2CF9AE}" pid="4" name="LastSaved">
    <vt:filetime>2020-06-02T00:00:00Z</vt:filetime>
  </property>
</Properties>
</file>