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spacing w:before="2"/>
        <w:rPr>
          <w:rFonts w:ascii="Times New Roman"/>
          <w:sz w:val="21"/>
        </w:rPr>
      </w:pPr>
    </w:p>
    <w:p>
      <w:pPr>
        <w:spacing w:before="91"/>
        <w:ind w:left="227" w:right="0" w:firstLine="0"/>
        <w:jc w:val="left"/>
        <w:rPr>
          <w:b/>
          <w:sz w:val="30"/>
        </w:rPr>
      </w:pPr>
      <w:r>
        <w:rPr>
          <w:b/>
          <w:color w:val="6A709F"/>
          <w:sz w:val="30"/>
        </w:rPr>
        <w:t>The economics of currency unions</w:t>
      </w:r>
    </w:p>
    <w:p>
      <w:pPr>
        <w:pStyle w:val="BodyText"/>
        <w:spacing w:before="10"/>
        <w:rPr>
          <w:b/>
          <w:sz w:val="32"/>
        </w:rPr>
      </w:pPr>
    </w:p>
    <w:p>
      <w:pPr>
        <w:spacing w:before="0"/>
        <w:ind w:left="227" w:right="0" w:firstLine="0"/>
        <w:jc w:val="left"/>
        <w:rPr>
          <w:sz w:val="22"/>
        </w:rPr>
      </w:pPr>
      <w:r>
        <w:rPr>
          <w:sz w:val="22"/>
        </w:rPr>
        <w:t>Speech given by</w:t>
      </w:r>
    </w:p>
    <w:p>
      <w:pPr>
        <w:spacing w:before="137"/>
        <w:ind w:left="227" w:right="0" w:firstLine="0"/>
        <w:jc w:val="left"/>
        <w:rPr>
          <w:sz w:val="22"/>
        </w:rPr>
      </w:pPr>
      <w:r>
        <w:rPr>
          <w:sz w:val="22"/>
        </w:rPr>
        <w:t>Mark Carney, Governor of the Bank of England</w:t>
      </w:r>
    </w:p>
    <w:p>
      <w:pPr>
        <w:pStyle w:val="BodyText"/>
        <w:rPr>
          <w:sz w:val="24"/>
        </w:rPr>
      </w:pPr>
    </w:p>
    <w:p>
      <w:pPr>
        <w:pStyle w:val="BodyText"/>
        <w:spacing w:before="7"/>
        <w:rPr>
          <w:sz w:val="21"/>
        </w:rPr>
      </w:pPr>
    </w:p>
    <w:p>
      <w:pPr>
        <w:spacing w:line="369" w:lineRule="auto" w:before="1"/>
        <w:ind w:left="227" w:right="1137" w:firstLine="0"/>
        <w:jc w:val="left"/>
        <w:rPr>
          <w:sz w:val="22"/>
        </w:rPr>
      </w:pPr>
      <w:r>
        <w:rPr>
          <w:sz w:val="22"/>
        </w:rPr>
        <w:t>At a lunch hosted by the Scottish Council for Development &amp; Industry, Edinburgh 29 January 2014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before="1"/>
        <w:ind w:left="227" w:right="1137"/>
      </w:pPr>
      <w:r>
        <w:rPr/>
        <w:t>I am grateful to Tim Taylor and Alex Brazier for their assistance in preparing this speech, and to Jeremy Franklin and Lukasz Rachel for providing research assistance.</w:t>
      </w:r>
    </w:p>
    <w:p>
      <w:pPr>
        <w:spacing w:after="0"/>
        <w:sectPr>
          <w:footerReference w:type="default" r:id="rId5"/>
          <w:type w:val="continuous"/>
          <w:pgSz w:w="12240" w:h="15840"/>
          <w:pgMar w:footer="1240" w:top="1120" w:bottom="1440" w:left="1360" w:right="1480"/>
        </w:sectPr>
      </w:pPr>
    </w:p>
    <w:p>
      <w:pPr>
        <w:pStyle w:val="BodyText"/>
        <w:spacing w:line="357" w:lineRule="auto" w:before="72"/>
        <w:ind w:left="226" w:right="111"/>
      </w:pPr>
      <w:r>
        <w:rPr/>
        <w:t>It is a pleasure to be in Scotland today and to have the opportunity to hear directly from businesses about the economy. The recovery that began in Scotland has now taken hold in the UK with the economy growing at its fastest rate since 2007.</w:t>
      </w:r>
    </w:p>
    <w:p>
      <w:pPr>
        <w:pStyle w:val="BodyText"/>
        <w:spacing w:before="11"/>
        <w:rPr>
          <w:sz w:val="27"/>
        </w:rPr>
      </w:pPr>
    </w:p>
    <w:p>
      <w:pPr>
        <w:pStyle w:val="BodyText"/>
        <w:spacing w:line="357" w:lineRule="auto"/>
        <w:ind w:left="226" w:right="111"/>
      </w:pPr>
      <w:r>
        <w:rPr/>
        <w:t>Although a few quarters of above-trend growth driven by household spending represent a good start, they aren’t</w:t>
      </w:r>
      <w:r>
        <w:rPr>
          <w:spacing w:val="-8"/>
        </w:rPr>
        <w:t> </w:t>
      </w:r>
      <w:r>
        <w:rPr/>
        <w:t>sufficient.</w:t>
      </w:r>
      <w:r>
        <w:rPr>
          <w:spacing w:val="35"/>
        </w:rPr>
        <w:t> </w:t>
      </w:r>
      <w:r>
        <w:rPr/>
        <w:t>Even</w:t>
      </w:r>
      <w:r>
        <w:rPr>
          <w:spacing w:val="-10"/>
        </w:rPr>
        <w:t> </w:t>
      </w:r>
      <w:r>
        <w:rPr/>
        <w:t>though</w:t>
      </w:r>
      <w:r>
        <w:rPr>
          <w:spacing w:val="-10"/>
        </w:rPr>
        <w:t> </w:t>
      </w:r>
      <w:r>
        <w:rPr/>
        <w:t>employment</w:t>
      </w:r>
      <w:r>
        <w:rPr>
          <w:spacing w:val="-9"/>
        </w:rPr>
        <w:t> </w:t>
      </w:r>
      <w:r>
        <w:rPr/>
        <w:t>is</w:t>
      </w:r>
      <w:r>
        <w:rPr>
          <w:spacing w:val="-8"/>
        </w:rPr>
        <w:t> </w:t>
      </w:r>
      <w:r>
        <w:rPr/>
        <w:t>growing</w:t>
      </w:r>
      <w:r>
        <w:rPr>
          <w:spacing w:val="-10"/>
        </w:rPr>
        <w:t> </w:t>
      </w:r>
      <w:r>
        <w:rPr/>
        <w:t>and</w:t>
      </w:r>
      <w:r>
        <w:rPr>
          <w:spacing w:val="-9"/>
        </w:rPr>
        <w:t> </w:t>
      </w:r>
      <w:r>
        <w:rPr/>
        <w:t>unemployment</w:t>
      </w:r>
      <w:r>
        <w:rPr>
          <w:spacing w:val="-9"/>
        </w:rPr>
        <w:t> </w:t>
      </w:r>
      <w:r>
        <w:rPr/>
        <w:t>has</w:t>
      </w:r>
      <w:r>
        <w:rPr>
          <w:spacing w:val="-8"/>
        </w:rPr>
        <w:t> </w:t>
      </w:r>
      <w:r>
        <w:rPr/>
        <w:t>fallen</w:t>
      </w:r>
      <w:r>
        <w:rPr>
          <w:spacing w:val="-10"/>
        </w:rPr>
        <w:t> </w:t>
      </w:r>
      <w:r>
        <w:rPr/>
        <w:t>–</w:t>
      </w:r>
      <w:r>
        <w:rPr>
          <w:spacing w:val="-9"/>
        </w:rPr>
        <w:t> </w:t>
      </w:r>
      <w:r>
        <w:rPr/>
        <w:t>particularly</w:t>
      </w:r>
      <w:r>
        <w:rPr>
          <w:spacing w:val="-8"/>
        </w:rPr>
        <w:t> </w:t>
      </w:r>
      <w:r>
        <w:rPr/>
        <w:t>so</w:t>
      </w:r>
      <w:r>
        <w:rPr>
          <w:spacing w:val="-10"/>
        </w:rPr>
        <w:t> </w:t>
      </w:r>
      <w:r>
        <w:rPr/>
        <w:t>recently in</w:t>
      </w:r>
      <w:r>
        <w:rPr>
          <w:spacing w:val="-8"/>
        </w:rPr>
        <w:t> </w:t>
      </w:r>
      <w:r>
        <w:rPr/>
        <w:t>Scotland</w:t>
      </w:r>
      <w:r>
        <w:rPr>
          <w:spacing w:val="-7"/>
        </w:rPr>
        <w:t> </w:t>
      </w:r>
      <w:r>
        <w:rPr/>
        <w:t>–</w:t>
      </w:r>
      <w:r>
        <w:rPr>
          <w:spacing w:val="-8"/>
        </w:rPr>
        <w:t> </w:t>
      </w:r>
      <w:r>
        <w:rPr/>
        <w:t>the</w:t>
      </w:r>
      <w:r>
        <w:rPr>
          <w:spacing w:val="-7"/>
        </w:rPr>
        <w:t> </w:t>
      </w:r>
      <w:r>
        <w:rPr/>
        <w:t>recovery</w:t>
      </w:r>
      <w:r>
        <w:rPr>
          <w:spacing w:val="-7"/>
        </w:rPr>
        <w:t> </w:t>
      </w:r>
      <w:r>
        <w:rPr/>
        <w:t>has</w:t>
      </w:r>
      <w:r>
        <w:rPr>
          <w:spacing w:val="-6"/>
        </w:rPr>
        <w:t> </w:t>
      </w:r>
      <w:r>
        <w:rPr/>
        <w:t>some</w:t>
      </w:r>
      <w:r>
        <w:rPr>
          <w:spacing w:val="-5"/>
        </w:rPr>
        <w:t> </w:t>
      </w:r>
      <w:r>
        <w:rPr/>
        <w:t>way</w:t>
      </w:r>
      <w:r>
        <w:rPr>
          <w:spacing w:val="-5"/>
        </w:rPr>
        <w:t> </w:t>
      </w:r>
      <w:r>
        <w:rPr/>
        <w:t>to</w:t>
      </w:r>
      <w:r>
        <w:rPr>
          <w:spacing w:val="-7"/>
        </w:rPr>
        <w:t> </w:t>
      </w:r>
      <w:r>
        <w:rPr/>
        <w:t>run</w:t>
      </w:r>
      <w:r>
        <w:rPr>
          <w:spacing w:val="-8"/>
        </w:rPr>
        <w:t> </w:t>
      </w:r>
      <w:r>
        <w:rPr/>
        <w:t>before</w:t>
      </w:r>
      <w:r>
        <w:rPr>
          <w:spacing w:val="-7"/>
        </w:rPr>
        <w:t> </w:t>
      </w:r>
      <w:r>
        <w:rPr/>
        <w:t>it</w:t>
      </w:r>
      <w:r>
        <w:rPr>
          <w:spacing w:val="-7"/>
        </w:rPr>
        <w:t> </w:t>
      </w:r>
      <w:r>
        <w:rPr/>
        <w:t>would</w:t>
      </w:r>
      <w:r>
        <w:rPr>
          <w:spacing w:val="-7"/>
        </w:rPr>
        <w:t> </w:t>
      </w:r>
      <w:r>
        <w:rPr/>
        <w:t>be</w:t>
      </w:r>
      <w:r>
        <w:rPr>
          <w:spacing w:val="-7"/>
        </w:rPr>
        <w:t> </w:t>
      </w:r>
      <w:r>
        <w:rPr/>
        <w:t>appropriate</w:t>
      </w:r>
      <w:r>
        <w:rPr>
          <w:spacing w:val="-8"/>
        </w:rPr>
        <w:t> </w:t>
      </w:r>
      <w:r>
        <w:rPr/>
        <w:t>to</w:t>
      </w:r>
      <w:r>
        <w:rPr>
          <w:spacing w:val="-8"/>
        </w:rPr>
        <w:t> </w:t>
      </w:r>
      <w:r>
        <w:rPr/>
        <w:t>consider</w:t>
      </w:r>
      <w:r>
        <w:rPr>
          <w:spacing w:val="-7"/>
        </w:rPr>
        <w:t> </w:t>
      </w:r>
      <w:r>
        <w:rPr/>
        <w:t>moving</w:t>
      </w:r>
      <w:r>
        <w:rPr>
          <w:spacing w:val="-8"/>
        </w:rPr>
        <w:t> </w:t>
      </w:r>
      <w:r>
        <w:rPr/>
        <w:t>away</w:t>
      </w:r>
      <w:r>
        <w:rPr>
          <w:spacing w:val="-7"/>
        </w:rPr>
        <w:t> </w:t>
      </w:r>
      <w:r>
        <w:rPr/>
        <w:t>from the emergency setting of monetary policy. The Monetary Policy Committee has noted that, when the time eventually comes to increase interest rates, any such move would be gradual. That should help to reassure businesses in Scotland and all around the UK that the path of interest rates will be consistent with achieving a sustained and balanced recovery in the face of the remaining headwinds stemming from the financial crisis.</w:t>
      </w:r>
    </w:p>
    <w:p>
      <w:pPr>
        <w:pStyle w:val="BodyText"/>
        <w:spacing w:before="6"/>
        <w:rPr>
          <w:sz w:val="27"/>
        </w:rPr>
      </w:pPr>
    </w:p>
    <w:p>
      <w:pPr>
        <w:pStyle w:val="BodyText"/>
        <w:spacing w:line="357" w:lineRule="auto"/>
        <w:ind w:left="226" w:right="177"/>
      </w:pPr>
      <w:r>
        <w:rPr/>
        <w:t>Scotland is a land rich in history and ideas, and one to which I owe a great debt. Scots built the very foundations of my native land, Canada, whose first Prime Minister Sir John A. Macdonald was born in Glasgow. Scots have shaped the modern world through their contributions to culture and science. The pioneering work of Scottish economists from Adam Smith to Sir James Mirrlees has had great influence on my profession. Among them is David Hume, born just a short walk from here and a great friend and collaborator of Smith. While better known as a philosopher, Hume’s essay “Of the balance of trade” set out the theory of how trade imbalances between nations sharing a currency (gold) would self-correct as inflows of money to surplus countries raised their prices and reduced their competitiveness.</w:t>
      </w:r>
    </w:p>
    <w:p>
      <w:pPr>
        <w:pStyle w:val="BodyText"/>
        <w:spacing w:before="6"/>
        <w:rPr>
          <w:sz w:val="27"/>
        </w:rPr>
      </w:pPr>
    </w:p>
    <w:p>
      <w:pPr>
        <w:pStyle w:val="BodyText"/>
        <w:spacing w:line="357" w:lineRule="auto"/>
        <w:ind w:left="226"/>
      </w:pPr>
      <w:r>
        <w:rPr/>
        <w:t>As</w:t>
      </w:r>
      <w:r>
        <w:rPr>
          <w:spacing w:val="-9"/>
        </w:rPr>
        <w:t> </w:t>
      </w:r>
      <w:r>
        <w:rPr/>
        <w:t>an</w:t>
      </w:r>
      <w:r>
        <w:rPr>
          <w:spacing w:val="-9"/>
        </w:rPr>
        <w:t> </w:t>
      </w:r>
      <w:r>
        <w:rPr/>
        <w:t>empiricist,</w:t>
      </w:r>
      <w:r>
        <w:rPr>
          <w:spacing w:val="-10"/>
        </w:rPr>
        <w:t> </w:t>
      </w:r>
      <w:r>
        <w:rPr/>
        <w:t>Hume</w:t>
      </w:r>
      <w:r>
        <w:rPr>
          <w:spacing w:val="-7"/>
        </w:rPr>
        <w:t> </w:t>
      </w:r>
      <w:r>
        <w:rPr/>
        <w:t>would</w:t>
      </w:r>
      <w:r>
        <w:rPr>
          <w:spacing w:val="-9"/>
        </w:rPr>
        <w:t> </w:t>
      </w:r>
      <w:r>
        <w:rPr/>
        <w:t>doubtless</w:t>
      </w:r>
      <w:r>
        <w:rPr>
          <w:spacing w:val="-8"/>
        </w:rPr>
        <w:t> </w:t>
      </w:r>
      <w:r>
        <w:rPr/>
        <w:t>admit</w:t>
      </w:r>
      <w:r>
        <w:rPr>
          <w:spacing w:val="-9"/>
        </w:rPr>
        <w:t> </w:t>
      </w:r>
      <w:r>
        <w:rPr/>
        <w:t>that</w:t>
      </w:r>
      <w:r>
        <w:rPr>
          <w:spacing w:val="-10"/>
        </w:rPr>
        <w:t> </w:t>
      </w:r>
      <w:r>
        <w:rPr/>
        <w:t>recent</w:t>
      </w:r>
      <w:r>
        <w:rPr>
          <w:spacing w:val="-9"/>
        </w:rPr>
        <w:t> </w:t>
      </w:r>
      <w:r>
        <w:rPr/>
        <w:t>euro</w:t>
      </w:r>
      <w:r>
        <w:rPr>
          <w:spacing w:val="-9"/>
        </w:rPr>
        <w:t> </w:t>
      </w:r>
      <w:r>
        <w:rPr/>
        <w:t>area</w:t>
      </w:r>
      <w:r>
        <w:rPr>
          <w:spacing w:val="-10"/>
        </w:rPr>
        <w:t> </w:t>
      </w:r>
      <w:r>
        <w:rPr/>
        <w:t>experience</w:t>
      </w:r>
      <w:r>
        <w:rPr>
          <w:spacing w:val="-10"/>
        </w:rPr>
        <w:t> </w:t>
      </w:r>
      <w:r>
        <w:rPr/>
        <w:t>of</w:t>
      </w:r>
      <w:r>
        <w:rPr>
          <w:spacing w:val="-9"/>
        </w:rPr>
        <w:t> </w:t>
      </w:r>
      <w:r>
        <w:rPr/>
        <w:t>persistent</w:t>
      </w:r>
      <w:r>
        <w:rPr>
          <w:spacing w:val="-8"/>
        </w:rPr>
        <w:t> </w:t>
      </w:r>
      <w:r>
        <w:rPr/>
        <w:t>current</w:t>
      </w:r>
      <w:r>
        <w:rPr>
          <w:spacing w:val="-8"/>
        </w:rPr>
        <w:t> </w:t>
      </w:r>
      <w:r>
        <w:rPr/>
        <w:t>account deficits leading not to self-correction but instead to crisis requires a more elaborate explanation. Fortunately economists</w:t>
      </w:r>
      <w:r>
        <w:rPr>
          <w:spacing w:val="-5"/>
        </w:rPr>
        <w:t> </w:t>
      </w:r>
      <w:r>
        <w:rPr/>
        <w:t>have</w:t>
      </w:r>
      <w:r>
        <w:rPr>
          <w:spacing w:val="-6"/>
        </w:rPr>
        <w:t> </w:t>
      </w:r>
      <w:r>
        <w:rPr/>
        <w:t>over</w:t>
      </w:r>
      <w:r>
        <w:rPr>
          <w:spacing w:val="-5"/>
        </w:rPr>
        <w:t> </w:t>
      </w:r>
      <w:r>
        <w:rPr/>
        <w:t>the</w:t>
      </w:r>
      <w:r>
        <w:rPr>
          <w:spacing w:val="-3"/>
        </w:rPr>
        <w:t> </w:t>
      </w:r>
      <w:r>
        <w:rPr/>
        <w:t>years</w:t>
      </w:r>
      <w:r>
        <w:rPr>
          <w:spacing w:val="-5"/>
        </w:rPr>
        <w:t> </w:t>
      </w:r>
      <w:r>
        <w:rPr/>
        <w:t>obliged</w:t>
      </w:r>
      <w:r>
        <w:rPr>
          <w:spacing w:val="-3"/>
        </w:rPr>
        <w:t> </w:t>
      </w:r>
      <w:r>
        <w:rPr/>
        <w:t>with</w:t>
      </w:r>
      <w:r>
        <w:rPr>
          <w:spacing w:val="-6"/>
        </w:rPr>
        <w:t> </w:t>
      </w:r>
      <w:r>
        <w:rPr/>
        <w:t>substantial</w:t>
      </w:r>
      <w:r>
        <w:rPr>
          <w:spacing w:val="-3"/>
        </w:rPr>
        <w:t> </w:t>
      </w:r>
      <w:r>
        <w:rPr/>
        <w:t>work</w:t>
      </w:r>
      <w:r>
        <w:rPr>
          <w:spacing w:val="-4"/>
        </w:rPr>
        <w:t> </w:t>
      </w:r>
      <w:r>
        <w:rPr/>
        <w:t>on</w:t>
      </w:r>
      <w:r>
        <w:rPr>
          <w:spacing w:val="-5"/>
        </w:rPr>
        <w:t> </w:t>
      </w:r>
      <w:r>
        <w:rPr/>
        <w:t>the</w:t>
      </w:r>
      <w:r>
        <w:rPr>
          <w:spacing w:val="-5"/>
        </w:rPr>
        <w:t> </w:t>
      </w:r>
      <w:r>
        <w:rPr/>
        <w:t>economics</w:t>
      </w:r>
      <w:r>
        <w:rPr>
          <w:spacing w:val="-5"/>
        </w:rPr>
        <w:t> </w:t>
      </w:r>
      <w:r>
        <w:rPr/>
        <w:t>of</w:t>
      </w:r>
      <w:r>
        <w:rPr>
          <w:spacing w:val="-3"/>
        </w:rPr>
        <w:t> </w:t>
      </w:r>
      <w:r>
        <w:rPr/>
        <w:t>currency</w:t>
      </w:r>
      <w:r>
        <w:rPr>
          <w:spacing w:val="-5"/>
        </w:rPr>
        <w:t> </w:t>
      </w:r>
      <w:r>
        <w:rPr/>
        <w:t>unions.</w:t>
      </w:r>
    </w:p>
    <w:p>
      <w:pPr>
        <w:pStyle w:val="BodyText"/>
        <w:rPr>
          <w:sz w:val="28"/>
        </w:rPr>
      </w:pPr>
    </w:p>
    <w:p>
      <w:pPr>
        <w:pStyle w:val="BodyText"/>
        <w:spacing w:line="357" w:lineRule="auto"/>
        <w:ind w:left="226" w:right="205"/>
        <w:jc w:val="both"/>
      </w:pPr>
      <w:r>
        <w:rPr/>
        <w:t>Given</w:t>
      </w:r>
      <w:r>
        <w:rPr>
          <w:spacing w:val="-8"/>
        </w:rPr>
        <w:t> </w:t>
      </w:r>
      <w:r>
        <w:rPr/>
        <w:t>the</w:t>
      </w:r>
      <w:r>
        <w:rPr>
          <w:spacing w:val="-8"/>
        </w:rPr>
        <w:t> </w:t>
      </w:r>
      <w:r>
        <w:rPr/>
        <w:t>recent</w:t>
      </w:r>
      <w:r>
        <w:rPr>
          <w:spacing w:val="-8"/>
        </w:rPr>
        <w:t> </w:t>
      </w:r>
      <w:r>
        <w:rPr/>
        <w:t>focus</w:t>
      </w:r>
      <w:r>
        <w:rPr>
          <w:spacing w:val="-6"/>
        </w:rPr>
        <w:t> </w:t>
      </w:r>
      <w:r>
        <w:rPr/>
        <w:t>here</w:t>
      </w:r>
      <w:r>
        <w:rPr>
          <w:spacing w:val="-8"/>
        </w:rPr>
        <w:t> </w:t>
      </w:r>
      <w:r>
        <w:rPr/>
        <w:t>on</w:t>
      </w:r>
      <w:r>
        <w:rPr>
          <w:spacing w:val="-7"/>
        </w:rPr>
        <w:t> </w:t>
      </w:r>
      <w:r>
        <w:rPr/>
        <w:t>the</w:t>
      </w:r>
      <w:r>
        <w:rPr>
          <w:spacing w:val="-8"/>
        </w:rPr>
        <w:t> </w:t>
      </w:r>
      <w:r>
        <w:rPr/>
        <w:t>currency</w:t>
      </w:r>
      <w:r>
        <w:rPr>
          <w:spacing w:val="-8"/>
        </w:rPr>
        <w:t> </w:t>
      </w:r>
      <w:r>
        <w:rPr/>
        <w:t>and</w:t>
      </w:r>
      <w:r>
        <w:rPr>
          <w:spacing w:val="-9"/>
        </w:rPr>
        <w:t> </w:t>
      </w:r>
      <w:r>
        <w:rPr/>
        <w:t>the</w:t>
      </w:r>
      <w:r>
        <w:rPr>
          <w:spacing w:val="-6"/>
        </w:rPr>
        <w:t> </w:t>
      </w:r>
      <w:r>
        <w:rPr/>
        <w:t>fundamental</w:t>
      </w:r>
      <w:r>
        <w:rPr>
          <w:spacing w:val="-7"/>
        </w:rPr>
        <w:t> </w:t>
      </w:r>
      <w:r>
        <w:rPr/>
        <w:t>role</w:t>
      </w:r>
      <w:r>
        <w:rPr>
          <w:spacing w:val="-8"/>
        </w:rPr>
        <w:t> </w:t>
      </w:r>
      <w:r>
        <w:rPr/>
        <w:t>of</w:t>
      </w:r>
      <w:r>
        <w:rPr>
          <w:spacing w:val="-6"/>
        </w:rPr>
        <w:t> </w:t>
      </w:r>
      <w:r>
        <w:rPr/>
        <w:t>the</w:t>
      </w:r>
      <w:r>
        <w:rPr>
          <w:spacing w:val="-8"/>
        </w:rPr>
        <w:t> </w:t>
      </w:r>
      <w:r>
        <w:rPr/>
        <w:t>Bank</w:t>
      </w:r>
      <w:r>
        <w:rPr>
          <w:spacing w:val="-7"/>
        </w:rPr>
        <w:t> </w:t>
      </w:r>
      <w:r>
        <w:rPr/>
        <w:t>of</w:t>
      </w:r>
      <w:r>
        <w:rPr>
          <w:spacing w:val="-9"/>
        </w:rPr>
        <w:t> </w:t>
      </w:r>
      <w:r>
        <w:rPr/>
        <w:t>England</w:t>
      </w:r>
      <w:r>
        <w:rPr>
          <w:spacing w:val="-7"/>
        </w:rPr>
        <w:t> </w:t>
      </w:r>
      <w:r>
        <w:rPr/>
        <w:t>in</w:t>
      </w:r>
      <w:r>
        <w:rPr>
          <w:spacing w:val="-7"/>
        </w:rPr>
        <w:t> </w:t>
      </w:r>
      <w:r>
        <w:rPr/>
        <w:t>maintaining monetary</w:t>
      </w:r>
      <w:r>
        <w:rPr>
          <w:spacing w:val="-9"/>
        </w:rPr>
        <w:t> </w:t>
      </w:r>
      <w:r>
        <w:rPr/>
        <w:t>and</w:t>
      </w:r>
      <w:r>
        <w:rPr>
          <w:spacing w:val="-7"/>
        </w:rPr>
        <w:t> </w:t>
      </w:r>
      <w:r>
        <w:rPr/>
        <w:t>financial</w:t>
      </w:r>
      <w:r>
        <w:rPr>
          <w:spacing w:val="-8"/>
        </w:rPr>
        <w:t> </w:t>
      </w:r>
      <w:r>
        <w:rPr/>
        <w:t>stability</w:t>
      </w:r>
      <w:r>
        <w:rPr>
          <w:spacing w:val="-8"/>
        </w:rPr>
        <w:t> </w:t>
      </w:r>
      <w:r>
        <w:rPr/>
        <w:t>across</w:t>
      </w:r>
      <w:r>
        <w:rPr>
          <w:spacing w:val="-8"/>
        </w:rPr>
        <w:t> </w:t>
      </w:r>
      <w:r>
        <w:rPr/>
        <w:t>the</w:t>
      </w:r>
      <w:r>
        <w:rPr>
          <w:spacing w:val="-9"/>
        </w:rPr>
        <w:t> </w:t>
      </w:r>
      <w:r>
        <w:rPr/>
        <w:t>United</w:t>
      </w:r>
      <w:r>
        <w:rPr>
          <w:spacing w:val="-9"/>
        </w:rPr>
        <w:t> </w:t>
      </w:r>
      <w:r>
        <w:rPr/>
        <w:t>Kingdom,</w:t>
      </w:r>
      <w:r>
        <w:rPr>
          <w:spacing w:val="-6"/>
        </w:rPr>
        <w:t> </w:t>
      </w:r>
      <w:r>
        <w:rPr/>
        <w:t>I</w:t>
      </w:r>
      <w:r>
        <w:rPr>
          <w:spacing w:val="-7"/>
        </w:rPr>
        <w:t> </w:t>
      </w:r>
      <w:r>
        <w:rPr/>
        <w:t>want</w:t>
      </w:r>
      <w:r>
        <w:rPr>
          <w:spacing w:val="-7"/>
        </w:rPr>
        <w:t> </w:t>
      </w:r>
      <w:r>
        <w:rPr/>
        <w:t>to</w:t>
      </w:r>
      <w:r>
        <w:rPr>
          <w:spacing w:val="-8"/>
        </w:rPr>
        <w:t> </w:t>
      </w:r>
      <w:r>
        <w:rPr/>
        <w:t>draw</w:t>
      </w:r>
      <w:r>
        <w:rPr>
          <w:spacing w:val="-8"/>
        </w:rPr>
        <w:t> </w:t>
      </w:r>
      <w:r>
        <w:rPr/>
        <w:t>on</w:t>
      </w:r>
      <w:r>
        <w:rPr>
          <w:spacing w:val="-8"/>
        </w:rPr>
        <w:t> </w:t>
      </w:r>
      <w:r>
        <w:rPr/>
        <w:t>that</w:t>
      </w:r>
      <w:r>
        <w:rPr>
          <w:spacing w:val="-8"/>
        </w:rPr>
        <w:t> </w:t>
      </w:r>
      <w:r>
        <w:rPr/>
        <w:t>body</w:t>
      </w:r>
      <w:r>
        <w:rPr>
          <w:spacing w:val="-7"/>
        </w:rPr>
        <w:t> </w:t>
      </w:r>
      <w:r>
        <w:rPr/>
        <w:t>of</w:t>
      </w:r>
      <w:r>
        <w:rPr>
          <w:spacing w:val="-6"/>
        </w:rPr>
        <w:t> </w:t>
      </w:r>
      <w:r>
        <w:rPr/>
        <w:t>economics</w:t>
      </w:r>
      <w:r>
        <w:rPr>
          <w:spacing w:val="-8"/>
        </w:rPr>
        <w:t> </w:t>
      </w:r>
      <w:r>
        <w:rPr/>
        <w:t>today to review some of the most important issues with respect to monetary</w:t>
      </w:r>
      <w:r>
        <w:rPr>
          <w:spacing w:val="-21"/>
        </w:rPr>
        <w:t> </w:t>
      </w:r>
      <w:r>
        <w:rPr/>
        <w:t>union.</w:t>
      </w:r>
    </w:p>
    <w:p>
      <w:pPr>
        <w:pStyle w:val="BodyText"/>
        <w:spacing w:before="11"/>
        <w:rPr>
          <w:sz w:val="27"/>
        </w:rPr>
      </w:pPr>
    </w:p>
    <w:p>
      <w:pPr>
        <w:pStyle w:val="BodyText"/>
        <w:spacing w:line="357" w:lineRule="auto"/>
        <w:ind w:left="226" w:right="177"/>
      </w:pPr>
      <w:r>
        <w:rPr/>
        <w:t>I will stick rigidly to what Thomas Carlyle described as the dismal science. Any arrangement to retain sterling in an independent Scotland would need to be negotiated between the Westminster and Scottish Parliaments. The Bank of England would implement whatever monetary arrangements were put in place.</w:t>
      </w:r>
    </w:p>
    <w:p>
      <w:pPr>
        <w:pStyle w:val="BodyText"/>
        <w:rPr>
          <w:sz w:val="28"/>
        </w:rPr>
      </w:pPr>
    </w:p>
    <w:p>
      <w:pPr>
        <w:pStyle w:val="BodyText"/>
        <w:spacing w:line="357" w:lineRule="auto"/>
        <w:ind w:left="226" w:right="82"/>
      </w:pPr>
      <w:r>
        <w:rPr/>
        <w:t>What follows is not an assessment of whether Scotland will be overall better or worse off under independence – that is a multi-faceted judgement for the Scottish people. It does not pass judgement on the relative merits of the different currency options for an independent Scotland, but instead draws attention to the key issues. This is a technocratic assessment of what makes an effective currency union between independent nations.</w:t>
      </w:r>
    </w:p>
    <w:p>
      <w:pPr>
        <w:spacing w:after="0" w:line="357" w:lineRule="auto"/>
        <w:sectPr>
          <w:footerReference w:type="default" r:id="rId7"/>
          <w:pgSz w:w="12240" w:h="15840"/>
          <w:pgMar w:footer="1240" w:header="0" w:top="1280" w:bottom="1440" w:left="1360" w:right="1480"/>
        </w:sectPr>
      </w:pPr>
    </w:p>
    <w:p>
      <w:pPr>
        <w:pStyle w:val="Heading1"/>
        <w:spacing w:before="70"/>
      </w:pPr>
      <w:r>
        <w:rPr/>
        <w:t>The costs and benefits of currency areas</w:t>
      </w:r>
    </w:p>
    <w:p>
      <w:pPr>
        <w:pStyle w:val="BodyText"/>
        <w:rPr>
          <w:b/>
          <w:sz w:val="20"/>
        </w:rPr>
      </w:pPr>
    </w:p>
    <w:p>
      <w:pPr>
        <w:pStyle w:val="BodyText"/>
        <w:spacing w:before="7"/>
        <w:rPr>
          <w:b/>
          <w:sz w:val="17"/>
        </w:rPr>
      </w:pPr>
    </w:p>
    <w:p>
      <w:pPr>
        <w:pStyle w:val="BodyText"/>
        <w:ind w:left="226"/>
      </w:pPr>
      <w:r>
        <w:rPr/>
        <w:t>Let me begin by outlining the basic rationale for sharing a currency.</w:t>
      </w:r>
    </w:p>
    <w:p>
      <w:pPr>
        <w:pStyle w:val="BodyText"/>
        <w:rPr>
          <w:sz w:val="20"/>
        </w:rPr>
      </w:pPr>
    </w:p>
    <w:p>
      <w:pPr>
        <w:pStyle w:val="BodyText"/>
        <w:spacing w:before="5"/>
        <w:rPr>
          <w:sz w:val="17"/>
        </w:rPr>
      </w:pPr>
    </w:p>
    <w:p>
      <w:pPr>
        <w:pStyle w:val="BodyText"/>
        <w:spacing w:line="355" w:lineRule="auto"/>
        <w:ind w:left="226" w:right="111" w:hanging="1"/>
      </w:pPr>
      <w:r>
        <w:rPr/>
        <w:t>Economist Robert Mundell first wrote about what determined an ‘optimum currency area’.</w:t>
      </w:r>
      <w:r>
        <w:rPr>
          <w:vertAlign w:val="superscript"/>
        </w:rPr>
        <w:t>1</w:t>
      </w:r>
      <w:r>
        <w:rPr>
          <w:vertAlign w:val="baseline"/>
        </w:rPr>
        <w:t> Spurred by the breakdown</w:t>
      </w:r>
      <w:r>
        <w:rPr>
          <w:spacing w:val="-8"/>
          <w:vertAlign w:val="baseline"/>
        </w:rPr>
        <w:t> </w:t>
      </w:r>
      <w:r>
        <w:rPr>
          <w:vertAlign w:val="baseline"/>
        </w:rPr>
        <w:t>of</w:t>
      </w:r>
      <w:r>
        <w:rPr>
          <w:spacing w:val="-6"/>
          <w:vertAlign w:val="baseline"/>
        </w:rPr>
        <w:t> </w:t>
      </w:r>
      <w:r>
        <w:rPr>
          <w:vertAlign w:val="baseline"/>
        </w:rPr>
        <w:t>the</w:t>
      </w:r>
      <w:r>
        <w:rPr>
          <w:spacing w:val="-9"/>
          <w:vertAlign w:val="baseline"/>
        </w:rPr>
        <w:t> </w:t>
      </w:r>
      <w:r>
        <w:rPr>
          <w:vertAlign w:val="baseline"/>
        </w:rPr>
        <w:t>Bretton</w:t>
      </w:r>
      <w:r>
        <w:rPr>
          <w:spacing w:val="-8"/>
          <w:vertAlign w:val="baseline"/>
        </w:rPr>
        <w:t> </w:t>
      </w:r>
      <w:r>
        <w:rPr>
          <w:vertAlign w:val="baseline"/>
        </w:rPr>
        <w:t>Woods</w:t>
      </w:r>
      <w:r>
        <w:rPr>
          <w:spacing w:val="-6"/>
          <w:vertAlign w:val="baseline"/>
        </w:rPr>
        <w:t> </w:t>
      </w:r>
      <w:r>
        <w:rPr>
          <w:vertAlign w:val="baseline"/>
        </w:rPr>
        <w:t>system</w:t>
      </w:r>
      <w:r>
        <w:rPr>
          <w:spacing w:val="-6"/>
          <w:vertAlign w:val="baseline"/>
        </w:rPr>
        <w:t> </w:t>
      </w:r>
      <w:r>
        <w:rPr>
          <w:vertAlign w:val="baseline"/>
        </w:rPr>
        <w:t>and</w:t>
      </w:r>
      <w:r>
        <w:rPr>
          <w:spacing w:val="-8"/>
          <w:vertAlign w:val="baseline"/>
        </w:rPr>
        <w:t> </w:t>
      </w:r>
      <w:r>
        <w:rPr>
          <w:vertAlign w:val="baseline"/>
        </w:rPr>
        <w:t>the</w:t>
      </w:r>
      <w:r>
        <w:rPr>
          <w:spacing w:val="-8"/>
          <w:vertAlign w:val="baseline"/>
        </w:rPr>
        <w:t> </w:t>
      </w:r>
      <w:r>
        <w:rPr>
          <w:vertAlign w:val="baseline"/>
        </w:rPr>
        <w:t>move</w:t>
      </w:r>
      <w:r>
        <w:rPr>
          <w:spacing w:val="-8"/>
          <w:vertAlign w:val="baseline"/>
        </w:rPr>
        <w:t> </w:t>
      </w:r>
      <w:r>
        <w:rPr>
          <w:vertAlign w:val="baseline"/>
        </w:rPr>
        <w:t>to</w:t>
      </w:r>
      <w:r>
        <w:rPr>
          <w:spacing w:val="-10"/>
          <w:vertAlign w:val="baseline"/>
        </w:rPr>
        <w:t> </w:t>
      </w:r>
      <w:r>
        <w:rPr>
          <w:vertAlign w:val="baseline"/>
        </w:rPr>
        <w:t>floating</w:t>
      </w:r>
      <w:r>
        <w:rPr>
          <w:spacing w:val="-8"/>
          <w:vertAlign w:val="baseline"/>
        </w:rPr>
        <w:t> </w:t>
      </w:r>
      <w:r>
        <w:rPr>
          <w:vertAlign w:val="baseline"/>
        </w:rPr>
        <w:t>exchange</w:t>
      </w:r>
      <w:r>
        <w:rPr>
          <w:spacing w:val="-8"/>
          <w:vertAlign w:val="baseline"/>
        </w:rPr>
        <w:t> </w:t>
      </w:r>
      <w:r>
        <w:rPr>
          <w:vertAlign w:val="baseline"/>
        </w:rPr>
        <w:t>rates</w:t>
      </w:r>
      <w:r>
        <w:rPr>
          <w:spacing w:val="-6"/>
          <w:vertAlign w:val="baseline"/>
        </w:rPr>
        <w:t> </w:t>
      </w:r>
      <w:r>
        <w:rPr>
          <w:vertAlign w:val="baseline"/>
        </w:rPr>
        <w:t>as</w:t>
      </w:r>
      <w:r>
        <w:rPr>
          <w:spacing w:val="-7"/>
          <w:vertAlign w:val="baseline"/>
        </w:rPr>
        <w:t> </w:t>
      </w:r>
      <w:r>
        <w:rPr>
          <w:vertAlign w:val="baseline"/>
        </w:rPr>
        <w:t>well</w:t>
      </w:r>
      <w:r>
        <w:rPr>
          <w:spacing w:val="-7"/>
          <w:vertAlign w:val="baseline"/>
        </w:rPr>
        <w:t> </w:t>
      </w:r>
      <w:r>
        <w:rPr>
          <w:vertAlign w:val="baseline"/>
        </w:rPr>
        <w:t>as</w:t>
      </w:r>
      <w:r>
        <w:rPr>
          <w:spacing w:val="-7"/>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formation of the European Monetary Union, others have elaborated and extended his work. We now have a fairly comprehensive sense of the costs and benefits of sharing a</w:t>
      </w:r>
      <w:r>
        <w:rPr>
          <w:spacing w:val="-22"/>
          <w:vertAlign w:val="baseline"/>
        </w:rPr>
        <w:t> </w:t>
      </w:r>
      <w:r>
        <w:rPr>
          <w:vertAlign w:val="baseline"/>
        </w:rPr>
        <w:t>currency.</w:t>
      </w:r>
    </w:p>
    <w:p>
      <w:pPr>
        <w:pStyle w:val="BodyText"/>
        <w:spacing w:before="7"/>
        <w:rPr>
          <w:sz w:val="28"/>
        </w:rPr>
      </w:pPr>
    </w:p>
    <w:p>
      <w:pPr>
        <w:pStyle w:val="BodyText"/>
        <w:spacing w:line="357" w:lineRule="auto"/>
        <w:ind w:left="226" w:right="111"/>
      </w:pPr>
      <w:r>
        <w:rPr/>
        <w:t>For Mundell, the main benefit was that it eliminates the transactions costs associated with using, and switching between, different currencies. The European Commission estimated the size of these direct benefits for Europe to be almost 0.5% of GDP every year.</w:t>
      </w:r>
      <w:r>
        <w:rPr>
          <w:vertAlign w:val="superscript"/>
        </w:rPr>
        <w:t>2</w:t>
      </w:r>
    </w:p>
    <w:p>
      <w:pPr>
        <w:pStyle w:val="BodyText"/>
        <w:rPr>
          <w:sz w:val="28"/>
        </w:rPr>
      </w:pPr>
    </w:p>
    <w:p>
      <w:pPr>
        <w:pStyle w:val="BodyText"/>
        <w:spacing w:line="357" w:lineRule="auto"/>
        <w:ind w:left="226" w:right="177"/>
      </w:pPr>
      <w:r>
        <w:rPr/>
        <w:t>Sharing</w:t>
      </w:r>
      <w:r>
        <w:rPr>
          <w:spacing w:val="-11"/>
        </w:rPr>
        <w:t> </w:t>
      </w:r>
      <w:r>
        <w:rPr/>
        <w:t>a</w:t>
      </w:r>
      <w:r>
        <w:rPr>
          <w:spacing w:val="-10"/>
        </w:rPr>
        <w:t> </w:t>
      </w:r>
      <w:r>
        <w:rPr/>
        <w:t>currency</w:t>
      </w:r>
      <w:r>
        <w:rPr>
          <w:spacing w:val="-9"/>
        </w:rPr>
        <w:t> </w:t>
      </w:r>
      <w:r>
        <w:rPr/>
        <w:t>can</w:t>
      </w:r>
      <w:r>
        <w:rPr>
          <w:spacing w:val="-10"/>
        </w:rPr>
        <w:t> </w:t>
      </w:r>
      <w:r>
        <w:rPr/>
        <w:t>promote</w:t>
      </w:r>
      <w:r>
        <w:rPr>
          <w:spacing w:val="-10"/>
        </w:rPr>
        <w:t> </w:t>
      </w:r>
      <w:r>
        <w:rPr/>
        <w:t>investment</w:t>
      </w:r>
      <w:r>
        <w:rPr>
          <w:spacing w:val="-9"/>
        </w:rPr>
        <w:t> </w:t>
      </w:r>
      <w:r>
        <w:rPr/>
        <w:t>by</w:t>
      </w:r>
      <w:r>
        <w:rPr>
          <w:spacing w:val="-10"/>
        </w:rPr>
        <w:t> </w:t>
      </w:r>
      <w:r>
        <w:rPr/>
        <w:t>reducing</w:t>
      </w:r>
      <w:r>
        <w:rPr>
          <w:spacing w:val="-10"/>
        </w:rPr>
        <w:t> </w:t>
      </w:r>
      <w:r>
        <w:rPr/>
        <w:t>uncertainty</w:t>
      </w:r>
      <w:r>
        <w:rPr>
          <w:spacing w:val="-10"/>
        </w:rPr>
        <w:t> </w:t>
      </w:r>
      <w:r>
        <w:rPr/>
        <w:t>about</w:t>
      </w:r>
      <w:r>
        <w:rPr>
          <w:spacing w:val="-10"/>
        </w:rPr>
        <w:t> </w:t>
      </w:r>
      <w:r>
        <w:rPr/>
        <w:t>currency</w:t>
      </w:r>
      <w:r>
        <w:rPr>
          <w:spacing w:val="-10"/>
        </w:rPr>
        <w:t> </w:t>
      </w:r>
      <w:r>
        <w:rPr/>
        <w:t>movements</w:t>
      </w:r>
      <w:r>
        <w:rPr>
          <w:spacing w:val="-9"/>
        </w:rPr>
        <w:t> </w:t>
      </w:r>
      <w:r>
        <w:rPr/>
        <w:t>and</w:t>
      </w:r>
      <w:r>
        <w:rPr>
          <w:spacing w:val="-10"/>
        </w:rPr>
        <w:t> </w:t>
      </w:r>
      <w:r>
        <w:rPr/>
        <w:t>giving businesses access to deeper, more liquid financial markets.</w:t>
      </w:r>
      <w:r>
        <w:rPr>
          <w:vertAlign w:val="superscript"/>
        </w:rPr>
        <w:t>3</w:t>
      </w:r>
      <w:r>
        <w:rPr>
          <w:vertAlign w:val="baseline"/>
        </w:rPr>
        <w:t> It can also reduce borrowing costs for countries with a history of high inflation and currency devaluation. By tying themselves to the mast of the monetary policy of others they can import credibility. This is exactly what the UK and other European countries aimed to do in joining the Exchange Rate</w:t>
      </w:r>
      <w:r>
        <w:rPr>
          <w:spacing w:val="-19"/>
          <w:vertAlign w:val="baseline"/>
        </w:rPr>
        <w:t> </w:t>
      </w:r>
      <w:r>
        <w:rPr>
          <w:vertAlign w:val="baseline"/>
        </w:rPr>
        <w:t>Mechanism.</w:t>
      </w:r>
    </w:p>
    <w:p>
      <w:pPr>
        <w:pStyle w:val="BodyText"/>
        <w:spacing w:before="9"/>
        <w:rPr>
          <w:sz w:val="27"/>
        </w:rPr>
      </w:pPr>
    </w:p>
    <w:p>
      <w:pPr>
        <w:pStyle w:val="BodyText"/>
        <w:spacing w:line="357" w:lineRule="auto"/>
        <w:ind w:left="226"/>
      </w:pPr>
      <w:r>
        <w:rPr/>
        <w:t>Sharing a currency also helps promote integration. It does so by eliminating one of the barriers between markets, improving transparency of pricing and increasing competition. Sharing a currency can also help to increase the mobility of labour and capital, raise trade in goods and services, and improve the flow of technology and ideas.</w:t>
      </w:r>
      <w:r>
        <w:rPr>
          <w:vertAlign w:val="superscript"/>
        </w:rPr>
        <w:t>4</w:t>
      </w:r>
      <w:r>
        <w:rPr>
          <w:vertAlign w:val="baseline"/>
        </w:rPr>
        <w:t> In these ways, members of a currency union can exploit more fully comparative advantage and ensure greater dynamic efficiency.</w:t>
      </w:r>
    </w:p>
    <w:p>
      <w:pPr>
        <w:pStyle w:val="BodyText"/>
        <w:spacing w:before="10"/>
        <w:rPr>
          <w:sz w:val="27"/>
        </w:rPr>
      </w:pPr>
    </w:p>
    <w:p>
      <w:pPr>
        <w:pStyle w:val="BodyText"/>
        <w:spacing w:line="355" w:lineRule="auto"/>
        <w:ind w:left="226" w:right="222"/>
      </w:pPr>
      <w:r>
        <w:rPr/>
        <w:t>Set</w:t>
      </w:r>
      <w:r>
        <w:rPr>
          <w:spacing w:val="-8"/>
        </w:rPr>
        <w:t> </w:t>
      </w:r>
      <w:r>
        <w:rPr/>
        <w:t>against</w:t>
      </w:r>
      <w:r>
        <w:rPr>
          <w:spacing w:val="-8"/>
        </w:rPr>
        <w:t> </w:t>
      </w:r>
      <w:r>
        <w:rPr/>
        <w:t>these</w:t>
      </w:r>
      <w:r>
        <w:rPr>
          <w:spacing w:val="-8"/>
        </w:rPr>
        <w:t> </w:t>
      </w:r>
      <w:r>
        <w:rPr/>
        <w:t>benefits</w:t>
      </w:r>
      <w:r>
        <w:rPr>
          <w:spacing w:val="-9"/>
        </w:rPr>
        <w:t> </w:t>
      </w:r>
      <w:r>
        <w:rPr/>
        <w:t>are</w:t>
      </w:r>
      <w:r>
        <w:rPr>
          <w:spacing w:val="-7"/>
        </w:rPr>
        <w:t> </w:t>
      </w:r>
      <w:r>
        <w:rPr/>
        <w:t>the</w:t>
      </w:r>
      <w:r>
        <w:rPr>
          <w:spacing w:val="-9"/>
        </w:rPr>
        <w:t> </w:t>
      </w:r>
      <w:r>
        <w:rPr/>
        <w:t>potentially</w:t>
      </w:r>
      <w:r>
        <w:rPr>
          <w:spacing w:val="-8"/>
        </w:rPr>
        <w:t> </w:t>
      </w:r>
      <w:r>
        <w:rPr/>
        <w:t>large</w:t>
      </w:r>
      <w:r>
        <w:rPr>
          <w:spacing w:val="-8"/>
        </w:rPr>
        <w:t> </w:t>
      </w:r>
      <w:r>
        <w:rPr/>
        <w:t>costs</w:t>
      </w:r>
      <w:r>
        <w:rPr>
          <w:spacing w:val="-7"/>
        </w:rPr>
        <w:t> </w:t>
      </w:r>
      <w:r>
        <w:rPr/>
        <w:t>of</w:t>
      </w:r>
      <w:r>
        <w:rPr>
          <w:spacing w:val="-6"/>
        </w:rPr>
        <w:t> </w:t>
      </w:r>
      <w:r>
        <w:rPr/>
        <w:t>giving</w:t>
      </w:r>
      <w:r>
        <w:rPr>
          <w:spacing w:val="-9"/>
        </w:rPr>
        <w:t> </w:t>
      </w:r>
      <w:r>
        <w:rPr/>
        <w:t>up</w:t>
      </w:r>
      <w:r>
        <w:rPr>
          <w:spacing w:val="-8"/>
        </w:rPr>
        <w:t> </w:t>
      </w:r>
      <w:r>
        <w:rPr/>
        <w:t>an</w:t>
      </w:r>
      <w:r>
        <w:rPr>
          <w:spacing w:val="-8"/>
        </w:rPr>
        <w:t> </w:t>
      </w:r>
      <w:r>
        <w:rPr/>
        <w:t>independent</w:t>
      </w:r>
      <w:r>
        <w:rPr>
          <w:spacing w:val="-7"/>
        </w:rPr>
        <w:t> </w:t>
      </w:r>
      <w:r>
        <w:rPr/>
        <w:t>monetary</w:t>
      </w:r>
      <w:r>
        <w:rPr>
          <w:spacing w:val="-7"/>
        </w:rPr>
        <w:t> </w:t>
      </w:r>
      <w:r>
        <w:rPr/>
        <w:t>policy tailored</w:t>
      </w:r>
      <w:r>
        <w:rPr>
          <w:spacing w:val="-5"/>
        </w:rPr>
        <w:t> </w:t>
      </w:r>
      <w:r>
        <w:rPr/>
        <w:t>to</w:t>
      </w:r>
      <w:r>
        <w:rPr>
          <w:spacing w:val="-4"/>
        </w:rPr>
        <w:t> </w:t>
      </w:r>
      <w:r>
        <w:rPr/>
        <w:t>the</w:t>
      </w:r>
      <w:r>
        <w:rPr>
          <w:spacing w:val="-4"/>
        </w:rPr>
        <w:t> </w:t>
      </w:r>
      <w:r>
        <w:rPr/>
        <w:t>needs</w:t>
      </w:r>
      <w:r>
        <w:rPr>
          <w:spacing w:val="-4"/>
        </w:rPr>
        <w:t> </w:t>
      </w:r>
      <w:r>
        <w:rPr/>
        <w:t>of</w:t>
      </w:r>
      <w:r>
        <w:rPr>
          <w:spacing w:val="-5"/>
        </w:rPr>
        <w:t> </w:t>
      </w:r>
      <w:r>
        <w:rPr/>
        <w:t>the</w:t>
      </w:r>
      <w:r>
        <w:rPr>
          <w:spacing w:val="-4"/>
        </w:rPr>
        <w:t> </w:t>
      </w:r>
      <w:r>
        <w:rPr/>
        <w:t>region</w:t>
      </w:r>
      <w:r>
        <w:rPr>
          <w:spacing w:val="-5"/>
        </w:rPr>
        <w:t> </w:t>
      </w:r>
      <w:r>
        <w:rPr/>
        <w:t>and</w:t>
      </w:r>
      <w:r>
        <w:rPr>
          <w:spacing w:val="-4"/>
        </w:rPr>
        <w:t> </w:t>
      </w:r>
      <w:r>
        <w:rPr/>
        <w:t>a</w:t>
      </w:r>
      <w:r>
        <w:rPr>
          <w:spacing w:val="-4"/>
        </w:rPr>
        <w:t> </w:t>
      </w:r>
      <w:r>
        <w:rPr/>
        <w:t>flexible</w:t>
      </w:r>
      <w:r>
        <w:rPr>
          <w:spacing w:val="-4"/>
        </w:rPr>
        <w:t> </w:t>
      </w:r>
      <w:r>
        <w:rPr/>
        <w:t>exchange</w:t>
      </w:r>
      <w:r>
        <w:rPr>
          <w:spacing w:val="-3"/>
        </w:rPr>
        <w:t> </w:t>
      </w:r>
      <w:r>
        <w:rPr/>
        <w:t>rate</w:t>
      </w:r>
      <w:r>
        <w:rPr>
          <w:spacing w:val="-5"/>
        </w:rPr>
        <w:t> </w:t>
      </w:r>
      <w:r>
        <w:rPr/>
        <w:t>that</w:t>
      </w:r>
      <w:r>
        <w:rPr>
          <w:spacing w:val="-5"/>
        </w:rPr>
        <w:t> </w:t>
      </w:r>
      <w:r>
        <w:rPr/>
        <w:t>can</w:t>
      </w:r>
      <w:r>
        <w:rPr>
          <w:spacing w:val="-4"/>
        </w:rPr>
        <w:t> </w:t>
      </w:r>
      <w:r>
        <w:rPr/>
        <w:t>help</w:t>
      </w:r>
      <w:r>
        <w:rPr>
          <w:spacing w:val="-3"/>
        </w:rPr>
        <w:t> </w:t>
      </w:r>
      <w:r>
        <w:rPr/>
        <w:t>absorb</w:t>
      </w:r>
      <w:r>
        <w:rPr>
          <w:spacing w:val="-3"/>
        </w:rPr>
        <w:t> </w:t>
      </w:r>
      <w:r>
        <w:rPr/>
        <w:t>shocks.</w:t>
      </w:r>
    </w:p>
    <w:p>
      <w:pPr>
        <w:pStyle w:val="BodyText"/>
        <w:spacing w:before="4"/>
        <w:rPr>
          <w:sz w:val="28"/>
        </w:rPr>
      </w:pPr>
    </w:p>
    <w:p>
      <w:pPr>
        <w:pStyle w:val="BodyText"/>
        <w:spacing w:line="357" w:lineRule="auto"/>
        <w:ind w:left="226" w:right="135" w:hanging="1"/>
      </w:pPr>
      <w:r>
        <w:rPr/>
        <w:pict>
          <v:shape style="position:absolute;margin-left:79.320pt;margin-top:83.670914pt;width:135.5pt;height:.1pt;mso-position-horizontal-relative:page;mso-position-vertical-relative:paragraph;z-index:-251657216;mso-wrap-distance-left:0;mso-wrap-distance-right:0" coordorigin="1586,1673" coordsize="2710,0" path="m1586,1673l4296,1673e" filled="false" stroked="true" strokeweight=".48pt" strokecolor="#000000">
            <v:path arrowok="t"/>
            <v:stroke dashstyle="solid"/>
            <w10:wrap type="topAndBottom"/>
          </v:shape>
        </w:pict>
      </w:r>
      <w:r>
        <w:rPr/>
        <w:t>A flexible exchange rate acts as a valuable shock absorber when domestic wages and prices are sticky.</w:t>
      </w:r>
      <w:r>
        <w:rPr>
          <w:vertAlign w:val="superscript"/>
        </w:rPr>
        <w:t>5</w:t>
      </w:r>
      <w:r>
        <w:rPr>
          <w:vertAlign w:val="baseline"/>
        </w:rPr>
        <w:t> For example, suppose demand for a country’s exports falls. All else equal, its output will fall, unemployment increase and current account deteriorate. With an independent currency, exchange rate depreciation can dampen these effects by improving competitiveness, and monetary policy can become more accommodative, supporting demand and employment. However, if the country were part of a currency area</w:t>
      </w:r>
    </w:p>
    <w:p>
      <w:pPr>
        <w:spacing w:line="185" w:lineRule="exact" w:before="26"/>
        <w:ind w:left="226" w:right="0" w:firstLine="0"/>
        <w:jc w:val="left"/>
        <w:rPr>
          <w:sz w:val="15"/>
        </w:rPr>
      </w:pPr>
      <w:r>
        <w:rPr>
          <w:position w:val="8"/>
          <w:sz w:val="9"/>
        </w:rPr>
        <w:t>1 </w:t>
      </w:r>
      <w:r>
        <w:rPr>
          <w:sz w:val="15"/>
        </w:rPr>
        <w:t>Mundell (1961).</w:t>
      </w:r>
    </w:p>
    <w:p>
      <w:pPr>
        <w:spacing w:line="173" w:lineRule="exact" w:before="0"/>
        <w:ind w:left="226" w:right="0" w:firstLine="0"/>
        <w:jc w:val="left"/>
        <w:rPr>
          <w:sz w:val="15"/>
        </w:rPr>
      </w:pPr>
      <w:r>
        <w:rPr>
          <w:position w:val="8"/>
          <w:sz w:val="9"/>
        </w:rPr>
        <w:t>2 </w:t>
      </w:r>
      <w:r>
        <w:rPr>
          <w:sz w:val="15"/>
        </w:rPr>
        <w:t>Commission of the European Communities (1990).</w:t>
      </w:r>
    </w:p>
    <w:p>
      <w:pPr>
        <w:spacing w:line="172" w:lineRule="exact" w:before="15"/>
        <w:ind w:left="226" w:right="0" w:firstLine="0"/>
        <w:jc w:val="left"/>
        <w:rPr>
          <w:sz w:val="15"/>
        </w:rPr>
      </w:pPr>
      <w:r>
        <w:rPr>
          <w:position w:val="8"/>
          <w:sz w:val="9"/>
        </w:rPr>
        <w:t>3 </w:t>
      </w:r>
      <w:r>
        <w:rPr>
          <w:sz w:val="15"/>
        </w:rPr>
        <w:t>The elimination of currency risk within the area reduces uncertainty over future prices for firms and consumers, helping them to make better decisions about how much to produce, invest and consume. These benefits are hard to quantify, but probably important. It also</w:t>
      </w:r>
    </w:p>
    <w:p>
      <w:pPr>
        <w:spacing w:line="160" w:lineRule="exact" w:before="0"/>
        <w:ind w:left="226" w:right="0" w:firstLine="0"/>
        <w:jc w:val="left"/>
        <w:rPr>
          <w:sz w:val="15"/>
        </w:rPr>
      </w:pPr>
      <w:r>
        <w:rPr>
          <w:sz w:val="15"/>
        </w:rPr>
        <w:t>avoids inefficiencies that can arise when the exchange rate fluctuates for non-fundamental reasons (Mundell 1973, Buiter 2000).</w:t>
      </w:r>
    </w:p>
    <w:p>
      <w:pPr>
        <w:spacing w:line="172" w:lineRule="exact" w:before="15"/>
        <w:ind w:left="226" w:right="0" w:firstLine="0"/>
        <w:jc w:val="left"/>
        <w:rPr>
          <w:sz w:val="15"/>
        </w:rPr>
      </w:pPr>
      <w:r>
        <w:rPr>
          <w:position w:val="8"/>
          <w:sz w:val="9"/>
        </w:rPr>
        <w:t>4 </w:t>
      </w:r>
      <w:r>
        <w:rPr>
          <w:sz w:val="15"/>
        </w:rPr>
        <w:t>A substantial literature has sought to measure the impact of currency unions on trade flows, starting with Rose’s (2000) surprising estimate that they are associated with a tripling in trade flows. Subsequent work suggests smaller impacts. In relation to the Eurozone,</w:t>
      </w:r>
    </w:p>
    <w:p>
      <w:pPr>
        <w:spacing w:before="0"/>
        <w:ind w:left="226" w:right="0" w:firstLine="0"/>
        <w:jc w:val="left"/>
        <w:rPr>
          <w:sz w:val="15"/>
        </w:rPr>
      </w:pPr>
      <w:r>
        <w:rPr>
          <w:sz w:val="15"/>
        </w:rPr>
        <w:t>a survey by Rose (2009) concludes that “EMU has raised trade inside the Eurozone by at least 8% and perhaps 23%”. De Grauwe and Mongelli (2005) survey the broader ways in which currency unions promote integration.</w:t>
      </w:r>
    </w:p>
    <w:p>
      <w:pPr>
        <w:spacing w:line="174" w:lineRule="exact" w:before="2"/>
        <w:ind w:left="226" w:right="111" w:firstLine="0"/>
        <w:jc w:val="left"/>
        <w:rPr>
          <w:sz w:val="15"/>
        </w:rPr>
      </w:pPr>
      <w:r>
        <w:rPr>
          <w:position w:val="8"/>
          <w:sz w:val="9"/>
        </w:rPr>
        <w:t>5 </w:t>
      </w:r>
      <w:r>
        <w:rPr>
          <w:sz w:val="15"/>
        </w:rPr>
        <w:t>If wages and prices can adjust instantaneously then the adjustment to shocks can happen costlessly via movements in prices and wages, so there is no cost to losing exchange rate flexibility.</w:t>
      </w:r>
    </w:p>
    <w:p>
      <w:pPr>
        <w:spacing w:after="0" w:line="174" w:lineRule="exact"/>
        <w:jc w:val="left"/>
        <w:rPr>
          <w:sz w:val="15"/>
        </w:rPr>
        <w:sectPr>
          <w:footerReference w:type="default" r:id="rId8"/>
          <w:pgSz w:w="12240" w:h="15840"/>
          <w:pgMar w:footer="1240" w:header="0" w:top="1280" w:bottom="1440" w:left="1360" w:right="1480"/>
        </w:sectPr>
      </w:pPr>
    </w:p>
    <w:p>
      <w:pPr>
        <w:pStyle w:val="BodyText"/>
        <w:spacing w:line="355" w:lineRule="auto" w:before="72"/>
        <w:ind w:left="226" w:right="111"/>
      </w:pPr>
      <w:r>
        <w:rPr/>
        <w:t>with</w:t>
      </w:r>
      <w:r>
        <w:rPr>
          <w:spacing w:val="-9"/>
        </w:rPr>
        <w:t> </w:t>
      </w:r>
      <w:r>
        <w:rPr/>
        <w:t>its</w:t>
      </w:r>
      <w:r>
        <w:rPr>
          <w:spacing w:val="-8"/>
        </w:rPr>
        <w:t> </w:t>
      </w:r>
      <w:r>
        <w:rPr/>
        <w:t>foreign</w:t>
      </w:r>
      <w:r>
        <w:rPr>
          <w:spacing w:val="-10"/>
        </w:rPr>
        <w:t> </w:t>
      </w:r>
      <w:r>
        <w:rPr/>
        <w:t>market,</w:t>
      </w:r>
      <w:r>
        <w:rPr>
          <w:spacing w:val="-6"/>
        </w:rPr>
        <w:t> </w:t>
      </w:r>
      <w:r>
        <w:rPr/>
        <w:t>its</w:t>
      </w:r>
      <w:r>
        <w:rPr>
          <w:spacing w:val="-10"/>
        </w:rPr>
        <w:t> </w:t>
      </w:r>
      <w:r>
        <w:rPr/>
        <w:t>exchange</w:t>
      </w:r>
      <w:r>
        <w:rPr>
          <w:spacing w:val="-8"/>
        </w:rPr>
        <w:t> </w:t>
      </w:r>
      <w:r>
        <w:rPr/>
        <w:t>rate</w:t>
      </w:r>
      <w:r>
        <w:rPr>
          <w:spacing w:val="-8"/>
        </w:rPr>
        <w:t> </w:t>
      </w:r>
      <w:r>
        <w:rPr/>
        <w:t>would</w:t>
      </w:r>
      <w:r>
        <w:rPr>
          <w:spacing w:val="-9"/>
        </w:rPr>
        <w:t> </w:t>
      </w:r>
      <w:r>
        <w:rPr/>
        <w:t>by</w:t>
      </w:r>
      <w:r>
        <w:rPr>
          <w:spacing w:val="-8"/>
        </w:rPr>
        <w:t> </w:t>
      </w:r>
      <w:r>
        <w:rPr/>
        <w:t>definition</w:t>
      </w:r>
      <w:r>
        <w:rPr>
          <w:spacing w:val="-9"/>
        </w:rPr>
        <w:t> </w:t>
      </w:r>
      <w:r>
        <w:rPr/>
        <w:t>not</w:t>
      </w:r>
      <w:r>
        <w:rPr>
          <w:spacing w:val="-8"/>
        </w:rPr>
        <w:t> </w:t>
      </w:r>
      <w:r>
        <w:rPr/>
        <w:t>change,</w:t>
      </w:r>
      <w:r>
        <w:rPr>
          <w:spacing w:val="-7"/>
        </w:rPr>
        <w:t> </w:t>
      </w:r>
      <w:r>
        <w:rPr/>
        <w:t>putting</w:t>
      </w:r>
      <w:r>
        <w:rPr>
          <w:spacing w:val="-9"/>
        </w:rPr>
        <w:t> </w:t>
      </w:r>
      <w:r>
        <w:rPr/>
        <w:t>the</w:t>
      </w:r>
      <w:r>
        <w:rPr>
          <w:spacing w:val="-9"/>
        </w:rPr>
        <w:t> </w:t>
      </w:r>
      <w:r>
        <w:rPr/>
        <w:t>full</w:t>
      </w:r>
      <w:r>
        <w:rPr>
          <w:spacing w:val="-6"/>
        </w:rPr>
        <w:t> </w:t>
      </w:r>
      <w:r>
        <w:rPr/>
        <w:t>weight</w:t>
      </w:r>
      <w:r>
        <w:rPr>
          <w:spacing w:val="-9"/>
        </w:rPr>
        <w:t> </w:t>
      </w:r>
      <w:r>
        <w:rPr/>
        <w:t>of</w:t>
      </w:r>
      <w:r>
        <w:rPr>
          <w:spacing w:val="-8"/>
        </w:rPr>
        <w:t> </w:t>
      </w:r>
      <w:r>
        <w:rPr/>
        <w:t>adjustment on wages and unemployment – a significantly more protracted and painful process. In addition, the responsiveness of monetary policy to weak demand in that country would be diluted by the needs of the broader</w:t>
      </w:r>
      <w:r>
        <w:rPr>
          <w:spacing w:val="-2"/>
        </w:rPr>
        <w:t> </w:t>
      </w:r>
      <w:r>
        <w:rPr/>
        <w:t>membership.</w:t>
      </w:r>
    </w:p>
    <w:p>
      <w:pPr>
        <w:pStyle w:val="BodyText"/>
        <w:spacing w:before="6"/>
        <w:rPr>
          <w:sz w:val="28"/>
        </w:rPr>
      </w:pPr>
    </w:p>
    <w:p>
      <w:pPr>
        <w:pStyle w:val="BodyText"/>
        <w:spacing w:line="357" w:lineRule="auto" w:before="1"/>
        <w:ind w:left="226" w:right="111"/>
      </w:pPr>
      <w:r>
        <w:rPr/>
        <w:t>Being in a currency union can amplify fiscal stress, and increase both the risks and consequences of financial instability. In the situation just described, fiscal policy would ideally help smooth adjustment to the external shock. But its ability to do so could be limited by the budgetary impact of the falls in output, prices and wages. To maintain credibility, fiscal policy may even become pro-cyclical, with the resulting austerity exacerbating the initial fall in demand. In the extreme, adverse fiscal dynamics could call into question a country’s</w:t>
      </w:r>
      <w:r>
        <w:rPr>
          <w:spacing w:val="-10"/>
        </w:rPr>
        <w:t> </w:t>
      </w:r>
      <w:r>
        <w:rPr/>
        <w:t>membership</w:t>
      </w:r>
      <w:r>
        <w:rPr>
          <w:spacing w:val="-10"/>
        </w:rPr>
        <w:t> </w:t>
      </w:r>
      <w:r>
        <w:rPr/>
        <w:t>of</w:t>
      </w:r>
      <w:r>
        <w:rPr>
          <w:spacing w:val="-8"/>
        </w:rPr>
        <w:t> </w:t>
      </w:r>
      <w:r>
        <w:rPr/>
        <w:t>the</w:t>
      </w:r>
      <w:r>
        <w:rPr>
          <w:spacing w:val="-11"/>
        </w:rPr>
        <w:t> </w:t>
      </w:r>
      <w:r>
        <w:rPr/>
        <w:t>union,</w:t>
      </w:r>
      <w:r>
        <w:rPr>
          <w:spacing w:val="-9"/>
        </w:rPr>
        <w:t> </w:t>
      </w:r>
      <w:r>
        <w:rPr/>
        <w:t>creating</w:t>
      </w:r>
      <w:r>
        <w:rPr>
          <w:spacing w:val="-9"/>
        </w:rPr>
        <w:t> </w:t>
      </w:r>
      <w:r>
        <w:rPr/>
        <w:t>the</w:t>
      </w:r>
      <w:r>
        <w:rPr>
          <w:spacing w:val="-11"/>
        </w:rPr>
        <w:t> </w:t>
      </w:r>
      <w:r>
        <w:rPr/>
        <w:t>possibility</w:t>
      </w:r>
      <w:r>
        <w:rPr>
          <w:spacing w:val="-10"/>
        </w:rPr>
        <w:t> </w:t>
      </w:r>
      <w:r>
        <w:rPr/>
        <w:t>of</w:t>
      </w:r>
      <w:r>
        <w:rPr>
          <w:spacing w:val="-11"/>
        </w:rPr>
        <w:t> </w:t>
      </w:r>
      <w:r>
        <w:rPr/>
        <w:t>self-fulfilling</w:t>
      </w:r>
      <w:r>
        <w:rPr>
          <w:spacing w:val="-10"/>
        </w:rPr>
        <w:t> </w:t>
      </w:r>
      <w:r>
        <w:rPr/>
        <w:t>‘runs’</w:t>
      </w:r>
      <w:r>
        <w:rPr>
          <w:spacing w:val="-9"/>
        </w:rPr>
        <w:t> </w:t>
      </w:r>
      <w:r>
        <w:rPr/>
        <w:t>on</w:t>
      </w:r>
      <w:r>
        <w:rPr>
          <w:spacing w:val="-10"/>
        </w:rPr>
        <w:t> </w:t>
      </w:r>
      <w:r>
        <w:rPr/>
        <w:t>bank</w:t>
      </w:r>
      <w:r>
        <w:rPr>
          <w:spacing w:val="-11"/>
        </w:rPr>
        <w:t> </w:t>
      </w:r>
      <w:r>
        <w:rPr/>
        <w:t>and</w:t>
      </w:r>
      <w:r>
        <w:rPr>
          <w:spacing w:val="-10"/>
        </w:rPr>
        <w:t> </w:t>
      </w:r>
      <w:r>
        <w:rPr/>
        <w:t>sovereign</w:t>
      </w:r>
      <w:r>
        <w:rPr>
          <w:spacing w:val="-10"/>
        </w:rPr>
        <w:t> </w:t>
      </w:r>
      <w:r>
        <w:rPr/>
        <w:t>debt absent central bank support.</w:t>
      </w:r>
      <w:r>
        <w:rPr>
          <w:vertAlign w:val="superscript"/>
        </w:rPr>
        <w:t>6</w:t>
      </w:r>
      <w:r>
        <w:rPr>
          <w:vertAlign w:val="baseline"/>
        </w:rPr>
        <w:t> Such adverse feedback loops turned recessions into depressions in several European countries in recent</w:t>
      </w:r>
      <w:r>
        <w:rPr>
          <w:spacing w:val="-6"/>
          <w:vertAlign w:val="baseline"/>
        </w:rPr>
        <w:t> </w:t>
      </w:r>
      <w:r>
        <w:rPr>
          <w:vertAlign w:val="baseline"/>
        </w:rPr>
        <w:t>years.</w:t>
      </w:r>
    </w:p>
    <w:p>
      <w:pPr>
        <w:pStyle w:val="BodyText"/>
        <w:spacing w:before="5"/>
        <w:rPr>
          <w:sz w:val="27"/>
        </w:rPr>
      </w:pPr>
    </w:p>
    <w:p>
      <w:pPr>
        <w:pStyle w:val="Heading1"/>
        <w:spacing w:before="1"/>
      </w:pPr>
      <w:r>
        <w:rPr/>
        <w:t>What makes a successful currency union?</w:t>
      </w:r>
    </w:p>
    <w:p>
      <w:pPr>
        <w:pStyle w:val="BodyText"/>
        <w:rPr>
          <w:b/>
          <w:sz w:val="20"/>
        </w:rPr>
      </w:pPr>
    </w:p>
    <w:p>
      <w:pPr>
        <w:pStyle w:val="BodyText"/>
        <w:spacing w:before="6"/>
        <w:rPr>
          <w:b/>
          <w:sz w:val="17"/>
        </w:rPr>
      </w:pPr>
    </w:p>
    <w:p>
      <w:pPr>
        <w:pStyle w:val="BodyText"/>
        <w:spacing w:line="357" w:lineRule="auto"/>
        <w:ind w:left="226" w:right="248"/>
        <w:jc w:val="both"/>
      </w:pPr>
      <w:r>
        <w:rPr/>
        <w:t>The</w:t>
      </w:r>
      <w:r>
        <w:rPr>
          <w:spacing w:val="-10"/>
        </w:rPr>
        <w:t> </w:t>
      </w:r>
      <w:r>
        <w:rPr/>
        <w:t>success</w:t>
      </w:r>
      <w:r>
        <w:rPr>
          <w:spacing w:val="-9"/>
        </w:rPr>
        <w:t> </w:t>
      </w:r>
      <w:r>
        <w:rPr/>
        <w:t>of</w:t>
      </w:r>
      <w:r>
        <w:rPr>
          <w:spacing w:val="-7"/>
        </w:rPr>
        <w:t> </w:t>
      </w:r>
      <w:r>
        <w:rPr/>
        <w:t>a</w:t>
      </w:r>
      <w:r>
        <w:rPr>
          <w:spacing w:val="-8"/>
        </w:rPr>
        <w:t> </w:t>
      </w:r>
      <w:r>
        <w:rPr/>
        <w:t>currency</w:t>
      </w:r>
      <w:r>
        <w:rPr>
          <w:spacing w:val="-7"/>
        </w:rPr>
        <w:t> </w:t>
      </w:r>
      <w:r>
        <w:rPr/>
        <w:t>area</w:t>
      </w:r>
      <w:r>
        <w:rPr>
          <w:spacing w:val="-7"/>
        </w:rPr>
        <w:t> </w:t>
      </w:r>
      <w:r>
        <w:rPr/>
        <w:t>hinges</w:t>
      </w:r>
      <w:r>
        <w:rPr>
          <w:spacing w:val="-8"/>
        </w:rPr>
        <w:t> </w:t>
      </w:r>
      <w:r>
        <w:rPr/>
        <w:t>on</w:t>
      </w:r>
      <w:r>
        <w:rPr>
          <w:spacing w:val="-7"/>
        </w:rPr>
        <w:t> </w:t>
      </w:r>
      <w:r>
        <w:rPr/>
        <w:t>whether</w:t>
      </w:r>
      <w:r>
        <w:rPr>
          <w:spacing w:val="-7"/>
        </w:rPr>
        <w:t> </w:t>
      </w:r>
      <w:r>
        <w:rPr/>
        <w:t>its</w:t>
      </w:r>
      <w:r>
        <w:rPr>
          <w:spacing w:val="-10"/>
        </w:rPr>
        <w:t> </w:t>
      </w:r>
      <w:r>
        <w:rPr/>
        <w:t>features</w:t>
      </w:r>
      <w:r>
        <w:rPr>
          <w:spacing w:val="-7"/>
        </w:rPr>
        <w:t> </w:t>
      </w:r>
      <w:r>
        <w:rPr/>
        <w:t>mitigate</w:t>
      </w:r>
      <w:r>
        <w:rPr>
          <w:spacing w:val="-7"/>
        </w:rPr>
        <w:t> </w:t>
      </w:r>
      <w:r>
        <w:rPr/>
        <w:t>the</w:t>
      </w:r>
      <w:r>
        <w:rPr>
          <w:spacing w:val="-8"/>
        </w:rPr>
        <w:t> </w:t>
      </w:r>
      <w:r>
        <w:rPr/>
        <w:t>costs</w:t>
      </w:r>
      <w:r>
        <w:rPr>
          <w:spacing w:val="-9"/>
        </w:rPr>
        <w:t> </w:t>
      </w:r>
      <w:r>
        <w:rPr/>
        <w:t>of</w:t>
      </w:r>
      <w:r>
        <w:rPr>
          <w:spacing w:val="-7"/>
        </w:rPr>
        <w:t> </w:t>
      </w:r>
      <w:r>
        <w:rPr/>
        <w:t>losing</w:t>
      </w:r>
      <w:r>
        <w:rPr>
          <w:spacing w:val="-9"/>
        </w:rPr>
        <w:t> </w:t>
      </w:r>
      <w:r>
        <w:rPr/>
        <w:t>the</w:t>
      </w:r>
      <w:r>
        <w:rPr>
          <w:spacing w:val="-7"/>
        </w:rPr>
        <w:t> </w:t>
      </w:r>
      <w:r>
        <w:rPr/>
        <w:t>flexibility</w:t>
      </w:r>
      <w:r>
        <w:rPr>
          <w:spacing w:val="-7"/>
        </w:rPr>
        <w:t> </w:t>
      </w:r>
      <w:r>
        <w:rPr/>
        <w:t>that comes</w:t>
      </w:r>
      <w:r>
        <w:rPr>
          <w:spacing w:val="-10"/>
        </w:rPr>
        <w:t> </w:t>
      </w:r>
      <w:r>
        <w:rPr/>
        <w:t>from</w:t>
      </w:r>
      <w:r>
        <w:rPr>
          <w:spacing w:val="-10"/>
        </w:rPr>
        <w:t> </w:t>
      </w:r>
      <w:r>
        <w:rPr/>
        <w:t>an</w:t>
      </w:r>
      <w:r>
        <w:rPr>
          <w:spacing w:val="-10"/>
        </w:rPr>
        <w:t> </w:t>
      </w:r>
      <w:r>
        <w:rPr/>
        <w:t>independent</w:t>
      </w:r>
      <w:r>
        <w:rPr>
          <w:spacing w:val="-11"/>
        </w:rPr>
        <w:t> </w:t>
      </w:r>
      <w:r>
        <w:rPr/>
        <w:t>monetary</w:t>
      </w:r>
      <w:r>
        <w:rPr>
          <w:spacing w:val="-10"/>
        </w:rPr>
        <w:t> </w:t>
      </w:r>
      <w:r>
        <w:rPr/>
        <w:t>policy.</w:t>
      </w:r>
      <w:r>
        <w:rPr>
          <w:spacing w:val="34"/>
        </w:rPr>
        <w:t> </w:t>
      </w:r>
      <w:r>
        <w:rPr/>
        <w:t>These</w:t>
      </w:r>
      <w:r>
        <w:rPr>
          <w:spacing w:val="-10"/>
        </w:rPr>
        <w:t> </w:t>
      </w:r>
      <w:r>
        <w:rPr/>
        <w:t>features</w:t>
      </w:r>
      <w:r>
        <w:rPr>
          <w:spacing w:val="-9"/>
        </w:rPr>
        <w:t> </w:t>
      </w:r>
      <w:r>
        <w:rPr/>
        <w:t>generally</w:t>
      </w:r>
      <w:r>
        <w:rPr>
          <w:spacing w:val="-9"/>
        </w:rPr>
        <w:t> </w:t>
      </w:r>
      <w:r>
        <w:rPr/>
        <w:t>promote</w:t>
      </w:r>
      <w:r>
        <w:rPr>
          <w:spacing w:val="-8"/>
        </w:rPr>
        <w:t> </w:t>
      </w:r>
      <w:r>
        <w:rPr/>
        <w:t>the</w:t>
      </w:r>
      <w:r>
        <w:rPr>
          <w:spacing w:val="-10"/>
        </w:rPr>
        <w:t> </w:t>
      </w:r>
      <w:r>
        <w:rPr/>
        <w:t>alignment</w:t>
      </w:r>
      <w:r>
        <w:rPr>
          <w:spacing w:val="-7"/>
        </w:rPr>
        <w:t> </w:t>
      </w:r>
      <w:r>
        <w:rPr/>
        <w:t>of</w:t>
      </w:r>
      <w:r>
        <w:rPr>
          <w:spacing w:val="-9"/>
        </w:rPr>
        <w:t> </w:t>
      </w:r>
      <w:r>
        <w:rPr/>
        <w:t>economic cycles, and the maintenance of price and financial stability within the</w:t>
      </w:r>
      <w:r>
        <w:rPr>
          <w:spacing w:val="-27"/>
        </w:rPr>
        <w:t> </w:t>
      </w:r>
      <w:r>
        <w:rPr/>
        <w:t>union.</w:t>
      </w:r>
    </w:p>
    <w:p>
      <w:pPr>
        <w:pStyle w:val="BodyText"/>
        <w:rPr>
          <w:sz w:val="28"/>
        </w:rPr>
      </w:pPr>
    </w:p>
    <w:p>
      <w:pPr>
        <w:pStyle w:val="BodyText"/>
        <w:spacing w:line="357" w:lineRule="auto"/>
        <w:ind w:left="226" w:right="135"/>
      </w:pPr>
      <w:r>
        <w:rPr/>
        <w:t>The</w:t>
      </w:r>
      <w:r>
        <w:rPr>
          <w:spacing w:val="-10"/>
        </w:rPr>
        <w:t> </w:t>
      </w:r>
      <w:r>
        <w:rPr/>
        <w:t>most</w:t>
      </w:r>
      <w:r>
        <w:rPr>
          <w:spacing w:val="-8"/>
        </w:rPr>
        <w:t> </w:t>
      </w:r>
      <w:r>
        <w:rPr/>
        <w:t>obvious</w:t>
      </w:r>
      <w:r>
        <w:rPr>
          <w:spacing w:val="-7"/>
        </w:rPr>
        <w:t> </w:t>
      </w:r>
      <w:r>
        <w:rPr/>
        <w:t>feature</w:t>
      </w:r>
      <w:r>
        <w:rPr>
          <w:spacing w:val="-8"/>
        </w:rPr>
        <w:t> </w:t>
      </w:r>
      <w:r>
        <w:rPr/>
        <w:t>is</w:t>
      </w:r>
      <w:r>
        <w:rPr>
          <w:spacing w:val="-9"/>
        </w:rPr>
        <w:t> </w:t>
      </w:r>
      <w:r>
        <w:rPr/>
        <w:t>the</w:t>
      </w:r>
      <w:r>
        <w:rPr>
          <w:spacing w:val="-8"/>
        </w:rPr>
        <w:t> </w:t>
      </w:r>
      <w:r>
        <w:rPr/>
        <w:t>degree</w:t>
      </w:r>
      <w:r>
        <w:rPr>
          <w:spacing w:val="-10"/>
        </w:rPr>
        <w:t> </w:t>
      </w:r>
      <w:r>
        <w:rPr/>
        <w:t>of</w:t>
      </w:r>
      <w:r>
        <w:rPr>
          <w:spacing w:val="-8"/>
        </w:rPr>
        <w:t> </w:t>
      </w:r>
      <w:r>
        <w:rPr/>
        <w:t>similarity</w:t>
      </w:r>
      <w:r>
        <w:rPr>
          <w:spacing w:val="-9"/>
        </w:rPr>
        <w:t> </w:t>
      </w:r>
      <w:r>
        <w:rPr/>
        <w:t>amongst</w:t>
      </w:r>
      <w:r>
        <w:rPr>
          <w:spacing w:val="-7"/>
        </w:rPr>
        <w:t> </w:t>
      </w:r>
      <w:r>
        <w:rPr/>
        <w:t>members.</w:t>
      </w:r>
      <w:r>
        <w:rPr>
          <w:spacing w:val="36"/>
        </w:rPr>
        <w:t> </w:t>
      </w:r>
      <w:r>
        <w:rPr/>
        <w:t>Similar</w:t>
      </w:r>
      <w:r>
        <w:rPr>
          <w:spacing w:val="-9"/>
        </w:rPr>
        <w:t> </w:t>
      </w:r>
      <w:r>
        <w:rPr/>
        <w:t>economies</w:t>
      </w:r>
      <w:r>
        <w:rPr>
          <w:spacing w:val="-7"/>
        </w:rPr>
        <w:t> </w:t>
      </w:r>
      <w:r>
        <w:rPr/>
        <w:t>won’t</w:t>
      </w:r>
      <w:r>
        <w:rPr>
          <w:spacing w:val="-8"/>
        </w:rPr>
        <w:t> </w:t>
      </w:r>
      <w:r>
        <w:rPr/>
        <w:t>suffer</w:t>
      </w:r>
      <w:r>
        <w:rPr>
          <w:spacing w:val="-10"/>
        </w:rPr>
        <w:t> </w:t>
      </w:r>
      <w:r>
        <w:rPr/>
        <w:t>from a</w:t>
      </w:r>
      <w:r>
        <w:rPr>
          <w:spacing w:val="-6"/>
        </w:rPr>
        <w:t> </w:t>
      </w:r>
      <w:r>
        <w:rPr/>
        <w:t>‘one</w:t>
      </w:r>
      <w:r>
        <w:rPr>
          <w:spacing w:val="-7"/>
        </w:rPr>
        <w:t> </w:t>
      </w:r>
      <w:r>
        <w:rPr/>
        <w:t>size</w:t>
      </w:r>
      <w:r>
        <w:rPr>
          <w:spacing w:val="-8"/>
        </w:rPr>
        <w:t> </w:t>
      </w:r>
      <w:r>
        <w:rPr/>
        <w:t>fits</w:t>
      </w:r>
      <w:r>
        <w:rPr>
          <w:spacing w:val="-6"/>
        </w:rPr>
        <w:t> </w:t>
      </w:r>
      <w:r>
        <w:rPr/>
        <w:t>all’</w:t>
      </w:r>
      <w:r>
        <w:rPr>
          <w:spacing w:val="-6"/>
        </w:rPr>
        <w:t> </w:t>
      </w:r>
      <w:r>
        <w:rPr/>
        <w:t>monetary</w:t>
      </w:r>
      <w:r>
        <w:rPr>
          <w:spacing w:val="-6"/>
        </w:rPr>
        <w:t> </w:t>
      </w:r>
      <w:r>
        <w:rPr/>
        <w:t>policy.</w:t>
      </w:r>
      <w:r>
        <w:rPr>
          <w:vertAlign w:val="superscript"/>
        </w:rPr>
        <w:t>7</w:t>
      </w:r>
      <w:r>
        <w:rPr>
          <w:spacing w:val="41"/>
          <w:vertAlign w:val="baseline"/>
        </w:rPr>
        <w:t> </w:t>
      </w:r>
      <w:r>
        <w:rPr>
          <w:vertAlign w:val="baseline"/>
        </w:rPr>
        <w:t>Surprisingly,</w:t>
      </w:r>
      <w:r>
        <w:rPr>
          <w:spacing w:val="-6"/>
          <w:vertAlign w:val="baseline"/>
        </w:rPr>
        <w:t> </w:t>
      </w:r>
      <w:r>
        <w:rPr>
          <w:vertAlign w:val="baseline"/>
        </w:rPr>
        <w:t>a</w:t>
      </w:r>
      <w:r>
        <w:rPr>
          <w:spacing w:val="-6"/>
          <w:vertAlign w:val="baseline"/>
        </w:rPr>
        <w:t> </w:t>
      </w:r>
      <w:r>
        <w:rPr>
          <w:vertAlign w:val="baseline"/>
        </w:rPr>
        <w:t>review</w:t>
      </w:r>
      <w:r>
        <w:rPr>
          <w:spacing w:val="-9"/>
          <w:vertAlign w:val="baseline"/>
        </w:rPr>
        <w:t> </w:t>
      </w:r>
      <w:r>
        <w:rPr>
          <w:vertAlign w:val="baseline"/>
        </w:rPr>
        <w:t>of</w:t>
      </w:r>
      <w:r>
        <w:rPr>
          <w:spacing w:val="-5"/>
          <w:vertAlign w:val="baseline"/>
        </w:rPr>
        <w:t> </w:t>
      </w:r>
      <w:r>
        <w:rPr>
          <w:vertAlign w:val="baseline"/>
        </w:rPr>
        <w:t>major</w:t>
      </w:r>
      <w:r>
        <w:rPr>
          <w:spacing w:val="-6"/>
          <w:vertAlign w:val="baseline"/>
        </w:rPr>
        <w:t> </w:t>
      </w:r>
      <w:r>
        <w:rPr>
          <w:vertAlign w:val="baseline"/>
        </w:rPr>
        <w:t>currency</w:t>
      </w:r>
      <w:r>
        <w:rPr>
          <w:spacing w:val="-6"/>
          <w:vertAlign w:val="baseline"/>
        </w:rPr>
        <w:t> </w:t>
      </w:r>
      <w:r>
        <w:rPr>
          <w:vertAlign w:val="baseline"/>
        </w:rPr>
        <w:t>areas</w:t>
      </w:r>
      <w:r>
        <w:rPr>
          <w:spacing w:val="-6"/>
          <w:vertAlign w:val="baseline"/>
        </w:rPr>
        <w:t> </w:t>
      </w:r>
      <w:r>
        <w:rPr>
          <w:vertAlign w:val="baseline"/>
        </w:rPr>
        <w:t>suggests</w:t>
      </w:r>
      <w:r>
        <w:rPr>
          <w:spacing w:val="-7"/>
          <w:vertAlign w:val="baseline"/>
        </w:rPr>
        <w:t> </w:t>
      </w:r>
      <w:r>
        <w:rPr>
          <w:vertAlign w:val="baseline"/>
        </w:rPr>
        <w:t>that</w:t>
      </w:r>
      <w:r>
        <w:rPr>
          <w:spacing w:val="-6"/>
          <w:vertAlign w:val="baseline"/>
        </w:rPr>
        <w:t> </w:t>
      </w:r>
      <w:r>
        <w:rPr>
          <w:vertAlign w:val="baseline"/>
        </w:rPr>
        <w:t>similarity</w:t>
      </w:r>
      <w:r>
        <w:rPr>
          <w:spacing w:val="-6"/>
          <w:vertAlign w:val="baseline"/>
        </w:rPr>
        <w:t> </w:t>
      </w:r>
      <w:r>
        <w:rPr>
          <w:vertAlign w:val="baseline"/>
        </w:rPr>
        <w:t>is neither</w:t>
      </w:r>
      <w:r>
        <w:rPr>
          <w:spacing w:val="-9"/>
          <w:vertAlign w:val="baseline"/>
        </w:rPr>
        <w:t> </w:t>
      </w:r>
      <w:r>
        <w:rPr>
          <w:vertAlign w:val="baseline"/>
        </w:rPr>
        <w:t>necessary</w:t>
      </w:r>
      <w:r>
        <w:rPr>
          <w:spacing w:val="-7"/>
          <w:vertAlign w:val="baseline"/>
        </w:rPr>
        <w:t> </w:t>
      </w:r>
      <w:r>
        <w:rPr>
          <w:vertAlign w:val="baseline"/>
        </w:rPr>
        <w:t>nor</w:t>
      </w:r>
      <w:r>
        <w:rPr>
          <w:spacing w:val="-8"/>
          <w:vertAlign w:val="baseline"/>
        </w:rPr>
        <w:t> </w:t>
      </w:r>
      <w:r>
        <w:rPr>
          <w:vertAlign w:val="baseline"/>
        </w:rPr>
        <w:t>sufficient</w:t>
      </w:r>
      <w:r>
        <w:rPr>
          <w:spacing w:val="-7"/>
          <w:vertAlign w:val="baseline"/>
        </w:rPr>
        <w:t> </w:t>
      </w:r>
      <w:r>
        <w:rPr>
          <w:vertAlign w:val="baseline"/>
        </w:rPr>
        <w:t>for</w:t>
      </w:r>
      <w:r>
        <w:rPr>
          <w:spacing w:val="-9"/>
          <w:vertAlign w:val="baseline"/>
        </w:rPr>
        <w:t> </w:t>
      </w:r>
      <w:r>
        <w:rPr>
          <w:vertAlign w:val="baseline"/>
        </w:rPr>
        <w:t>success.</w:t>
      </w:r>
      <w:r>
        <w:rPr>
          <w:spacing w:val="36"/>
          <w:vertAlign w:val="baseline"/>
        </w:rPr>
        <w:t> </w:t>
      </w:r>
      <w:r>
        <w:rPr>
          <w:vertAlign w:val="baseline"/>
        </w:rPr>
        <w:t>For</w:t>
      </w:r>
      <w:r>
        <w:rPr>
          <w:spacing w:val="-8"/>
          <w:vertAlign w:val="baseline"/>
        </w:rPr>
        <w:t> </w:t>
      </w:r>
      <w:r>
        <w:rPr>
          <w:vertAlign w:val="baseline"/>
        </w:rPr>
        <w:t>example,</w:t>
      </w:r>
      <w:r>
        <w:rPr>
          <w:spacing w:val="-8"/>
          <w:vertAlign w:val="baseline"/>
        </w:rPr>
        <w:t> </w:t>
      </w:r>
      <w:r>
        <w:rPr>
          <w:vertAlign w:val="baseline"/>
        </w:rPr>
        <w:t>the</w:t>
      </w:r>
      <w:r>
        <w:rPr>
          <w:spacing w:val="-9"/>
          <w:vertAlign w:val="baseline"/>
        </w:rPr>
        <w:t> </w:t>
      </w:r>
      <w:r>
        <w:rPr>
          <w:vertAlign w:val="baseline"/>
        </w:rPr>
        <w:t>industrial</w:t>
      </w:r>
      <w:r>
        <w:rPr>
          <w:spacing w:val="-8"/>
          <w:vertAlign w:val="baseline"/>
        </w:rPr>
        <w:t> </w:t>
      </w:r>
      <w:r>
        <w:rPr>
          <w:vertAlign w:val="baseline"/>
        </w:rPr>
        <w:t>structures</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core</w:t>
      </w:r>
      <w:r>
        <w:rPr>
          <w:spacing w:val="-9"/>
          <w:vertAlign w:val="baseline"/>
        </w:rPr>
        <w:t> </w:t>
      </w:r>
      <w:r>
        <w:rPr>
          <w:vertAlign w:val="baseline"/>
        </w:rPr>
        <w:t>and</w:t>
      </w:r>
      <w:r>
        <w:rPr>
          <w:spacing w:val="-10"/>
          <w:vertAlign w:val="baseline"/>
        </w:rPr>
        <w:t> </w:t>
      </w:r>
      <w:r>
        <w:rPr>
          <w:vertAlign w:val="baseline"/>
        </w:rPr>
        <w:t>periphery of the euro area are more similar than those of the constituents of Canada or the US (table 1). Yet few would argue that the euro area is the most effective currency union of the three. Conversely, the Canadian monetary</w:t>
      </w:r>
      <w:r>
        <w:rPr>
          <w:spacing w:val="-5"/>
          <w:vertAlign w:val="baseline"/>
        </w:rPr>
        <w:t> </w:t>
      </w:r>
      <w:r>
        <w:rPr>
          <w:vertAlign w:val="baseline"/>
        </w:rPr>
        <w:t>union</w:t>
      </w:r>
      <w:r>
        <w:rPr>
          <w:spacing w:val="-5"/>
          <w:vertAlign w:val="baseline"/>
        </w:rPr>
        <w:t> </w:t>
      </w:r>
      <w:r>
        <w:rPr>
          <w:vertAlign w:val="baseline"/>
        </w:rPr>
        <w:t>works</w:t>
      </w:r>
      <w:r>
        <w:rPr>
          <w:spacing w:val="-3"/>
          <w:vertAlign w:val="baseline"/>
        </w:rPr>
        <w:t> </w:t>
      </w:r>
      <w:r>
        <w:rPr>
          <w:vertAlign w:val="baseline"/>
        </w:rPr>
        <w:t>well</w:t>
      </w:r>
      <w:r>
        <w:rPr>
          <w:spacing w:val="-4"/>
          <w:vertAlign w:val="baseline"/>
        </w:rPr>
        <w:t> </w:t>
      </w:r>
      <w:r>
        <w:rPr>
          <w:vertAlign w:val="baseline"/>
        </w:rPr>
        <w:t>despite</w:t>
      </w:r>
      <w:r>
        <w:rPr>
          <w:spacing w:val="-4"/>
          <w:vertAlign w:val="baseline"/>
        </w:rPr>
        <w:t> </w:t>
      </w:r>
      <w:r>
        <w:rPr>
          <w:vertAlign w:val="baseline"/>
        </w:rPr>
        <w:t>having</w:t>
      </w:r>
      <w:r>
        <w:rPr>
          <w:spacing w:val="-5"/>
          <w:vertAlign w:val="baseline"/>
        </w:rPr>
        <w:t> </w:t>
      </w:r>
      <w:r>
        <w:rPr>
          <w:vertAlign w:val="baseline"/>
        </w:rPr>
        <w:t>substantially</w:t>
      </w:r>
      <w:r>
        <w:rPr>
          <w:spacing w:val="-5"/>
          <w:vertAlign w:val="baseline"/>
        </w:rPr>
        <w:t> </w:t>
      </w:r>
      <w:r>
        <w:rPr>
          <w:vertAlign w:val="baseline"/>
        </w:rPr>
        <w:t>larger</w:t>
      </w:r>
      <w:r>
        <w:rPr>
          <w:spacing w:val="-5"/>
          <w:vertAlign w:val="baseline"/>
        </w:rPr>
        <w:t> </w:t>
      </w:r>
      <w:r>
        <w:rPr>
          <w:vertAlign w:val="baseline"/>
        </w:rPr>
        <w:t>industrial</w:t>
      </w:r>
      <w:r>
        <w:rPr>
          <w:spacing w:val="-4"/>
          <w:vertAlign w:val="baseline"/>
        </w:rPr>
        <w:t> </w:t>
      </w:r>
      <w:r>
        <w:rPr>
          <w:vertAlign w:val="baseline"/>
        </w:rPr>
        <w:t>variation</w:t>
      </w:r>
      <w:r>
        <w:rPr>
          <w:spacing w:val="-5"/>
          <w:vertAlign w:val="baseline"/>
        </w:rPr>
        <w:t> </w:t>
      </w:r>
      <w:r>
        <w:rPr>
          <w:vertAlign w:val="baseline"/>
        </w:rPr>
        <w:t>than</w:t>
      </w:r>
      <w:r>
        <w:rPr>
          <w:spacing w:val="-5"/>
          <w:vertAlign w:val="baseline"/>
        </w:rPr>
        <w:t> </w:t>
      </w:r>
      <w:r>
        <w:rPr>
          <w:vertAlign w:val="baseline"/>
        </w:rPr>
        <w:t>even</w:t>
      </w:r>
      <w:r>
        <w:rPr>
          <w:spacing w:val="-5"/>
          <w:vertAlign w:val="baseline"/>
        </w:rPr>
        <w:t> </w:t>
      </w:r>
      <w:r>
        <w:rPr>
          <w:vertAlign w:val="baseline"/>
        </w:rPr>
        <w:t>the</w:t>
      </w:r>
      <w:r>
        <w:rPr>
          <w:spacing w:val="-6"/>
          <w:vertAlign w:val="baseline"/>
        </w:rPr>
        <w:t> </w:t>
      </w:r>
      <w:r>
        <w:rPr>
          <w:vertAlign w:val="baseline"/>
        </w:rPr>
        <w:t>US.</w:t>
      </w:r>
      <w:r>
        <w:rPr>
          <w:vertAlign w:val="superscript"/>
        </w:rPr>
        <w:t>8</w:t>
      </w:r>
    </w:p>
    <w:p>
      <w:pPr>
        <w:pStyle w:val="BodyText"/>
        <w:spacing w:before="8"/>
        <w:rPr>
          <w:sz w:val="27"/>
        </w:rPr>
      </w:pPr>
    </w:p>
    <w:p>
      <w:pPr>
        <w:pStyle w:val="BodyText"/>
        <w:spacing w:line="357" w:lineRule="auto"/>
        <w:ind w:left="226"/>
      </w:pPr>
      <w:r>
        <w:rPr/>
        <w:t>The similarity of the industrial structure of Scotland and the rest of the UK depends on how offshore oil is allocated.</w:t>
      </w:r>
      <w:r>
        <w:rPr>
          <w:spacing w:val="-7"/>
        </w:rPr>
        <w:t> </w:t>
      </w:r>
      <w:r>
        <w:rPr/>
        <w:t>With</w:t>
      </w:r>
      <w:r>
        <w:rPr>
          <w:spacing w:val="-6"/>
        </w:rPr>
        <w:t> </w:t>
      </w:r>
      <w:r>
        <w:rPr/>
        <w:t>oil</w:t>
      </w:r>
      <w:r>
        <w:rPr>
          <w:spacing w:val="-7"/>
        </w:rPr>
        <w:t> </w:t>
      </w:r>
      <w:r>
        <w:rPr/>
        <w:t>split</w:t>
      </w:r>
      <w:r>
        <w:rPr>
          <w:spacing w:val="-4"/>
        </w:rPr>
        <w:t> </w:t>
      </w:r>
      <w:r>
        <w:rPr/>
        <w:t>on</w:t>
      </w:r>
      <w:r>
        <w:rPr>
          <w:spacing w:val="-7"/>
        </w:rPr>
        <w:t> </w:t>
      </w:r>
      <w:r>
        <w:rPr/>
        <w:t>a</w:t>
      </w:r>
      <w:r>
        <w:rPr>
          <w:spacing w:val="-6"/>
        </w:rPr>
        <w:t> </w:t>
      </w:r>
      <w:r>
        <w:rPr/>
        <w:t>per</w:t>
      </w:r>
      <w:r>
        <w:rPr>
          <w:spacing w:val="-6"/>
        </w:rPr>
        <w:t> </w:t>
      </w:r>
      <w:r>
        <w:rPr/>
        <w:t>capita</w:t>
      </w:r>
      <w:r>
        <w:rPr>
          <w:spacing w:val="-7"/>
        </w:rPr>
        <w:t> </w:t>
      </w:r>
      <w:r>
        <w:rPr/>
        <w:t>basis</w:t>
      </w:r>
      <w:r>
        <w:rPr>
          <w:spacing w:val="-7"/>
        </w:rPr>
        <w:t> </w:t>
      </w:r>
      <w:r>
        <w:rPr/>
        <w:t>Scotland</w:t>
      </w:r>
      <w:r>
        <w:rPr>
          <w:spacing w:val="-6"/>
        </w:rPr>
        <w:t> </w:t>
      </w:r>
      <w:r>
        <w:rPr/>
        <w:t>and</w:t>
      </w:r>
      <w:r>
        <w:rPr>
          <w:spacing w:val="-7"/>
        </w:rPr>
        <w:t> </w:t>
      </w:r>
      <w:r>
        <w:rPr/>
        <w:t>the</w:t>
      </w:r>
      <w:r>
        <w:rPr>
          <w:spacing w:val="-7"/>
        </w:rPr>
        <w:t> </w:t>
      </w:r>
      <w:r>
        <w:rPr/>
        <w:t>rest</w:t>
      </w:r>
      <w:r>
        <w:rPr>
          <w:spacing w:val="-7"/>
        </w:rPr>
        <w:t> </w:t>
      </w:r>
      <w:r>
        <w:rPr/>
        <w:t>of</w:t>
      </w:r>
      <w:r>
        <w:rPr>
          <w:spacing w:val="-7"/>
        </w:rPr>
        <w:t> </w:t>
      </w:r>
      <w:r>
        <w:rPr/>
        <w:t>the</w:t>
      </w:r>
      <w:r>
        <w:rPr>
          <w:spacing w:val="-6"/>
        </w:rPr>
        <w:t> </w:t>
      </w:r>
      <w:r>
        <w:rPr/>
        <w:t>UK</w:t>
      </w:r>
      <w:r>
        <w:rPr>
          <w:spacing w:val="-7"/>
        </w:rPr>
        <w:t> </w:t>
      </w:r>
      <w:r>
        <w:rPr/>
        <w:t>look</w:t>
      </w:r>
      <w:r>
        <w:rPr>
          <w:spacing w:val="-5"/>
        </w:rPr>
        <w:t> </w:t>
      </w:r>
      <w:r>
        <w:rPr/>
        <w:t>about</w:t>
      </w:r>
      <w:r>
        <w:rPr>
          <w:spacing w:val="-6"/>
        </w:rPr>
        <w:t> </w:t>
      </w:r>
      <w:r>
        <w:rPr/>
        <w:t>as</w:t>
      </w:r>
      <w:r>
        <w:rPr>
          <w:spacing w:val="-7"/>
        </w:rPr>
        <w:t> </w:t>
      </w:r>
      <w:r>
        <w:rPr/>
        <w:t>similar</w:t>
      </w:r>
      <w:r>
        <w:rPr>
          <w:spacing w:val="-6"/>
        </w:rPr>
        <w:t> </w:t>
      </w:r>
      <w:r>
        <w:rPr/>
        <w:t>as</w:t>
      </w:r>
      <w:r>
        <w:rPr>
          <w:spacing w:val="-5"/>
        </w:rPr>
        <w:t> </w:t>
      </w:r>
      <w:r>
        <w:rPr/>
        <w:t>the</w:t>
      </w:r>
      <w:r>
        <w:rPr>
          <w:spacing w:val="-6"/>
        </w:rPr>
        <w:t> </w:t>
      </w:r>
      <w:r>
        <w:rPr/>
        <w:t>core and periphery of the euro area; but with oil split on a geographic basis they look about as diverse as the United States (table 1). Despite any differences, the close integration of the Scottish and rest of UK economies has helped ensure that their economic performance has been very similar over a long period – output growth is highly correlated (chart</w:t>
      </w:r>
      <w:r>
        <w:rPr>
          <w:spacing w:val="-3"/>
        </w:rPr>
        <w:t> </w:t>
      </w:r>
      <w:r>
        <w:rPr/>
        <w:t>1).</w:t>
      </w:r>
      <w:r>
        <w:rPr>
          <w:vertAlign w:val="superscript"/>
        </w:rPr>
        <w:t>9</w:t>
      </w:r>
    </w:p>
    <w:p>
      <w:pPr>
        <w:pStyle w:val="BodyText"/>
        <w:rPr>
          <w:sz w:val="20"/>
        </w:rPr>
      </w:pPr>
    </w:p>
    <w:p>
      <w:pPr>
        <w:pStyle w:val="BodyText"/>
        <w:spacing w:before="2"/>
        <w:rPr>
          <w:sz w:val="25"/>
        </w:rPr>
      </w:pPr>
      <w:r>
        <w:rPr/>
        <w:pict>
          <v:shape style="position:absolute;margin-left:79.320pt;margin-top:16.690613pt;width:135.5pt;height:.1pt;mso-position-horizontal-relative:page;mso-position-vertical-relative:paragraph;z-index:-251656192;mso-wrap-distance-left:0;mso-wrap-distance-right:0" coordorigin="1586,334" coordsize="2710,0" path="m1586,334l4296,334e" filled="false" stroked="true" strokeweight=".48001pt" strokecolor="#000000">
            <v:path arrowok="t"/>
            <v:stroke dashstyle="solid"/>
            <w10:wrap type="topAndBottom"/>
          </v:shape>
        </w:pict>
      </w:r>
    </w:p>
    <w:p>
      <w:pPr>
        <w:spacing w:line="232" w:lineRule="auto" w:before="30"/>
        <w:ind w:left="226" w:right="157" w:firstLine="0"/>
        <w:jc w:val="left"/>
        <w:rPr>
          <w:sz w:val="15"/>
        </w:rPr>
      </w:pPr>
      <w:r>
        <w:rPr>
          <w:position w:val="8"/>
          <w:sz w:val="9"/>
        </w:rPr>
        <w:t>6 </w:t>
      </w:r>
      <w:r>
        <w:rPr>
          <w:sz w:val="15"/>
        </w:rPr>
        <w:t>These dynamics were in operation in the recent euro area crisis, until the announcement of the ECB’s Outright Monetary Transactions. </w:t>
      </w:r>
      <w:r>
        <w:rPr>
          <w:position w:val="8"/>
          <w:sz w:val="9"/>
        </w:rPr>
        <w:t>7 </w:t>
      </w:r>
      <w:r>
        <w:rPr>
          <w:sz w:val="15"/>
        </w:rPr>
        <w:t>Members are similar when they experience similar shocks and respond to the same shock in similar ways. That reduces the likelihood of a shock affecting one part of the currency union, and hence reduces the need for the exchange rate to adjust. Kenen (1969) argued that more diversified economies were better candidates to join currency unions because industry-specific shocks were less likely to  have macroeconomic effects, reducing the need for exchange rate</w:t>
      </w:r>
      <w:r>
        <w:rPr>
          <w:spacing w:val="-4"/>
          <w:sz w:val="15"/>
        </w:rPr>
        <w:t> </w:t>
      </w:r>
      <w:r>
        <w:rPr>
          <w:sz w:val="15"/>
        </w:rPr>
        <w:t>adjustment.</w:t>
      </w:r>
    </w:p>
    <w:p>
      <w:pPr>
        <w:spacing w:line="163" w:lineRule="exact" w:before="0"/>
        <w:ind w:left="226" w:right="0" w:firstLine="0"/>
        <w:jc w:val="left"/>
        <w:rPr>
          <w:sz w:val="15"/>
        </w:rPr>
      </w:pPr>
      <w:r>
        <w:rPr>
          <w:position w:val="8"/>
          <w:sz w:val="9"/>
        </w:rPr>
        <w:t>8 </w:t>
      </w:r>
      <w:r>
        <w:rPr>
          <w:sz w:val="15"/>
        </w:rPr>
        <w:t>See Carney (2013).</w:t>
      </w:r>
    </w:p>
    <w:p>
      <w:pPr>
        <w:spacing w:line="174" w:lineRule="exact" w:before="13"/>
        <w:ind w:left="226" w:right="177" w:firstLine="0"/>
        <w:jc w:val="left"/>
        <w:rPr>
          <w:sz w:val="15"/>
        </w:rPr>
      </w:pPr>
      <w:r>
        <w:rPr>
          <w:position w:val="8"/>
          <w:sz w:val="9"/>
        </w:rPr>
        <w:t>9 </w:t>
      </w:r>
      <w:r>
        <w:rPr>
          <w:sz w:val="15"/>
        </w:rPr>
        <w:t>Moreover unit labour costs in Scotland and the UK as a whole have moved closely together (chart 2), whereas large relative movements in the Eurozone imply divergences in competitiveness (chart 3).</w:t>
      </w:r>
    </w:p>
    <w:p>
      <w:pPr>
        <w:spacing w:after="0" w:line="174" w:lineRule="exact"/>
        <w:jc w:val="left"/>
        <w:rPr>
          <w:sz w:val="15"/>
        </w:rPr>
        <w:sectPr>
          <w:footerReference w:type="default" r:id="rId9"/>
          <w:pgSz w:w="12240" w:h="15840"/>
          <w:pgMar w:footer="1240" w:header="0" w:top="1280" w:bottom="1440" w:left="1360" w:right="1480"/>
        </w:sectPr>
      </w:pPr>
    </w:p>
    <w:p>
      <w:pPr>
        <w:pStyle w:val="BodyText"/>
        <w:spacing w:line="355" w:lineRule="auto" w:before="72"/>
        <w:ind w:left="226"/>
      </w:pPr>
      <w:r>
        <w:rPr/>
        <w:t>So theory notwithstanding, being similar doesn’t necessarily help and being different doesn’t necessarily hinder. This suggests we should look elsewhere for the ingredients of a successful union: to the mobility of labour, capital and goods; to institutional structures promoting financial stability; and to institutions that mutualise risks and pool fiscal resources.</w:t>
      </w:r>
    </w:p>
    <w:p>
      <w:pPr>
        <w:pStyle w:val="BodyText"/>
        <w:spacing w:before="5"/>
        <w:rPr>
          <w:sz w:val="28"/>
        </w:rPr>
      </w:pPr>
    </w:p>
    <w:p>
      <w:pPr>
        <w:pStyle w:val="Heading1"/>
      </w:pPr>
      <w:r>
        <w:rPr/>
        <w:t>An economic union with free movement of labour, capital and goods</w:t>
      </w:r>
    </w:p>
    <w:p>
      <w:pPr>
        <w:pStyle w:val="BodyText"/>
        <w:rPr>
          <w:b/>
          <w:sz w:val="20"/>
        </w:rPr>
      </w:pPr>
    </w:p>
    <w:p>
      <w:pPr>
        <w:pStyle w:val="BodyText"/>
        <w:spacing w:before="7"/>
        <w:rPr>
          <w:b/>
          <w:sz w:val="17"/>
        </w:rPr>
      </w:pPr>
    </w:p>
    <w:p>
      <w:pPr>
        <w:pStyle w:val="BodyText"/>
        <w:spacing w:line="357" w:lineRule="auto"/>
        <w:ind w:left="226" w:right="111"/>
      </w:pPr>
      <w:r>
        <w:rPr/>
        <w:t>The ‘five tests’ formulated by the UK Government to analyse the merits of joining the euro in 2003 were crafted in large part around the degree of integration of the UK and the euro area.</w:t>
      </w:r>
      <w:r>
        <w:rPr>
          <w:vertAlign w:val="superscript"/>
        </w:rPr>
        <w:t>10</w:t>
      </w:r>
      <w:r>
        <w:rPr>
          <w:vertAlign w:val="baseline"/>
        </w:rPr>
        <w:t> That is because greater openness and integration within a currency union not only enhances the benefits of a shared currency but can also mitigate the cost of losing exchange rate flexibility.</w:t>
      </w:r>
      <w:r>
        <w:rPr>
          <w:vertAlign w:val="superscript"/>
        </w:rPr>
        <w:t>11</w:t>
      </w:r>
    </w:p>
    <w:p>
      <w:pPr>
        <w:pStyle w:val="BodyText"/>
        <w:spacing w:before="11"/>
        <w:rPr>
          <w:sz w:val="27"/>
        </w:rPr>
      </w:pPr>
    </w:p>
    <w:p>
      <w:pPr>
        <w:pStyle w:val="BodyText"/>
        <w:spacing w:line="357" w:lineRule="auto"/>
        <w:ind w:left="226"/>
      </w:pPr>
      <w:r>
        <w:rPr/>
        <w:t>Mundell originally argued that currency areas should coincide with regions which had high internal factor mobility.</w:t>
      </w:r>
      <w:r>
        <w:rPr>
          <w:vertAlign w:val="superscript"/>
        </w:rPr>
        <w:t>12</w:t>
      </w:r>
      <w:r>
        <w:rPr>
          <w:vertAlign w:val="baseline"/>
        </w:rPr>
        <w:t> The idea was that by moving from areas where demand has fallen to those where it has risen, workers help moderate changes in wages and unemployment.</w:t>
      </w:r>
      <w:r>
        <w:rPr>
          <w:vertAlign w:val="superscript"/>
        </w:rPr>
        <w:t>13</w:t>
      </w:r>
    </w:p>
    <w:p>
      <w:pPr>
        <w:pStyle w:val="BodyText"/>
        <w:spacing w:before="11"/>
        <w:rPr>
          <w:sz w:val="27"/>
        </w:rPr>
      </w:pPr>
    </w:p>
    <w:p>
      <w:pPr>
        <w:pStyle w:val="BodyText"/>
        <w:spacing w:line="355" w:lineRule="auto"/>
        <w:ind w:left="226" w:right="111"/>
      </w:pPr>
      <w:r>
        <w:rPr/>
        <w:t>There</w:t>
      </w:r>
      <w:r>
        <w:rPr>
          <w:spacing w:val="-10"/>
        </w:rPr>
        <w:t> </w:t>
      </w:r>
      <w:r>
        <w:rPr/>
        <w:t>are</w:t>
      </w:r>
      <w:r>
        <w:rPr>
          <w:spacing w:val="-9"/>
        </w:rPr>
        <w:t> </w:t>
      </w:r>
      <w:r>
        <w:rPr/>
        <w:t>clear</w:t>
      </w:r>
      <w:r>
        <w:rPr>
          <w:spacing w:val="-9"/>
        </w:rPr>
        <w:t> </w:t>
      </w:r>
      <w:r>
        <w:rPr/>
        <w:t>practical</w:t>
      </w:r>
      <w:r>
        <w:rPr>
          <w:spacing w:val="-10"/>
        </w:rPr>
        <w:t> </w:t>
      </w:r>
      <w:r>
        <w:rPr/>
        <w:t>impediments</w:t>
      </w:r>
      <w:r>
        <w:rPr>
          <w:spacing w:val="-9"/>
        </w:rPr>
        <w:t> </w:t>
      </w:r>
      <w:r>
        <w:rPr/>
        <w:t>to</w:t>
      </w:r>
      <w:r>
        <w:rPr>
          <w:spacing w:val="-10"/>
        </w:rPr>
        <w:t> </w:t>
      </w:r>
      <w:r>
        <w:rPr/>
        <w:t>labour</w:t>
      </w:r>
      <w:r>
        <w:rPr>
          <w:spacing w:val="-10"/>
        </w:rPr>
        <w:t> </w:t>
      </w:r>
      <w:r>
        <w:rPr/>
        <w:t>mobility</w:t>
      </w:r>
      <w:r>
        <w:rPr>
          <w:spacing w:val="-9"/>
        </w:rPr>
        <w:t> </w:t>
      </w:r>
      <w:r>
        <w:rPr/>
        <w:t>within</w:t>
      </w:r>
      <w:r>
        <w:rPr>
          <w:spacing w:val="-9"/>
        </w:rPr>
        <w:t> </w:t>
      </w:r>
      <w:r>
        <w:rPr/>
        <w:t>the</w:t>
      </w:r>
      <w:r>
        <w:rPr>
          <w:spacing w:val="-9"/>
        </w:rPr>
        <w:t> </w:t>
      </w:r>
      <w:r>
        <w:rPr/>
        <w:t>euro</w:t>
      </w:r>
      <w:r>
        <w:rPr>
          <w:spacing w:val="-11"/>
        </w:rPr>
        <w:t> </w:t>
      </w:r>
      <w:r>
        <w:rPr/>
        <w:t>area</w:t>
      </w:r>
      <w:r>
        <w:rPr>
          <w:spacing w:val="-9"/>
        </w:rPr>
        <w:t> </w:t>
      </w:r>
      <w:r>
        <w:rPr/>
        <w:t>including</w:t>
      </w:r>
      <w:r>
        <w:rPr>
          <w:spacing w:val="-9"/>
        </w:rPr>
        <w:t> </w:t>
      </w:r>
      <w:r>
        <w:rPr/>
        <w:t>language</w:t>
      </w:r>
      <w:r>
        <w:rPr>
          <w:spacing w:val="-10"/>
        </w:rPr>
        <w:t> </w:t>
      </w:r>
      <w:r>
        <w:rPr/>
        <w:t>and</w:t>
      </w:r>
      <w:r>
        <w:rPr>
          <w:spacing w:val="-9"/>
        </w:rPr>
        <w:t> </w:t>
      </w:r>
      <w:r>
        <w:rPr/>
        <w:t>culture. As a consequence, it has the lowest cross-border mobility of the five currency unions in table 2.</w:t>
      </w:r>
      <w:r>
        <w:rPr>
          <w:vertAlign w:val="superscript"/>
        </w:rPr>
        <w:t>14</w:t>
      </w:r>
      <w:r>
        <w:rPr>
          <w:vertAlign w:val="baseline"/>
        </w:rPr>
        <w:t> This has contributed to the need for painful internal devaluation for some countries in the euro area to restore competitiveness.</w:t>
      </w:r>
    </w:p>
    <w:p>
      <w:pPr>
        <w:pStyle w:val="BodyText"/>
        <w:spacing w:before="7"/>
        <w:rPr>
          <w:sz w:val="28"/>
        </w:rPr>
      </w:pPr>
    </w:p>
    <w:p>
      <w:pPr>
        <w:pStyle w:val="BodyText"/>
        <w:spacing w:line="355" w:lineRule="auto"/>
        <w:ind w:left="226" w:right="111"/>
      </w:pPr>
      <w:r>
        <w:rPr/>
        <w:t>Given</w:t>
      </w:r>
      <w:r>
        <w:rPr>
          <w:spacing w:val="-7"/>
        </w:rPr>
        <w:t> </w:t>
      </w:r>
      <w:r>
        <w:rPr/>
        <w:t>that</w:t>
      </w:r>
      <w:r>
        <w:rPr>
          <w:spacing w:val="-7"/>
        </w:rPr>
        <w:t> </w:t>
      </w:r>
      <w:r>
        <w:rPr/>
        <w:t>more</w:t>
      </w:r>
      <w:r>
        <w:rPr>
          <w:spacing w:val="-7"/>
        </w:rPr>
        <w:t> </w:t>
      </w:r>
      <w:r>
        <w:rPr/>
        <w:t>than</w:t>
      </w:r>
      <w:r>
        <w:rPr>
          <w:spacing w:val="-7"/>
        </w:rPr>
        <w:t> </w:t>
      </w:r>
      <w:r>
        <w:rPr/>
        <w:t>700,000</w:t>
      </w:r>
      <w:r>
        <w:rPr>
          <w:spacing w:val="-7"/>
        </w:rPr>
        <w:t> </w:t>
      </w:r>
      <w:r>
        <w:rPr/>
        <w:t>Scots</w:t>
      </w:r>
      <w:r>
        <w:rPr>
          <w:spacing w:val="-7"/>
        </w:rPr>
        <w:t> </w:t>
      </w:r>
      <w:r>
        <w:rPr/>
        <w:t>live</w:t>
      </w:r>
      <w:r>
        <w:rPr>
          <w:spacing w:val="-7"/>
        </w:rPr>
        <w:t> </w:t>
      </w:r>
      <w:r>
        <w:rPr/>
        <w:t>in</w:t>
      </w:r>
      <w:r>
        <w:rPr>
          <w:spacing w:val="-7"/>
        </w:rPr>
        <w:t> </w:t>
      </w:r>
      <w:r>
        <w:rPr/>
        <w:t>the</w:t>
      </w:r>
      <w:r>
        <w:rPr>
          <w:spacing w:val="-7"/>
        </w:rPr>
        <w:t> </w:t>
      </w:r>
      <w:r>
        <w:rPr/>
        <w:t>rest</w:t>
      </w:r>
      <w:r>
        <w:rPr>
          <w:spacing w:val="-5"/>
        </w:rPr>
        <w:t> </w:t>
      </w:r>
      <w:r>
        <w:rPr/>
        <w:t>of</w:t>
      </w:r>
      <w:r>
        <w:rPr>
          <w:spacing w:val="-6"/>
        </w:rPr>
        <w:t> </w:t>
      </w:r>
      <w:r>
        <w:rPr/>
        <w:t>the</w:t>
      </w:r>
      <w:r>
        <w:rPr>
          <w:spacing w:val="-7"/>
        </w:rPr>
        <w:t> </w:t>
      </w:r>
      <w:r>
        <w:rPr/>
        <w:t>United</w:t>
      </w:r>
      <w:r>
        <w:rPr>
          <w:spacing w:val="-8"/>
        </w:rPr>
        <w:t> </w:t>
      </w:r>
      <w:r>
        <w:rPr/>
        <w:t>Kingdom</w:t>
      </w:r>
      <w:r>
        <w:rPr>
          <w:spacing w:val="-5"/>
        </w:rPr>
        <w:t> </w:t>
      </w:r>
      <w:r>
        <w:rPr/>
        <w:t>and</w:t>
      </w:r>
      <w:r>
        <w:rPr>
          <w:spacing w:val="-8"/>
        </w:rPr>
        <w:t> </w:t>
      </w:r>
      <w:r>
        <w:rPr/>
        <w:t>over</w:t>
      </w:r>
      <w:r>
        <w:rPr>
          <w:spacing w:val="-7"/>
        </w:rPr>
        <w:t> </w:t>
      </w:r>
      <w:r>
        <w:rPr/>
        <w:t>500,000</w:t>
      </w:r>
      <w:r>
        <w:rPr>
          <w:spacing w:val="-7"/>
        </w:rPr>
        <w:t> </w:t>
      </w:r>
      <w:r>
        <w:rPr/>
        <w:t>from</w:t>
      </w:r>
      <w:r>
        <w:rPr>
          <w:spacing w:val="-6"/>
        </w:rPr>
        <w:t> </w:t>
      </w:r>
      <w:r>
        <w:rPr/>
        <w:t>the</w:t>
      </w:r>
      <w:r>
        <w:rPr>
          <w:spacing w:val="-6"/>
        </w:rPr>
        <w:t> </w:t>
      </w:r>
      <w:r>
        <w:rPr/>
        <w:t>rest</w:t>
      </w:r>
      <w:r>
        <w:rPr>
          <w:spacing w:val="-7"/>
        </w:rPr>
        <w:t> </w:t>
      </w:r>
      <w:r>
        <w:rPr/>
        <w:t>of the UK live in Scotland, one would be tempted to assume that labour mobility between the two is high.</w:t>
      </w:r>
      <w:r>
        <w:rPr>
          <w:vertAlign w:val="superscript"/>
        </w:rPr>
        <w:t>15</w:t>
      </w:r>
      <w:r>
        <w:rPr>
          <w:vertAlign w:val="baseline"/>
        </w:rPr>
        <w:t> In fact</w:t>
      </w:r>
      <w:r>
        <w:rPr>
          <w:spacing w:val="-8"/>
          <w:vertAlign w:val="baseline"/>
        </w:rPr>
        <w:t> </w:t>
      </w:r>
      <w:r>
        <w:rPr>
          <w:vertAlign w:val="baseline"/>
        </w:rPr>
        <w:t>gross</w:t>
      </w:r>
      <w:r>
        <w:rPr>
          <w:spacing w:val="-5"/>
          <w:vertAlign w:val="baseline"/>
        </w:rPr>
        <w:t> </w:t>
      </w:r>
      <w:r>
        <w:rPr>
          <w:vertAlign w:val="baseline"/>
        </w:rPr>
        <w:t>migration</w:t>
      </w:r>
      <w:r>
        <w:rPr>
          <w:spacing w:val="-8"/>
          <w:vertAlign w:val="baseline"/>
        </w:rPr>
        <w:t> </w:t>
      </w:r>
      <w:r>
        <w:rPr>
          <w:vertAlign w:val="baseline"/>
        </w:rPr>
        <w:t>flows</w:t>
      </w:r>
      <w:r>
        <w:rPr>
          <w:spacing w:val="-7"/>
          <w:vertAlign w:val="baseline"/>
        </w:rPr>
        <w:t> </w:t>
      </w:r>
      <w:r>
        <w:rPr>
          <w:vertAlign w:val="baseline"/>
        </w:rPr>
        <w:t>between</w:t>
      </w:r>
      <w:r>
        <w:rPr>
          <w:spacing w:val="-7"/>
          <w:vertAlign w:val="baseline"/>
        </w:rPr>
        <w:t> </w:t>
      </w:r>
      <w:r>
        <w:rPr>
          <w:vertAlign w:val="baseline"/>
        </w:rPr>
        <w:t>Scotland</w:t>
      </w:r>
      <w:r>
        <w:rPr>
          <w:spacing w:val="-7"/>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rest</w:t>
      </w:r>
      <w:r>
        <w:rPr>
          <w:spacing w:val="-8"/>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UK</w:t>
      </w:r>
      <w:r>
        <w:rPr>
          <w:spacing w:val="-8"/>
          <w:vertAlign w:val="baseline"/>
        </w:rPr>
        <w:t> </w:t>
      </w:r>
      <w:r>
        <w:rPr>
          <w:vertAlign w:val="baseline"/>
        </w:rPr>
        <w:t>are</w:t>
      </w:r>
      <w:r>
        <w:rPr>
          <w:spacing w:val="-8"/>
          <w:vertAlign w:val="baseline"/>
        </w:rPr>
        <w:t> </w:t>
      </w:r>
      <w:r>
        <w:rPr>
          <w:vertAlign w:val="baseline"/>
        </w:rPr>
        <w:t>lower</w:t>
      </w:r>
      <w:r>
        <w:rPr>
          <w:spacing w:val="-8"/>
          <w:vertAlign w:val="baseline"/>
        </w:rPr>
        <w:t> </w:t>
      </w:r>
      <w:r>
        <w:rPr>
          <w:vertAlign w:val="baseline"/>
        </w:rPr>
        <w:t>than</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constituent</w:t>
      </w:r>
      <w:r>
        <w:rPr>
          <w:spacing w:val="-6"/>
          <w:vertAlign w:val="baseline"/>
        </w:rPr>
        <w:t> </w:t>
      </w:r>
      <w:r>
        <w:rPr>
          <w:vertAlign w:val="baseline"/>
        </w:rPr>
        <w:t>parts</w:t>
      </w:r>
      <w:r>
        <w:rPr>
          <w:spacing w:val="-6"/>
          <w:vertAlign w:val="baseline"/>
        </w:rPr>
        <w:t> </w:t>
      </w:r>
      <w:r>
        <w:rPr>
          <w:vertAlign w:val="baseline"/>
        </w:rPr>
        <w:t>of some other currency areas (table</w:t>
      </w:r>
      <w:r>
        <w:rPr>
          <w:spacing w:val="-6"/>
          <w:vertAlign w:val="baseline"/>
        </w:rPr>
        <w:t> </w:t>
      </w:r>
      <w:r>
        <w:rPr>
          <w:vertAlign w:val="baseline"/>
        </w:rPr>
        <w:t>2).</w:t>
      </w:r>
    </w:p>
    <w:p>
      <w:pPr>
        <w:pStyle w:val="BodyText"/>
        <w:spacing w:before="7"/>
        <w:rPr>
          <w:sz w:val="28"/>
        </w:rPr>
      </w:pPr>
    </w:p>
    <w:p>
      <w:pPr>
        <w:pStyle w:val="BodyText"/>
        <w:spacing w:line="357" w:lineRule="auto"/>
        <w:ind w:left="226" w:right="111"/>
      </w:pPr>
      <w:r>
        <w:rPr/>
        <w:t>That</w:t>
      </w:r>
      <w:r>
        <w:rPr>
          <w:spacing w:val="-6"/>
        </w:rPr>
        <w:t> </w:t>
      </w:r>
      <w:r>
        <w:rPr/>
        <w:t>probably</w:t>
      </w:r>
      <w:r>
        <w:rPr>
          <w:spacing w:val="-6"/>
        </w:rPr>
        <w:t> </w:t>
      </w:r>
      <w:r>
        <w:rPr/>
        <w:t>in</w:t>
      </w:r>
      <w:r>
        <w:rPr>
          <w:spacing w:val="-7"/>
        </w:rPr>
        <w:t> </w:t>
      </w:r>
      <w:r>
        <w:rPr/>
        <w:t>part</w:t>
      </w:r>
      <w:r>
        <w:rPr>
          <w:spacing w:val="-6"/>
        </w:rPr>
        <w:t> </w:t>
      </w:r>
      <w:r>
        <w:rPr/>
        <w:t>reflects</w:t>
      </w:r>
      <w:r>
        <w:rPr>
          <w:spacing w:val="-7"/>
        </w:rPr>
        <w:t> </w:t>
      </w:r>
      <w:r>
        <w:rPr/>
        <w:t>the</w:t>
      </w:r>
      <w:r>
        <w:rPr>
          <w:spacing w:val="-7"/>
        </w:rPr>
        <w:t> </w:t>
      </w:r>
      <w:r>
        <w:rPr/>
        <w:t>fact</w:t>
      </w:r>
      <w:r>
        <w:rPr>
          <w:spacing w:val="-8"/>
        </w:rPr>
        <w:t> </w:t>
      </w:r>
      <w:r>
        <w:rPr/>
        <w:t>that</w:t>
      </w:r>
      <w:r>
        <w:rPr>
          <w:spacing w:val="-7"/>
        </w:rPr>
        <w:t> </w:t>
      </w:r>
      <w:r>
        <w:rPr/>
        <w:t>economic</w:t>
      </w:r>
      <w:r>
        <w:rPr>
          <w:spacing w:val="-6"/>
        </w:rPr>
        <w:t> </w:t>
      </w:r>
      <w:r>
        <w:rPr/>
        <w:t>conditions</w:t>
      </w:r>
      <w:r>
        <w:rPr>
          <w:spacing w:val="-7"/>
        </w:rPr>
        <w:t> </w:t>
      </w:r>
      <w:r>
        <w:rPr/>
        <w:t>in</w:t>
      </w:r>
      <w:r>
        <w:rPr>
          <w:spacing w:val="-7"/>
        </w:rPr>
        <w:t> </w:t>
      </w:r>
      <w:r>
        <w:rPr/>
        <w:t>Scotland</w:t>
      </w:r>
      <w:r>
        <w:rPr>
          <w:spacing w:val="-8"/>
        </w:rPr>
        <w:t> </w:t>
      </w:r>
      <w:r>
        <w:rPr/>
        <w:t>and</w:t>
      </w:r>
      <w:r>
        <w:rPr>
          <w:spacing w:val="-8"/>
        </w:rPr>
        <w:t> </w:t>
      </w:r>
      <w:r>
        <w:rPr/>
        <w:t>the</w:t>
      </w:r>
      <w:r>
        <w:rPr>
          <w:spacing w:val="-7"/>
        </w:rPr>
        <w:t> </w:t>
      </w:r>
      <w:r>
        <w:rPr/>
        <w:t>rest</w:t>
      </w:r>
      <w:r>
        <w:rPr>
          <w:spacing w:val="-6"/>
        </w:rPr>
        <w:t> </w:t>
      </w:r>
      <w:r>
        <w:rPr/>
        <w:t>of</w:t>
      </w:r>
      <w:r>
        <w:rPr>
          <w:spacing w:val="-6"/>
        </w:rPr>
        <w:t> </w:t>
      </w:r>
      <w:r>
        <w:rPr/>
        <w:t>the</w:t>
      </w:r>
      <w:r>
        <w:rPr>
          <w:spacing w:val="-8"/>
        </w:rPr>
        <w:t> </w:t>
      </w:r>
      <w:r>
        <w:rPr/>
        <w:t>UK</w:t>
      </w:r>
      <w:r>
        <w:rPr>
          <w:spacing w:val="-5"/>
        </w:rPr>
        <w:t> </w:t>
      </w:r>
      <w:r>
        <w:rPr/>
        <w:t>have</w:t>
      </w:r>
      <w:r>
        <w:rPr>
          <w:spacing w:val="-7"/>
        </w:rPr>
        <w:t> </w:t>
      </w:r>
      <w:r>
        <w:rPr/>
        <w:t>been very similar, such that the incentive for migration is relatively limited. It is reasonable to think that the similarities</w:t>
      </w:r>
      <w:r>
        <w:rPr>
          <w:spacing w:val="-9"/>
        </w:rPr>
        <w:t> </w:t>
      </w:r>
      <w:r>
        <w:rPr/>
        <w:t>between</w:t>
      </w:r>
      <w:r>
        <w:rPr>
          <w:spacing w:val="-9"/>
        </w:rPr>
        <w:t> </w:t>
      </w:r>
      <w:r>
        <w:rPr/>
        <w:t>Scotland</w:t>
      </w:r>
      <w:r>
        <w:rPr>
          <w:spacing w:val="-8"/>
        </w:rPr>
        <w:t> </w:t>
      </w:r>
      <w:r>
        <w:rPr/>
        <w:t>and</w:t>
      </w:r>
      <w:r>
        <w:rPr>
          <w:spacing w:val="-9"/>
        </w:rPr>
        <w:t> </w:t>
      </w:r>
      <w:r>
        <w:rPr/>
        <w:t>the</w:t>
      </w:r>
      <w:r>
        <w:rPr>
          <w:spacing w:val="-8"/>
        </w:rPr>
        <w:t> </w:t>
      </w:r>
      <w:r>
        <w:rPr/>
        <w:t>rest</w:t>
      </w:r>
      <w:r>
        <w:rPr>
          <w:spacing w:val="-8"/>
        </w:rPr>
        <w:t> </w:t>
      </w:r>
      <w:r>
        <w:rPr/>
        <w:t>of</w:t>
      </w:r>
      <w:r>
        <w:rPr>
          <w:spacing w:val="-8"/>
        </w:rPr>
        <w:t> </w:t>
      </w:r>
      <w:r>
        <w:rPr/>
        <w:t>the</w:t>
      </w:r>
      <w:r>
        <w:rPr>
          <w:spacing w:val="-8"/>
        </w:rPr>
        <w:t> </w:t>
      </w:r>
      <w:r>
        <w:rPr/>
        <w:t>UK</w:t>
      </w:r>
      <w:r>
        <w:rPr>
          <w:spacing w:val="-8"/>
        </w:rPr>
        <w:t> </w:t>
      </w:r>
      <w:r>
        <w:rPr/>
        <w:t>mean</w:t>
      </w:r>
      <w:r>
        <w:rPr>
          <w:spacing w:val="-8"/>
        </w:rPr>
        <w:t> </w:t>
      </w:r>
      <w:r>
        <w:rPr/>
        <w:t>that</w:t>
      </w:r>
      <w:r>
        <w:rPr>
          <w:spacing w:val="-8"/>
        </w:rPr>
        <w:t> </w:t>
      </w:r>
      <w:r>
        <w:rPr/>
        <w:t>there</w:t>
      </w:r>
      <w:r>
        <w:rPr>
          <w:spacing w:val="-8"/>
        </w:rPr>
        <w:t> </w:t>
      </w:r>
      <w:r>
        <w:rPr/>
        <w:t>is</w:t>
      </w:r>
      <w:r>
        <w:rPr>
          <w:spacing w:val="-9"/>
        </w:rPr>
        <w:t> </w:t>
      </w:r>
      <w:r>
        <w:rPr/>
        <w:t>the</w:t>
      </w:r>
      <w:r>
        <w:rPr>
          <w:spacing w:val="-9"/>
        </w:rPr>
        <w:t> </w:t>
      </w:r>
      <w:r>
        <w:rPr/>
        <w:t>potential</w:t>
      </w:r>
      <w:r>
        <w:rPr>
          <w:spacing w:val="-8"/>
        </w:rPr>
        <w:t> </w:t>
      </w:r>
      <w:r>
        <w:rPr/>
        <w:t>for</w:t>
      </w:r>
      <w:r>
        <w:rPr>
          <w:spacing w:val="-8"/>
        </w:rPr>
        <w:t> </w:t>
      </w:r>
      <w:r>
        <w:rPr/>
        <w:t>higher</w:t>
      </w:r>
      <w:r>
        <w:rPr>
          <w:spacing w:val="-9"/>
        </w:rPr>
        <w:t> </w:t>
      </w:r>
      <w:r>
        <w:rPr/>
        <w:t>labour</w:t>
      </w:r>
      <w:r>
        <w:rPr>
          <w:spacing w:val="-8"/>
        </w:rPr>
        <w:t> </w:t>
      </w:r>
      <w:r>
        <w:rPr/>
        <w:t>mobility should that become necessary. Given differences in industrial structure, this would put a premium on ensuring</w:t>
      </w:r>
      <w:r>
        <w:rPr>
          <w:spacing w:val="-5"/>
        </w:rPr>
        <w:t> </w:t>
      </w:r>
      <w:r>
        <w:rPr/>
        <w:t>barriers</w:t>
      </w:r>
      <w:r>
        <w:rPr>
          <w:spacing w:val="-5"/>
        </w:rPr>
        <w:t> </w:t>
      </w:r>
      <w:r>
        <w:rPr/>
        <w:t>to</w:t>
      </w:r>
      <w:r>
        <w:rPr>
          <w:spacing w:val="-6"/>
        </w:rPr>
        <w:t> </w:t>
      </w:r>
      <w:r>
        <w:rPr/>
        <w:t>mobility</w:t>
      </w:r>
      <w:r>
        <w:rPr>
          <w:spacing w:val="-5"/>
        </w:rPr>
        <w:t> </w:t>
      </w:r>
      <w:r>
        <w:rPr/>
        <w:t>are</w:t>
      </w:r>
      <w:r>
        <w:rPr>
          <w:spacing w:val="-4"/>
        </w:rPr>
        <w:t> </w:t>
      </w:r>
      <w:r>
        <w:rPr/>
        <w:t>not</w:t>
      </w:r>
      <w:r>
        <w:rPr>
          <w:spacing w:val="-3"/>
        </w:rPr>
        <w:t> </w:t>
      </w:r>
      <w:r>
        <w:rPr/>
        <w:t>allowed</w:t>
      </w:r>
      <w:r>
        <w:rPr>
          <w:spacing w:val="-5"/>
        </w:rPr>
        <w:t> </w:t>
      </w:r>
      <w:r>
        <w:rPr/>
        <w:t>to</w:t>
      </w:r>
      <w:r>
        <w:rPr>
          <w:spacing w:val="-5"/>
        </w:rPr>
        <w:t> </w:t>
      </w:r>
      <w:r>
        <w:rPr/>
        <w:t>develop</w:t>
      </w:r>
      <w:r>
        <w:rPr>
          <w:spacing w:val="-6"/>
        </w:rPr>
        <w:t> </w:t>
      </w:r>
      <w:r>
        <w:rPr/>
        <w:t>if</w:t>
      </w:r>
      <w:r>
        <w:rPr>
          <w:spacing w:val="-2"/>
        </w:rPr>
        <w:t> </w:t>
      </w:r>
      <w:r>
        <w:rPr/>
        <w:t>monetary</w:t>
      </w:r>
      <w:r>
        <w:rPr>
          <w:spacing w:val="-5"/>
        </w:rPr>
        <w:t> </w:t>
      </w:r>
      <w:r>
        <w:rPr/>
        <w:t>arrangements</w:t>
      </w:r>
      <w:r>
        <w:rPr>
          <w:spacing w:val="-5"/>
        </w:rPr>
        <w:t> </w:t>
      </w:r>
      <w:r>
        <w:rPr/>
        <w:t>were</w:t>
      </w:r>
      <w:r>
        <w:rPr>
          <w:spacing w:val="-5"/>
        </w:rPr>
        <w:t> </w:t>
      </w:r>
      <w:r>
        <w:rPr/>
        <w:t>to</w:t>
      </w:r>
      <w:r>
        <w:rPr>
          <w:spacing w:val="-5"/>
        </w:rPr>
        <w:t> </w:t>
      </w:r>
      <w:r>
        <w:rPr/>
        <w:t>change.</w:t>
      </w:r>
    </w:p>
    <w:p>
      <w:pPr>
        <w:pStyle w:val="BodyText"/>
        <w:spacing w:before="6"/>
        <w:rPr>
          <w:sz w:val="26"/>
        </w:rPr>
      </w:pPr>
      <w:r>
        <w:rPr/>
        <w:pict>
          <v:shape style="position:absolute;margin-left:79.320pt;margin-top:17.455538pt;width:135.5pt;height:.1pt;mso-position-horizontal-relative:page;mso-position-vertical-relative:paragraph;z-index:-251655168;mso-wrap-distance-left:0;mso-wrap-distance-right:0" coordorigin="1586,349" coordsize="2710,0" path="m1586,349l4296,349e" filled="false" stroked="true" strokeweight=".42pt" strokecolor="#000000">
            <v:path arrowok="t"/>
            <v:stroke dashstyle="solid"/>
            <w10:wrap type="topAndBottom"/>
          </v:shape>
        </w:pict>
      </w:r>
    </w:p>
    <w:p>
      <w:pPr>
        <w:spacing w:before="26"/>
        <w:ind w:left="226" w:right="127" w:firstLine="0"/>
        <w:jc w:val="both"/>
        <w:rPr>
          <w:sz w:val="15"/>
        </w:rPr>
      </w:pPr>
      <w:r>
        <w:rPr>
          <w:position w:val="8"/>
          <w:sz w:val="9"/>
        </w:rPr>
        <w:t>10 </w:t>
      </w:r>
      <w:r>
        <w:rPr>
          <w:sz w:val="15"/>
        </w:rPr>
        <w:t>The five tests focused on the degree of convergence between the UK and the rest of Europe, the degree of flexibility to adjust without moves in the exchange rate, and on whether joining would promote investment, financial services, and growth, stability and employment (HM Treasury 2003).</w:t>
      </w:r>
    </w:p>
    <w:p>
      <w:pPr>
        <w:spacing w:line="172" w:lineRule="exact" w:before="4"/>
        <w:ind w:left="226" w:right="0" w:firstLine="0"/>
        <w:jc w:val="left"/>
        <w:rPr>
          <w:sz w:val="15"/>
        </w:rPr>
      </w:pPr>
      <w:r>
        <w:rPr>
          <w:position w:val="8"/>
          <w:sz w:val="9"/>
        </w:rPr>
        <w:t>11 </w:t>
      </w:r>
      <w:r>
        <w:rPr>
          <w:sz w:val="15"/>
        </w:rPr>
        <w:t>The classic early contribution on this point was made by McKinnon (1963), who argued that the more open the economy, the more flexible would be domestic prices and wages so that movements in the exchange rate would have little impact on competitiveness, and</w:t>
      </w:r>
    </w:p>
    <w:p>
      <w:pPr>
        <w:spacing w:line="160" w:lineRule="exact" w:before="0"/>
        <w:ind w:left="226" w:right="0" w:firstLine="0"/>
        <w:jc w:val="left"/>
        <w:rPr>
          <w:sz w:val="15"/>
        </w:rPr>
      </w:pPr>
      <w:r>
        <w:rPr>
          <w:sz w:val="15"/>
        </w:rPr>
        <w:t>would be less effective as a stabiliser. In that case moving to a fixed exchange rate would be less costly.</w:t>
      </w:r>
    </w:p>
    <w:p>
      <w:pPr>
        <w:spacing w:line="181" w:lineRule="exact" w:before="0"/>
        <w:ind w:left="226" w:right="0" w:firstLine="0"/>
        <w:jc w:val="left"/>
        <w:rPr>
          <w:sz w:val="15"/>
        </w:rPr>
      </w:pPr>
      <w:r>
        <w:rPr>
          <w:position w:val="8"/>
          <w:sz w:val="9"/>
        </w:rPr>
        <w:t>12 </w:t>
      </w:r>
      <w:r>
        <w:rPr>
          <w:sz w:val="15"/>
        </w:rPr>
        <w:t>Mundell (1961).</w:t>
      </w:r>
    </w:p>
    <w:p>
      <w:pPr>
        <w:spacing w:line="247" w:lineRule="auto" w:before="0"/>
        <w:ind w:left="226" w:right="111" w:firstLine="0"/>
        <w:jc w:val="left"/>
        <w:rPr>
          <w:sz w:val="15"/>
        </w:rPr>
      </w:pPr>
      <w:r>
        <w:rPr>
          <w:rFonts w:ascii="Times New Roman"/>
          <w:position w:val="6"/>
          <w:sz w:val="9"/>
        </w:rPr>
        <w:t>13 </w:t>
      </w:r>
      <w:r>
        <w:rPr>
          <w:sz w:val="15"/>
        </w:rPr>
        <w:t>Some, including Bean (1992), have expressed scepticism that factors of production could in fact move over a shorter timescale than that over which prices and wages adjust.</w:t>
      </w:r>
    </w:p>
    <w:p>
      <w:pPr>
        <w:spacing w:line="169" w:lineRule="exact" w:before="0"/>
        <w:ind w:left="226" w:right="0" w:firstLine="0"/>
        <w:jc w:val="left"/>
        <w:rPr>
          <w:sz w:val="15"/>
        </w:rPr>
      </w:pPr>
      <w:r>
        <w:rPr>
          <w:position w:val="8"/>
          <w:sz w:val="9"/>
        </w:rPr>
        <w:t>14 </w:t>
      </w:r>
      <w:r>
        <w:rPr>
          <w:sz w:val="15"/>
        </w:rPr>
        <w:t>This is consistent with evidence that labour moves less in Europe in response to regional shocks than is the case in the US – see</w:t>
      </w:r>
    </w:p>
    <w:p>
      <w:pPr>
        <w:spacing w:before="0"/>
        <w:ind w:left="226" w:right="0" w:firstLine="0"/>
        <w:jc w:val="left"/>
        <w:rPr>
          <w:sz w:val="15"/>
        </w:rPr>
      </w:pPr>
      <w:r>
        <w:rPr>
          <w:sz w:val="15"/>
        </w:rPr>
        <w:t>Blanchard and Katz (1992) for the US, and Decressin and Fatas (1995) who apply the same methodology to Europe. The latter find that participation reacts by more to a labour demand shock, and migration by less in Europe than the US.</w:t>
      </w:r>
    </w:p>
    <w:p>
      <w:pPr>
        <w:spacing w:line="174" w:lineRule="exact" w:before="0"/>
        <w:ind w:left="226" w:right="0" w:firstLine="0"/>
        <w:jc w:val="left"/>
        <w:rPr>
          <w:sz w:val="15"/>
        </w:rPr>
      </w:pPr>
      <w:r>
        <w:rPr>
          <w:position w:val="8"/>
          <w:sz w:val="9"/>
        </w:rPr>
        <w:t>15 </w:t>
      </w:r>
      <w:r>
        <w:rPr>
          <w:sz w:val="15"/>
        </w:rPr>
        <w:t>Office for National Statistics, 2011 Census.</w:t>
      </w:r>
    </w:p>
    <w:p>
      <w:pPr>
        <w:spacing w:after="0" w:line="174" w:lineRule="exact"/>
        <w:jc w:val="left"/>
        <w:rPr>
          <w:sz w:val="15"/>
        </w:rPr>
        <w:sectPr>
          <w:footerReference w:type="default" r:id="rId10"/>
          <w:pgSz w:w="12240" w:h="15840"/>
          <w:pgMar w:footer="1240" w:header="0" w:top="1280" w:bottom="1440" w:left="1360" w:right="1480"/>
        </w:sectPr>
      </w:pPr>
    </w:p>
    <w:p>
      <w:pPr>
        <w:pStyle w:val="BodyText"/>
        <w:spacing w:line="357" w:lineRule="auto" w:before="72"/>
        <w:ind w:left="226" w:right="111"/>
      </w:pPr>
      <w:r>
        <w:rPr/>
        <w:t>It is not just an integrated labour market that helps adjustment within a currency union. Openness to trade and</w:t>
      </w:r>
      <w:r>
        <w:rPr>
          <w:spacing w:val="-8"/>
        </w:rPr>
        <w:t> </w:t>
      </w:r>
      <w:r>
        <w:rPr/>
        <w:t>free</w:t>
      </w:r>
      <w:r>
        <w:rPr>
          <w:spacing w:val="-8"/>
        </w:rPr>
        <w:t> </w:t>
      </w:r>
      <w:r>
        <w:rPr/>
        <w:t>movement</w:t>
      </w:r>
      <w:r>
        <w:rPr>
          <w:spacing w:val="-8"/>
        </w:rPr>
        <w:t> </w:t>
      </w:r>
      <w:r>
        <w:rPr/>
        <w:t>of</w:t>
      </w:r>
      <w:r>
        <w:rPr>
          <w:spacing w:val="-7"/>
        </w:rPr>
        <w:t> </w:t>
      </w:r>
      <w:r>
        <w:rPr/>
        <w:t>goods</w:t>
      </w:r>
      <w:r>
        <w:rPr>
          <w:spacing w:val="-7"/>
        </w:rPr>
        <w:t> </w:t>
      </w:r>
      <w:r>
        <w:rPr/>
        <w:t>also</w:t>
      </w:r>
      <w:r>
        <w:rPr>
          <w:spacing w:val="-8"/>
        </w:rPr>
        <w:t> </w:t>
      </w:r>
      <w:r>
        <w:rPr/>
        <w:t>assists</w:t>
      </w:r>
      <w:r>
        <w:rPr>
          <w:spacing w:val="-7"/>
        </w:rPr>
        <w:t> </w:t>
      </w:r>
      <w:r>
        <w:rPr/>
        <w:t>in</w:t>
      </w:r>
      <w:r>
        <w:rPr>
          <w:spacing w:val="-7"/>
        </w:rPr>
        <w:t> </w:t>
      </w:r>
      <w:r>
        <w:rPr/>
        <w:t>diluting</w:t>
      </w:r>
      <w:r>
        <w:rPr>
          <w:spacing w:val="-8"/>
        </w:rPr>
        <w:t> </w:t>
      </w:r>
      <w:r>
        <w:rPr/>
        <w:t>the</w:t>
      </w:r>
      <w:r>
        <w:rPr>
          <w:spacing w:val="-8"/>
        </w:rPr>
        <w:t> </w:t>
      </w:r>
      <w:r>
        <w:rPr/>
        <w:t>effect</w:t>
      </w:r>
      <w:r>
        <w:rPr>
          <w:spacing w:val="-7"/>
        </w:rPr>
        <w:t> </w:t>
      </w:r>
      <w:r>
        <w:rPr/>
        <w:t>of</w:t>
      </w:r>
      <w:r>
        <w:rPr>
          <w:spacing w:val="-8"/>
        </w:rPr>
        <w:t> </w:t>
      </w:r>
      <w:r>
        <w:rPr/>
        <w:t>shocks</w:t>
      </w:r>
      <w:r>
        <w:rPr>
          <w:spacing w:val="-8"/>
        </w:rPr>
        <w:t> </w:t>
      </w:r>
      <w:r>
        <w:rPr/>
        <w:t>by</w:t>
      </w:r>
      <w:r>
        <w:rPr>
          <w:spacing w:val="-8"/>
        </w:rPr>
        <w:t> </w:t>
      </w:r>
      <w:r>
        <w:rPr/>
        <w:t>spreading</w:t>
      </w:r>
      <w:r>
        <w:rPr>
          <w:spacing w:val="-7"/>
        </w:rPr>
        <w:t> </w:t>
      </w:r>
      <w:r>
        <w:rPr/>
        <w:t>them</w:t>
      </w:r>
      <w:r>
        <w:rPr>
          <w:spacing w:val="-7"/>
        </w:rPr>
        <w:t> </w:t>
      </w:r>
      <w:r>
        <w:rPr/>
        <w:t>across</w:t>
      </w:r>
      <w:r>
        <w:rPr>
          <w:spacing w:val="-8"/>
        </w:rPr>
        <w:t> </w:t>
      </w:r>
      <w:r>
        <w:rPr/>
        <w:t>the</w:t>
      </w:r>
      <w:r>
        <w:rPr>
          <w:spacing w:val="-7"/>
        </w:rPr>
        <w:t> </w:t>
      </w:r>
      <w:r>
        <w:rPr/>
        <w:t>union. If one part of the union imports a large share of what it consumes from other parts, changes in demand will be quickly transmitted. This helps to align economic cycles and makes a common monetary policy more appropriate. </w:t>
      </w:r>
      <w:r>
        <w:rPr>
          <w:vertAlign w:val="superscript"/>
        </w:rPr>
        <w:t>16,17</w:t>
      </w:r>
    </w:p>
    <w:p>
      <w:pPr>
        <w:pStyle w:val="BodyText"/>
        <w:spacing w:before="9"/>
        <w:rPr>
          <w:sz w:val="27"/>
        </w:rPr>
      </w:pPr>
    </w:p>
    <w:p>
      <w:pPr>
        <w:pStyle w:val="BodyText"/>
        <w:spacing w:line="357" w:lineRule="auto"/>
        <w:ind w:left="226" w:right="186"/>
      </w:pPr>
      <w:r>
        <w:rPr/>
        <w:t>Scotland and the rest of the UK are highly integrated. 70% of Scottish exports are destined for, and 74% of imports into Scotland come from, the rest of the UK (table 3). A word of caution applies here. There is a body of evidence that national borders can influence trade flows, even between otherwise highly integrated economies.</w:t>
      </w:r>
      <w:r>
        <w:rPr>
          <w:vertAlign w:val="superscript"/>
        </w:rPr>
        <w:t>18</w:t>
      </w:r>
      <w:r>
        <w:rPr>
          <w:vertAlign w:val="baseline"/>
        </w:rPr>
        <w:t> The high degree of integration between Scotland and the rest of the UK may in part depend on their being part of the same sovereign nation.</w:t>
      </w:r>
    </w:p>
    <w:p>
      <w:pPr>
        <w:pStyle w:val="BodyText"/>
        <w:spacing w:before="9"/>
        <w:rPr>
          <w:sz w:val="27"/>
        </w:rPr>
      </w:pPr>
    </w:p>
    <w:p>
      <w:pPr>
        <w:pStyle w:val="BodyText"/>
        <w:spacing w:line="357" w:lineRule="auto"/>
        <w:ind w:left="226"/>
      </w:pPr>
      <w:r>
        <w:rPr/>
        <w:t>Mobility of capital can also promote necessary adjustment to shocks. Moreover, if capital in one part of a union is owned by those in other parts, the effect of a given shock is diluted across the union. Simply put, risks and rewards are shared. Similarly, the ability to borrow from other parts of the currency union in deep and</w:t>
      </w:r>
      <w:r>
        <w:rPr>
          <w:spacing w:val="-8"/>
        </w:rPr>
        <w:t> </w:t>
      </w:r>
      <w:r>
        <w:rPr/>
        <w:t>liquid</w:t>
      </w:r>
      <w:r>
        <w:rPr>
          <w:spacing w:val="-8"/>
        </w:rPr>
        <w:t> </w:t>
      </w:r>
      <w:r>
        <w:rPr/>
        <w:t>cross-union</w:t>
      </w:r>
      <w:r>
        <w:rPr>
          <w:spacing w:val="-9"/>
        </w:rPr>
        <w:t> </w:t>
      </w:r>
      <w:r>
        <w:rPr/>
        <w:t>credit</w:t>
      </w:r>
      <w:r>
        <w:rPr>
          <w:spacing w:val="-8"/>
        </w:rPr>
        <w:t> </w:t>
      </w:r>
      <w:r>
        <w:rPr/>
        <w:t>markets</w:t>
      </w:r>
      <w:r>
        <w:rPr>
          <w:spacing w:val="-7"/>
        </w:rPr>
        <w:t> </w:t>
      </w:r>
      <w:r>
        <w:rPr/>
        <w:t>or</w:t>
      </w:r>
      <w:r>
        <w:rPr>
          <w:spacing w:val="-8"/>
        </w:rPr>
        <w:t> </w:t>
      </w:r>
      <w:r>
        <w:rPr/>
        <w:t>integrated</w:t>
      </w:r>
      <w:r>
        <w:rPr>
          <w:spacing w:val="-8"/>
        </w:rPr>
        <w:t> </w:t>
      </w:r>
      <w:r>
        <w:rPr/>
        <w:t>banking</w:t>
      </w:r>
      <w:r>
        <w:rPr>
          <w:spacing w:val="-9"/>
        </w:rPr>
        <w:t> </w:t>
      </w:r>
      <w:r>
        <w:rPr/>
        <w:t>systems</w:t>
      </w:r>
      <w:r>
        <w:rPr>
          <w:spacing w:val="-7"/>
        </w:rPr>
        <w:t> </w:t>
      </w:r>
      <w:r>
        <w:rPr/>
        <w:t>allows</w:t>
      </w:r>
      <w:r>
        <w:rPr>
          <w:spacing w:val="-7"/>
        </w:rPr>
        <w:t> </w:t>
      </w:r>
      <w:r>
        <w:rPr/>
        <w:t>one</w:t>
      </w:r>
      <w:r>
        <w:rPr>
          <w:spacing w:val="-8"/>
        </w:rPr>
        <w:t> </w:t>
      </w:r>
      <w:r>
        <w:rPr/>
        <w:t>part</w:t>
      </w:r>
      <w:r>
        <w:rPr>
          <w:spacing w:val="-8"/>
        </w:rPr>
        <w:t> </w:t>
      </w:r>
      <w:r>
        <w:rPr/>
        <w:t>of</w:t>
      </w:r>
      <w:r>
        <w:rPr>
          <w:spacing w:val="-8"/>
        </w:rPr>
        <w:t> </w:t>
      </w:r>
      <w:r>
        <w:rPr/>
        <w:t>a</w:t>
      </w:r>
      <w:r>
        <w:rPr>
          <w:spacing w:val="-8"/>
        </w:rPr>
        <w:t> </w:t>
      </w:r>
      <w:r>
        <w:rPr/>
        <w:t>union</w:t>
      </w:r>
      <w:r>
        <w:rPr>
          <w:spacing w:val="-9"/>
        </w:rPr>
        <w:t> </w:t>
      </w:r>
      <w:r>
        <w:rPr/>
        <w:t>to</w:t>
      </w:r>
      <w:r>
        <w:rPr>
          <w:spacing w:val="-9"/>
        </w:rPr>
        <w:t> </w:t>
      </w:r>
      <w:r>
        <w:rPr/>
        <w:t>smooth</w:t>
      </w:r>
      <w:r>
        <w:rPr>
          <w:spacing w:val="-9"/>
        </w:rPr>
        <w:t> </w:t>
      </w:r>
      <w:r>
        <w:rPr/>
        <w:t>out temporary falls in</w:t>
      </w:r>
      <w:r>
        <w:rPr>
          <w:spacing w:val="-2"/>
        </w:rPr>
        <w:t> </w:t>
      </w:r>
      <w:r>
        <w:rPr/>
        <w:t>incomes.</w:t>
      </w:r>
      <w:r>
        <w:rPr>
          <w:vertAlign w:val="superscript"/>
        </w:rPr>
        <w:t>19</w:t>
      </w:r>
    </w:p>
    <w:p>
      <w:pPr>
        <w:pStyle w:val="BodyText"/>
        <w:spacing w:before="10"/>
        <w:rPr>
          <w:sz w:val="27"/>
        </w:rPr>
      </w:pPr>
    </w:p>
    <w:p>
      <w:pPr>
        <w:pStyle w:val="BodyText"/>
        <w:spacing w:line="357" w:lineRule="auto"/>
        <w:ind w:left="226"/>
      </w:pPr>
      <w:r>
        <w:rPr/>
        <w:t>However, free movement of capital can be a mixed blessing. If the funds provided by one part of a union to another can be withdrawn easily, these outflows can – if the right structures are not in place – undermine financial and economic stability of all members.</w:t>
      </w:r>
    </w:p>
    <w:p>
      <w:pPr>
        <w:pStyle w:val="BodyText"/>
        <w:spacing w:before="10"/>
        <w:rPr>
          <w:sz w:val="27"/>
        </w:rPr>
      </w:pPr>
    </w:p>
    <w:p>
      <w:pPr>
        <w:pStyle w:val="BodyText"/>
        <w:ind w:left="226"/>
      </w:pPr>
      <w:r>
        <w:rPr/>
        <w:t>This brings me to the second feature of a successful currency union – banking union.</w:t>
      </w:r>
    </w:p>
    <w:p>
      <w:pPr>
        <w:pStyle w:val="BodyText"/>
        <w:rPr>
          <w:sz w:val="20"/>
        </w:rPr>
      </w:pPr>
    </w:p>
    <w:p>
      <w:pPr>
        <w:pStyle w:val="BodyText"/>
        <w:spacing w:before="4"/>
        <w:rPr>
          <w:sz w:val="17"/>
        </w:rPr>
      </w:pPr>
    </w:p>
    <w:p>
      <w:pPr>
        <w:pStyle w:val="Heading1"/>
      </w:pPr>
      <w:r>
        <w:rPr/>
        <w:t>Banking union</w:t>
      </w:r>
    </w:p>
    <w:p>
      <w:pPr>
        <w:pStyle w:val="BodyText"/>
        <w:rPr>
          <w:b/>
          <w:sz w:val="20"/>
        </w:rPr>
      </w:pPr>
    </w:p>
    <w:p>
      <w:pPr>
        <w:pStyle w:val="BodyText"/>
        <w:spacing w:before="6"/>
        <w:rPr>
          <w:b/>
          <w:sz w:val="17"/>
        </w:rPr>
      </w:pPr>
    </w:p>
    <w:p>
      <w:pPr>
        <w:pStyle w:val="BodyText"/>
        <w:spacing w:line="357" w:lineRule="auto"/>
        <w:ind w:left="226"/>
      </w:pPr>
      <w:r>
        <w:rPr/>
        <w:t>Effective</w:t>
      </w:r>
      <w:r>
        <w:rPr>
          <w:spacing w:val="-10"/>
        </w:rPr>
        <w:t> </w:t>
      </w:r>
      <w:r>
        <w:rPr/>
        <w:t>currency</w:t>
      </w:r>
      <w:r>
        <w:rPr>
          <w:spacing w:val="-9"/>
        </w:rPr>
        <w:t> </w:t>
      </w:r>
      <w:r>
        <w:rPr/>
        <w:t>unions</w:t>
      </w:r>
      <w:r>
        <w:rPr>
          <w:spacing w:val="-8"/>
        </w:rPr>
        <w:t> </w:t>
      </w:r>
      <w:r>
        <w:rPr/>
        <w:t>need</w:t>
      </w:r>
      <w:r>
        <w:rPr>
          <w:spacing w:val="-10"/>
        </w:rPr>
        <w:t> </w:t>
      </w:r>
      <w:r>
        <w:rPr/>
        <w:t>a</w:t>
      </w:r>
      <w:r>
        <w:rPr>
          <w:spacing w:val="-9"/>
        </w:rPr>
        <w:t> </w:t>
      </w:r>
      <w:r>
        <w:rPr/>
        <w:t>wide</w:t>
      </w:r>
      <w:r>
        <w:rPr>
          <w:spacing w:val="-10"/>
        </w:rPr>
        <w:t> </w:t>
      </w:r>
      <w:r>
        <w:rPr/>
        <w:t>range</w:t>
      </w:r>
      <w:r>
        <w:rPr>
          <w:spacing w:val="-10"/>
        </w:rPr>
        <w:t> </w:t>
      </w:r>
      <w:r>
        <w:rPr/>
        <w:t>of</w:t>
      </w:r>
      <w:r>
        <w:rPr>
          <w:spacing w:val="-9"/>
        </w:rPr>
        <w:t> </w:t>
      </w:r>
      <w:r>
        <w:rPr/>
        <w:t>institutions</w:t>
      </w:r>
      <w:r>
        <w:rPr>
          <w:spacing w:val="-9"/>
        </w:rPr>
        <w:t> </w:t>
      </w:r>
      <w:r>
        <w:rPr/>
        <w:t>to</w:t>
      </w:r>
      <w:r>
        <w:rPr>
          <w:spacing w:val="-9"/>
        </w:rPr>
        <w:t> </w:t>
      </w:r>
      <w:r>
        <w:rPr/>
        <w:t>support</w:t>
      </w:r>
      <w:r>
        <w:rPr>
          <w:spacing w:val="-9"/>
        </w:rPr>
        <w:t> </w:t>
      </w:r>
      <w:r>
        <w:rPr/>
        <w:t>an</w:t>
      </w:r>
      <w:r>
        <w:rPr>
          <w:spacing w:val="-10"/>
        </w:rPr>
        <w:t> </w:t>
      </w:r>
      <w:r>
        <w:rPr/>
        <w:t>integrated</w:t>
      </w:r>
      <w:r>
        <w:rPr>
          <w:spacing w:val="-9"/>
        </w:rPr>
        <w:t> </w:t>
      </w:r>
      <w:r>
        <w:rPr/>
        <w:t>and</w:t>
      </w:r>
      <w:r>
        <w:rPr>
          <w:spacing w:val="-9"/>
        </w:rPr>
        <w:t> </w:t>
      </w:r>
      <w:r>
        <w:rPr/>
        <w:t>efficient</w:t>
      </w:r>
      <w:r>
        <w:rPr>
          <w:spacing w:val="-10"/>
        </w:rPr>
        <w:t> </w:t>
      </w:r>
      <w:r>
        <w:rPr/>
        <w:t>financial sector. These are often referred to as a “banking union” and</w:t>
      </w:r>
      <w:r>
        <w:rPr>
          <w:spacing w:val="-25"/>
        </w:rPr>
        <w:t> </w:t>
      </w:r>
      <w:r>
        <w:rPr/>
        <w:t>include:</w:t>
      </w:r>
    </w:p>
    <w:p>
      <w:pPr>
        <w:pStyle w:val="BodyText"/>
        <w:spacing w:before="1"/>
        <w:rPr>
          <w:sz w:val="21"/>
        </w:rPr>
      </w:pPr>
      <w:r>
        <w:rPr/>
        <w:pict>
          <v:shape style="position:absolute;margin-left:79.320pt;margin-top:14.373384pt;width:135.5pt;height:.1pt;mso-position-horizontal-relative:page;mso-position-vertical-relative:paragraph;z-index:-251654144;mso-wrap-distance-left:0;mso-wrap-distance-right:0" coordorigin="1586,287" coordsize="2710,0" path="m1586,287l4296,287e" filled="false" stroked="true" strokeweight=".48001pt" strokecolor="#000000">
            <v:path arrowok="t"/>
            <v:stroke dashstyle="solid"/>
            <w10:wrap type="topAndBottom"/>
          </v:shape>
        </w:pict>
      </w:r>
    </w:p>
    <w:p>
      <w:pPr>
        <w:spacing w:before="27"/>
        <w:ind w:left="226" w:right="222" w:firstLine="0"/>
        <w:jc w:val="left"/>
        <w:rPr>
          <w:sz w:val="15"/>
        </w:rPr>
      </w:pPr>
      <w:r>
        <w:rPr>
          <w:position w:val="8"/>
          <w:sz w:val="9"/>
        </w:rPr>
        <w:t>16 </w:t>
      </w:r>
      <w:r>
        <w:rPr>
          <w:sz w:val="15"/>
        </w:rPr>
        <w:t>Frankel and Rose (1998) found that countries with closer trade links tend to have more tightly correlated business cycles. Since joining a currency area promotes trade integration, it also is also likely to help align international business cycles. That means one of the key optimum currency area criteria is endogenous to the decision to join. Rose’s (2009) more recent meta-analysis also finds a significant effect of trade on the synchronisation of business cycles.</w:t>
      </w:r>
    </w:p>
    <w:p>
      <w:pPr>
        <w:spacing w:before="2"/>
        <w:ind w:left="226" w:right="177" w:firstLine="0"/>
        <w:jc w:val="left"/>
        <w:rPr>
          <w:sz w:val="15"/>
        </w:rPr>
      </w:pPr>
      <w:r>
        <w:rPr>
          <w:sz w:val="15"/>
        </w:rPr>
        <w:t>De Grauwe (2000) provides a discussion of how closer integration may affect the likelihood that countries experience asymmetric shocks. On the one hand closer trade links could result in greater specialisation, leaving currency union members more prone to asymmetric shocks. On the other, it could result in more intra-industry trade, increasing the likelihood that countries will experience similar shocks, and thereby helping to align business cycles.</w:t>
      </w:r>
    </w:p>
    <w:p>
      <w:pPr>
        <w:spacing w:line="174" w:lineRule="exact" w:before="0"/>
        <w:ind w:left="226" w:right="0" w:firstLine="0"/>
        <w:jc w:val="left"/>
        <w:rPr>
          <w:sz w:val="15"/>
        </w:rPr>
      </w:pPr>
      <w:r>
        <w:rPr>
          <w:position w:val="8"/>
          <w:sz w:val="9"/>
        </w:rPr>
        <w:t>17 </w:t>
      </w:r>
      <w:r>
        <w:rPr>
          <w:sz w:val="15"/>
        </w:rPr>
        <w:t>A high degree of openness also means that the adjustment required to boost net exports is somewhat lower. A much weaker</w:t>
      </w:r>
    </w:p>
    <w:p>
      <w:pPr>
        <w:spacing w:before="2"/>
        <w:ind w:left="226" w:right="177" w:firstLine="0"/>
        <w:jc w:val="left"/>
        <w:rPr>
          <w:sz w:val="15"/>
        </w:rPr>
      </w:pPr>
      <w:r>
        <w:rPr>
          <w:sz w:val="15"/>
        </w:rPr>
        <w:t>adjustment in prices and wages is necessary to raise net exports by a given share of GDP if both exports and imports are a large share of GDP than if they are a small share, Krugman (1992). However Adrian and Gros (2004) observe that open economies are correspondingly more vulnerable to external shocks.</w:t>
      </w:r>
    </w:p>
    <w:p>
      <w:pPr>
        <w:spacing w:line="172" w:lineRule="exact" w:before="5"/>
        <w:ind w:left="226" w:right="177" w:firstLine="0"/>
        <w:jc w:val="left"/>
        <w:rPr>
          <w:sz w:val="15"/>
        </w:rPr>
      </w:pPr>
      <w:r>
        <w:rPr>
          <w:position w:val="8"/>
          <w:sz w:val="9"/>
        </w:rPr>
        <w:t>18 </w:t>
      </w:r>
      <w:r>
        <w:rPr>
          <w:sz w:val="15"/>
        </w:rPr>
        <w:t>Borders seem to matter. Trade between countries tends to be much more limited than trade within countries, as shown for Canada and the US by McCallum (1995). There is also evidence for a border effect for financial integration – there is more risk sharing through financial markets within countries than between countries (see e.g. Crucini 1999). Rose and van Wincoop (2001) assess to what extent</w:t>
      </w:r>
    </w:p>
    <w:p>
      <w:pPr>
        <w:spacing w:before="1"/>
        <w:ind w:left="226" w:right="0" w:firstLine="0"/>
        <w:jc w:val="left"/>
        <w:rPr>
          <w:sz w:val="15"/>
        </w:rPr>
      </w:pPr>
      <w:r>
        <w:rPr>
          <w:sz w:val="15"/>
        </w:rPr>
        <w:t>national currencies are a barrier to trade, and find that trade barriers associated with national borders are halved when countries join a currency union.</w:t>
      </w:r>
    </w:p>
    <w:p>
      <w:pPr>
        <w:spacing w:line="174" w:lineRule="exact" w:before="2"/>
        <w:ind w:left="226" w:right="0" w:firstLine="0"/>
        <w:jc w:val="left"/>
        <w:rPr>
          <w:sz w:val="15"/>
        </w:rPr>
      </w:pPr>
      <w:r>
        <w:rPr>
          <w:position w:val="8"/>
          <w:sz w:val="9"/>
        </w:rPr>
        <w:t>19 </w:t>
      </w:r>
      <w:r>
        <w:rPr>
          <w:sz w:val="15"/>
        </w:rPr>
        <w:t>Mundell (1973). Asdrubali et al (1996) estimate that for the US risk-sharing in private markets is quantitatively important in stabilising output at the state level.</w:t>
      </w:r>
    </w:p>
    <w:p>
      <w:pPr>
        <w:spacing w:after="0" w:line="174" w:lineRule="exact"/>
        <w:jc w:val="left"/>
        <w:rPr>
          <w:sz w:val="15"/>
        </w:rPr>
        <w:sectPr>
          <w:footerReference w:type="default" r:id="rId11"/>
          <w:pgSz w:w="12240" w:h="15840"/>
          <w:pgMar w:footer="1240" w:header="0" w:top="1280" w:bottom="1440" w:left="1360" w:right="1480"/>
        </w:sectPr>
      </w:pPr>
    </w:p>
    <w:p>
      <w:pPr>
        <w:pStyle w:val="ListParagraph"/>
        <w:numPr>
          <w:ilvl w:val="0"/>
          <w:numId w:val="1"/>
        </w:numPr>
        <w:tabs>
          <w:tab w:pos="904" w:val="left" w:leader="none"/>
          <w:tab w:pos="905" w:val="left" w:leader="none"/>
        </w:tabs>
        <w:spacing w:line="240" w:lineRule="auto" w:before="71" w:after="0"/>
        <w:ind w:left="904" w:right="0" w:hanging="341"/>
        <w:jc w:val="left"/>
        <w:rPr>
          <w:sz w:val="19"/>
        </w:rPr>
      </w:pPr>
      <w:r>
        <w:rPr>
          <w:sz w:val="19"/>
        </w:rPr>
        <w:t>Common supervisory</w:t>
      </w:r>
      <w:r>
        <w:rPr>
          <w:spacing w:val="-2"/>
          <w:sz w:val="19"/>
        </w:rPr>
        <w:t> </w:t>
      </w:r>
      <w:r>
        <w:rPr>
          <w:sz w:val="19"/>
        </w:rPr>
        <w:t>standards,</w:t>
      </w:r>
    </w:p>
    <w:p>
      <w:pPr>
        <w:pStyle w:val="ListParagraph"/>
        <w:numPr>
          <w:ilvl w:val="0"/>
          <w:numId w:val="1"/>
        </w:numPr>
        <w:tabs>
          <w:tab w:pos="904" w:val="left" w:leader="none"/>
          <w:tab w:pos="905" w:val="left" w:leader="none"/>
        </w:tabs>
        <w:spacing w:line="240" w:lineRule="auto" w:before="105" w:after="0"/>
        <w:ind w:left="904" w:right="0" w:hanging="341"/>
        <w:jc w:val="left"/>
        <w:rPr>
          <w:sz w:val="19"/>
        </w:rPr>
      </w:pPr>
      <w:r>
        <w:rPr>
          <w:sz w:val="19"/>
        </w:rPr>
        <w:t>Access to central bank liquidity and lender of last resort</w:t>
      </w:r>
      <w:r>
        <w:rPr>
          <w:spacing w:val="-9"/>
          <w:sz w:val="19"/>
        </w:rPr>
        <w:t> </w:t>
      </w:r>
      <w:r>
        <w:rPr>
          <w:sz w:val="19"/>
        </w:rPr>
        <w:t>facilities,</w:t>
      </w:r>
    </w:p>
    <w:p>
      <w:pPr>
        <w:pStyle w:val="ListParagraph"/>
        <w:numPr>
          <w:ilvl w:val="0"/>
          <w:numId w:val="1"/>
        </w:numPr>
        <w:tabs>
          <w:tab w:pos="904" w:val="left" w:leader="none"/>
          <w:tab w:pos="905" w:val="left" w:leader="none"/>
        </w:tabs>
        <w:spacing w:line="240" w:lineRule="auto" w:before="104" w:after="0"/>
        <w:ind w:left="904" w:right="0" w:hanging="341"/>
        <w:jc w:val="left"/>
        <w:rPr>
          <w:sz w:val="19"/>
        </w:rPr>
      </w:pPr>
      <w:r>
        <w:rPr>
          <w:sz w:val="19"/>
        </w:rPr>
        <w:t>Common</w:t>
      </w:r>
      <w:r>
        <w:rPr>
          <w:spacing w:val="-17"/>
          <w:sz w:val="19"/>
        </w:rPr>
        <w:t> </w:t>
      </w:r>
      <w:r>
        <w:rPr>
          <w:sz w:val="19"/>
        </w:rPr>
        <w:t>resolution</w:t>
      </w:r>
      <w:r>
        <w:rPr>
          <w:spacing w:val="-18"/>
          <w:sz w:val="19"/>
        </w:rPr>
        <w:t> </w:t>
      </w:r>
      <w:r>
        <w:rPr>
          <w:sz w:val="19"/>
        </w:rPr>
        <w:t>mechanisms,</w:t>
      </w:r>
      <w:r>
        <w:rPr>
          <w:spacing w:val="-16"/>
          <w:sz w:val="19"/>
        </w:rPr>
        <w:t> </w:t>
      </w:r>
      <w:r>
        <w:rPr>
          <w:sz w:val="19"/>
        </w:rPr>
        <w:t>and</w:t>
      </w:r>
    </w:p>
    <w:p>
      <w:pPr>
        <w:pStyle w:val="ListParagraph"/>
        <w:numPr>
          <w:ilvl w:val="0"/>
          <w:numId w:val="1"/>
        </w:numPr>
        <w:tabs>
          <w:tab w:pos="904" w:val="left" w:leader="none"/>
          <w:tab w:pos="905" w:val="left" w:leader="none"/>
        </w:tabs>
        <w:spacing w:line="240" w:lineRule="auto" w:before="104" w:after="0"/>
        <w:ind w:left="904" w:right="0" w:hanging="341"/>
        <w:jc w:val="left"/>
        <w:rPr>
          <w:sz w:val="19"/>
        </w:rPr>
      </w:pPr>
      <w:r>
        <w:rPr>
          <w:sz w:val="19"/>
        </w:rPr>
        <w:t>A</w:t>
      </w:r>
      <w:r>
        <w:rPr>
          <w:spacing w:val="-13"/>
          <w:sz w:val="19"/>
        </w:rPr>
        <w:t> </w:t>
      </w:r>
      <w:r>
        <w:rPr>
          <w:sz w:val="19"/>
        </w:rPr>
        <w:t>credible</w:t>
      </w:r>
      <w:r>
        <w:rPr>
          <w:spacing w:val="-12"/>
          <w:sz w:val="19"/>
        </w:rPr>
        <w:t> </w:t>
      </w:r>
      <w:r>
        <w:rPr>
          <w:sz w:val="19"/>
        </w:rPr>
        <w:t>deposit</w:t>
      </w:r>
      <w:r>
        <w:rPr>
          <w:spacing w:val="-13"/>
          <w:sz w:val="19"/>
        </w:rPr>
        <w:t> </w:t>
      </w:r>
      <w:r>
        <w:rPr>
          <w:sz w:val="19"/>
        </w:rPr>
        <w:t>guarantee</w:t>
      </w:r>
      <w:r>
        <w:rPr>
          <w:spacing w:val="-13"/>
          <w:sz w:val="19"/>
        </w:rPr>
        <w:t> </w:t>
      </w:r>
      <w:r>
        <w:rPr>
          <w:sz w:val="19"/>
        </w:rPr>
        <w:t>scheme.</w:t>
      </w:r>
    </w:p>
    <w:p>
      <w:pPr>
        <w:pStyle w:val="BodyText"/>
        <w:rPr>
          <w:sz w:val="22"/>
        </w:rPr>
      </w:pPr>
    </w:p>
    <w:p>
      <w:pPr>
        <w:pStyle w:val="BodyText"/>
        <w:spacing w:line="357" w:lineRule="auto" w:before="176"/>
        <w:ind w:left="226"/>
      </w:pPr>
      <w:r>
        <w:rPr/>
        <w:t>Without</w:t>
      </w:r>
      <w:r>
        <w:rPr>
          <w:spacing w:val="-9"/>
        </w:rPr>
        <w:t> </w:t>
      </w:r>
      <w:r>
        <w:rPr/>
        <w:t>a</w:t>
      </w:r>
      <w:r>
        <w:rPr>
          <w:spacing w:val="-10"/>
        </w:rPr>
        <w:t> </w:t>
      </w:r>
      <w:r>
        <w:rPr/>
        <w:t>banking</w:t>
      </w:r>
      <w:r>
        <w:rPr>
          <w:spacing w:val="-10"/>
        </w:rPr>
        <w:t> </w:t>
      </w:r>
      <w:r>
        <w:rPr/>
        <w:t>union,</w:t>
      </w:r>
      <w:r>
        <w:rPr>
          <w:spacing w:val="-9"/>
        </w:rPr>
        <w:t> </w:t>
      </w:r>
      <w:r>
        <w:rPr/>
        <w:t>cross-border</w:t>
      </w:r>
      <w:r>
        <w:rPr>
          <w:spacing w:val="-9"/>
        </w:rPr>
        <w:t> </w:t>
      </w:r>
      <w:r>
        <w:rPr/>
        <w:t>capital</w:t>
      </w:r>
      <w:r>
        <w:rPr>
          <w:spacing w:val="-9"/>
        </w:rPr>
        <w:t> </w:t>
      </w:r>
      <w:r>
        <w:rPr/>
        <w:t>flows</w:t>
      </w:r>
      <w:r>
        <w:rPr>
          <w:spacing w:val="-9"/>
        </w:rPr>
        <w:t> </w:t>
      </w:r>
      <w:r>
        <w:rPr/>
        <w:t>can</w:t>
      </w:r>
      <w:r>
        <w:rPr>
          <w:spacing w:val="-10"/>
        </w:rPr>
        <w:t> </w:t>
      </w:r>
      <w:r>
        <w:rPr/>
        <w:t>be</w:t>
      </w:r>
      <w:r>
        <w:rPr>
          <w:spacing w:val="-10"/>
        </w:rPr>
        <w:t> </w:t>
      </w:r>
      <w:r>
        <w:rPr/>
        <w:t>restricted,</w:t>
      </w:r>
      <w:r>
        <w:rPr>
          <w:spacing w:val="-8"/>
        </w:rPr>
        <w:t> </w:t>
      </w:r>
      <w:r>
        <w:rPr/>
        <w:t>the</w:t>
      </w:r>
      <w:r>
        <w:rPr>
          <w:spacing w:val="-11"/>
        </w:rPr>
        <w:t> </w:t>
      </w:r>
      <w:r>
        <w:rPr/>
        <w:t>effectiveness</w:t>
      </w:r>
      <w:r>
        <w:rPr>
          <w:spacing w:val="-9"/>
        </w:rPr>
        <w:t> </w:t>
      </w:r>
      <w:r>
        <w:rPr/>
        <w:t>of</w:t>
      </w:r>
      <w:r>
        <w:rPr>
          <w:spacing w:val="-10"/>
        </w:rPr>
        <w:t> </w:t>
      </w:r>
      <w:r>
        <w:rPr/>
        <w:t>monetary</w:t>
      </w:r>
      <w:r>
        <w:rPr>
          <w:spacing w:val="-10"/>
        </w:rPr>
        <w:t> </w:t>
      </w:r>
      <w:r>
        <w:rPr/>
        <w:t>policy impaired and, in the extreme, the viability of the union itself</w:t>
      </w:r>
      <w:r>
        <w:rPr>
          <w:spacing w:val="-22"/>
        </w:rPr>
        <w:t> </w:t>
      </w:r>
      <w:r>
        <w:rPr/>
        <w:t>undermined.</w:t>
      </w:r>
    </w:p>
    <w:p>
      <w:pPr>
        <w:pStyle w:val="BodyText"/>
        <w:spacing w:before="1"/>
        <w:rPr>
          <w:sz w:val="28"/>
        </w:rPr>
      </w:pPr>
    </w:p>
    <w:p>
      <w:pPr>
        <w:pStyle w:val="BodyText"/>
        <w:spacing w:line="355" w:lineRule="auto" w:before="1"/>
        <w:ind w:left="226" w:right="177"/>
      </w:pPr>
      <w:r>
        <w:rPr/>
        <w:t>It</w:t>
      </w:r>
      <w:r>
        <w:rPr>
          <w:spacing w:val="-9"/>
        </w:rPr>
        <w:t> </w:t>
      </w:r>
      <w:r>
        <w:rPr/>
        <w:t>is</w:t>
      </w:r>
      <w:r>
        <w:rPr>
          <w:spacing w:val="-7"/>
        </w:rPr>
        <w:t> </w:t>
      </w:r>
      <w:r>
        <w:rPr/>
        <w:t>as</w:t>
      </w:r>
      <w:r>
        <w:rPr>
          <w:spacing w:val="-8"/>
        </w:rPr>
        <w:t> </w:t>
      </w:r>
      <w:r>
        <w:rPr/>
        <w:t>difficult</w:t>
      </w:r>
      <w:r>
        <w:rPr>
          <w:spacing w:val="-9"/>
        </w:rPr>
        <w:t> </w:t>
      </w:r>
      <w:r>
        <w:rPr/>
        <w:t>to</w:t>
      </w:r>
      <w:r>
        <w:rPr>
          <w:spacing w:val="-10"/>
        </w:rPr>
        <w:t> </w:t>
      </w:r>
      <w:r>
        <w:rPr/>
        <w:t>separate</w:t>
      </w:r>
      <w:r>
        <w:rPr>
          <w:spacing w:val="-9"/>
        </w:rPr>
        <w:t> </w:t>
      </w:r>
      <w:r>
        <w:rPr/>
        <w:t>the</w:t>
      </w:r>
      <w:r>
        <w:rPr>
          <w:spacing w:val="-8"/>
        </w:rPr>
        <w:t> </w:t>
      </w:r>
      <w:r>
        <w:rPr/>
        <w:t>institutions</w:t>
      </w:r>
      <w:r>
        <w:rPr>
          <w:spacing w:val="-7"/>
        </w:rPr>
        <w:t> </w:t>
      </w:r>
      <w:r>
        <w:rPr/>
        <w:t>that</w:t>
      </w:r>
      <w:r>
        <w:rPr>
          <w:spacing w:val="-9"/>
        </w:rPr>
        <w:t> </w:t>
      </w:r>
      <w:r>
        <w:rPr/>
        <w:t>support</w:t>
      </w:r>
      <w:r>
        <w:rPr>
          <w:spacing w:val="-7"/>
        </w:rPr>
        <w:t> </w:t>
      </w:r>
      <w:r>
        <w:rPr/>
        <w:t>banking</w:t>
      </w:r>
      <w:r>
        <w:rPr>
          <w:spacing w:val="-8"/>
        </w:rPr>
        <w:t> </w:t>
      </w:r>
      <w:r>
        <w:rPr/>
        <w:t>union</w:t>
      </w:r>
      <w:r>
        <w:rPr>
          <w:spacing w:val="-8"/>
        </w:rPr>
        <w:t> </w:t>
      </w:r>
      <w:r>
        <w:rPr/>
        <w:t>from</w:t>
      </w:r>
      <w:r>
        <w:rPr>
          <w:spacing w:val="-8"/>
        </w:rPr>
        <w:t> </w:t>
      </w:r>
      <w:r>
        <w:rPr/>
        <w:t>national</w:t>
      </w:r>
      <w:r>
        <w:rPr>
          <w:spacing w:val="-8"/>
        </w:rPr>
        <w:t> </w:t>
      </w:r>
      <w:r>
        <w:rPr/>
        <w:t>fiscal</w:t>
      </w:r>
      <w:r>
        <w:rPr>
          <w:spacing w:val="-8"/>
        </w:rPr>
        <w:t> </w:t>
      </w:r>
      <w:r>
        <w:rPr/>
        <w:t>arrangements</w:t>
      </w:r>
      <w:r>
        <w:rPr>
          <w:spacing w:val="-7"/>
        </w:rPr>
        <w:t> </w:t>
      </w:r>
      <w:r>
        <w:rPr/>
        <w:t>as</w:t>
      </w:r>
      <w:r>
        <w:rPr>
          <w:spacing w:val="-8"/>
        </w:rPr>
        <w:t> </w:t>
      </w:r>
      <w:r>
        <w:rPr/>
        <w:t>it is to separate the creditworthiness of banks and sovereigns. Let me</w:t>
      </w:r>
      <w:r>
        <w:rPr>
          <w:spacing w:val="-21"/>
        </w:rPr>
        <w:t> </w:t>
      </w:r>
      <w:r>
        <w:rPr/>
        <w:t>explain.</w:t>
      </w:r>
    </w:p>
    <w:p>
      <w:pPr>
        <w:pStyle w:val="BodyText"/>
        <w:spacing w:before="4"/>
        <w:rPr>
          <w:sz w:val="28"/>
        </w:rPr>
      </w:pPr>
    </w:p>
    <w:p>
      <w:pPr>
        <w:pStyle w:val="BodyText"/>
        <w:spacing w:line="357" w:lineRule="auto"/>
        <w:ind w:left="226"/>
      </w:pPr>
      <w:r>
        <w:rPr/>
        <w:t>In recent years, doubts about the resilience of major financial institutions have created expectations of sovereign support. The scale of these potential liabilities can in turn generate doubts about public finances undermining the resilience of both banks and sovereigns.</w:t>
      </w:r>
    </w:p>
    <w:p>
      <w:pPr>
        <w:pStyle w:val="BodyText"/>
        <w:rPr>
          <w:sz w:val="28"/>
        </w:rPr>
      </w:pPr>
    </w:p>
    <w:p>
      <w:pPr>
        <w:pStyle w:val="BodyText"/>
        <w:spacing w:line="357" w:lineRule="auto"/>
        <w:ind w:left="226" w:right="197"/>
      </w:pPr>
      <w:r>
        <w:rPr/>
        <w:t>When such concerns emerge, the consequences can be dramatic. The banking systems of peripheral European countries experienced outflows of between 10% and 85% of total deposits from elsewhere in the euro area in the three years following June 2010 (chart 4). Bank funding spreads in those countries ballooned by 5 percentage points from the beginning of 2010 to the middle of 2012 (chart 5). Bank lending to the real economy collapsed and credit conditions tightened massively (see charts 6-7).</w:t>
      </w:r>
      <w:r>
        <w:rPr>
          <w:vertAlign w:val="superscript"/>
        </w:rPr>
        <w:t>20,21</w:t>
      </w:r>
    </w:p>
    <w:p>
      <w:pPr>
        <w:pStyle w:val="BodyText"/>
        <w:spacing w:before="9"/>
        <w:rPr>
          <w:sz w:val="27"/>
        </w:rPr>
      </w:pPr>
    </w:p>
    <w:p>
      <w:pPr>
        <w:pStyle w:val="BodyText"/>
        <w:ind w:left="226"/>
      </w:pPr>
      <w:r>
        <w:rPr/>
        <w:t>Clearly something must be done.</w:t>
      </w:r>
    </w:p>
    <w:p>
      <w:pPr>
        <w:pStyle w:val="BodyText"/>
        <w:rPr>
          <w:sz w:val="20"/>
        </w:rPr>
      </w:pPr>
    </w:p>
    <w:p>
      <w:pPr>
        <w:pStyle w:val="BodyText"/>
        <w:spacing w:before="5"/>
        <w:rPr>
          <w:sz w:val="17"/>
        </w:rPr>
      </w:pPr>
    </w:p>
    <w:p>
      <w:pPr>
        <w:pStyle w:val="BodyText"/>
        <w:spacing w:line="357" w:lineRule="auto" w:before="1"/>
        <w:ind w:left="226" w:right="176"/>
      </w:pPr>
      <w:r>
        <w:rPr/>
        <w:t>It is in the interests of all countries to sever the link between banks and sovereigns by ending too big to fail. Governments must put in place regimes that impose losses on bank management, shareholders and creditors rather than taxpayers. That is exactly what is established by the UK’s recent Banking Reform Act, and the recently agreed European Bank Resolution and Recovery Directive. The Bank of England is at the forefront of efforts to establish the common global requirement that is needed to finish the job.</w:t>
      </w:r>
    </w:p>
    <w:p>
      <w:pPr>
        <w:pStyle w:val="BodyText"/>
        <w:spacing w:before="9"/>
        <w:rPr>
          <w:sz w:val="27"/>
        </w:rPr>
      </w:pPr>
    </w:p>
    <w:p>
      <w:pPr>
        <w:pStyle w:val="BodyText"/>
        <w:spacing w:line="355" w:lineRule="auto"/>
        <w:ind w:left="226"/>
      </w:pPr>
      <w:r>
        <w:rPr/>
        <w:t>While</w:t>
      </w:r>
      <w:r>
        <w:rPr>
          <w:spacing w:val="-7"/>
        </w:rPr>
        <w:t> </w:t>
      </w:r>
      <w:r>
        <w:rPr/>
        <w:t>ending</w:t>
      </w:r>
      <w:r>
        <w:rPr>
          <w:spacing w:val="-8"/>
        </w:rPr>
        <w:t> </w:t>
      </w:r>
      <w:r>
        <w:rPr/>
        <w:t>too</w:t>
      </w:r>
      <w:r>
        <w:rPr>
          <w:spacing w:val="-7"/>
        </w:rPr>
        <w:t> </w:t>
      </w:r>
      <w:r>
        <w:rPr/>
        <w:t>big</w:t>
      </w:r>
      <w:r>
        <w:rPr>
          <w:spacing w:val="-6"/>
        </w:rPr>
        <w:t> </w:t>
      </w:r>
      <w:r>
        <w:rPr/>
        <w:t>to</w:t>
      </w:r>
      <w:r>
        <w:rPr>
          <w:spacing w:val="-7"/>
        </w:rPr>
        <w:t> </w:t>
      </w:r>
      <w:r>
        <w:rPr/>
        <w:t>fail</w:t>
      </w:r>
      <w:r>
        <w:rPr>
          <w:spacing w:val="-7"/>
        </w:rPr>
        <w:t> </w:t>
      </w:r>
      <w:r>
        <w:rPr/>
        <w:t>should</w:t>
      </w:r>
      <w:r>
        <w:rPr>
          <w:spacing w:val="-7"/>
        </w:rPr>
        <w:t> </w:t>
      </w:r>
      <w:r>
        <w:rPr/>
        <w:t>mean</w:t>
      </w:r>
      <w:r>
        <w:rPr>
          <w:spacing w:val="-6"/>
        </w:rPr>
        <w:t> </w:t>
      </w:r>
      <w:r>
        <w:rPr/>
        <w:t>that</w:t>
      </w:r>
      <w:r>
        <w:rPr>
          <w:spacing w:val="-7"/>
        </w:rPr>
        <w:t> </w:t>
      </w:r>
      <w:r>
        <w:rPr/>
        <w:t>taxpayers</w:t>
      </w:r>
      <w:r>
        <w:rPr>
          <w:spacing w:val="-5"/>
        </w:rPr>
        <w:t> </w:t>
      </w:r>
      <w:r>
        <w:rPr/>
        <w:t>no</w:t>
      </w:r>
      <w:r>
        <w:rPr>
          <w:spacing w:val="-7"/>
        </w:rPr>
        <w:t> </w:t>
      </w:r>
      <w:r>
        <w:rPr/>
        <w:t>longer</w:t>
      </w:r>
      <w:r>
        <w:rPr>
          <w:spacing w:val="-7"/>
        </w:rPr>
        <w:t> </w:t>
      </w:r>
      <w:r>
        <w:rPr/>
        <w:t>have</w:t>
      </w:r>
      <w:r>
        <w:rPr>
          <w:spacing w:val="-6"/>
        </w:rPr>
        <w:t> </w:t>
      </w:r>
      <w:r>
        <w:rPr/>
        <w:t>to</w:t>
      </w:r>
      <w:r>
        <w:rPr>
          <w:spacing w:val="-7"/>
        </w:rPr>
        <w:t> </w:t>
      </w:r>
      <w:r>
        <w:rPr/>
        <w:t>bail</w:t>
      </w:r>
      <w:r>
        <w:rPr>
          <w:spacing w:val="-5"/>
        </w:rPr>
        <w:t> </w:t>
      </w:r>
      <w:r>
        <w:rPr/>
        <w:t>out</w:t>
      </w:r>
      <w:r>
        <w:rPr>
          <w:spacing w:val="-7"/>
        </w:rPr>
        <w:t> </w:t>
      </w:r>
      <w:r>
        <w:rPr/>
        <w:t>banks,</w:t>
      </w:r>
      <w:r>
        <w:rPr>
          <w:spacing w:val="-6"/>
        </w:rPr>
        <w:t> </w:t>
      </w:r>
      <w:r>
        <w:rPr/>
        <w:t>it</w:t>
      </w:r>
      <w:r>
        <w:rPr>
          <w:spacing w:val="-5"/>
        </w:rPr>
        <w:t> </w:t>
      </w:r>
      <w:r>
        <w:rPr/>
        <w:t>will</w:t>
      </w:r>
      <w:r>
        <w:rPr>
          <w:spacing w:val="-5"/>
        </w:rPr>
        <w:t> </w:t>
      </w:r>
      <w:r>
        <w:rPr/>
        <w:t>not</w:t>
      </w:r>
      <w:r>
        <w:rPr>
          <w:spacing w:val="-5"/>
        </w:rPr>
        <w:t> </w:t>
      </w:r>
      <w:r>
        <w:rPr/>
        <w:t>fully</w:t>
      </w:r>
      <w:r>
        <w:rPr>
          <w:spacing w:val="-5"/>
        </w:rPr>
        <w:t> </w:t>
      </w:r>
      <w:r>
        <w:rPr/>
        <w:t>break the bank-sovereign loop, for three</w:t>
      </w:r>
      <w:r>
        <w:rPr>
          <w:spacing w:val="-8"/>
        </w:rPr>
        <w:t> </w:t>
      </w:r>
      <w:r>
        <w:rPr/>
        <w:t>reasons.</w:t>
      </w:r>
    </w:p>
    <w:p>
      <w:pPr>
        <w:pStyle w:val="BodyText"/>
        <w:spacing w:before="4"/>
        <w:rPr>
          <w:sz w:val="28"/>
        </w:rPr>
      </w:pPr>
    </w:p>
    <w:p>
      <w:pPr>
        <w:pStyle w:val="BodyText"/>
        <w:spacing w:line="357" w:lineRule="auto" w:before="1"/>
        <w:ind w:left="226"/>
      </w:pPr>
      <w:r>
        <w:rPr/>
        <w:t>First,</w:t>
      </w:r>
      <w:r>
        <w:rPr>
          <w:spacing w:val="-9"/>
        </w:rPr>
        <w:t> </w:t>
      </w:r>
      <w:r>
        <w:rPr/>
        <w:t>banks</w:t>
      </w:r>
      <w:r>
        <w:rPr>
          <w:spacing w:val="-8"/>
        </w:rPr>
        <w:t> </w:t>
      </w:r>
      <w:r>
        <w:rPr/>
        <w:t>hold</w:t>
      </w:r>
      <w:r>
        <w:rPr>
          <w:spacing w:val="-9"/>
        </w:rPr>
        <w:t> </w:t>
      </w:r>
      <w:r>
        <w:rPr/>
        <w:t>substantial</w:t>
      </w:r>
      <w:r>
        <w:rPr>
          <w:spacing w:val="-9"/>
        </w:rPr>
        <w:t> </w:t>
      </w:r>
      <w:r>
        <w:rPr/>
        <w:t>amounts</w:t>
      </w:r>
      <w:r>
        <w:rPr>
          <w:spacing w:val="-8"/>
        </w:rPr>
        <w:t> </w:t>
      </w:r>
      <w:r>
        <w:rPr/>
        <w:t>of</w:t>
      </w:r>
      <w:r>
        <w:rPr>
          <w:spacing w:val="-7"/>
        </w:rPr>
        <w:t> </w:t>
      </w:r>
      <w:r>
        <w:rPr/>
        <w:t>their</w:t>
      </w:r>
      <w:r>
        <w:rPr>
          <w:spacing w:val="-9"/>
        </w:rPr>
        <w:t> </w:t>
      </w:r>
      <w:r>
        <w:rPr/>
        <w:t>national</w:t>
      </w:r>
      <w:r>
        <w:rPr>
          <w:spacing w:val="-7"/>
        </w:rPr>
        <w:t> </w:t>
      </w:r>
      <w:r>
        <w:rPr/>
        <w:t>government’s</w:t>
      </w:r>
      <w:r>
        <w:rPr>
          <w:spacing w:val="-8"/>
        </w:rPr>
        <w:t> </w:t>
      </w:r>
      <w:r>
        <w:rPr/>
        <w:t>debt</w:t>
      </w:r>
      <w:r>
        <w:rPr>
          <w:spacing w:val="-7"/>
        </w:rPr>
        <w:t> </w:t>
      </w:r>
      <w:r>
        <w:rPr/>
        <w:t>in</w:t>
      </w:r>
      <w:r>
        <w:rPr>
          <w:spacing w:val="-8"/>
        </w:rPr>
        <w:t> </w:t>
      </w:r>
      <w:r>
        <w:rPr/>
        <w:t>order</w:t>
      </w:r>
      <w:r>
        <w:rPr>
          <w:spacing w:val="-8"/>
        </w:rPr>
        <w:t> </w:t>
      </w:r>
      <w:r>
        <w:rPr/>
        <w:t>to</w:t>
      </w:r>
      <w:r>
        <w:rPr>
          <w:spacing w:val="-10"/>
        </w:rPr>
        <w:t> </w:t>
      </w:r>
      <w:r>
        <w:rPr/>
        <w:t>manage</w:t>
      </w:r>
      <w:r>
        <w:rPr>
          <w:spacing w:val="-9"/>
        </w:rPr>
        <w:t> </w:t>
      </w:r>
      <w:r>
        <w:rPr/>
        <w:t>liquidity,</w:t>
      </w:r>
      <w:r>
        <w:rPr>
          <w:spacing w:val="-7"/>
        </w:rPr>
        <w:t> </w:t>
      </w:r>
      <w:r>
        <w:rPr/>
        <w:t>meet collateral obligations and hedge exposures – European banks hold more than €1trn of home country sovereign debt amounting to 5% of total</w:t>
      </w:r>
      <w:r>
        <w:rPr>
          <w:spacing w:val="-8"/>
        </w:rPr>
        <w:t> </w:t>
      </w:r>
      <w:r>
        <w:rPr/>
        <w:t>assets.</w:t>
      </w:r>
    </w:p>
    <w:p>
      <w:pPr>
        <w:pStyle w:val="BodyText"/>
        <w:spacing w:before="8"/>
        <w:rPr>
          <w:sz w:val="14"/>
        </w:rPr>
      </w:pPr>
      <w:r>
        <w:rPr/>
        <w:pict>
          <v:shape style="position:absolute;margin-left:79.320pt;margin-top:10.654078pt;width:135.5pt;height:.1pt;mso-position-horizontal-relative:page;mso-position-vertical-relative:paragraph;z-index:-251653120;mso-wrap-distance-left:0;mso-wrap-distance-right:0" coordorigin="1586,213" coordsize="2710,0" path="m1586,213l4296,213e" filled="false" stroked="true" strokeweight=".48pt" strokecolor="#000000">
            <v:path arrowok="t"/>
            <v:stroke dashstyle="solid"/>
            <w10:wrap type="topAndBottom"/>
          </v:shape>
        </w:pict>
      </w:r>
    </w:p>
    <w:p>
      <w:pPr>
        <w:spacing w:before="27"/>
        <w:ind w:left="226" w:right="111" w:firstLine="0"/>
        <w:jc w:val="left"/>
        <w:rPr>
          <w:sz w:val="15"/>
        </w:rPr>
      </w:pPr>
      <w:r>
        <w:rPr>
          <w:position w:val="8"/>
          <w:sz w:val="9"/>
        </w:rPr>
        <w:t>20 </w:t>
      </w:r>
      <w:r>
        <w:rPr>
          <w:sz w:val="15"/>
        </w:rPr>
        <w:t>That in turn contributed to the divergence in output growth between core and periphery (chart 8). In the UK the share of mortgage lending in Scotland has been essentially flat through the crisis period (chart 9), suggesting that there has been little if any divergence in credit conditions between the UK and Scotland.</w:t>
      </w:r>
    </w:p>
    <w:p>
      <w:pPr>
        <w:spacing w:line="172" w:lineRule="exact" w:before="5"/>
        <w:ind w:left="226" w:right="0" w:firstLine="0"/>
        <w:jc w:val="left"/>
        <w:rPr>
          <w:sz w:val="15"/>
        </w:rPr>
      </w:pPr>
      <w:r>
        <w:rPr>
          <w:position w:val="8"/>
          <w:sz w:val="9"/>
        </w:rPr>
        <w:t>21 </w:t>
      </w:r>
      <w:r>
        <w:rPr>
          <w:sz w:val="15"/>
        </w:rPr>
        <w:t>This downward spiral of confidence can be most acute in countries with large banking sectors relative to their economies – Iceland, Ireland and Cyprus all had banking sectors exceeding 600% of GDP in 2007 (table 4). In the extreme, doubts about the sustainability of</w:t>
      </w:r>
    </w:p>
    <w:p>
      <w:pPr>
        <w:spacing w:line="172" w:lineRule="exact" w:before="0"/>
        <w:ind w:left="226" w:right="0" w:firstLine="0"/>
        <w:jc w:val="left"/>
        <w:rPr>
          <w:sz w:val="15"/>
        </w:rPr>
      </w:pPr>
      <w:r>
        <w:rPr>
          <w:sz w:val="15"/>
        </w:rPr>
        <w:t>a nation’s membership of the currency union can only be relieved by massive external support.</w:t>
      </w:r>
    </w:p>
    <w:p>
      <w:pPr>
        <w:spacing w:after="0" w:line="172" w:lineRule="exact"/>
        <w:jc w:val="left"/>
        <w:rPr>
          <w:sz w:val="15"/>
        </w:rPr>
        <w:sectPr>
          <w:footerReference w:type="default" r:id="rId12"/>
          <w:pgSz w:w="12240" w:h="15840"/>
          <w:pgMar w:footer="1240" w:header="0" w:top="1280" w:bottom="1440" w:left="1360" w:right="1480"/>
        </w:sectPr>
      </w:pPr>
    </w:p>
    <w:p>
      <w:pPr>
        <w:pStyle w:val="BodyText"/>
        <w:spacing w:line="357" w:lineRule="auto" w:before="176"/>
        <w:ind w:left="226" w:right="111" w:hanging="1"/>
      </w:pPr>
      <w:r>
        <w:rPr/>
        <w:t>Second, confidence in deposit guarantee schemes relies on a national backstop.</w:t>
      </w:r>
      <w:r>
        <w:rPr>
          <w:vertAlign w:val="superscript"/>
        </w:rPr>
        <w:t>22</w:t>
      </w:r>
      <w:r>
        <w:rPr>
          <w:vertAlign w:val="baseline"/>
        </w:rPr>
        <w:t> The European process illustrates the difficulty of building the institutional arrangements for a common insurance scheme across sovereign states. This is unsurprising since mutualised deposit guarantee schemes imply a pooling of risk and loss of sovereignty. All member states must be persuaded that they won’t simply be left with the bill for the mistakes of others.</w:t>
      </w:r>
    </w:p>
    <w:p>
      <w:pPr>
        <w:pStyle w:val="BodyText"/>
        <w:spacing w:before="9"/>
        <w:rPr>
          <w:sz w:val="27"/>
        </w:rPr>
      </w:pPr>
    </w:p>
    <w:p>
      <w:pPr>
        <w:pStyle w:val="BodyText"/>
        <w:spacing w:line="357" w:lineRule="auto"/>
        <w:ind w:left="226" w:right="111"/>
      </w:pPr>
      <w:r>
        <w:rPr/>
        <w:t>Third, a currency union requires a common fiscal backstop for its central bank. Central banks must be able to act as Lender of Last Resort, both to financial institutions that are solvent but experiencing an unwarranted loss of confidence and to provide bridging finance to institutions that are being recapitalised using new resolution regimes. Under the current governance arrangements in the UK, these operations require an indemnity from, and the approval of, the Chancellor, because they would put substantial public funds at risk.</w:t>
      </w:r>
    </w:p>
    <w:p>
      <w:pPr>
        <w:pStyle w:val="BodyText"/>
        <w:spacing w:before="9"/>
        <w:rPr>
          <w:sz w:val="27"/>
        </w:rPr>
      </w:pPr>
    </w:p>
    <w:p>
      <w:pPr>
        <w:pStyle w:val="BodyText"/>
        <w:spacing w:line="357" w:lineRule="auto"/>
        <w:ind w:left="226" w:right="387"/>
      </w:pPr>
      <w:r>
        <w:rPr/>
        <w:t>The</w:t>
      </w:r>
      <w:r>
        <w:rPr>
          <w:spacing w:val="-10"/>
        </w:rPr>
        <w:t> </w:t>
      </w:r>
      <w:r>
        <w:rPr/>
        <w:t>existing</w:t>
      </w:r>
      <w:r>
        <w:rPr>
          <w:spacing w:val="-8"/>
        </w:rPr>
        <w:t> </w:t>
      </w:r>
      <w:r>
        <w:rPr/>
        <w:t>banking</w:t>
      </w:r>
      <w:r>
        <w:rPr>
          <w:spacing w:val="-8"/>
        </w:rPr>
        <w:t> </w:t>
      </w:r>
      <w:r>
        <w:rPr/>
        <w:t>union</w:t>
      </w:r>
      <w:r>
        <w:rPr>
          <w:spacing w:val="-8"/>
        </w:rPr>
        <w:t> </w:t>
      </w:r>
      <w:r>
        <w:rPr/>
        <w:t>between</w:t>
      </w:r>
      <w:r>
        <w:rPr>
          <w:spacing w:val="-8"/>
        </w:rPr>
        <w:t> </w:t>
      </w:r>
      <w:r>
        <w:rPr/>
        <w:t>Scotland</w:t>
      </w:r>
      <w:r>
        <w:rPr>
          <w:spacing w:val="-8"/>
        </w:rPr>
        <w:t> </w:t>
      </w:r>
      <w:r>
        <w:rPr/>
        <w:t>and</w:t>
      </w:r>
      <w:r>
        <w:rPr>
          <w:spacing w:val="-8"/>
        </w:rPr>
        <w:t> </w:t>
      </w:r>
      <w:r>
        <w:rPr/>
        <w:t>the</w:t>
      </w:r>
      <w:r>
        <w:rPr>
          <w:spacing w:val="-9"/>
        </w:rPr>
        <w:t> </w:t>
      </w:r>
      <w:r>
        <w:rPr/>
        <w:t>rest</w:t>
      </w:r>
      <w:r>
        <w:rPr>
          <w:spacing w:val="-7"/>
        </w:rPr>
        <w:t> </w:t>
      </w:r>
      <w:r>
        <w:rPr/>
        <w:t>of</w:t>
      </w:r>
      <w:r>
        <w:rPr>
          <w:spacing w:val="-8"/>
        </w:rPr>
        <w:t> </w:t>
      </w:r>
      <w:r>
        <w:rPr/>
        <w:t>the</w:t>
      </w:r>
      <w:r>
        <w:rPr>
          <w:spacing w:val="-9"/>
        </w:rPr>
        <w:t> </w:t>
      </w:r>
      <w:r>
        <w:rPr/>
        <w:t>United</w:t>
      </w:r>
      <w:r>
        <w:rPr>
          <w:spacing w:val="-9"/>
        </w:rPr>
        <w:t> </w:t>
      </w:r>
      <w:r>
        <w:rPr/>
        <w:t>Kingdom</w:t>
      </w:r>
      <w:r>
        <w:rPr>
          <w:spacing w:val="-8"/>
        </w:rPr>
        <w:t> </w:t>
      </w:r>
      <w:r>
        <w:rPr/>
        <w:t>has</w:t>
      </w:r>
      <w:r>
        <w:rPr>
          <w:spacing w:val="-7"/>
        </w:rPr>
        <w:t> </w:t>
      </w:r>
      <w:r>
        <w:rPr/>
        <w:t>proved</w:t>
      </w:r>
      <w:r>
        <w:rPr>
          <w:spacing w:val="-9"/>
        </w:rPr>
        <w:t> </w:t>
      </w:r>
      <w:r>
        <w:rPr/>
        <w:t>durable</w:t>
      </w:r>
      <w:r>
        <w:rPr>
          <w:spacing w:val="-9"/>
        </w:rPr>
        <w:t> </w:t>
      </w:r>
      <w:r>
        <w:rPr/>
        <w:t>and efficient. Its foundations include a single prudential supervisor maintaining consistent standards of resilience, a single deposit guarantee scheme backed by the central government, and a common central bank, able to act as Lender of Last Resort across the union, and also backed by the central government. These arrangements help ensure that Scotland can sustain a banking system whose collective balance sheet is substantially larger than its</w:t>
      </w:r>
      <w:r>
        <w:rPr>
          <w:spacing w:val="-9"/>
        </w:rPr>
        <w:t> </w:t>
      </w:r>
      <w:r>
        <w:rPr/>
        <w:t>GDP.</w:t>
      </w:r>
    </w:p>
    <w:p>
      <w:pPr>
        <w:pStyle w:val="BodyText"/>
        <w:spacing w:before="8"/>
        <w:rPr>
          <w:sz w:val="27"/>
        </w:rPr>
      </w:pPr>
    </w:p>
    <w:p>
      <w:pPr>
        <w:pStyle w:val="BodyText"/>
        <w:spacing w:line="355" w:lineRule="auto"/>
        <w:ind w:left="226" w:right="111"/>
      </w:pPr>
      <w:r>
        <w:rPr/>
        <w:t>The euro area has shown the dangers of not having such arrangements, as well as the difficulties of the necessary pooling of sovereignty to build them. An independent Scotland would need to consider carefully how to develop arrangements with the continuing United Kingdom that are both consistent with its sovereignty and sufficient to maintain financial stability.</w:t>
      </w:r>
    </w:p>
    <w:p>
      <w:pPr>
        <w:pStyle w:val="BodyText"/>
        <w:spacing w:before="6"/>
        <w:rPr>
          <w:sz w:val="28"/>
        </w:rPr>
      </w:pPr>
    </w:p>
    <w:p>
      <w:pPr>
        <w:pStyle w:val="Heading1"/>
      </w:pPr>
      <w:r>
        <w:rPr/>
        <w:t>Fiscal arrangements</w:t>
      </w:r>
    </w:p>
    <w:p>
      <w:pPr>
        <w:pStyle w:val="BodyText"/>
        <w:rPr>
          <w:b/>
          <w:sz w:val="20"/>
        </w:rPr>
      </w:pPr>
    </w:p>
    <w:p>
      <w:pPr>
        <w:pStyle w:val="BodyText"/>
        <w:spacing w:before="6"/>
        <w:rPr>
          <w:b/>
          <w:sz w:val="17"/>
        </w:rPr>
      </w:pPr>
    </w:p>
    <w:p>
      <w:pPr>
        <w:pStyle w:val="BodyText"/>
        <w:spacing w:line="357" w:lineRule="auto"/>
        <w:ind w:left="226"/>
      </w:pPr>
      <w:r>
        <w:rPr/>
        <w:t>While</w:t>
      </w:r>
      <w:r>
        <w:rPr>
          <w:spacing w:val="-10"/>
        </w:rPr>
        <w:t> </w:t>
      </w:r>
      <w:r>
        <w:rPr/>
        <w:t>banking</w:t>
      </w:r>
      <w:r>
        <w:rPr>
          <w:spacing w:val="-10"/>
        </w:rPr>
        <w:t> </w:t>
      </w:r>
      <w:r>
        <w:rPr/>
        <w:t>union</w:t>
      </w:r>
      <w:r>
        <w:rPr>
          <w:spacing w:val="-9"/>
        </w:rPr>
        <w:t> </w:t>
      </w:r>
      <w:r>
        <w:rPr/>
        <w:t>requires</w:t>
      </w:r>
      <w:r>
        <w:rPr>
          <w:spacing w:val="-9"/>
        </w:rPr>
        <w:t> </w:t>
      </w:r>
      <w:r>
        <w:rPr/>
        <w:t>common</w:t>
      </w:r>
      <w:r>
        <w:rPr>
          <w:spacing w:val="-9"/>
        </w:rPr>
        <w:t> </w:t>
      </w:r>
      <w:r>
        <w:rPr/>
        <w:t>fiscal</w:t>
      </w:r>
      <w:r>
        <w:rPr>
          <w:spacing w:val="-9"/>
        </w:rPr>
        <w:t> </w:t>
      </w:r>
      <w:r>
        <w:rPr/>
        <w:t>backing,</w:t>
      </w:r>
      <w:r>
        <w:rPr>
          <w:spacing w:val="-8"/>
        </w:rPr>
        <w:t> </w:t>
      </w:r>
      <w:r>
        <w:rPr/>
        <w:t>there</w:t>
      </w:r>
      <w:r>
        <w:rPr>
          <w:spacing w:val="-10"/>
        </w:rPr>
        <w:t> </w:t>
      </w:r>
      <w:r>
        <w:rPr/>
        <w:t>are</w:t>
      </w:r>
      <w:r>
        <w:rPr>
          <w:spacing w:val="-9"/>
        </w:rPr>
        <w:t> </w:t>
      </w:r>
      <w:r>
        <w:rPr/>
        <w:t>two</w:t>
      </w:r>
      <w:r>
        <w:rPr>
          <w:spacing w:val="-9"/>
        </w:rPr>
        <w:t> </w:t>
      </w:r>
      <w:r>
        <w:rPr/>
        <w:t>broader</w:t>
      </w:r>
      <w:r>
        <w:rPr>
          <w:spacing w:val="-9"/>
        </w:rPr>
        <w:t> </w:t>
      </w:r>
      <w:r>
        <w:rPr/>
        <w:t>justifications</w:t>
      </w:r>
      <w:r>
        <w:rPr>
          <w:spacing w:val="-9"/>
        </w:rPr>
        <w:t> </w:t>
      </w:r>
      <w:r>
        <w:rPr/>
        <w:t>for</w:t>
      </w:r>
      <w:r>
        <w:rPr>
          <w:spacing w:val="-10"/>
        </w:rPr>
        <w:t> </w:t>
      </w:r>
      <w:r>
        <w:rPr/>
        <w:t>shared</w:t>
      </w:r>
      <w:r>
        <w:rPr>
          <w:spacing w:val="-10"/>
        </w:rPr>
        <w:t> </w:t>
      </w:r>
      <w:r>
        <w:rPr/>
        <w:t>fiscal arrangements within a currency</w:t>
      </w:r>
      <w:r>
        <w:rPr>
          <w:spacing w:val="-5"/>
        </w:rPr>
        <w:t> </w:t>
      </w:r>
      <w:r>
        <w:rPr/>
        <w:t>area.</w:t>
      </w:r>
    </w:p>
    <w:p>
      <w:pPr>
        <w:pStyle w:val="BodyText"/>
        <w:spacing w:before="1"/>
        <w:rPr>
          <w:sz w:val="28"/>
        </w:rPr>
      </w:pPr>
    </w:p>
    <w:p>
      <w:pPr>
        <w:pStyle w:val="BodyText"/>
        <w:spacing w:line="355" w:lineRule="auto" w:before="1"/>
        <w:ind w:left="226" w:right="111"/>
      </w:pPr>
      <w:r>
        <w:rPr/>
        <w:t>The</w:t>
      </w:r>
      <w:r>
        <w:rPr>
          <w:spacing w:val="-10"/>
        </w:rPr>
        <w:t> </w:t>
      </w:r>
      <w:r>
        <w:rPr/>
        <w:t>first</w:t>
      </w:r>
      <w:r>
        <w:rPr>
          <w:spacing w:val="-7"/>
        </w:rPr>
        <w:t> </w:t>
      </w:r>
      <w:r>
        <w:rPr/>
        <w:t>is</w:t>
      </w:r>
      <w:r>
        <w:rPr>
          <w:spacing w:val="-9"/>
        </w:rPr>
        <w:t> </w:t>
      </w:r>
      <w:r>
        <w:rPr/>
        <w:t>that</w:t>
      </w:r>
      <w:r>
        <w:rPr>
          <w:spacing w:val="-7"/>
        </w:rPr>
        <w:t> </w:t>
      </w:r>
      <w:r>
        <w:rPr/>
        <w:t>deeper</w:t>
      </w:r>
      <w:r>
        <w:rPr>
          <w:spacing w:val="-9"/>
        </w:rPr>
        <w:t> </w:t>
      </w:r>
      <w:r>
        <w:rPr/>
        <w:t>fiscal</w:t>
      </w:r>
      <w:r>
        <w:rPr>
          <w:spacing w:val="-8"/>
        </w:rPr>
        <w:t> </w:t>
      </w:r>
      <w:r>
        <w:rPr/>
        <w:t>integration</w:t>
      </w:r>
      <w:r>
        <w:rPr>
          <w:spacing w:val="-7"/>
        </w:rPr>
        <w:t> </w:t>
      </w:r>
      <w:r>
        <w:rPr/>
        <w:t>between</w:t>
      </w:r>
      <w:r>
        <w:rPr>
          <w:spacing w:val="-8"/>
        </w:rPr>
        <w:t> </w:t>
      </w:r>
      <w:r>
        <w:rPr/>
        <w:t>members</w:t>
      </w:r>
      <w:r>
        <w:rPr>
          <w:spacing w:val="-8"/>
        </w:rPr>
        <w:t> </w:t>
      </w:r>
      <w:r>
        <w:rPr/>
        <w:t>can</w:t>
      </w:r>
      <w:r>
        <w:rPr>
          <w:spacing w:val="-9"/>
        </w:rPr>
        <w:t> </w:t>
      </w:r>
      <w:r>
        <w:rPr/>
        <w:t>play</w:t>
      </w:r>
      <w:r>
        <w:rPr>
          <w:spacing w:val="-8"/>
        </w:rPr>
        <w:t> </w:t>
      </w:r>
      <w:r>
        <w:rPr/>
        <w:t>an</w:t>
      </w:r>
      <w:r>
        <w:rPr>
          <w:spacing w:val="-9"/>
        </w:rPr>
        <w:t> </w:t>
      </w:r>
      <w:r>
        <w:rPr/>
        <w:t>important</w:t>
      </w:r>
      <w:r>
        <w:rPr>
          <w:spacing w:val="-8"/>
        </w:rPr>
        <w:t> </w:t>
      </w:r>
      <w:r>
        <w:rPr/>
        <w:t>role</w:t>
      </w:r>
      <w:r>
        <w:rPr>
          <w:spacing w:val="-9"/>
        </w:rPr>
        <w:t> </w:t>
      </w:r>
      <w:r>
        <w:rPr/>
        <w:t>in</w:t>
      </w:r>
      <w:r>
        <w:rPr>
          <w:spacing w:val="-8"/>
        </w:rPr>
        <w:t> </w:t>
      </w:r>
      <w:r>
        <w:rPr/>
        <w:t>smoothing</w:t>
      </w:r>
      <w:r>
        <w:rPr>
          <w:spacing w:val="-9"/>
        </w:rPr>
        <w:t> </w:t>
      </w:r>
      <w:r>
        <w:rPr/>
        <w:t>shocks that affect only part of the currency</w:t>
      </w:r>
      <w:r>
        <w:rPr>
          <w:spacing w:val="-8"/>
        </w:rPr>
        <w:t> </w:t>
      </w:r>
      <w:r>
        <w:rPr/>
        <w:t>area.</w:t>
      </w:r>
      <w:r>
        <w:rPr>
          <w:vertAlign w:val="superscript"/>
        </w:rPr>
        <w:t>23</w:t>
      </w:r>
    </w:p>
    <w:p>
      <w:pPr>
        <w:pStyle w:val="BodyText"/>
        <w:spacing w:before="4"/>
        <w:rPr>
          <w:sz w:val="28"/>
        </w:rPr>
      </w:pPr>
    </w:p>
    <w:p>
      <w:pPr>
        <w:pStyle w:val="BodyText"/>
        <w:spacing w:line="357" w:lineRule="auto"/>
        <w:ind w:left="226" w:right="177"/>
      </w:pPr>
      <w:r>
        <w:rPr/>
        <w:pict>
          <v:shape style="position:absolute;margin-left:79.320pt;margin-top:38.250996pt;width:135.5pt;height:.1pt;mso-position-horizontal-relative:page;mso-position-vertical-relative:paragraph;z-index:-251652096;mso-wrap-distance-left:0;mso-wrap-distance-right:0" coordorigin="1586,765" coordsize="2710,0" path="m1586,765l4296,765e" filled="false" stroked="true" strokeweight=".48001pt" strokecolor="#000000">
            <v:path arrowok="t"/>
            <v:stroke dashstyle="solid"/>
            <w10:wrap type="topAndBottom"/>
          </v:shape>
        </w:pict>
      </w:r>
      <w:r>
        <w:rPr/>
        <w:t>It</w:t>
      </w:r>
      <w:r>
        <w:rPr>
          <w:spacing w:val="-10"/>
        </w:rPr>
        <w:t> </w:t>
      </w:r>
      <w:r>
        <w:rPr/>
        <w:t>is</w:t>
      </w:r>
      <w:r>
        <w:rPr>
          <w:spacing w:val="-8"/>
        </w:rPr>
        <w:t> </w:t>
      </w:r>
      <w:r>
        <w:rPr/>
        <w:t>no</w:t>
      </w:r>
      <w:r>
        <w:rPr>
          <w:spacing w:val="-10"/>
        </w:rPr>
        <w:t> </w:t>
      </w:r>
      <w:r>
        <w:rPr/>
        <w:t>coincidence</w:t>
      </w:r>
      <w:r>
        <w:rPr>
          <w:spacing w:val="-9"/>
        </w:rPr>
        <w:t> </w:t>
      </w:r>
      <w:r>
        <w:rPr/>
        <w:t>that</w:t>
      </w:r>
      <w:r>
        <w:rPr>
          <w:spacing w:val="-9"/>
        </w:rPr>
        <w:t> </w:t>
      </w:r>
      <w:r>
        <w:rPr/>
        <w:t>effective</w:t>
      </w:r>
      <w:r>
        <w:rPr>
          <w:spacing w:val="-10"/>
        </w:rPr>
        <w:t> </w:t>
      </w:r>
      <w:r>
        <w:rPr/>
        <w:t>currency</w:t>
      </w:r>
      <w:r>
        <w:rPr>
          <w:spacing w:val="-10"/>
        </w:rPr>
        <w:t> </w:t>
      </w:r>
      <w:r>
        <w:rPr/>
        <w:t>unions</w:t>
      </w:r>
      <w:r>
        <w:rPr>
          <w:spacing w:val="-8"/>
        </w:rPr>
        <w:t> </w:t>
      </w:r>
      <w:r>
        <w:rPr/>
        <w:t>tend</w:t>
      </w:r>
      <w:r>
        <w:rPr>
          <w:spacing w:val="-10"/>
        </w:rPr>
        <w:t> </w:t>
      </w:r>
      <w:r>
        <w:rPr/>
        <w:t>to</w:t>
      </w:r>
      <w:r>
        <w:rPr>
          <w:spacing w:val="-9"/>
        </w:rPr>
        <w:t> </w:t>
      </w:r>
      <w:r>
        <w:rPr/>
        <w:t>have</w:t>
      </w:r>
      <w:r>
        <w:rPr>
          <w:spacing w:val="-9"/>
        </w:rPr>
        <w:t> </w:t>
      </w:r>
      <w:r>
        <w:rPr/>
        <w:t>centralised</w:t>
      </w:r>
      <w:r>
        <w:rPr>
          <w:spacing w:val="-10"/>
        </w:rPr>
        <w:t> </w:t>
      </w:r>
      <w:r>
        <w:rPr/>
        <w:t>fiscal</w:t>
      </w:r>
      <w:r>
        <w:rPr>
          <w:spacing w:val="-10"/>
        </w:rPr>
        <w:t> </w:t>
      </w:r>
      <w:r>
        <w:rPr/>
        <w:t>authorities</w:t>
      </w:r>
      <w:r>
        <w:rPr>
          <w:spacing w:val="-6"/>
        </w:rPr>
        <w:t> </w:t>
      </w:r>
      <w:r>
        <w:rPr/>
        <w:t>whose</w:t>
      </w:r>
      <w:r>
        <w:rPr>
          <w:spacing w:val="-11"/>
        </w:rPr>
        <w:t> </w:t>
      </w:r>
      <w:r>
        <w:rPr/>
        <w:t>spending is</w:t>
      </w:r>
      <w:r>
        <w:rPr>
          <w:spacing w:val="-7"/>
        </w:rPr>
        <w:t> </w:t>
      </w:r>
      <w:r>
        <w:rPr/>
        <w:t>a</w:t>
      </w:r>
      <w:r>
        <w:rPr>
          <w:spacing w:val="-8"/>
        </w:rPr>
        <w:t> </w:t>
      </w:r>
      <w:r>
        <w:rPr/>
        <w:t>sizeable</w:t>
      </w:r>
      <w:r>
        <w:rPr>
          <w:spacing w:val="-7"/>
        </w:rPr>
        <w:t> </w:t>
      </w:r>
      <w:r>
        <w:rPr/>
        <w:t>share</w:t>
      </w:r>
      <w:r>
        <w:rPr>
          <w:spacing w:val="-7"/>
        </w:rPr>
        <w:t> </w:t>
      </w:r>
      <w:r>
        <w:rPr/>
        <w:t>of</w:t>
      </w:r>
      <w:r>
        <w:rPr>
          <w:spacing w:val="-5"/>
        </w:rPr>
        <w:t> </w:t>
      </w:r>
      <w:r>
        <w:rPr/>
        <w:t>GDP</w:t>
      </w:r>
      <w:r>
        <w:rPr>
          <w:spacing w:val="-5"/>
        </w:rPr>
        <w:t> </w:t>
      </w:r>
      <w:r>
        <w:rPr/>
        <w:t>–</w:t>
      </w:r>
      <w:r>
        <w:rPr>
          <w:spacing w:val="-8"/>
        </w:rPr>
        <w:t> </w:t>
      </w:r>
      <w:r>
        <w:rPr/>
        <w:t>averaging</w:t>
      </w:r>
      <w:r>
        <w:rPr>
          <w:spacing w:val="-7"/>
        </w:rPr>
        <w:t> </w:t>
      </w:r>
      <w:r>
        <w:rPr/>
        <w:t>over</w:t>
      </w:r>
      <w:r>
        <w:rPr>
          <w:spacing w:val="-8"/>
        </w:rPr>
        <w:t> </w:t>
      </w:r>
      <w:r>
        <w:rPr/>
        <w:t>a</w:t>
      </w:r>
      <w:r>
        <w:rPr>
          <w:spacing w:val="-7"/>
        </w:rPr>
        <w:t> </w:t>
      </w:r>
      <w:r>
        <w:rPr/>
        <w:t>quarter</w:t>
      </w:r>
      <w:r>
        <w:rPr>
          <w:spacing w:val="-7"/>
        </w:rPr>
        <w:t> </w:t>
      </w:r>
      <w:r>
        <w:rPr/>
        <w:t>of</w:t>
      </w:r>
      <w:r>
        <w:rPr>
          <w:spacing w:val="-7"/>
        </w:rPr>
        <w:t> </w:t>
      </w:r>
      <w:r>
        <w:rPr/>
        <w:t>GDP</w:t>
      </w:r>
      <w:r>
        <w:rPr>
          <w:spacing w:val="-8"/>
        </w:rPr>
        <w:t> </w:t>
      </w:r>
      <w:r>
        <w:rPr/>
        <w:t>for</w:t>
      </w:r>
      <w:r>
        <w:rPr>
          <w:spacing w:val="-8"/>
        </w:rPr>
        <w:t> </w:t>
      </w:r>
      <w:r>
        <w:rPr/>
        <w:t>advanced</w:t>
      </w:r>
      <w:r>
        <w:rPr>
          <w:spacing w:val="-8"/>
        </w:rPr>
        <w:t> </w:t>
      </w:r>
      <w:r>
        <w:rPr/>
        <w:t>countries</w:t>
      </w:r>
      <w:r>
        <w:rPr>
          <w:spacing w:val="-5"/>
        </w:rPr>
        <w:t> </w:t>
      </w:r>
      <w:r>
        <w:rPr/>
        <w:t>outside</w:t>
      </w:r>
      <w:r>
        <w:rPr>
          <w:spacing w:val="-7"/>
        </w:rPr>
        <w:t> </w:t>
      </w:r>
      <w:r>
        <w:rPr/>
        <w:t>the</w:t>
      </w:r>
      <w:r>
        <w:rPr>
          <w:spacing w:val="-7"/>
        </w:rPr>
        <w:t> </w:t>
      </w:r>
      <w:r>
        <w:rPr/>
        <w:t>euro</w:t>
      </w:r>
      <w:r>
        <w:rPr>
          <w:spacing w:val="-7"/>
        </w:rPr>
        <w:t> </w:t>
      </w:r>
      <w:r>
        <w:rPr/>
        <w:t>area</w:t>
      </w:r>
    </w:p>
    <w:p>
      <w:pPr>
        <w:spacing w:before="26"/>
        <w:ind w:left="226" w:right="177" w:hanging="1"/>
        <w:jc w:val="left"/>
        <w:rPr>
          <w:sz w:val="15"/>
        </w:rPr>
      </w:pPr>
      <w:r>
        <w:rPr>
          <w:position w:val="8"/>
          <w:sz w:val="9"/>
        </w:rPr>
        <w:t>22 </w:t>
      </w:r>
      <w:r>
        <w:rPr>
          <w:sz w:val="15"/>
        </w:rPr>
        <w:t>In theory these could be pre-funded. For small countries with large, concentrated banking systems, pre-funded schemes are unlikely to be realistic in the short-term. Protected Scottish retail bank deposits are over 100% of GDP, compared to around 50% for the rest of the UK. New European rules mandate deposit guarantee funds to be built up only slowly over a decade and even then only to less than one per cent of insured</w:t>
      </w:r>
      <w:r>
        <w:rPr>
          <w:spacing w:val="-3"/>
          <w:sz w:val="15"/>
        </w:rPr>
        <w:t> </w:t>
      </w:r>
      <w:r>
        <w:rPr>
          <w:sz w:val="15"/>
        </w:rPr>
        <w:t>deposits.</w:t>
      </w:r>
    </w:p>
    <w:p>
      <w:pPr>
        <w:spacing w:line="176" w:lineRule="exact" w:before="0"/>
        <w:ind w:left="226" w:right="0" w:firstLine="0"/>
        <w:jc w:val="left"/>
        <w:rPr>
          <w:sz w:val="15"/>
        </w:rPr>
      </w:pPr>
      <w:r>
        <w:rPr>
          <w:position w:val="8"/>
          <w:sz w:val="9"/>
        </w:rPr>
        <w:t>23 </w:t>
      </w:r>
      <w:r>
        <w:rPr>
          <w:sz w:val="15"/>
        </w:rPr>
        <w:t>Kenen (1969).</w:t>
      </w:r>
    </w:p>
    <w:p>
      <w:pPr>
        <w:spacing w:after="0" w:line="176" w:lineRule="exact"/>
        <w:jc w:val="left"/>
        <w:rPr>
          <w:sz w:val="15"/>
        </w:rPr>
        <w:sectPr>
          <w:footerReference w:type="default" r:id="rId13"/>
          <w:pgSz w:w="12240" w:h="15840"/>
          <w:pgMar w:footer="1240" w:header="0" w:top="1500" w:bottom="1440" w:left="1360" w:right="1480"/>
          <w:pgNumType w:start="8"/>
        </w:sectPr>
      </w:pPr>
    </w:p>
    <w:p>
      <w:pPr>
        <w:pStyle w:val="BodyText"/>
        <w:spacing w:line="355" w:lineRule="auto" w:before="72"/>
        <w:ind w:left="226" w:right="111"/>
      </w:pPr>
      <w:r>
        <w:rPr/>
        <w:t>(table 5). That offers scope for a significant degree of stabilisation, much of it happening automatically as slowing</w:t>
      </w:r>
      <w:r>
        <w:rPr>
          <w:spacing w:val="-9"/>
        </w:rPr>
        <w:t> </w:t>
      </w:r>
      <w:r>
        <w:rPr/>
        <w:t>growth</w:t>
      </w:r>
      <w:r>
        <w:rPr>
          <w:spacing w:val="-8"/>
        </w:rPr>
        <w:t> </w:t>
      </w:r>
      <w:r>
        <w:rPr/>
        <w:t>in</w:t>
      </w:r>
      <w:r>
        <w:rPr>
          <w:spacing w:val="-7"/>
        </w:rPr>
        <w:t> </w:t>
      </w:r>
      <w:r>
        <w:rPr/>
        <w:t>one</w:t>
      </w:r>
      <w:r>
        <w:rPr>
          <w:spacing w:val="-8"/>
        </w:rPr>
        <w:t> </w:t>
      </w:r>
      <w:r>
        <w:rPr/>
        <w:t>part</w:t>
      </w:r>
      <w:r>
        <w:rPr>
          <w:spacing w:val="-6"/>
        </w:rPr>
        <w:t> </w:t>
      </w:r>
      <w:r>
        <w:rPr/>
        <w:t>of</w:t>
      </w:r>
      <w:r>
        <w:rPr>
          <w:spacing w:val="-6"/>
        </w:rPr>
        <w:t> </w:t>
      </w:r>
      <w:r>
        <w:rPr/>
        <w:t>the</w:t>
      </w:r>
      <w:r>
        <w:rPr>
          <w:spacing w:val="-8"/>
        </w:rPr>
        <w:t> </w:t>
      </w:r>
      <w:r>
        <w:rPr/>
        <w:t>union</w:t>
      </w:r>
      <w:r>
        <w:rPr>
          <w:spacing w:val="-8"/>
        </w:rPr>
        <w:t> </w:t>
      </w:r>
      <w:r>
        <w:rPr/>
        <w:t>causes</w:t>
      </w:r>
      <w:r>
        <w:rPr>
          <w:spacing w:val="-6"/>
        </w:rPr>
        <w:t> </w:t>
      </w:r>
      <w:r>
        <w:rPr/>
        <w:t>tax</w:t>
      </w:r>
      <w:r>
        <w:rPr>
          <w:spacing w:val="-6"/>
        </w:rPr>
        <w:t> </w:t>
      </w:r>
      <w:r>
        <w:rPr/>
        <w:t>revenues</w:t>
      </w:r>
      <w:r>
        <w:rPr>
          <w:spacing w:val="-7"/>
        </w:rPr>
        <w:t> </w:t>
      </w:r>
      <w:r>
        <w:rPr/>
        <w:t>there</w:t>
      </w:r>
      <w:r>
        <w:rPr>
          <w:spacing w:val="-8"/>
        </w:rPr>
        <w:t> </w:t>
      </w:r>
      <w:r>
        <w:rPr/>
        <w:t>to</w:t>
      </w:r>
      <w:r>
        <w:rPr>
          <w:spacing w:val="-7"/>
        </w:rPr>
        <w:t> </w:t>
      </w:r>
      <w:r>
        <w:rPr/>
        <w:t>fall</w:t>
      </w:r>
      <w:r>
        <w:rPr>
          <w:spacing w:val="-8"/>
        </w:rPr>
        <w:t> </w:t>
      </w:r>
      <w:r>
        <w:rPr/>
        <w:t>and</w:t>
      </w:r>
      <w:r>
        <w:rPr>
          <w:spacing w:val="-7"/>
        </w:rPr>
        <w:t> </w:t>
      </w:r>
      <w:r>
        <w:rPr/>
        <w:t>welfare</w:t>
      </w:r>
      <w:r>
        <w:rPr>
          <w:spacing w:val="-7"/>
        </w:rPr>
        <w:t> </w:t>
      </w:r>
      <w:r>
        <w:rPr/>
        <w:t>spending</w:t>
      </w:r>
      <w:r>
        <w:rPr>
          <w:spacing w:val="-9"/>
        </w:rPr>
        <w:t> </w:t>
      </w:r>
      <w:r>
        <w:rPr/>
        <w:t>to</w:t>
      </w:r>
      <w:r>
        <w:rPr>
          <w:spacing w:val="-8"/>
        </w:rPr>
        <w:t> </w:t>
      </w:r>
      <w:r>
        <w:rPr/>
        <w:t>increase. Those</w:t>
      </w:r>
      <w:r>
        <w:rPr>
          <w:spacing w:val="-8"/>
        </w:rPr>
        <w:t> </w:t>
      </w:r>
      <w:r>
        <w:rPr/>
        <w:t>automatic</w:t>
      </w:r>
      <w:r>
        <w:rPr>
          <w:spacing w:val="-8"/>
        </w:rPr>
        <w:t> </w:t>
      </w:r>
      <w:r>
        <w:rPr/>
        <w:t>fiscal</w:t>
      </w:r>
      <w:r>
        <w:rPr>
          <w:spacing w:val="-9"/>
        </w:rPr>
        <w:t> </w:t>
      </w:r>
      <w:r>
        <w:rPr/>
        <w:t>stabilisers</w:t>
      </w:r>
      <w:r>
        <w:rPr>
          <w:spacing w:val="-6"/>
        </w:rPr>
        <w:t> </w:t>
      </w:r>
      <w:r>
        <w:rPr/>
        <w:t>are</w:t>
      </w:r>
      <w:r>
        <w:rPr>
          <w:spacing w:val="-7"/>
        </w:rPr>
        <w:t> </w:t>
      </w:r>
      <w:r>
        <w:rPr/>
        <w:t>important</w:t>
      </w:r>
      <w:r>
        <w:rPr>
          <w:spacing w:val="-5"/>
        </w:rPr>
        <w:t> </w:t>
      </w:r>
      <w:r>
        <w:rPr/>
        <w:t>within</w:t>
      </w:r>
      <w:r>
        <w:rPr>
          <w:spacing w:val="-8"/>
        </w:rPr>
        <w:t> </w:t>
      </w:r>
      <w:r>
        <w:rPr/>
        <w:t>the</w:t>
      </w:r>
      <w:r>
        <w:rPr>
          <w:spacing w:val="-9"/>
        </w:rPr>
        <w:t> </w:t>
      </w:r>
      <w:r>
        <w:rPr/>
        <w:t>UK</w:t>
      </w:r>
      <w:r>
        <w:rPr>
          <w:spacing w:val="-6"/>
        </w:rPr>
        <w:t> </w:t>
      </w:r>
      <w:r>
        <w:rPr/>
        <w:t>–</w:t>
      </w:r>
      <w:r>
        <w:rPr>
          <w:spacing w:val="-8"/>
        </w:rPr>
        <w:t> </w:t>
      </w:r>
      <w:r>
        <w:rPr/>
        <w:t>it</w:t>
      </w:r>
      <w:r>
        <w:rPr>
          <w:spacing w:val="-8"/>
        </w:rPr>
        <w:t> </w:t>
      </w:r>
      <w:r>
        <w:rPr/>
        <w:t>is</w:t>
      </w:r>
      <w:r>
        <w:rPr>
          <w:spacing w:val="-7"/>
        </w:rPr>
        <w:t> </w:t>
      </w:r>
      <w:r>
        <w:rPr/>
        <w:t>estimated</w:t>
      </w:r>
      <w:r>
        <w:rPr>
          <w:spacing w:val="-8"/>
        </w:rPr>
        <w:t> </w:t>
      </w:r>
      <w:r>
        <w:rPr/>
        <w:t>that</w:t>
      </w:r>
      <w:r>
        <w:rPr>
          <w:spacing w:val="-6"/>
        </w:rPr>
        <w:t> </w:t>
      </w:r>
      <w:r>
        <w:rPr/>
        <w:t>for</w:t>
      </w:r>
      <w:r>
        <w:rPr>
          <w:spacing w:val="-8"/>
        </w:rPr>
        <w:t> </w:t>
      </w:r>
      <w:r>
        <w:rPr/>
        <w:t>every</w:t>
      </w:r>
      <w:r>
        <w:rPr>
          <w:spacing w:val="-6"/>
        </w:rPr>
        <w:t> </w:t>
      </w:r>
      <w:r>
        <w:rPr/>
        <w:t>£1</w:t>
      </w:r>
      <w:r>
        <w:rPr>
          <w:spacing w:val="-7"/>
        </w:rPr>
        <w:t> </w:t>
      </w:r>
      <w:r>
        <w:rPr/>
        <w:t>that</w:t>
      </w:r>
      <w:r>
        <w:rPr>
          <w:spacing w:val="-6"/>
        </w:rPr>
        <w:t> </w:t>
      </w:r>
      <w:r>
        <w:rPr/>
        <w:t>output falls</w:t>
      </w:r>
      <w:r>
        <w:rPr>
          <w:spacing w:val="-3"/>
        </w:rPr>
        <w:t> </w:t>
      </w:r>
      <w:r>
        <w:rPr/>
        <w:t>the</w:t>
      </w:r>
      <w:r>
        <w:rPr>
          <w:spacing w:val="-5"/>
        </w:rPr>
        <w:t> </w:t>
      </w:r>
      <w:r>
        <w:rPr/>
        <w:t>reduction</w:t>
      </w:r>
      <w:r>
        <w:rPr>
          <w:spacing w:val="-3"/>
        </w:rPr>
        <w:t> </w:t>
      </w:r>
      <w:r>
        <w:rPr/>
        <w:t>in</w:t>
      </w:r>
      <w:r>
        <w:rPr>
          <w:spacing w:val="-4"/>
        </w:rPr>
        <w:t> </w:t>
      </w:r>
      <w:r>
        <w:rPr/>
        <w:t>taxes</w:t>
      </w:r>
      <w:r>
        <w:rPr>
          <w:spacing w:val="-3"/>
        </w:rPr>
        <w:t> </w:t>
      </w:r>
      <w:r>
        <w:rPr/>
        <w:t>and</w:t>
      </w:r>
      <w:r>
        <w:rPr>
          <w:spacing w:val="-4"/>
        </w:rPr>
        <w:t> </w:t>
      </w:r>
      <w:r>
        <w:rPr/>
        <w:t>increases</w:t>
      </w:r>
      <w:r>
        <w:rPr>
          <w:spacing w:val="-2"/>
        </w:rPr>
        <w:t> </w:t>
      </w:r>
      <w:r>
        <w:rPr/>
        <w:t>in</w:t>
      </w:r>
      <w:r>
        <w:rPr>
          <w:spacing w:val="-5"/>
        </w:rPr>
        <w:t> </w:t>
      </w:r>
      <w:r>
        <w:rPr/>
        <w:t>transfers</w:t>
      </w:r>
      <w:r>
        <w:rPr>
          <w:spacing w:val="-2"/>
        </w:rPr>
        <w:t> </w:t>
      </w:r>
      <w:r>
        <w:rPr/>
        <w:t>are</w:t>
      </w:r>
      <w:r>
        <w:rPr>
          <w:spacing w:val="-4"/>
        </w:rPr>
        <w:t> </w:t>
      </w:r>
      <w:r>
        <w:rPr/>
        <w:t>together</w:t>
      </w:r>
      <w:r>
        <w:rPr>
          <w:spacing w:val="-4"/>
        </w:rPr>
        <w:t> </w:t>
      </w:r>
      <w:r>
        <w:rPr/>
        <w:t>worth</w:t>
      </w:r>
      <w:r>
        <w:rPr>
          <w:spacing w:val="-3"/>
        </w:rPr>
        <w:t> </w:t>
      </w:r>
      <w:r>
        <w:rPr/>
        <w:t>about</w:t>
      </w:r>
      <w:r>
        <w:rPr>
          <w:spacing w:val="-2"/>
        </w:rPr>
        <w:t> </w:t>
      </w:r>
      <w:r>
        <w:rPr/>
        <w:t>50</w:t>
      </w:r>
      <w:r>
        <w:rPr>
          <w:spacing w:val="-3"/>
        </w:rPr>
        <w:t> </w:t>
      </w:r>
      <w:r>
        <w:rPr/>
        <w:t>pence.</w:t>
      </w:r>
      <w:r>
        <w:rPr>
          <w:vertAlign w:val="superscript"/>
        </w:rPr>
        <w:t>24</w:t>
      </w:r>
    </w:p>
    <w:p>
      <w:pPr>
        <w:pStyle w:val="BodyText"/>
        <w:spacing w:before="6"/>
        <w:rPr>
          <w:sz w:val="28"/>
        </w:rPr>
      </w:pPr>
    </w:p>
    <w:p>
      <w:pPr>
        <w:pStyle w:val="BodyText"/>
        <w:spacing w:line="357" w:lineRule="auto"/>
        <w:ind w:left="226" w:right="90"/>
      </w:pPr>
      <w:r>
        <w:rPr/>
        <w:t>What matters for individuals is the extent to which this risk sharing insulates their disposable income from shocks. In the UK there is evidence that around a fifth of variation in regional personal income relative to the national average is stabilised by central government transfers. That is probably an important factor in accounting for the close harmonisation of economic performance within the UK. The degree of stabilisation in France and the US is similar, with a slightly lower figure for Canada.</w:t>
      </w:r>
      <w:r>
        <w:rPr>
          <w:vertAlign w:val="superscript"/>
        </w:rPr>
        <w:t>25</w:t>
      </w:r>
    </w:p>
    <w:p>
      <w:pPr>
        <w:pStyle w:val="BodyText"/>
        <w:spacing w:before="10"/>
        <w:rPr>
          <w:sz w:val="27"/>
        </w:rPr>
      </w:pPr>
    </w:p>
    <w:p>
      <w:pPr>
        <w:pStyle w:val="BodyText"/>
        <w:spacing w:line="357" w:lineRule="auto"/>
        <w:ind w:left="226" w:right="111"/>
      </w:pPr>
      <w:r>
        <w:rPr/>
        <w:t>Fiscal</w:t>
      </w:r>
      <w:r>
        <w:rPr>
          <w:spacing w:val="-8"/>
        </w:rPr>
        <w:t> </w:t>
      </w:r>
      <w:r>
        <w:rPr/>
        <w:t>stabilisation</w:t>
      </w:r>
      <w:r>
        <w:rPr>
          <w:spacing w:val="-10"/>
        </w:rPr>
        <w:t> </w:t>
      </w:r>
      <w:r>
        <w:rPr/>
        <w:t>is</w:t>
      </w:r>
      <w:r>
        <w:rPr>
          <w:spacing w:val="-8"/>
        </w:rPr>
        <w:t> </w:t>
      </w:r>
      <w:r>
        <w:rPr/>
        <w:t>particularly</w:t>
      </w:r>
      <w:r>
        <w:rPr>
          <w:spacing w:val="-9"/>
        </w:rPr>
        <w:t> </w:t>
      </w:r>
      <w:r>
        <w:rPr/>
        <w:t>important</w:t>
      </w:r>
      <w:r>
        <w:rPr>
          <w:spacing w:val="-9"/>
        </w:rPr>
        <w:t> </w:t>
      </w:r>
      <w:r>
        <w:rPr/>
        <w:t>in</w:t>
      </w:r>
      <w:r>
        <w:rPr>
          <w:spacing w:val="-9"/>
        </w:rPr>
        <w:t> </w:t>
      </w:r>
      <w:r>
        <w:rPr/>
        <w:t>a</w:t>
      </w:r>
      <w:r>
        <w:rPr>
          <w:spacing w:val="-9"/>
        </w:rPr>
        <w:t> </w:t>
      </w:r>
      <w:r>
        <w:rPr/>
        <w:t>currency</w:t>
      </w:r>
      <w:r>
        <w:rPr>
          <w:spacing w:val="-9"/>
        </w:rPr>
        <w:t> </w:t>
      </w:r>
      <w:r>
        <w:rPr/>
        <w:t>union</w:t>
      </w:r>
      <w:r>
        <w:rPr>
          <w:spacing w:val="-9"/>
        </w:rPr>
        <w:t> </w:t>
      </w:r>
      <w:r>
        <w:rPr/>
        <w:t>because</w:t>
      </w:r>
      <w:r>
        <w:rPr>
          <w:spacing w:val="-10"/>
        </w:rPr>
        <w:t> </w:t>
      </w:r>
      <w:r>
        <w:rPr/>
        <w:t>it</w:t>
      </w:r>
      <w:r>
        <w:rPr>
          <w:spacing w:val="-9"/>
        </w:rPr>
        <w:t> </w:t>
      </w:r>
      <w:r>
        <w:rPr/>
        <w:t>helps</w:t>
      </w:r>
      <w:r>
        <w:rPr>
          <w:spacing w:val="-8"/>
        </w:rPr>
        <w:t> </w:t>
      </w:r>
      <w:r>
        <w:rPr/>
        <w:t>mitigate</w:t>
      </w:r>
      <w:r>
        <w:rPr>
          <w:spacing w:val="-9"/>
        </w:rPr>
        <w:t> </w:t>
      </w:r>
      <w:r>
        <w:rPr/>
        <w:t>the</w:t>
      </w:r>
      <w:r>
        <w:rPr>
          <w:spacing w:val="-10"/>
        </w:rPr>
        <w:t> </w:t>
      </w:r>
      <w:r>
        <w:rPr/>
        <w:t>loss</w:t>
      </w:r>
      <w:r>
        <w:rPr>
          <w:spacing w:val="-8"/>
        </w:rPr>
        <w:t> </w:t>
      </w:r>
      <w:r>
        <w:rPr/>
        <w:t>of</w:t>
      </w:r>
      <w:r>
        <w:rPr>
          <w:spacing w:val="-9"/>
        </w:rPr>
        <w:t> </w:t>
      </w:r>
      <w:r>
        <w:rPr/>
        <w:t>exchange rate flexibility. But being in a currency union can amplify fiscal stress for individual nations, limiting their ability to perform this valuable role just when it is most needed. So it makes sense to share fiscal risks across the whole currency area. A localised shock is less likely to stretch the fiscal position in a larger more diversified currency area, especially if it shifts demand between different parts of the area. That makes a given shock to Nova Scotia less severe than the equivalent to</w:t>
      </w:r>
      <w:r>
        <w:rPr>
          <w:spacing w:val="-24"/>
        </w:rPr>
        <w:t> </w:t>
      </w:r>
      <w:r>
        <w:rPr/>
        <w:t>Portugal.</w:t>
      </w:r>
    </w:p>
    <w:p>
      <w:pPr>
        <w:pStyle w:val="BodyText"/>
        <w:spacing w:before="9"/>
        <w:rPr>
          <w:sz w:val="27"/>
        </w:rPr>
      </w:pPr>
    </w:p>
    <w:p>
      <w:pPr>
        <w:pStyle w:val="BodyText"/>
        <w:spacing w:line="355" w:lineRule="auto"/>
        <w:ind w:left="226" w:right="82"/>
      </w:pPr>
      <w:r>
        <w:rPr/>
        <w:t>The second justification for shared fiscal arrangements is that problems in one country are very likely to spill over to others. For example, the threat of default by one country may trigger a generalised crisis, particularly if the liabilities of the crisis country are held by the banking system of the broader currency area. It will be in the interests of other countries in the union to bail out a country in crisis, and that reduces the incentives for countries to run their finances prudently in the first place. At a minimum, this ‘moral hazard’ problem suggests the need for tight fiscal rules, to enforce prudent behaviour for all in the union, although credible sanctions for breaking those rules are hard to develop.</w:t>
      </w:r>
      <w:r>
        <w:rPr>
          <w:vertAlign w:val="superscript"/>
        </w:rPr>
        <w:t>26</w:t>
      </w:r>
    </w:p>
    <w:p>
      <w:pPr>
        <w:pStyle w:val="BodyText"/>
        <w:spacing w:before="10"/>
        <w:rPr>
          <w:sz w:val="28"/>
        </w:rPr>
      </w:pPr>
    </w:p>
    <w:p>
      <w:pPr>
        <w:pStyle w:val="BodyText"/>
        <w:spacing w:line="357" w:lineRule="auto"/>
        <w:ind w:left="226" w:right="111"/>
      </w:pPr>
      <w:r>
        <w:rPr/>
        <w:t>There</w:t>
      </w:r>
      <w:r>
        <w:rPr>
          <w:spacing w:val="-9"/>
        </w:rPr>
        <w:t> </w:t>
      </w:r>
      <w:r>
        <w:rPr/>
        <w:t>is</w:t>
      </w:r>
      <w:r>
        <w:rPr>
          <w:spacing w:val="-7"/>
        </w:rPr>
        <w:t> </w:t>
      </w:r>
      <w:r>
        <w:rPr/>
        <w:t>an</w:t>
      </w:r>
      <w:r>
        <w:rPr>
          <w:spacing w:val="-8"/>
        </w:rPr>
        <w:t> </w:t>
      </w:r>
      <w:r>
        <w:rPr/>
        <w:t>obvious</w:t>
      </w:r>
      <w:r>
        <w:rPr>
          <w:spacing w:val="-7"/>
        </w:rPr>
        <w:t> </w:t>
      </w:r>
      <w:r>
        <w:rPr/>
        <w:t>tension</w:t>
      </w:r>
      <w:r>
        <w:rPr>
          <w:spacing w:val="-9"/>
        </w:rPr>
        <w:t> </w:t>
      </w:r>
      <w:r>
        <w:rPr/>
        <w:t>between</w:t>
      </w:r>
      <w:r>
        <w:rPr>
          <w:spacing w:val="-8"/>
        </w:rPr>
        <w:t> </w:t>
      </w:r>
      <w:r>
        <w:rPr/>
        <w:t>using</w:t>
      </w:r>
      <w:r>
        <w:rPr>
          <w:spacing w:val="-9"/>
        </w:rPr>
        <w:t> </w:t>
      </w:r>
      <w:r>
        <w:rPr/>
        <w:t>robust</w:t>
      </w:r>
      <w:r>
        <w:rPr>
          <w:spacing w:val="-8"/>
        </w:rPr>
        <w:t> </w:t>
      </w:r>
      <w:r>
        <w:rPr/>
        <w:t>fiscal</w:t>
      </w:r>
      <w:r>
        <w:rPr>
          <w:spacing w:val="-8"/>
        </w:rPr>
        <w:t> </w:t>
      </w:r>
      <w:r>
        <w:rPr/>
        <w:t>rules</w:t>
      </w:r>
      <w:r>
        <w:rPr>
          <w:spacing w:val="-8"/>
        </w:rPr>
        <w:t> </w:t>
      </w:r>
      <w:r>
        <w:rPr/>
        <w:t>to</w:t>
      </w:r>
      <w:r>
        <w:rPr>
          <w:spacing w:val="-8"/>
        </w:rPr>
        <w:t> </w:t>
      </w:r>
      <w:r>
        <w:rPr/>
        <w:t>solve</w:t>
      </w:r>
      <w:r>
        <w:rPr>
          <w:spacing w:val="-9"/>
        </w:rPr>
        <w:t> </w:t>
      </w:r>
      <w:r>
        <w:rPr/>
        <w:t>this</w:t>
      </w:r>
      <w:r>
        <w:rPr>
          <w:spacing w:val="-7"/>
        </w:rPr>
        <w:t> </w:t>
      </w:r>
      <w:r>
        <w:rPr/>
        <w:t>problem,</w:t>
      </w:r>
      <w:r>
        <w:rPr>
          <w:spacing w:val="-9"/>
        </w:rPr>
        <w:t> </w:t>
      </w:r>
      <w:r>
        <w:rPr/>
        <w:t>and</w:t>
      </w:r>
      <w:r>
        <w:rPr>
          <w:spacing w:val="-8"/>
        </w:rPr>
        <w:t> </w:t>
      </w:r>
      <w:r>
        <w:rPr/>
        <w:t>allowing</w:t>
      </w:r>
      <w:r>
        <w:rPr>
          <w:spacing w:val="-9"/>
        </w:rPr>
        <w:t> </w:t>
      </w:r>
      <w:r>
        <w:rPr/>
        <w:t>national fiscal</w:t>
      </w:r>
      <w:r>
        <w:rPr>
          <w:spacing w:val="-8"/>
        </w:rPr>
        <w:t> </w:t>
      </w:r>
      <w:r>
        <w:rPr/>
        <w:t>policy</w:t>
      </w:r>
      <w:r>
        <w:rPr>
          <w:spacing w:val="-7"/>
        </w:rPr>
        <w:t> </w:t>
      </w:r>
      <w:r>
        <w:rPr/>
        <w:t>to</w:t>
      </w:r>
      <w:r>
        <w:rPr>
          <w:spacing w:val="-7"/>
        </w:rPr>
        <w:t> </w:t>
      </w:r>
      <w:r>
        <w:rPr/>
        <w:t>act</w:t>
      </w:r>
      <w:r>
        <w:rPr>
          <w:spacing w:val="-7"/>
        </w:rPr>
        <w:t> </w:t>
      </w:r>
      <w:r>
        <w:rPr/>
        <w:t>as</w:t>
      </w:r>
      <w:r>
        <w:rPr>
          <w:spacing w:val="-7"/>
        </w:rPr>
        <w:t> </w:t>
      </w:r>
      <w:r>
        <w:rPr/>
        <w:t>a</w:t>
      </w:r>
      <w:r>
        <w:rPr>
          <w:spacing w:val="-8"/>
        </w:rPr>
        <w:t> </w:t>
      </w:r>
      <w:r>
        <w:rPr/>
        <w:t>shock</w:t>
      </w:r>
      <w:r>
        <w:rPr>
          <w:spacing w:val="-6"/>
        </w:rPr>
        <w:t> </w:t>
      </w:r>
      <w:r>
        <w:rPr/>
        <w:t>absorber.</w:t>
      </w:r>
      <w:r>
        <w:rPr>
          <w:spacing w:val="41"/>
        </w:rPr>
        <w:t> </w:t>
      </w:r>
      <w:r>
        <w:rPr/>
        <w:t>This</w:t>
      </w:r>
      <w:r>
        <w:rPr>
          <w:spacing w:val="-6"/>
        </w:rPr>
        <w:t> </w:t>
      </w:r>
      <w:r>
        <w:rPr/>
        <w:t>reinforces</w:t>
      </w:r>
      <w:r>
        <w:rPr>
          <w:spacing w:val="-5"/>
        </w:rPr>
        <w:t> </w:t>
      </w:r>
      <w:r>
        <w:rPr/>
        <w:t>the</w:t>
      </w:r>
      <w:r>
        <w:rPr>
          <w:spacing w:val="-7"/>
        </w:rPr>
        <w:t> </w:t>
      </w:r>
      <w:r>
        <w:rPr/>
        <w:t>need</w:t>
      </w:r>
      <w:r>
        <w:rPr>
          <w:spacing w:val="-7"/>
        </w:rPr>
        <w:t> </w:t>
      </w:r>
      <w:r>
        <w:rPr/>
        <w:t>for</w:t>
      </w:r>
      <w:r>
        <w:rPr>
          <w:spacing w:val="-7"/>
        </w:rPr>
        <w:t> </w:t>
      </w:r>
      <w:r>
        <w:rPr/>
        <w:t>fiscal</w:t>
      </w:r>
      <w:r>
        <w:rPr>
          <w:spacing w:val="-7"/>
        </w:rPr>
        <w:t> </w:t>
      </w:r>
      <w:r>
        <w:rPr/>
        <w:t>risk</w:t>
      </w:r>
      <w:r>
        <w:rPr>
          <w:spacing w:val="-8"/>
        </w:rPr>
        <w:t> </w:t>
      </w:r>
      <w:r>
        <w:rPr/>
        <w:t>sharing</w:t>
      </w:r>
      <w:r>
        <w:rPr>
          <w:spacing w:val="-8"/>
        </w:rPr>
        <w:t> </w:t>
      </w:r>
      <w:r>
        <w:rPr/>
        <w:t>between</w:t>
      </w:r>
      <w:r>
        <w:rPr>
          <w:spacing w:val="-7"/>
        </w:rPr>
        <w:t> </w:t>
      </w:r>
      <w:r>
        <w:rPr/>
        <w:t>nations.</w:t>
      </w:r>
    </w:p>
    <w:p>
      <w:pPr>
        <w:pStyle w:val="BodyText"/>
        <w:spacing w:before="1"/>
        <w:rPr>
          <w:sz w:val="28"/>
        </w:rPr>
      </w:pPr>
    </w:p>
    <w:p>
      <w:pPr>
        <w:pStyle w:val="BodyText"/>
        <w:spacing w:line="357" w:lineRule="auto" w:before="1"/>
        <w:ind w:left="226" w:right="111"/>
      </w:pPr>
      <w:r>
        <w:rPr/>
        <w:t>As</w:t>
      </w:r>
      <w:r>
        <w:rPr>
          <w:spacing w:val="-10"/>
        </w:rPr>
        <w:t> </w:t>
      </w:r>
      <w:r>
        <w:rPr/>
        <w:t>the</w:t>
      </w:r>
      <w:r>
        <w:rPr>
          <w:spacing w:val="-11"/>
        </w:rPr>
        <w:t> </w:t>
      </w:r>
      <w:r>
        <w:rPr/>
        <w:t>Presidents</w:t>
      </w:r>
      <w:r>
        <w:rPr>
          <w:spacing w:val="-9"/>
        </w:rPr>
        <w:t> </w:t>
      </w:r>
      <w:r>
        <w:rPr/>
        <w:t>of</w:t>
      </w:r>
      <w:r>
        <w:rPr>
          <w:spacing w:val="-10"/>
        </w:rPr>
        <w:t> </w:t>
      </w:r>
      <w:r>
        <w:rPr/>
        <w:t>the</w:t>
      </w:r>
      <w:r>
        <w:rPr>
          <w:spacing w:val="-10"/>
        </w:rPr>
        <w:t> </w:t>
      </w:r>
      <w:r>
        <w:rPr/>
        <w:t>European</w:t>
      </w:r>
      <w:r>
        <w:rPr>
          <w:spacing w:val="-10"/>
        </w:rPr>
        <w:t> </w:t>
      </w:r>
      <w:r>
        <w:rPr/>
        <w:t>Council,</w:t>
      </w:r>
      <w:r>
        <w:rPr>
          <w:spacing w:val="-9"/>
        </w:rPr>
        <w:t> </w:t>
      </w:r>
      <w:r>
        <w:rPr/>
        <w:t>European</w:t>
      </w:r>
      <w:r>
        <w:rPr>
          <w:spacing w:val="-10"/>
        </w:rPr>
        <w:t> </w:t>
      </w:r>
      <w:r>
        <w:rPr/>
        <w:t>Commission,</w:t>
      </w:r>
      <w:r>
        <w:rPr>
          <w:spacing w:val="-10"/>
        </w:rPr>
        <w:t> </w:t>
      </w:r>
      <w:r>
        <w:rPr/>
        <w:t>Eurogroup</w:t>
      </w:r>
      <w:r>
        <w:rPr>
          <w:spacing w:val="-9"/>
        </w:rPr>
        <w:t> </w:t>
      </w:r>
      <w:r>
        <w:rPr/>
        <w:t>and</w:t>
      </w:r>
      <w:r>
        <w:rPr>
          <w:spacing w:val="-10"/>
        </w:rPr>
        <w:t> </w:t>
      </w:r>
      <w:r>
        <w:rPr/>
        <w:t>European</w:t>
      </w:r>
      <w:r>
        <w:rPr>
          <w:spacing w:val="-10"/>
        </w:rPr>
        <w:t> </w:t>
      </w:r>
      <w:r>
        <w:rPr/>
        <w:t>Central</w:t>
      </w:r>
      <w:r>
        <w:rPr>
          <w:spacing w:val="-9"/>
        </w:rPr>
        <w:t> </w:t>
      </w:r>
      <w:r>
        <w:rPr/>
        <w:t>Bank argued</w:t>
      </w:r>
      <w:r>
        <w:rPr>
          <w:spacing w:val="-8"/>
        </w:rPr>
        <w:t> </w:t>
      </w:r>
      <w:r>
        <w:rPr/>
        <w:t>in</w:t>
      </w:r>
      <w:r>
        <w:rPr>
          <w:spacing w:val="-6"/>
        </w:rPr>
        <w:t> </w:t>
      </w:r>
      <w:r>
        <w:rPr/>
        <w:t>their</w:t>
      </w:r>
      <w:r>
        <w:rPr>
          <w:spacing w:val="-7"/>
        </w:rPr>
        <w:t> </w:t>
      </w:r>
      <w:r>
        <w:rPr/>
        <w:t>report,</w:t>
      </w:r>
      <w:r>
        <w:rPr>
          <w:spacing w:val="-8"/>
        </w:rPr>
        <w:t> </w:t>
      </w:r>
      <w:r>
        <w:rPr/>
        <w:t>European</w:t>
      </w:r>
      <w:r>
        <w:rPr>
          <w:spacing w:val="-8"/>
        </w:rPr>
        <w:t> </w:t>
      </w:r>
      <w:r>
        <w:rPr/>
        <w:t>monetary</w:t>
      </w:r>
      <w:r>
        <w:rPr>
          <w:spacing w:val="-6"/>
        </w:rPr>
        <w:t> </w:t>
      </w:r>
      <w:r>
        <w:rPr/>
        <w:t>union,</w:t>
      </w:r>
      <w:r>
        <w:rPr>
          <w:spacing w:val="-6"/>
        </w:rPr>
        <w:t> </w:t>
      </w:r>
      <w:r>
        <w:rPr/>
        <w:t>which</w:t>
      </w:r>
      <w:r>
        <w:rPr>
          <w:spacing w:val="-6"/>
        </w:rPr>
        <w:t> </w:t>
      </w:r>
      <w:r>
        <w:rPr/>
        <w:t>has</w:t>
      </w:r>
      <w:r>
        <w:rPr>
          <w:spacing w:val="-9"/>
        </w:rPr>
        <w:t> </w:t>
      </w:r>
      <w:r>
        <w:rPr/>
        <w:t>so</w:t>
      </w:r>
      <w:r>
        <w:rPr>
          <w:spacing w:val="-8"/>
        </w:rPr>
        <w:t> </w:t>
      </w:r>
      <w:r>
        <w:rPr/>
        <w:t>far</w:t>
      </w:r>
      <w:r>
        <w:rPr>
          <w:spacing w:val="-7"/>
        </w:rPr>
        <w:t> </w:t>
      </w:r>
      <w:r>
        <w:rPr/>
        <w:t>relied</w:t>
      </w:r>
      <w:r>
        <w:rPr>
          <w:spacing w:val="-6"/>
        </w:rPr>
        <w:t> </w:t>
      </w:r>
      <w:r>
        <w:rPr/>
        <w:t>on</w:t>
      </w:r>
      <w:r>
        <w:rPr>
          <w:spacing w:val="-8"/>
        </w:rPr>
        <w:t> </w:t>
      </w:r>
      <w:r>
        <w:rPr/>
        <w:t>fiscal</w:t>
      </w:r>
      <w:r>
        <w:rPr>
          <w:spacing w:val="-6"/>
        </w:rPr>
        <w:t> </w:t>
      </w:r>
      <w:r>
        <w:rPr/>
        <w:t>rules,</w:t>
      </w:r>
      <w:r>
        <w:rPr>
          <w:spacing w:val="-7"/>
        </w:rPr>
        <w:t> </w:t>
      </w:r>
      <w:r>
        <w:rPr/>
        <w:t>will</w:t>
      </w:r>
      <w:r>
        <w:rPr>
          <w:spacing w:val="-6"/>
        </w:rPr>
        <w:t> </w:t>
      </w:r>
      <w:r>
        <w:rPr/>
        <w:t>not</w:t>
      </w:r>
      <w:r>
        <w:rPr>
          <w:spacing w:val="-5"/>
        </w:rPr>
        <w:t> </w:t>
      </w:r>
      <w:r>
        <w:rPr/>
        <w:t>be</w:t>
      </w:r>
      <w:r>
        <w:rPr>
          <w:spacing w:val="-7"/>
        </w:rPr>
        <w:t> </w:t>
      </w:r>
      <w:r>
        <w:rPr/>
        <w:t>complete until it builds mechanisms to share fiscal sovereignty.</w:t>
      </w:r>
      <w:r>
        <w:rPr>
          <w:vertAlign w:val="superscript"/>
        </w:rPr>
        <w:t>27</w:t>
      </w:r>
      <w:r>
        <w:rPr>
          <w:vertAlign w:val="baseline"/>
        </w:rPr>
        <w:t> Possible options range from a transfer union to a pooled employment insurance mechanism. Whatever is ultimately chosen, the degree of fiscal risk sharing will likely have to be</w:t>
      </w:r>
      <w:r>
        <w:rPr>
          <w:spacing w:val="-3"/>
          <w:vertAlign w:val="baseline"/>
        </w:rPr>
        <w:t> </w:t>
      </w:r>
      <w:r>
        <w:rPr>
          <w:vertAlign w:val="baseline"/>
        </w:rPr>
        <w:t>significant.</w:t>
      </w:r>
    </w:p>
    <w:p>
      <w:pPr>
        <w:pStyle w:val="BodyText"/>
        <w:rPr>
          <w:sz w:val="17"/>
        </w:rPr>
      </w:pPr>
      <w:r>
        <w:rPr/>
        <w:pict>
          <v:shape style="position:absolute;margin-left:79.320pt;margin-top:11.999219pt;width:135.5pt;height:.1pt;mso-position-horizontal-relative:page;mso-position-vertical-relative:paragraph;z-index:-251651072;mso-wrap-distance-left:0;mso-wrap-distance-right:0" coordorigin="1586,240" coordsize="2710,0" path="m1586,240l4296,240e" filled="false" stroked="true" strokeweight=".48001pt" strokecolor="#000000">
            <v:path arrowok="t"/>
            <v:stroke dashstyle="solid"/>
            <w10:wrap type="topAndBottom"/>
          </v:shape>
        </w:pict>
      </w:r>
    </w:p>
    <w:p>
      <w:pPr>
        <w:spacing w:line="185" w:lineRule="exact" w:before="26"/>
        <w:ind w:left="226" w:right="0" w:firstLine="0"/>
        <w:jc w:val="left"/>
        <w:rPr>
          <w:sz w:val="15"/>
        </w:rPr>
      </w:pPr>
      <w:r>
        <w:rPr>
          <w:position w:val="8"/>
          <w:sz w:val="9"/>
        </w:rPr>
        <w:t>24 </w:t>
      </w:r>
      <w:r>
        <w:rPr>
          <w:sz w:val="15"/>
        </w:rPr>
        <w:t>This refers to a fall in output relative to potential output. See Chamberlin et al (2013).</w:t>
      </w:r>
    </w:p>
    <w:p>
      <w:pPr>
        <w:spacing w:line="173" w:lineRule="exact" w:before="0"/>
        <w:ind w:left="226" w:right="0" w:firstLine="0"/>
        <w:jc w:val="left"/>
        <w:rPr>
          <w:sz w:val="15"/>
        </w:rPr>
      </w:pPr>
      <w:r>
        <w:rPr>
          <w:position w:val="8"/>
          <w:sz w:val="9"/>
        </w:rPr>
        <w:t>25 </w:t>
      </w:r>
      <w:r>
        <w:rPr>
          <w:sz w:val="15"/>
        </w:rPr>
        <w:t>These estimates are reported in Melitz and Zumer (2002).</w:t>
      </w:r>
    </w:p>
    <w:p>
      <w:pPr>
        <w:spacing w:line="172" w:lineRule="exact" w:before="15"/>
        <w:ind w:left="226" w:right="0" w:firstLine="0"/>
        <w:jc w:val="left"/>
        <w:rPr>
          <w:sz w:val="15"/>
        </w:rPr>
      </w:pPr>
      <w:r>
        <w:rPr>
          <w:position w:val="8"/>
          <w:sz w:val="9"/>
        </w:rPr>
        <w:t>26 </w:t>
      </w:r>
      <w:r>
        <w:rPr>
          <w:sz w:val="15"/>
        </w:rPr>
        <w:t>The Delors Committee (1989) report, which provided the foundation for monetary union in Europe, recognised that market discipline would not be sufficient to ensure that participating countries followed sound fiscal policies, and that fiscal constraints would therefore be</w:t>
      </w:r>
    </w:p>
    <w:p>
      <w:pPr>
        <w:spacing w:before="0"/>
        <w:ind w:left="226" w:right="0" w:firstLine="0"/>
        <w:jc w:val="left"/>
        <w:rPr>
          <w:sz w:val="15"/>
        </w:rPr>
      </w:pPr>
      <w:r>
        <w:rPr>
          <w:sz w:val="15"/>
        </w:rPr>
        <w:t>required. Beetsma and Uhlig (1999) provide a formal motivation for the resulting stability and growth pact as a device to internalise the costs of inflation that might otherwise result from imprudent fiscal policies. See also Chari and Kehoe (2007). Recent experience demonstrates that over-indebtedness can also have costly spillovers through financial crises.</w:t>
      </w:r>
    </w:p>
    <w:p>
      <w:pPr>
        <w:spacing w:line="175" w:lineRule="exact" w:before="0"/>
        <w:ind w:left="226" w:right="0" w:firstLine="0"/>
        <w:jc w:val="left"/>
        <w:rPr>
          <w:sz w:val="15"/>
        </w:rPr>
      </w:pPr>
      <w:r>
        <w:rPr>
          <w:position w:val="8"/>
          <w:sz w:val="9"/>
        </w:rPr>
        <w:t>27 </w:t>
      </w:r>
      <w:r>
        <w:rPr>
          <w:sz w:val="15"/>
        </w:rPr>
        <w:t>See Barroso et al (2012).</w:t>
      </w:r>
    </w:p>
    <w:p>
      <w:pPr>
        <w:spacing w:after="0" w:line="175" w:lineRule="exact"/>
        <w:jc w:val="left"/>
        <w:rPr>
          <w:sz w:val="15"/>
        </w:rPr>
        <w:sectPr>
          <w:footerReference w:type="default" r:id="rId14"/>
          <w:pgSz w:w="12240" w:h="15840"/>
          <w:pgMar w:footer="1240" w:header="0" w:top="1280" w:bottom="1440" w:left="1360" w:right="1480"/>
          <w:pgNumType w:start="9"/>
        </w:sectPr>
      </w:pPr>
    </w:p>
    <w:p>
      <w:pPr>
        <w:pStyle w:val="BodyText"/>
        <w:spacing w:line="357" w:lineRule="auto" w:before="72"/>
        <w:ind w:left="226" w:right="166"/>
        <w:jc w:val="both"/>
      </w:pPr>
      <w:r>
        <w:rPr/>
        <w:t>Similarly,</w:t>
      </w:r>
      <w:r>
        <w:rPr>
          <w:spacing w:val="-8"/>
        </w:rPr>
        <w:t> </w:t>
      </w:r>
      <w:r>
        <w:rPr/>
        <w:t>in</w:t>
      </w:r>
      <w:r>
        <w:rPr>
          <w:spacing w:val="-8"/>
        </w:rPr>
        <w:t> </w:t>
      </w:r>
      <w:r>
        <w:rPr/>
        <w:t>a</w:t>
      </w:r>
      <w:r>
        <w:rPr>
          <w:spacing w:val="-8"/>
        </w:rPr>
        <w:t> </w:t>
      </w:r>
      <w:r>
        <w:rPr/>
        <w:t>monetary</w:t>
      </w:r>
      <w:r>
        <w:rPr>
          <w:spacing w:val="-8"/>
        </w:rPr>
        <w:t> </w:t>
      </w:r>
      <w:r>
        <w:rPr/>
        <w:t>union</w:t>
      </w:r>
      <w:r>
        <w:rPr>
          <w:spacing w:val="-7"/>
        </w:rPr>
        <w:t> </w:t>
      </w:r>
      <w:r>
        <w:rPr/>
        <w:t>between</w:t>
      </w:r>
      <w:r>
        <w:rPr>
          <w:spacing w:val="-8"/>
        </w:rPr>
        <w:t> </w:t>
      </w:r>
      <w:r>
        <w:rPr/>
        <w:t>an</w:t>
      </w:r>
      <w:r>
        <w:rPr>
          <w:spacing w:val="-8"/>
        </w:rPr>
        <w:t> </w:t>
      </w:r>
      <w:r>
        <w:rPr/>
        <w:t>independent</w:t>
      </w:r>
      <w:r>
        <w:rPr>
          <w:spacing w:val="-9"/>
        </w:rPr>
        <w:t> </w:t>
      </w:r>
      <w:r>
        <w:rPr/>
        <w:t>Scotland</w:t>
      </w:r>
      <w:r>
        <w:rPr>
          <w:spacing w:val="-8"/>
        </w:rPr>
        <w:t> </w:t>
      </w:r>
      <w:r>
        <w:rPr/>
        <w:t>and</w:t>
      </w:r>
      <w:r>
        <w:rPr>
          <w:spacing w:val="-8"/>
        </w:rPr>
        <w:t> </w:t>
      </w:r>
      <w:r>
        <w:rPr/>
        <w:t>the</w:t>
      </w:r>
      <w:r>
        <w:rPr>
          <w:spacing w:val="-9"/>
        </w:rPr>
        <w:t> </w:t>
      </w:r>
      <w:r>
        <w:rPr/>
        <w:t>rest</w:t>
      </w:r>
      <w:r>
        <w:rPr>
          <w:spacing w:val="-6"/>
        </w:rPr>
        <w:t> </w:t>
      </w:r>
      <w:r>
        <w:rPr/>
        <w:t>of</w:t>
      </w:r>
      <w:r>
        <w:rPr>
          <w:spacing w:val="-8"/>
        </w:rPr>
        <w:t> </w:t>
      </w:r>
      <w:r>
        <w:rPr/>
        <w:t>the</w:t>
      </w:r>
      <w:r>
        <w:rPr>
          <w:spacing w:val="-8"/>
        </w:rPr>
        <w:t> </w:t>
      </w:r>
      <w:r>
        <w:rPr/>
        <w:t>UK</w:t>
      </w:r>
      <w:r>
        <w:rPr>
          <w:spacing w:val="-8"/>
        </w:rPr>
        <w:t> </w:t>
      </w:r>
      <w:r>
        <w:rPr/>
        <w:t>the</w:t>
      </w:r>
      <w:r>
        <w:rPr>
          <w:spacing w:val="-8"/>
        </w:rPr>
        <w:t> </w:t>
      </w:r>
      <w:r>
        <w:rPr/>
        <w:t>two</w:t>
      </w:r>
      <w:r>
        <w:rPr>
          <w:spacing w:val="-7"/>
        </w:rPr>
        <w:t> </w:t>
      </w:r>
      <w:r>
        <w:rPr/>
        <w:t>Parliaments would</w:t>
      </w:r>
      <w:r>
        <w:rPr>
          <w:spacing w:val="-10"/>
        </w:rPr>
        <w:t> </w:t>
      </w:r>
      <w:r>
        <w:rPr/>
        <w:t>have</w:t>
      </w:r>
      <w:r>
        <w:rPr>
          <w:spacing w:val="-10"/>
        </w:rPr>
        <w:t> </w:t>
      </w:r>
      <w:r>
        <w:rPr/>
        <w:t>to</w:t>
      </w:r>
      <w:r>
        <w:rPr>
          <w:spacing w:val="-10"/>
        </w:rPr>
        <w:t> </w:t>
      </w:r>
      <w:r>
        <w:rPr/>
        <w:t>agree</w:t>
      </w:r>
      <w:r>
        <w:rPr>
          <w:spacing w:val="-9"/>
        </w:rPr>
        <w:t> </w:t>
      </w:r>
      <w:r>
        <w:rPr/>
        <w:t>on</w:t>
      </w:r>
      <w:r>
        <w:rPr>
          <w:spacing w:val="-9"/>
        </w:rPr>
        <w:t> </w:t>
      </w:r>
      <w:r>
        <w:rPr/>
        <w:t>whether</w:t>
      </w:r>
      <w:r>
        <w:rPr>
          <w:spacing w:val="-9"/>
        </w:rPr>
        <w:t> </w:t>
      </w:r>
      <w:r>
        <w:rPr/>
        <w:t>fiscal</w:t>
      </w:r>
      <w:r>
        <w:rPr>
          <w:spacing w:val="-9"/>
        </w:rPr>
        <w:t> </w:t>
      </w:r>
      <w:r>
        <w:rPr/>
        <w:t>rules</w:t>
      </w:r>
      <w:r>
        <w:rPr>
          <w:spacing w:val="-6"/>
        </w:rPr>
        <w:t> </w:t>
      </w:r>
      <w:r>
        <w:rPr/>
        <w:t>were</w:t>
      </w:r>
      <w:r>
        <w:rPr>
          <w:spacing w:val="-10"/>
        </w:rPr>
        <w:t> </w:t>
      </w:r>
      <w:r>
        <w:rPr/>
        <w:t>sufficient</w:t>
      </w:r>
      <w:r>
        <w:rPr>
          <w:spacing w:val="-7"/>
        </w:rPr>
        <w:t> </w:t>
      </w:r>
      <w:r>
        <w:rPr/>
        <w:t>or</w:t>
      </w:r>
      <w:r>
        <w:rPr>
          <w:spacing w:val="-9"/>
        </w:rPr>
        <w:t> </w:t>
      </w:r>
      <w:r>
        <w:rPr/>
        <w:t>whether</w:t>
      </w:r>
      <w:r>
        <w:rPr>
          <w:spacing w:val="-9"/>
        </w:rPr>
        <w:t> </w:t>
      </w:r>
      <w:r>
        <w:rPr/>
        <w:t>similar</w:t>
      </w:r>
      <w:r>
        <w:rPr>
          <w:spacing w:val="-9"/>
        </w:rPr>
        <w:t> </w:t>
      </w:r>
      <w:r>
        <w:rPr/>
        <w:t>risk-sharing</w:t>
      </w:r>
      <w:r>
        <w:rPr>
          <w:spacing w:val="-10"/>
        </w:rPr>
        <w:t> </w:t>
      </w:r>
      <w:r>
        <w:rPr/>
        <w:t>mechanisms</w:t>
      </w:r>
      <w:r>
        <w:rPr>
          <w:spacing w:val="-7"/>
        </w:rPr>
        <w:t> </w:t>
      </w:r>
      <w:r>
        <w:rPr/>
        <w:t>were necessary.</w:t>
      </w:r>
    </w:p>
    <w:p>
      <w:pPr>
        <w:pStyle w:val="BodyText"/>
        <w:spacing w:before="9"/>
        <w:rPr>
          <w:sz w:val="27"/>
        </w:rPr>
      </w:pPr>
    </w:p>
    <w:p>
      <w:pPr>
        <w:pStyle w:val="Heading1"/>
        <w:spacing w:before="1"/>
      </w:pPr>
      <w:r>
        <w:rPr/>
        <w:t>Conclusion</w:t>
      </w:r>
    </w:p>
    <w:p>
      <w:pPr>
        <w:pStyle w:val="BodyText"/>
        <w:rPr>
          <w:b/>
          <w:sz w:val="20"/>
        </w:rPr>
      </w:pPr>
    </w:p>
    <w:p>
      <w:pPr>
        <w:pStyle w:val="BodyText"/>
        <w:spacing w:before="6"/>
        <w:rPr>
          <w:b/>
          <w:sz w:val="17"/>
        </w:rPr>
      </w:pPr>
    </w:p>
    <w:p>
      <w:pPr>
        <w:pStyle w:val="BodyText"/>
        <w:spacing w:line="357" w:lineRule="auto"/>
        <w:ind w:left="226" w:right="155"/>
      </w:pPr>
      <w:r>
        <w:rPr/>
        <w:t>The</w:t>
      </w:r>
      <w:r>
        <w:rPr>
          <w:spacing w:val="-9"/>
        </w:rPr>
        <w:t> </w:t>
      </w:r>
      <w:r>
        <w:rPr/>
        <w:t>Scottish</w:t>
      </w:r>
      <w:r>
        <w:rPr>
          <w:spacing w:val="-9"/>
        </w:rPr>
        <w:t> </w:t>
      </w:r>
      <w:r>
        <w:rPr/>
        <w:t>government</w:t>
      </w:r>
      <w:r>
        <w:rPr>
          <w:spacing w:val="-6"/>
        </w:rPr>
        <w:t> </w:t>
      </w:r>
      <w:r>
        <w:rPr/>
        <w:t>has</w:t>
      </w:r>
      <w:r>
        <w:rPr>
          <w:spacing w:val="-7"/>
        </w:rPr>
        <w:t> </w:t>
      </w:r>
      <w:r>
        <w:rPr/>
        <w:t>stated</w:t>
      </w:r>
      <w:r>
        <w:rPr>
          <w:spacing w:val="-9"/>
        </w:rPr>
        <w:t> </w:t>
      </w:r>
      <w:r>
        <w:rPr/>
        <w:t>that</w:t>
      </w:r>
      <w:r>
        <w:rPr>
          <w:spacing w:val="-8"/>
        </w:rPr>
        <w:t> </w:t>
      </w:r>
      <w:r>
        <w:rPr/>
        <w:t>in</w:t>
      </w:r>
      <w:r>
        <w:rPr>
          <w:spacing w:val="-8"/>
        </w:rPr>
        <w:t> </w:t>
      </w:r>
      <w:r>
        <w:rPr/>
        <w:t>the</w:t>
      </w:r>
      <w:r>
        <w:rPr>
          <w:spacing w:val="-8"/>
        </w:rPr>
        <w:t> </w:t>
      </w:r>
      <w:r>
        <w:rPr/>
        <w:t>event</w:t>
      </w:r>
      <w:r>
        <w:rPr>
          <w:spacing w:val="-8"/>
        </w:rPr>
        <w:t> </w:t>
      </w:r>
      <w:r>
        <w:rPr/>
        <w:t>of</w:t>
      </w:r>
      <w:r>
        <w:rPr>
          <w:spacing w:val="-6"/>
        </w:rPr>
        <w:t> </w:t>
      </w:r>
      <w:r>
        <w:rPr/>
        <w:t>independence</w:t>
      </w:r>
      <w:r>
        <w:rPr>
          <w:spacing w:val="-8"/>
        </w:rPr>
        <w:t> </w:t>
      </w:r>
      <w:r>
        <w:rPr/>
        <w:t>it</w:t>
      </w:r>
      <w:r>
        <w:rPr>
          <w:spacing w:val="-8"/>
        </w:rPr>
        <w:t> </w:t>
      </w:r>
      <w:r>
        <w:rPr/>
        <w:t>would</w:t>
      </w:r>
      <w:r>
        <w:rPr>
          <w:spacing w:val="-8"/>
        </w:rPr>
        <w:t> </w:t>
      </w:r>
      <w:r>
        <w:rPr/>
        <w:t>seek</w:t>
      </w:r>
      <w:r>
        <w:rPr>
          <w:spacing w:val="-7"/>
        </w:rPr>
        <w:t> </w:t>
      </w:r>
      <w:r>
        <w:rPr/>
        <w:t>to</w:t>
      </w:r>
      <w:r>
        <w:rPr>
          <w:spacing w:val="-8"/>
        </w:rPr>
        <w:t> </w:t>
      </w:r>
      <w:r>
        <w:rPr/>
        <w:t>retain</w:t>
      </w:r>
      <w:r>
        <w:rPr>
          <w:spacing w:val="-6"/>
        </w:rPr>
        <w:t> </w:t>
      </w:r>
      <w:r>
        <w:rPr/>
        <w:t>sterling</w:t>
      </w:r>
      <w:r>
        <w:rPr>
          <w:spacing w:val="-8"/>
        </w:rPr>
        <w:t> </w:t>
      </w:r>
      <w:r>
        <w:rPr/>
        <w:t>as</w:t>
      </w:r>
      <w:r>
        <w:rPr>
          <w:spacing w:val="-7"/>
        </w:rPr>
        <w:t> </w:t>
      </w:r>
      <w:r>
        <w:rPr/>
        <w:t>part of a formal currency union. All aspects of any such arrangement would be a matter for the Scottish and UK Parliaments. If such deliberations ever were to happen, they would need to consider carefully what the economics of currency unions suggest are the necessary foundations for a durable union, particularly given the clear risks if these foundations are not in</w:t>
      </w:r>
      <w:r>
        <w:rPr>
          <w:spacing w:val="-11"/>
        </w:rPr>
        <w:t> </w:t>
      </w:r>
      <w:r>
        <w:rPr/>
        <w:t>place.</w:t>
      </w:r>
    </w:p>
    <w:p>
      <w:pPr>
        <w:pStyle w:val="BodyText"/>
        <w:spacing w:before="9"/>
        <w:rPr>
          <w:sz w:val="27"/>
        </w:rPr>
      </w:pPr>
    </w:p>
    <w:p>
      <w:pPr>
        <w:pStyle w:val="BodyText"/>
        <w:spacing w:line="357" w:lineRule="auto" w:before="1"/>
        <w:ind w:left="226" w:right="135"/>
      </w:pPr>
      <w:r>
        <w:rPr/>
        <w:t>Those risks have been demonstrated clearly in the euro area over recent years, with sovereign debt crises, financial fragmentation and large divergences in economic performance. The euro area is now beginning to rectify</w:t>
      </w:r>
      <w:r>
        <w:rPr>
          <w:spacing w:val="-9"/>
        </w:rPr>
        <w:t> </w:t>
      </w:r>
      <w:r>
        <w:rPr/>
        <w:t>its</w:t>
      </w:r>
      <w:r>
        <w:rPr>
          <w:spacing w:val="-8"/>
        </w:rPr>
        <w:t> </w:t>
      </w:r>
      <w:r>
        <w:rPr/>
        <w:t>institutional</w:t>
      </w:r>
      <w:r>
        <w:rPr>
          <w:spacing w:val="-9"/>
        </w:rPr>
        <w:t> </w:t>
      </w:r>
      <w:r>
        <w:rPr/>
        <w:t>shortcomings,</w:t>
      </w:r>
      <w:r>
        <w:rPr>
          <w:spacing w:val="-9"/>
        </w:rPr>
        <w:t> </w:t>
      </w:r>
      <w:r>
        <w:rPr/>
        <w:t>but</w:t>
      </w:r>
      <w:r>
        <w:rPr>
          <w:spacing w:val="-8"/>
        </w:rPr>
        <w:t> </w:t>
      </w:r>
      <w:r>
        <w:rPr/>
        <w:t>further,</w:t>
      </w:r>
      <w:r>
        <w:rPr>
          <w:spacing w:val="-7"/>
        </w:rPr>
        <w:t> </w:t>
      </w:r>
      <w:r>
        <w:rPr/>
        <w:t>very</w:t>
      </w:r>
      <w:r>
        <w:rPr>
          <w:spacing w:val="-8"/>
        </w:rPr>
        <w:t> </w:t>
      </w:r>
      <w:r>
        <w:rPr/>
        <w:t>significant</w:t>
      </w:r>
      <w:r>
        <w:rPr>
          <w:spacing w:val="-9"/>
        </w:rPr>
        <w:t> </w:t>
      </w:r>
      <w:r>
        <w:rPr/>
        <w:t>steps</w:t>
      </w:r>
      <w:r>
        <w:rPr>
          <w:spacing w:val="-8"/>
        </w:rPr>
        <w:t> </w:t>
      </w:r>
      <w:r>
        <w:rPr/>
        <w:t>must</w:t>
      </w:r>
      <w:r>
        <w:rPr>
          <w:spacing w:val="-9"/>
        </w:rPr>
        <w:t> </w:t>
      </w:r>
      <w:r>
        <w:rPr/>
        <w:t>be</w:t>
      </w:r>
      <w:r>
        <w:rPr>
          <w:spacing w:val="-9"/>
        </w:rPr>
        <w:t> </w:t>
      </w:r>
      <w:r>
        <w:rPr/>
        <w:t>taken</w:t>
      </w:r>
      <w:r>
        <w:rPr>
          <w:spacing w:val="-8"/>
        </w:rPr>
        <w:t> </w:t>
      </w:r>
      <w:r>
        <w:rPr/>
        <w:t>to</w:t>
      </w:r>
      <w:r>
        <w:rPr>
          <w:spacing w:val="-9"/>
        </w:rPr>
        <w:t> </w:t>
      </w:r>
      <w:r>
        <w:rPr/>
        <w:t>expand</w:t>
      </w:r>
      <w:r>
        <w:rPr>
          <w:spacing w:val="-9"/>
        </w:rPr>
        <w:t> </w:t>
      </w:r>
      <w:r>
        <w:rPr/>
        <w:t>the</w:t>
      </w:r>
      <w:r>
        <w:rPr>
          <w:spacing w:val="-10"/>
        </w:rPr>
        <w:t> </w:t>
      </w:r>
      <w:r>
        <w:rPr/>
        <w:t>sharing</w:t>
      </w:r>
      <w:r>
        <w:rPr>
          <w:spacing w:val="-9"/>
        </w:rPr>
        <w:t> </w:t>
      </w:r>
      <w:r>
        <w:rPr/>
        <w:t>of risks and pooling of fiscal resources. In short, a durable, successful currency union requires some ceding of national</w:t>
      </w:r>
      <w:r>
        <w:rPr>
          <w:spacing w:val="-2"/>
        </w:rPr>
        <w:t> </w:t>
      </w:r>
      <w:r>
        <w:rPr/>
        <w:t>sovereignty.</w:t>
      </w:r>
    </w:p>
    <w:p>
      <w:pPr>
        <w:pStyle w:val="BodyText"/>
        <w:spacing w:before="9"/>
        <w:rPr>
          <w:sz w:val="27"/>
        </w:rPr>
      </w:pPr>
    </w:p>
    <w:p>
      <w:pPr>
        <w:pStyle w:val="BodyText"/>
        <w:spacing w:line="355" w:lineRule="auto"/>
        <w:ind w:left="226"/>
      </w:pPr>
      <w:r>
        <w:rPr/>
        <w:t>It</w:t>
      </w:r>
      <w:r>
        <w:rPr>
          <w:spacing w:val="-9"/>
        </w:rPr>
        <w:t> </w:t>
      </w:r>
      <w:r>
        <w:rPr/>
        <w:t>is</w:t>
      </w:r>
      <w:r>
        <w:rPr>
          <w:spacing w:val="-8"/>
        </w:rPr>
        <w:t> </w:t>
      </w:r>
      <w:r>
        <w:rPr/>
        <w:t>likely</w:t>
      </w:r>
      <w:r>
        <w:rPr>
          <w:spacing w:val="-9"/>
        </w:rPr>
        <w:t> </w:t>
      </w:r>
      <w:r>
        <w:rPr/>
        <w:t>that</w:t>
      </w:r>
      <w:r>
        <w:rPr>
          <w:spacing w:val="-9"/>
        </w:rPr>
        <w:t> </w:t>
      </w:r>
      <w:r>
        <w:rPr/>
        <w:t>similar</w:t>
      </w:r>
      <w:r>
        <w:rPr>
          <w:spacing w:val="-8"/>
        </w:rPr>
        <w:t> </w:t>
      </w:r>
      <w:r>
        <w:rPr/>
        <w:t>institutional</w:t>
      </w:r>
      <w:r>
        <w:rPr>
          <w:spacing w:val="-9"/>
        </w:rPr>
        <w:t> </w:t>
      </w:r>
      <w:r>
        <w:rPr/>
        <w:t>arrangements</w:t>
      </w:r>
      <w:r>
        <w:rPr>
          <w:spacing w:val="-8"/>
        </w:rPr>
        <w:t> </w:t>
      </w:r>
      <w:r>
        <w:rPr/>
        <w:t>would</w:t>
      </w:r>
      <w:r>
        <w:rPr>
          <w:spacing w:val="-9"/>
        </w:rPr>
        <w:t> </w:t>
      </w:r>
      <w:r>
        <w:rPr/>
        <w:t>be</w:t>
      </w:r>
      <w:r>
        <w:rPr>
          <w:spacing w:val="-8"/>
        </w:rPr>
        <w:t> </w:t>
      </w:r>
      <w:r>
        <w:rPr/>
        <w:t>necessary</w:t>
      </w:r>
      <w:r>
        <w:rPr>
          <w:spacing w:val="-8"/>
        </w:rPr>
        <w:t> </w:t>
      </w:r>
      <w:r>
        <w:rPr/>
        <w:t>to</w:t>
      </w:r>
      <w:r>
        <w:rPr>
          <w:spacing w:val="-11"/>
        </w:rPr>
        <w:t> </w:t>
      </w:r>
      <w:r>
        <w:rPr/>
        <w:t>support</w:t>
      </w:r>
      <w:r>
        <w:rPr>
          <w:spacing w:val="-7"/>
        </w:rPr>
        <w:t> </w:t>
      </w:r>
      <w:r>
        <w:rPr/>
        <w:t>a</w:t>
      </w:r>
      <w:r>
        <w:rPr>
          <w:spacing w:val="-9"/>
        </w:rPr>
        <w:t> </w:t>
      </w:r>
      <w:r>
        <w:rPr/>
        <w:t>monetary</w:t>
      </w:r>
      <w:r>
        <w:rPr>
          <w:spacing w:val="-8"/>
        </w:rPr>
        <w:t> </w:t>
      </w:r>
      <w:r>
        <w:rPr/>
        <w:t>union</w:t>
      </w:r>
      <w:r>
        <w:rPr>
          <w:spacing w:val="-8"/>
        </w:rPr>
        <w:t> </w:t>
      </w:r>
      <w:r>
        <w:rPr/>
        <w:t>between</w:t>
      </w:r>
      <w:r>
        <w:rPr>
          <w:spacing w:val="-9"/>
        </w:rPr>
        <w:t> </w:t>
      </w:r>
      <w:r>
        <w:rPr/>
        <w:t>an independent Scotland and the rest of the</w:t>
      </w:r>
      <w:r>
        <w:rPr>
          <w:spacing w:val="-11"/>
        </w:rPr>
        <w:t> </w:t>
      </w:r>
      <w:r>
        <w:rPr/>
        <w:t>UK.</w:t>
      </w:r>
    </w:p>
    <w:p>
      <w:pPr>
        <w:pStyle w:val="BodyText"/>
        <w:spacing w:before="4"/>
        <w:rPr>
          <w:sz w:val="28"/>
        </w:rPr>
      </w:pPr>
    </w:p>
    <w:p>
      <w:pPr>
        <w:pStyle w:val="BodyText"/>
        <w:spacing w:line="355" w:lineRule="auto"/>
        <w:ind w:left="226"/>
      </w:pPr>
      <w:r>
        <w:rPr/>
        <w:t>I suspect you have reached your limits of endurance of the dismal science, so you’ll be relieved to know that economics can take us no further. Decisions that cede sovereignty and limit autonomy are rightly choices for elected governments and involve considerations beyond mere economics. For those considerations, others are better placed to comment.</w:t>
      </w:r>
    </w:p>
    <w:p>
      <w:pPr>
        <w:spacing w:after="0" w:line="355" w:lineRule="auto"/>
        <w:sectPr>
          <w:pgSz w:w="12240" w:h="15840"/>
          <w:pgMar w:header="0" w:footer="1240" w:top="1280" w:bottom="1440" w:left="1360" w:right="1480"/>
        </w:sectPr>
      </w:pPr>
    </w:p>
    <w:p>
      <w:pPr>
        <w:spacing w:before="81"/>
        <w:ind w:left="226" w:right="0" w:firstLine="0"/>
        <w:jc w:val="left"/>
        <w:rPr>
          <w:b/>
          <w:sz w:val="22"/>
        </w:rPr>
      </w:pPr>
      <w:r>
        <w:rPr>
          <w:b/>
          <w:w w:val="105"/>
          <w:sz w:val="22"/>
        </w:rPr>
        <w:t>References</w:t>
      </w:r>
    </w:p>
    <w:p>
      <w:pPr>
        <w:pStyle w:val="BodyText"/>
        <w:spacing w:before="8"/>
        <w:rPr>
          <w:b/>
          <w:sz w:val="27"/>
        </w:rPr>
      </w:pPr>
    </w:p>
    <w:p>
      <w:pPr>
        <w:pStyle w:val="BodyText"/>
        <w:spacing w:line="237" w:lineRule="auto"/>
        <w:ind w:left="226"/>
      </w:pPr>
      <w:r>
        <w:rPr/>
        <w:t>Adrian,</w:t>
      </w:r>
      <w:r>
        <w:rPr>
          <w:spacing w:val="-7"/>
        </w:rPr>
        <w:t> </w:t>
      </w:r>
      <w:r>
        <w:rPr/>
        <w:t>T.,</w:t>
      </w:r>
      <w:r>
        <w:rPr>
          <w:spacing w:val="-7"/>
        </w:rPr>
        <w:t> </w:t>
      </w:r>
      <w:r>
        <w:rPr/>
        <w:t>and</w:t>
      </w:r>
      <w:r>
        <w:rPr>
          <w:spacing w:val="-8"/>
        </w:rPr>
        <w:t> </w:t>
      </w:r>
      <w:r>
        <w:rPr/>
        <w:t>D.</w:t>
      </w:r>
      <w:r>
        <w:rPr>
          <w:spacing w:val="-7"/>
        </w:rPr>
        <w:t> </w:t>
      </w:r>
      <w:r>
        <w:rPr/>
        <w:t>Gros</w:t>
      </w:r>
      <w:r>
        <w:rPr>
          <w:spacing w:val="-8"/>
        </w:rPr>
        <w:t> </w:t>
      </w:r>
      <w:r>
        <w:rPr/>
        <w:t>(2004),</w:t>
      </w:r>
      <w:r>
        <w:rPr>
          <w:spacing w:val="-7"/>
        </w:rPr>
        <w:t> </w:t>
      </w:r>
      <w:r>
        <w:rPr/>
        <w:t>“The</w:t>
      </w:r>
      <w:r>
        <w:rPr>
          <w:spacing w:val="-8"/>
        </w:rPr>
        <w:t> </w:t>
      </w:r>
      <w:r>
        <w:rPr/>
        <w:t>degree</w:t>
      </w:r>
      <w:r>
        <w:rPr>
          <w:spacing w:val="-7"/>
        </w:rPr>
        <w:t> </w:t>
      </w:r>
      <w:r>
        <w:rPr/>
        <w:t>of</w:t>
      </w:r>
      <w:r>
        <w:rPr>
          <w:spacing w:val="-6"/>
        </w:rPr>
        <w:t> </w:t>
      </w:r>
      <w:r>
        <w:rPr/>
        <w:t>openness</w:t>
      </w:r>
      <w:r>
        <w:rPr>
          <w:spacing w:val="-7"/>
        </w:rPr>
        <w:t> </w:t>
      </w:r>
      <w:r>
        <w:rPr/>
        <w:t>and</w:t>
      </w:r>
      <w:r>
        <w:rPr>
          <w:spacing w:val="-8"/>
        </w:rPr>
        <w:t> </w:t>
      </w:r>
      <w:r>
        <w:rPr/>
        <w:t>the</w:t>
      </w:r>
      <w:r>
        <w:rPr>
          <w:spacing w:val="-9"/>
        </w:rPr>
        <w:t> </w:t>
      </w:r>
      <w:r>
        <w:rPr/>
        <w:t>cost</w:t>
      </w:r>
      <w:r>
        <w:rPr>
          <w:spacing w:val="-6"/>
        </w:rPr>
        <w:t> </w:t>
      </w:r>
      <w:r>
        <w:rPr/>
        <w:t>of</w:t>
      </w:r>
      <w:r>
        <w:rPr>
          <w:spacing w:val="-9"/>
        </w:rPr>
        <w:t> </w:t>
      </w:r>
      <w:r>
        <w:rPr/>
        <w:t>fixing</w:t>
      </w:r>
      <w:r>
        <w:rPr>
          <w:spacing w:val="-7"/>
        </w:rPr>
        <w:t> </w:t>
      </w:r>
      <w:r>
        <w:rPr/>
        <w:t>exchange</w:t>
      </w:r>
      <w:r>
        <w:rPr>
          <w:spacing w:val="-9"/>
        </w:rPr>
        <w:t> </w:t>
      </w:r>
      <w:r>
        <w:rPr/>
        <w:t>rate”,</w:t>
      </w:r>
      <w:r>
        <w:rPr>
          <w:spacing w:val="-6"/>
        </w:rPr>
        <w:t> </w:t>
      </w:r>
      <w:r>
        <w:rPr>
          <w:i/>
        </w:rPr>
        <w:t>Economics </w:t>
      </w:r>
      <w:r>
        <w:rPr>
          <w:i/>
        </w:rPr>
        <w:t>Letters</w:t>
      </w:r>
      <w:r>
        <w:rPr/>
        <w:t>, Vol. 83, Issue 1, Apr, pp</w:t>
      </w:r>
      <w:r>
        <w:rPr>
          <w:spacing w:val="-10"/>
        </w:rPr>
        <w:t> </w:t>
      </w:r>
      <w:r>
        <w:rPr/>
        <w:t>141–146.</w:t>
      </w:r>
    </w:p>
    <w:p>
      <w:pPr>
        <w:pStyle w:val="BodyText"/>
        <w:spacing w:before="10"/>
        <w:rPr>
          <w:sz w:val="18"/>
        </w:rPr>
      </w:pPr>
    </w:p>
    <w:p>
      <w:pPr>
        <w:pStyle w:val="BodyText"/>
        <w:spacing w:line="237" w:lineRule="auto"/>
        <w:ind w:left="226" w:right="724"/>
      </w:pPr>
      <w:r>
        <w:rPr/>
        <w:t>Asdrubali, P., B. Sorensen and O. Yosha (1996), “Channels of Interstate Risk Sharing: United States 1963-1990”, </w:t>
      </w:r>
      <w:r>
        <w:rPr>
          <w:i/>
        </w:rPr>
        <w:t>Quarterly Journal of Economics</w:t>
      </w:r>
      <w:r>
        <w:rPr/>
        <w:t>, CXI, Nov: pp 1081-1110.</w:t>
      </w:r>
    </w:p>
    <w:p>
      <w:pPr>
        <w:pStyle w:val="BodyText"/>
        <w:spacing w:before="9"/>
        <w:rPr>
          <w:sz w:val="18"/>
        </w:rPr>
      </w:pPr>
    </w:p>
    <w:p>
      <w:pPr>
        <w:pStyle w:val="BodyText"/>
        <w:spacing w:line="237" w:lineRule="auto" w:before="1"/>
        <w:ind w:left="226" w:right="747"/>
      </w:pPr>
      <w:r>
        <w:rPr/>
        <w:t>Barroso, J., M. Draghi, J-C. Juncker and H. Van Rompuy (2012), “Towards a genuine economic and monetary union”, available at </w:t>
      </w:r>
      <w:hyperlink r:id="rId15">
        <w:r>
          <w:rPr>
            <w:color w:val="0000FF"/>
            <w:u w:val="single" w:color="0000FF"/>
          </w:rPr>
          <w:t>http://www.consilium.europa.eu/uedocs/cms_Data/docs/pressdata/en/ec/134069.pdf</w:t>
        </w:r>
        <w:r>
          <w:rPr/>
          <w:t>.</w:t>
        </w:r>
      </w:hyperlink>
    </w:p>
    <w:p>
      <w:pPr>
        <w:pStyle w:val="BodyText"/>
        <w:spacing w:before="7"/>
        <w:rPr>
          <w:sz w:val="10"/>
        </w:rPr>
      </w:pPr>
    </w:p>
    <w:p>
      <w:pPr>
        <w:spacing w:before="92"/>
        <w:ind w:left="226" w:right="111" w:firstLine="0"/>
        <w:jc w:val="left"/>
        <w:rPr>
          <w:sz w:val="19"/>
        </w:rPr>
      </w:pPr>
      <w:r>
        <w:rPr>
          <w:sz w:val="19"/>
        </w:rPr>
        <w:t>Bean,</w:t>
      </w:r>
      <w:r>
        <w:rPr>
          <w:spacing w:val="-9"/>
          <w:sz w:val="19"/>
        </w:rPr>
        <w:t> </w:t>
      </w:r>
      <w:r>
        <w:rPr>
          <w:sz w:val="19"/>
        </w:rPr>
        <w:t>C.</w:t>
      </w:r>
      <w:r>
        <w:rPr>
          <w:spacing w:val="-7"/>
          <w:sz w:val="19"/>
        </w:rPr>
        <w:t> </w:t>
      </w:r>
      <w:r>
        <w:rPr>
          <w:sz w:val="19"/>
        </w:rPr>
        <w:t>(1992),</w:t>
      </w:r>
      <w:r>
        <w:rPr>
          <w:spacing w:val="-9"/>
          <w:sz w:val="19"/>
        </w:rPr>
        <w:t> </w:t>
      </w:r>
      <w:r>
        <w:rPr>
          <w:sz w:val="19"/>
        </w:rPr>
        <w:t>“Economic</w:t>
      </w:r>
      <w:r>
        <w:rPr>
          <w:spacing w:val="-8"/>
          <w:sz w:val="19"/>
        </w:rPr>
        <w:t> </w:t>
      </w:r>
      <w:r>
        <w:rPr>
          <w:sz w:val="19"/>
        </w:rPr>
        <w:t>and</w:t>
      </w:r>
      <w:r>
        <w:rPr>
          <w:spacing w:val="-10"/>
          <w:sz w:val="19"/>
        </w:rPr>
        <w:t> </w:t>
      </w:r>
      <w:r>
        <w:rPr>
          <w:sz w:val="19"/>
        </w:rPr>
        <w:t>Monetary</w:t>
      </w:r>
      <w:r>
        <w:rPr>
          <w:spacing w:val="-8"/>
          <w:sz w:val="19"/>
        </w:rPr>
        <w:t> </w:t>
      </w:r>
      <w:r>
        <w:rPr>
          <w:sz w:val="19"/>
        </w:rPr>
        <w:t>Union</w:t>
      </w:r>
      <w:r>
        <w:rPr>
          <w:spacing w:val="-9"/>
          <w:sz w:val="19"/>
        </w:rPr>
        <w:t> </w:t>
      </w:r>
      <w:r>
        <w:rPr>
          <w:sz w:val="19"/>
        </w:rPr>
        <w:t>in</w:t>
      </w:r>
      <w:r>
        <w:rPr>
          <w:spacing w:val="-8"/>
          <w:sz w:val="19"/>
        </w:rPr>
        <w:t> </w:t>
      </w:r>
      <w:r>
        <w:rPr>
          <w:sz w:val="19"/>
        </w:rPr>
        <w:t>Europe”,</w:t>
      </w:r>
      <w:r>
        <w:rPr>
          <w:spacing w:val="-9"/>
          <w:sz w:val="19"/>
        </w:rPr>
        <w:t> </w:t>
      </w:r>
      <w:r>
        <w:rPr>
          <w:i/>
          <w:sz w:val="19"/>
        </w:rPr>
        <w:t>The</w:t>
      </w:r>
      <w:r>
        <w:rPr>
          <w:i/>
          <w:spacing w:val="-10"/>
          <w:sz w:val="19"/>
        </w:rPr>
        <w:t> </w:t>
      </w:r>
      <w:r>
        <w:rPr>
          <w:i/>
          <w:sz w:val="19"/>
        </w:rPr>
        <w:t>Journal</w:t>
      </w:r>
      <w:r>
        <w:rPr>
          <w:i/>
          <w:spacing w:val="-9"/>
          <w:sz w:val="19"/>
        </w:rPr>
        <w:t> </w:t>
      </w:r>
      <w:r>
        <w:rPr>
          <w:i/>
          <w:sz w:val="19"/>
        </w:rPr>
        <w:t>of</w:t>
      </w:r>
      <w:r>
        <w:rPr>
          <w:i/>
          <w:spacing w:val="-10"/>
          <w:sz w:val="19"/>
        </w:rPr>
        <w:t> </w:t>
      </w:r>
      <w:r>
        <w:rPr>
          <w:i/>
          <w:sz w:val="19"/>
        </w:rPr>
        <w:t>Economic</w:t>
      </w:r>
      <w:r>
        <w:rPr>
          <w:i/>
          <w:spacing w:val="-8"/>
          <w:sz w:val="19"/>
        </w:rPr>
        <w:t> </w:t>
      </w:r>
      <w:r>
        <w:rPr>
          <w:i/>
          <w:sz w:val="19"/>
        </w:rPr>
        <w:t>Perspectives</w:t>
      </w:r>
      <w:r>
        <w:rPr>
          <w:sz w:val="19"/>
        </w:rPr>
        <w:t>,</w:t>
      </w:r>
      <w:r>
        <w:rPr>
          <w:spacing w:val="-10"/>
          <w:sz w:val="19"/>
        </w:rPr>
        <w:t> </w:t>
      </w:r>
      <w:r>
        <w:rPr>
          <w:sz w:val="19"/>
        </w:rPr>
        <w:t>Vol.</w:t>
      </w:r>
      <w:r>
        <w:rPr>
          <w:spacing w:val="-8"/>
          <w:sz w:val="19"/>
        </w:rPr>
        <w:t> </w:t>
      </w:r>
      <w:r>
        <w:rPr>
          <w:sz w:val="19"/>
        </w:rPr>
        <w:t>6, No. 4 (Autumn), pp</w:t>
      </w:r>
      <w:r>
        <w:rPr>
          <w:spacing w:val="-3"/>
          <w:sz w:val="19"/>
        </w:rPr>
        <w:t> </w:t>
      </w:r>
      <w:r>
        <w:rPr>
          <w:sz w:val="19"/>
        </w:rPr>
        <w:t>31-52.</w:t>
      </w:r>
    </w:p>
    <w:p>
      <w:pPr>
        <w:pStyle w:val="BodyText"/>
        <w:spacing w:before="5"/>
        <w:rPr>
          <w:sz w:val="18"/>
        </w:rPr>
      </w:pPr>
    </w:p>
    <w:p>
      <w:pPr>
        <w:pStyle w:val="BodyText"/>
        <w:ind w:left="226"/>
      </w:pPr>
      <w:r>
        <w:rPr/>
        <w:t>Beetsma,</w:t>
      </w:r>
      <w:r>
        <w:rPr>
          <w:spacing w:val="-8"/>
        </w:rPr>
        <w:t> </w:t>
      </w:r>
      <w:r>
        <w:rPr/>
        <w:t>R.</w:t>
      </w:r>
      <w:r>
        <w:rPr>
          <w:spacing w:val="-8"/>
        </w:rPr>
        <w:t> </w:t>
      </w:r>
      <w:r>
        <w:rPr/>
        <w:t>and</w:t>
      </w:r>
      <w:r>
        <w:rPr>
          <w:spacing w:val="-8"/>
        </w:rPr>
        <w:t> </w:t>
      </w:r>
      <w:r>
        <w:rPr/>
        <w:t>H.</w:t>
      </w:r>
      <w:r>
        <w:rPr>
          <w:spacing w:val="-8"/>
        </w:rPr>
        <w:t> </w:t>
      </w:r>
      <w:r>
        <w:rPr/>
        <w:t>Uhlig</w:t>
      </w:r>
      <w:r>
        <w:rPr>
          <w:spacing w:val="-8"/>
        </w:rPr>
        <w:t> </w:t>
      </w:r>
      <w:r>
        <w:rPr/>
        <w:t>(1999),</w:t>
      </w:r>
      <w:r>
        <w:rPr>
          <w:spacing w:val="-8"/>
        </w:rPr>
        <w:t> </w:t>
      </w:r>
      <w:r>
        <w:rPr/>
        <w:t>“An</w:t>
      </w:r>
      <w:r>
        <w:rPr>
          <w:spacing w:val="-8"/>
        </w:rPr>
        <w:t> </w:t>
      </w:r>
      <w:r>
        <w:rPr/>
        <w:t>Analysis</w:t>
      </w:r>
      <w:r>
        <w:rPr>
          <w:spacing w:val="-7"/>
        </w:rPr>
        <w:t> </w:t>
      </w:r>
      <w:r>
        <w:rPr/>
        <w:t>of</w:t>
      </w:r>
      <w:r>
        <w:rPr>
          <w:spacing w:val="-8"/>
        </w:rPr>
        <w:t> </w:t>
      </w:r>
      <w:r>
        <w:rPr/>
        <w:t>the</w:t>
      </w:r>
      <w:r>
        <w:rPr>
          <w:spacing w:val="-8"/>
        </w:rPr>
        <w:t> </w:t>
      </w:r>
      <w:r>
        <w:rPr/>
        <w:t>Stability</w:t>
      </w:r>
      <w:r>
        <w:rPr>
          <w:spacing w:val="-8"/>
        </w:rPr>
        <w:t> </w:t>
      </w:r>
      <w:r>
        <w:rPr/>
        <w:t>and</w:t>
      </w:r>
      <w:r>
        <w:rPr>
          <w:spacing w:val="-8"/>
        </w:rPr>
        <w:t> </w:t>
      </w:r>
      <w:r>
        <w:rPr/>
        <w:t>Growth</w:t>
      </w:r>
      <w:r>
        <w:rPr>
          <w:spacing w:val="-8"/>
        </w:rPr>
        <w:t> </w:t>
      </w:r>
      <w:r>
        <w:rPr/>
        <w:t>Pact”,</w:t>
      </w:r>
      <w:r>
        <w:rPr>
          <w:spacing w:val="-8"/>
        </w:rPr>
        <w:t> </w:t>
      </w:r>
      <w:r>
        <w:rPr>
          <w:i/>
        </w:rPr>
        <w:t>The</w:t>
      </w:r>
      <w:r>
        <w:rPr>
          <w:i/>
          <w:spacing w:val="-8"/>
        </w:rPr>
        <w:t> </w:t>
      </w:r>
      <w:r>
        <w:rPr>
          <w:i/>
        </w:rPr>
        <w:t>Economic</w:t>
      </w:r>
      <w:r>
        <w:rPr>
          <w:i/>
          <w:spacing w:val="-8"/>
        </w:rPr>
        <w:t> </w:t>
      </w:r>
      <w:r>
        <w:rPr>
          <w:i/>
        </w:rPr>
        <w:t>Journal</w:t>
      </w:r>
      <w:r>
        <w:rPr/>
        <w:t>,</w:t>
      </w:r>
      <w:r>
        <w:rPr>
          <w:spacing w:val="-7"/>
        </w:rPr>
        <w:t> </w:t>
      </w:r>
      <w:r>
        <w:rPr/>
        <w:t>Vol. 109, No. 458 (Oct.), pp</w:t>
      </w:r>
      <w:r>
        <w:rPr>
          <w:spacing w:val="-5"/>
        </w:rPr>
        <w:t> </w:t>
      </w:r>
      <w:r>
        <w:rPr/>
        <w:t>546-571.</w:t>
      </w:r>
    </w:p>
    <w:p>
      <w:pPr>
        <w:pStyle w:val="BodyText"/>
        <w:spacing w:before="6"/>
        <w:rPr>
          <w:sz w:val="18"/>
        </w:rPr>
      </w:pPr>
    </w:p>
    <w:p>
      <w:pPr>
        <w:spacing w:before="0"/>
        <w:ind w:left="226" w:right="0" w:firstLine="0"/>
        <w:jc w:val="left"/>
        <w:rPr>
          <w:sz w:val="19"/>
        </w:rPr>
      </w:pPr>
      <w:r>
        <w:rPr>
          <w:sz w:val="19"/>
        </w:rPr>
        <w:t>Blanchard, O. and L. Katz (1992), “Regional Evolutions”, </w:t>
      </w:r>
      <w:r>
        <w:rPr>
          <w:i/>
          <w:sz w:val="19"/>
        </w:rPr>
        <w:t>Brookings Papers on Economic Activity</w:t>
      </w:r>
      <w:r>
        <w:rPr>
          <w:sz w:val="19"/>
        </w:rPr>
        <w:t>, 1: 1–77.</w:t>
      </w:r>
    </w:p>
    <w:p>
      <w:pPr>
        <w:pStyle w:val="BodyText"/>
        <w:spacing w:before="6"/>
        <w:rPr>
          <w:sz w:val="18"/>
        </w:rPr>
      </w:pPr>
    </w:p>
    <w:p>
      <w:pPr>
        <w:pStyle w:val="BodyText"/>
        <w:ind w:left="226" w:right="111"/>
      </w:pPr>
      <w:r>
        <w:rPr/>
        <w:t>Buiter,</w:t>
      </w:r>
      <w:r>
        <w:rPr>
          <w:spacing w:val="-8"/>
        </w:rPr>
        <w:t> </w:t>
      </w:r>
      <w:r>
        <w:rPr/>
        <w:t>W.</w:t>
      </w:r>
      <w:r>
        <w:rPr>
          <w:spacing w:val="-9"/>
        </w:rPr>
        <w:t> </w:t>
      </w:r>
      <w:r>
        <w:rPr/>
        <w:t>(2000),</w:t>
      </w:r>
      <w:r>
        <w:rPr>
          <w:spacing w:val="-9"/>
        </w:rPr>
        <w:t> </w:t>
      </w:r>
      <w:r>
        <w:rPr/>
        <w:t>“Optimal</w:t>
      </w:r>
      <w:r>
        <w:rPr>
          <w:spacing w:val="-10"/>
        </w:rPr>
        <w:t> </w:t>
      </w:r>
      <w:r>
        <w:rPr/>
        <w:t>currency</w:t>
      </w:r>
      <w:r>
        <w:rPr>
          <w:spacing w:val="-9"/>
        </w:rPr>
        <w:t> </w:t>
      </w:r>
      <w:r>
        <w:rPr/>
        <w:t>areas:</w:t>
      </w:r>
      <w:r>
        <w:rPr>
          <w:spacing w:val="-9"/>
        </w:rPr>
        <w:t> </w:t>
      </w:r>
      <w:r>
        <w:rPr/>
        <w:t>why</w:t>
      </w:r>
      <w:r>
        <w:rPr>
          <w:spacing w:val="-9"/>
        </w:rPr>
        <w:t> </w:t>
      </w:r>
      <w:r>
        <w:rPr/>
        <w:t>does</w:t>
      </w:r>
      <w:r>
        <w:rPr>
          <w:spacing w:val="-8"/>
        </w:rPr>
        <w:t> </w:t>
      </w:r>
      <w:r>
        <w:rPr/>
        <w:t>the</w:t>
      </w:r>
      <w:r>
        <w:rPr>
          <w:spacing w:val="-10"/>
        </w:rPr>
        <w:t> </w:t>
      </w:r>
      <w:r>
        <w:rPr/>
        <w:t>exchange</w:t>
      </w:r>
      <w:r>
        <w:rPr>
          <w:spacing w:val="-8"/>
        </w:rPr>
        <w:t> </w:t>
      </w:r>
      <w:r>
        <w:rPr/>
        <w:t>rate</w:t>
      </w:r>
      <w:r>
        <w:rPr>
          <w:spacing w:val="-10"/>
        </w:rPr>
        <w:t> </w:t>
      </w:r>
      <w:r>
        <w:rPr/>
        <w:t>regime</w:t>
      </w:r>
      <w:r>
        <w:rPr>
          <w:spacing w:val="-10"/>
        </w:rPr>
        <w:t> </w:t>
      </w:r>
      <w:r>
        <w:rPr/>
        <w:t>matter?</w:t>
      </w:r>
      <w:r>
        <w:rPr>
          <w:spacing w:val="-10"/>
        </w:rPr>
        <w:t> </w:t>
      </w:r>
      <w:r>
        <w:rPr/>
        <w:t>(with</w:t>
      </w:r>
      <w:r>
        <w:rPr>
          <w:spacing w:val="-9"/>
        </w:rPr>
        <w:t> </w:t>
      </w:r>
      <w:r>
        <w:rPr/>
        <w:t>an</w:t>
      </w:r>
      <w:r>
        <w:rPr>
          <w:spacing w:val="-9"/>
        </w:rPr>
        <w:t> </w:t>
      </w:r>
      <w:r>
        <w:rPr/>
        <w:t>application to UK membership in EMU)”. </w:t>
      </w:r>
      <w:r>
        <w:rPr>
          <w:i/>
        </w:rPr>
        <w:t>CEP Discussion Paper</w:t>
      </w:r>
      <w:r>
        <w:rPr>
          <w:i/>
          <w:spacing w:val="-11"/>
        </w:rPr>
        <w:t> </w:t>
      </w:r>
      <w:r>
        <w:rPr/>
        <w:t>462.</w:t>
      </w:r>
    </w:p>
    <w:p>
      <w:pPr>
        <w:pStyle w:val="BodyText"/>
        <w:spacing w:before="5"/>
        <w:rPr>
          <w:sz w:val="18"/>
        </w:rPr>
      </w:pPr>
    </w:p>
    <w:p>
      <w:pPr>
        <w:pStyle w:val="BodyText"/>
        <w:ind w:left="226" w:right="662"/>
      </w:pPr>
      <w:r>
        <w:rPr/>
        <w:t>Carney, M. (2013), “Canada Works”, remarks at Board of Trade of Metropolitan Montreal, available at </w:t>
      </w:r>
      <w:hyperlink r:id="rId16">
        <w:r>
          <w:rPr>
            <w:color w:val="0000FF"/>
            <w:u w:val="single" w:color="0000FF"/>
          </w:rPr>
          <w:t>http://www.bankofcanada.ca/wp-content/uploads/2013/05/remarks-210513.pdf</w:t>
        </w:r>
        <w:r>
          <w:rPr/>
          <w:t>.</w:t>
        </w:r>
      </w:hyperlink>
    </w:p>
    <w:p>
      <w:pPr>
        <w:pStyle w:val="BodyText"/>
        <w:spacing w:before="5"/>
        <w:rPr>
          <w:sz w:val="10"/>
        </w:rPr>
      </w:pPr>
    </w:p>
    <w:p>
      <w:pPr>
        <w:pStyle w:val="BodyText"/>
        <w:spacing w:line="237" w:lineRule="auto" w:before="95"/>
        <w:ind w:left="226" w:right="133"/>
      </w:pPr>
      <w:r>
        <w:rPr/>
        <w:t>Chamberlin,</w:t>
      </w:r>
      <w:r>
        <w:rPr>
          <w:spacing w:val="-10"/>
        </w:rPr>
        <w:t> </w:t>
      </w:r>
      <w:r>
        <w:rPr/>
        <w:t>G.,</w:t>
      </w:r>
      <w:r>
        <w:rPr>
          <w:spacing w:val="-10"/>
        </w:rPr>
        <w:t> </w:t>
      </w:r>
      <w:r>
        <w:rPr/>
        <w:t>P.</w:t>
      </w:r>
      <w:r>
        <w:rPr>
          <w:spacing w:val="-9"/>
        </w:rPr>
        <w:t> </w:t>
      </w:r>
      <w:r>
        <w:rPr/>
        <w:t>Dhami,</w:t>
      </w:r>
      <w:r>
        <w:rPr>
          <w:spacing w:val="-10"/>
        </w:rPr>
        <w:t> </w:t>
      </w:r>
      <w:r>
        <w:rPr/>
        <w:t>S.</w:t>
      </w:r>
      <w:r>
        <w:rPr>
          <w:spacing w:val="-9"/>
        </w:rPr>
        <w:t> </w:t>
      </w:r>
      <w:r>
        <w:rPr/>
        <w:t>Farrington,</w:t>
      </w:r>
      <w:r>
        <w:rPr>
          <w:spacing w:val="-8"/>
        </w:rPr>
        <w:t> </w:t>
      </w:r>
      <w:r>
        <w:rPr/>
        <w:t>T.</w:t>
      </w:r>
      <w:r>
        <w:rPr>
          <w:spacing w:val="-9"/>
        </w:rPr>
        <w:t> </w:t>
      </w:r>
      <w:r>
        <w:rPr/>
        <w:t>Helgadottir,</w:t>
      </w:r>
      <w:r>
        <w:rPr>
          <w:spacing w:val="-10"/>
        </w:rPr>
        <w:t> </w:t>
      </w:r>
      <w:r>
        <w:rPr/>
        <w:t>and</w:t>
      </w:r>
      <w:r>
        <w:rPr>
          <w:spacing w:val="-9"/>
        </w:rPr>
        <w:t> </w:t>
      </w:r>
      <w:r>
        <w:rPr/>
        <w:t>J.</w:t>
      </w:r>
      <w:r>
        <w:rPr>
          <w:spacing w:val="-9"/>
        </w:rPr>
        <w:t> </w:t>
      </w:r>
      <w:r>
        <w:rPr/>
        <w:t>Robins</w:t>
      </w:r>
      <w:r>
        <w:rPr>
          <w:spacing w:val="-8"/>
        </w:rPr>
        <w:t> </w:t>
      </w:r>
      <w:r>
        <w:rPr/>
        <w:t>(2012),</w:t>
      </w:r>
      <w:r>
        <w:rPr>
          <w:spacing w:val="-9"/>
        </w:rPr>
        <w:t> </w:t>
      </w:r>
      <w:r>
        <w:rPr/>
        <w:t>“Cyclically</w:t>
      </w:r>
      <w:r>
        <w:rPr>
          <w:spacing w:val="-9"/>
        </w:rPr>
        <w:t> </w:t>
      </w:r>
      <w:r>
        <w:rPr/>
        <w:t>adjusting</w:t>
      </w:r>
      <w:r>
        <w:rPr>
          <w:spacing w:val="-10"/>
        </w:rPr>
        <w:t> </w:t>
      </w:r>
      <w:r>
        <w:rPr/>
        <w:t>the</w:t>
      </w:r>
      <w:r>
        <w:rPr>
          <w:spacing w:val="-9"/>
        </w:rPr>
        <w:t> </w:t>
      </w:r>
      <w:r>
        <w:rPr/>
        <w:t>public finances”, </w:t>
      </w:r>
      <w:r>
        <w:rPr>
          <w:i/>
        </w:rPr>
        <w:t>Office for Budget Responsibility Working Paper </w:t>
      </w:r>
      <w:r>
        <w:rPr/>
        <w:t>No. 3, </w:t>
      </w:r>
      <w:hyperlink r:id="rId17">
        <w:r>
          <w:rPr>
            <w:color w:val="0000FF"/>
            <w:u w:val="single" w:color="0000FF"/>
          </w:rPr>
          <w:t>http://budgetresponsibility.org.uk/pubs/Working-paper-No3.pdf</w:t>
        </w:r>
        <w:r>
          <w:rPr/>
          <w:t>.</w:t>
        </w:r>
      </w:hyperlink>
    </w:p>
    <w:p>
      <w:pPr>
        <w:pStyle w:val="BodyText"/>
        <w:spacing w:before="8"/>
        <w:rPr>
          <w:sz w:val="10"/>
        </w:rPr>
      </w:pPr>
    </w:p>
    <w:p>
      <w:pPr>
        <w:pStyle w:val="BodyText"/>
        <w:spacing w:line="237" w:lineRule="auto" w:before="94"/>
        <w:ind w:left="226"/>
      </w:pPr>
      <w:r>
        <w:rPr/>
        <w:t>Chari,</w:t>
      </w:r>
      <w:r>
        <w:rPr>
          <w:spacing w:val="-8"/>
        </w:rPr>
        <w:t> </w:t>
      </w:r>
      <w:r>
        <w:rPr/>
        <w:t>V.,</w:t>
      </w:r>
      <w:r>
        <w:rPr>
          <w:spacing w:val="-8"/>
        </w:rPr>
        <w:t> </w:t>
      </w:r>
      <w:r>
        <w:rPr/>
        <w:t>and</w:t>
      </w:r>
      <w:r>
        <w:rPr>
          <w:spacing w:val="-8"/>
        </w:rPr>
        <w:t> </w:t>
      </w:r>
      <w:r>
        <w:rPr/>
        <w:t>P.</w:t>
      </w:r>
      <w:r>
        <w:rPr>
          <w:spacing w:val="-8"/>
        </w:rPr>
        <w:t> </w:t>
      </w:r>
      <w:r>
        <w:rPr/>
        <w:t>Kehoe</w:t>
      </w:r>
      <w:r>
        <w:rPr>
          <w:spacing w:val="-8"/>
        </w:rPr>
        <w:t> </w:t>
      </w:r>
      <w:r>
        <w:rPr/>
        <w:t>(2007),</w:t>
      </w:r>
      <w:r>
        <w:rPr>
          <w:spacing w:val="-6"/>
        </w:rPr>
        <w:t> </w:t>
      </w:r>
      <w:r>
        <w:rPr/>
        <w:t>“On</w:t>
      </w:r>
      <w:r>
        <w:rPr>
          <w:spacing w:val="-7"/>
        </w:rPr>
        <w:t> </w:t>
      </w:r>
      <w:r>
        <w:rPr/>
        <w:t>the</w:t>
      </w:r>
      <w:r>
        <w:rPr>
          <w:spacing w:val="-8"/>
        </w:rPr>
        <w:t> </w:t>
      </w:r>
      <w:r>
        <w:rPr/>
        <w:t>need</w:t>
      </w:r>
      <w:r>
        <w:rPr>
          <w:spacing w:val="-9"/>
        </w:rPr>
        <w:t> </w:t>
      </w:r>
      <w:r>
        <w:rPr/>
        <w:t>for</w:t>
      </w:r>
      <w:r>
        <w:rPr>
          <w:spacing w:val="-7"/>
        </w:rPr>
        <w:t> </w:t>
      </w:r>
      <w:r>
        <w:rPr/>
        <w:t>fiscal</w:t>
      </w:r>
      <w:r>
        <w:rPr>
          <w:spacing w:val="-8"/>
        </w:rPr>
        <w:t> </w:t>
      </w:r>
      <w:r>
        <w:rPr/>
        <w:t>constraints</w:t>
      </w:r>
      <w:r>
        <w:rPr>
          <w:spacing w:val="-7"/>
        </w:rPr>
        <w:t> </w:t>
      </w:r>
      <w:r>
        <w:rPr/>
        <w:t>in</w:t>
      </w:r>
      <w:r>
        <w:rPr>
          <w:spacing w:val="-8"/>
        </w:rPr>
        <w:t> </w:t>
      </w:r>
      <w:r>
        <w:rPr/>
        <w:t>a</w:t>
      </w:r>
      <w:r>
        <w:rPr>
          <w:spacing w:val="-7"/>
        </w:rPr>
        <w:t> </w:t>
      </w:r>
      <w:r>
        <w:rPr/>
        <w:t>monetary</w:t>
      </w:r>
      <w:r>
        <w:rPr>
          <w:spacing w:val="-8"/>
        </w:rPr>
        <w:t> </w:t>
      </w:r>
      <w:r>
        <w:rPr/>
        <w:t>union”,</w:t>
      </w:r>
      <w:r>
        <w:rPr>
          <w:spacing w:val="-8"/>
        </w:rPr>
        <w:t> </w:t>
      </w:r>
      <w:r>
        <w:rPr>
          <w:i/>
        </w:rPr>
        <w:t>Journal</w:t>
      </w:r>
      <w:r>
        <w:rPr>
          <w:i/>
          <w:spacing w:val="-7"/>
        </w:rPr>
        <w:t> </w:t>
      </w:r>
      <w:r>
        <w:rPr>
          <w:i/>
        </w:rPr>
        <w:t>of</w:t>
      </w:r>
      <w:r>
        <w:rPr>
          <w:i/>
          <w:spacing w:val="-8"/>
        </w:rPr>
        <w:t> </w:t>
      </w:r>
      <w:r>
        <w:rPr>
          <w:i/>
        </w:rPr>
        <w:t>Monetary </w:t>
      </w:r>
      <w:r>
        <w:rPr>
          <w:i/>
        </w:rPr>
        <w:t>Economics</w:t>
      </w:r>
      <w:r>
        <w:rPr/>
        <w:t>, Vol. 54, Issue 8, Nov. 2007, pp.</w:t>
      </w:r>
      <w:r>
        <w:rPr>
          <w:spacing w:val="-5"/>
        </w:rPr>
        <w:t> </w:t>
      </w:r>
      <w:r>
        <w:rPr/>
        <w:t>2399–2408</w:t>
      </w:r>
    </w:p>
    <w:p>
      <w:pPr>
        <w:pStyle w:val="BodyText"/>
        <w:spacing w:before="9"/>
        <w:rPr>
          <w:sz w:val="18"/>
        </w:rPr>
      </w:pPr>
    </w:p>
    <w:p>
      <w:pPr>
        <w:pStyle w:val="BodyText"/>
        <w:spacing w:line="237" w:lineRule="auto" w:before="1"/>
        <w:ind w:left="226"/>
      </w:pPr>
      <w:r>
        <w:rPr/>
        <w:t>Commission</w:t>
      </w:r>
      <w:r>
        <w:rPr>
          <w:spacing w:val="-10"/>
        </w:rPr>
        <w:t> </w:t>
      </w:r>
      <w:r>
        <w:rPr/>
        <w:t>of</w:t>
      </w:r>
      <w:r>
        <w:rPr>
          <w:spacing w:val="-10"/>
        </w:rPr>
        <w:t> </w:t>
      </w:r>
      <w:r>
        <w:rPr/>
        <w:t>the</w:t>
      </w:r>
      <w:r>
        <w:rPr>
          <w:spacing w:val="-11"/>
        </w:rPr>
        <w:t> </w:t>
      </w:r>
      <w:r>
        <w:rPr/>
        <w:t>European</w:t>
      </w:r>
      <w:r>
        <w:rPr>
          <w:spacing w:val="-10"/>
        </w:rPr>
        <w:t> </w:t>
      </w:r>
      <w:r>
        <w:rPr/>
        <w:t>Communities</w:t>
      </w:r>
      <w:r>
        <w:rPr>
          <w:spacing w:val="-9"/>
        </w:rPr>
        <w:t> </w:t>
      </w:r>
      <w:r>
        <w:rPr/>
        <w:t>(1990),</w:t>
      </w:r>
      <w:r>
        <w:rPr>
          <w:spacing w:val="-8"/>
        </w:rPr>
        <w:t> </w:t>
      </w:r>
      <w:r>
        <w:rPr/>
        <w:t>“One</w:t>
      </w:r>
      <w:r>
        <w:rPr>
          <w:spacing w:val="-12"/>
        </w:rPr>
        <w:t> </w:t>
      </w:r>
      <w:r>
        <w:rPr/>
        <w:t>market,</w:t>
      </w:r>
      <w:r>
        <w:rPr>
          <w:spacing w:val="-8"/>
        </w:rPr>
        <w:t> </w:t>
      </w:r>
      <w:r>
        <w:rPr/>
        <w:t>one</w:t>
      </w:r>
      <w:r>
        <w:rPr>
          <w:spacing w:val="-11"/>
        </w:rPr>
        <w:t> </w:t>
      </w:r>
      <w:r>
        <w:rPr/>
        <w:t>money:</w:t>
      </w:r>
      <w:r>
        <w:rPr>
          <w:spacing w:val="-10"/>
        </w:rPr>
        <w:t> </w:t>
      </w:r>
      <w:r>
        <w:rPr/>
        <w:t>an</w:t>
      </w:r>
      <w:r>
        <w:rPr>
          <w:spacing w:val="-9"/>
        </w:rPr>
        <w:t> </w:t>
      </w:r>
      <w:r>
        <w:rPr/>
        <w:t>evaluation</w:t>
      </w:r>
      <w:r>
        <w:rPr>
          <w:spacing w:val="-10"/>
        </w:rPr>
        <w:t> </w:t>
      </w:r>
      <w:r>
        <w:rPr/>
        <w:t>of</w:t>
      </w:r>
      <w:r>
        <w:rPr>
          <w:spacing w:val="-11"/>
        </w:rPr>
        <w:t> </w:t>
      </w:r>
      <w:r>
        <w:rPr/>
        <w:t>the</w:t>
      </w:r>
      <w:r>
        <w:rPr>
          <w:spacing w:val="-10"/>
        </w:rPr>
        <w:t> </w:t>
      </w:r>
      <w:r>
        <w:rPr/>
        <w:t>potential benefits</w:t>
      </w:r>
      <w:r>
        <w:rPr>
          <w:spacing w:val="-5"/>
        </w:rPr>
        <w:t> </w:t>
      </w:r>
      <w:r>
        <w:rPr/>
        <w:t>and</w:t>
      </w:r>
      <w:r>
        <w:rPr>
          <w:spacing w:val="-5"/>
        </w:rPr>
        <w:t> </w:t>
      </w:r>
      <w:r>
        <w:rPr/>
        <w:t>costs</w:t>
      </w:r>
      <w:r>
        <w:rPr>
          <w:spacing w:val="-5"/>
        </w:rPr>
        <w:t> </w:t>
      </w:r>
      <w:r>
        <w:rPr/>
        <w:t>of</w:t>
      </w:r>
      <w:r>
        <w:rPr>
          <w:spacing w:val="-4"/>
        </w:rPr>
        <w:t> </w:t>
      </w:r>
      <w:r>
        <w:rPr/>
        <w:t>forming</w:t>
      </w:r>
      <w:r>
        <w:rPr>
          <w:spacing w:val="-6"/>
        </w:rPr>
        <w:t> </w:t>
      </w:r>
      <w:r>
        <w:rPr/>
        <w:t>an</w:t>
      </w:r>
      <w:r>
        <w:rPr>
          <w:spacing w:val="-5"/>
        </w:rPr>
        <w:t> </w:t>
      </w:r>
      <w:r>
        <w:rPr/>
        <w:t>economic</w:t>
      </w:r>
      <w:r>
        <w:rPr>
          <w:spacing w:val="-4"/>
        </w:rPr>
        <w:t> </w:t>
      </w:r>
      <w:r>
        <w:rPr/>
        <w:t>and</w:t>
      </w:r>
      <w:r>
        <w:rPr>
          <w:spacing w:val="-6"/>
        </w:rPr>
        <w:t> </w:t>
      </w:r>
      <w:r>
        <w:rPr/>
        <w:t>monetary</w:t>
      </w:r>
      <w:r>
        <w:rPr>
          <w:spacing w:val="-4"/>
        </w:rPr>
        <w:t> </w:t>
      </w:r>
      <w:r>
        <w:rPr/>
        <w:t>union”,</w:t>
      </w:r>
      <w:r>
        <w:rPr>
          <w:spacing w:val="-2"/>
        </w:rPr>
        <w:t> </w:t>
      </w:r>
      <w:r>
        <w:rPr>
          <w:i/>
        </w:rPr>
        <w:t>European</w:t>
      </w:r>
      <w:r>
        <w:rPr>
          <w:i/>
          <w:spacing w:val="-6"/>
        </w:rPr>
        <w:t> </w:t>
      </w:r>
      <w:r>
        <w:rPr>
          <w:i/>
        </w:rPr>
        <w:t>Economy</w:t>
      </w:r>
      <w:r>
        <w:rPr/>
        <w:t>,</w:t>
      </w:r>
      <w:r>
        <w:rPr>
          <w:spacing w:val="-3"/>
        </w:rPr>
        <w:t> </w:t>
      </w:r>
      <w:r>
        <w:rPr/>
        <w:t>No.</w:t>
      </w:r>
      <w:r>
        <w:rPr>
          <w:spacing w:val="-3"/>
        </w:rPr>
        <w:t> </w:t>
      </w:r>
      <w:r>
        <w:rPr/>
        <w:t>44,</w:t>
      </w:r>
      <w:r>
        <w:rPr>
          <w:spacing w:val="-4"/>
        </w:rPr>
        <w:t> </w:t>
      </w:r>
      <w:r>
        <w:rPr/>
        <w:t>Oct.</w:t>
      </w:r>
    </w:p>
    <w:p>
      <w:pPr>
        <w:pStyle w:val="BodyText"/>
        <w:spacing w:before="11"/>
        <w:rPr>
          <w:sz w:val="18"/>
        </w:rPr>
      </w:pPr>
    </w:p>
    <w:p>
      <w:pPr>
        <w:spacing w:line="235" w:lineRule="auto" w:before="0"/>
        <w:ind w:left="226" w:right="0" w:firstLine="0"/>
        <w:jc w:val="left"/>
        <w:rPr>
          <w:sz w:val="19"/>
        </w:rPr>
      </w:pPr>
      <w:r>
        <w:rPr>
          <w:sz w:val="19"/>
        </w:rPr>
        <w:t>Crucini,</w:t>
      </w:r>
      <w:r>
        <w:rPr>
          <w:spacing w:val="-8"/>
          <w:sz w:val="19"/>
        </w:rPr>
        <w:t> </w:t>
      </w:r>
      <w:r>
        <w:rPr>
          <w:sz w:val="19"/>
        </w:rPr>
        <w:t>M.</w:t>
      </w:r>
      <w:r>
        <w:rPr>
          <w:spacing w:val="-10"/>
          <w:sz w:val="19"/>
        </w:rPr>
        <w:t> </w:t>
      </w:r>
      <w:r>
        <w:rPr>
          <w:sz w:val="19"/>
        </w:rPr>
        <w:t>(1999),</w:t>
      </w:r>
      <w:r>
        <w:rPr>
          <w:spacing w:val="-10"/>
          <w:sz w:val="19"/>
        </w:rPr>
        <w:t> </w:t>
      </w:r>
      <w:r>
        <w:rPr>
          <w:sz w:val="19"/>
        </w:rPr>
        <w:t>“On</w:t>
      </w:r>
      <w:r>
        <w:rPr>
          <w:spacing w:val="-9"/>
          <w:sz w:val="19"/>
        </w:rPr>
        <w:t> </w:t>
      </w:r>
      <w:r>
        <w:rPr>
          <w:sz w:val="19"/>
        </w:rPr>
        <w:t>International</w:t>
      </w:r>
      <w:r>
        <w:rPr>
          <w:spacing w:val="-10"/>
          <w:sz w:val="19"/>
        </w:rPr>
        <w:t> </w:t>
      </w:r>
      <w:r>
        <w:rPr>
          <w:sz w:val="19"/>
        </w:rPr>
        <w:t>and</w:t>
      </w:r>
      <w:r>
        <w:rPr>
          <w:spacing w:val="-10"/>
          <w:sz w:val="19"/>
        </w:rPr>
        <w:t> </w:t>
      </w:r>
      <w:r>
        <w:rPr>
          <w:sz w:val="19"/>
        </w:rPr>
        <w:t>National</w:t>
      </w:r>
      <w:r>
        <w:rPr>
          <w:spacing w:val="-9"/>
          <w:sz w:val="19"/>
        </w:rPr>
        <w:t> </w:t>
      </w:r>
      <w:r>
        <w:rPr>
          <w:sz w:val="19"/>
        </w:rPr>
        <w:t>Dimensions</w:t>
      </w:r>
      <w:r>
        <w:rPr>
          <w:spacing w:val="-8"/>
          <w:sz w:val="19"/>
        </w:rPr>
        <w:t> </w:t>
      </w:r>
      <w:r>
        <w:rPr>
          <w:sz w:val="19"/>
        </w:rPr>
        <w:t>of</w:t>
      </w:r>
      <w:r>
        <w:rPr>
          <w:spacing w:val="-9"/>
          <w:sz w:val="19"/>
        </w:rPr>
        <w:t> </w:t>
      </w:r>
      <w:r>
        <w:rPr>
          <w:sz w:val="19"/>
        </w:rPr>
        <w:t>Risk</w:t>
      </w:r>
      <w:r>
        <w:rPr>
          <w:spacing w:val="-9"/>
          <w:sz w:val="19"/>
        </w:rPr>
        <w:t> </w:t>
      </w:r>
      <w:r>
        <w:rPr>
          <w:sz w:val="19"/>
        </w:rPr>
        <w:t>Sharing”,</w:t>
      </w:r>
      <w:r>
        <w:rPr>
          <w:spacing w:val="-10"/>
          <w:sz w:val="19"/>
        </w:rPr>
        <w:t> </w:t>
      </w:r>
      <w:r>
        <w:rPr>
          <w:i/>
          <w:sz w:val="19"/>
        </w:rPr>
        <w:t>Review</w:t>
      </w:r>
      <w:r>
        <w:rPr>
          <w:i/>
          <w:spacing w:val="-10"/>
          <w:sz w:val="19"/>
        </w:rPr>
        <w:t> </w:t>
      </w:r>
      <w:r>
        <w:rPr>
          <w:i/>
          <w:sz w:val="19"/>
        </w:rPr>
        <w:t>of</w:t>
      </w:r>
      <w:r>
        <w:rPr>
          <w:i/>
          <w:spacing w:val="-9"/>
          <w:sz w:val="19"/>
        </w:rPr>
        <w:t> </w:t>
      </w:r>
      <w:r>
        <w:rPr>
          <w:i/>
          <w:sz w:val="19"/>
        </w:rPr>
        <w:t>Economics</w:t>
      </w:r>
      <w:r>
        <w:rPr>
          <w:i/>
          <w:spacing w:val="-8"/>
          <w:sz w:val="19"/>
        </w:rPr>
        <w:t> </w:t>
      </w:r>
      <w:r>
        <w:rPr>
          <w:i/>
          <w:sz w:val="19"/>
        </w:rPr>
        <w:t>and </w:t>
      </w:r>
      <w:r>
        <w:rPr>
          <w:i/>
          <w:sz w:val="19"/>
        </w:rPr>
        <w:t>Statistics</w:t>
      </w:r>
      <w:r>
        <w:rPr>
          <w:sz w:val="19"/>
        </w:rPr>
        <w:t>, LXXXI, 1, Feb., pp.</w:t>
      </w:r>
      <w:r>
        <w:rPr>
          <w:spacing w:val="-3"/>
          <w:sz w:val="19"/>
        </w:rPr>
        <w:t> </w:t>
      </w:r>
      <w:r>
        <w:rPr>
          <w:sz w:val="19"/>
        </w:rPr>
        <w:t>73-84.</w:t>
      </w:r>
    </w:p>
    <w:p>
      <w:pPr>
        <w:pStyle w:val="BodyText"/>
        <w:spacing w:before="2"/>
      </w:pPr>
    </w:p>
    <w:p>
      <w:pPr>
        <w:pStyle w:val="BodyText"/>
        <w:spacing w:line="235" w:lineRule="auto" w:before="1"/>
        <w:ind w:left="226"/>
      </w:pPr>
      <w:r>
        <w:rPr/>
        <w:t>Decressin,</w:t>
      </w:r>
      <w:r>
        <w:rPr>
          <w:spacing w:val="-9"/>
        </w:rPr>
        <w:t> </w:t>
      </w:r>
      <w:r>
        <w:rPr/>
        <w:t>J.</w:t>
      </w:r>
      <w:r>
        <w:rPr>
          <w:spacing w:val="-11"/>
        </w:rPr>
        <w:t> </w:t>
      </w:r>
      <w:r>
        <w:rPr/>
        <w:t>and</w:t>
      </w:r>
      <w:r>
        <w:rPr>
          <w:spacing w:val="-10"/>
        </w:rPr>
        <w:t> </w:t>
      </w:r>
      <w:r>
        <w:rPr/>
        <w:t>A.</w:t>
      </w:r>
      <w:r>
        <w:rPr>
          <w:spacing w:val="-9"/>
        </w:rPr>
        <w:t> </w:t>
      </w:r>
      <w:r>
        <w:rPr/>
        <w:t>Fatas</w:t>
      </w:r>
      <w:r>
        <w:rPr>
          <w:spacing w:val="-10"/>
        </w:rPr>
        <w:t> </w:t>
      </w:r>
      <w:r>
        <w:rPr/>
        <w:t>(1995),</w:t>
      </w:r>
      <w:r>
        <w:rPr>
          <w:spacing w:val="-8"/>
        </w:rPr>
        <w:t> </w:t>
      </w:r>
      <w:r>
        <w:rPr/>
        <w:t>“Regional</w:t>
      </w:r>
      <w:r>
        <w:rPr>
          <w:spacing w:val="-10"/>
        </w:rPr>
        <w:t> </w:t>
      </w:r>
      <w:r>
        <w:rPr/>
        <w:t>Labour</w:t>
      </w:r>
      <w:r>
        <w:rPr>
          <w:spacing w:val="-9"/>
        </w:rPr>
        <w:t> </w:t>
      </w:r>
      <w:r>
        <w:rPr/>
        <w:t>Market</w:t>
      </w:r>
      <w:r>
        <w:rPr>
          <w:spacing w:val="-10"/>
        </w:rPr>
        <w:t> </w:t>
      </w:r>
      <w:r>
        <w:rPr/>
        <w:t>Dynamics</w:t>
      </w:r>
      <w:r>
        <w:rPr>
          <w:spacing w:val="-9"/>
        </w:rPr>
        <w:t> </w:t>
      </w:r>
      <w:r>
        <w:rPr/>
        <w:t>in</w:t>
      </w:r>
      <w:r>
        <w:rPr>
          <w:spacing w:val="-11"/>
        </w:rPr>
        <w:t> </w:t>
      </w:r>
      <w:r>
        <w:rPr/>
        <w:t>Europe”,</w:t>
      </w:r>
      <w:r>
        <w:rPr>
          <w:spacing w:val="-11"/>
        </w:rPr>
        <w:t> </w:t>
      </w:r>
      <w:r>
        <w:rPr>
          <w:i/>
        </w:rPr>
        <w:t>European</w:t>
      </w:r>
      <w:r>
        <w:rPr>
          <w:i/>
          <w:spacing w:val="-10"/>
        </w:rPr>
        <w:t> </w:t>
      </w:r>
      <w:r>
        <w:rPr>
          <w:i/>
        </w:rPr>
        <w:t>Economic </w:t>
      </w:r>
      <w:r>
        <w:rPr>
          <w:i/>
        </w:rPr>
        <w:t>Review</w:t>
      </w:r>
      <w:r>
        <w:rPr/>
        <w:t>, Vol. 39: pp.</w:t>
      </w:r>
      <w:r>
        <w:rPr>
          <w:spacing w:val="-4"/>
        </w:rPr>
        <w:t> </w:t>
      </w:r>
      <w:r>
        <w:rPr/>
        <w:t>1627–1655</w:t>
      </w:r>
    </w:p>
    <w:p>
      <w:pPr>
        <w:pStyle w:val="BodyText"/>
        <w:spacing w:before="10"/>
        <w:rPr>
          <w:sz w:val="18"/>
        </w:rPr>
      </w:pPr>
    </w:p>
    <w:p>
      <w:pPr>
        <w:pStyle w:val="BodyText"/>
        <w:ind w:left="226"/>
      </w:pPr>
      <w:r>
        <w:rPr/>
        <w:t>De Grauwe, P. (2000), “</w:t>
      </w:r>
      <w:r>
        <w:rPr>
          <w:color w:val="212121"/>
        </w:rPr>
        <w:t>The Economics of Monetary Union”, 4th ed., Oxford University Press, Oxford.</w:t>
      </w:r>
    </w:p>
    <w:p>
      <w:pPr>
        <w:pStyle w:val="BodyText"/>
        <w:spacing w:before="6"/>
        <w:rPr>
          <w:sz w:val="18"/>
        </w:rPr>
      </w:pPr>
    </w:p>
    <w:p>
      <w:pPr>
        <w:pStyle w:val="BodyText"/>
        <w:spacing w:before="1"/>
        <w:ind w:left="226"/>
      </w:pPr>
      <w:r>
        <w:rPr/>
        <w:t>De</w:t>
      </w:r>
      <w:r>
        <w:rPr>
          <w:spacing w:val="-10"/>
        </w:rPr>
        <w:t> </w:t>
      </w:r>
      <w:r>
        <w:rPr/>
        <w:t>Grauwe,</w:t>
      </w:r>
      <w:r>
        <w:rPr>
          <w:spacing w:val="-8"/>
        </w:rPr>
        <w:t> </w:t>
      </w:r>
      <w:r>
        <w:rPr/>
        <w:t>P.</w:t>
      </w:r>
      <w:r>
        <w:rPr>
          <w:spacing w:val="-8"/>
        </w:rPr>
        <w:t> </w:t>
      </w:r>
      <w:r>
        <w:rPr/>
        <w:t>and</w:t>
      </w:r>
      <w:r>
        <w:rPr>
          <w:spacing w:val="-11"/>
        </w:rPr>
        <w:t> </w:t>
      </w:r>
      <w:r>
        <w:rPr/>
        <w:t>F.</w:t>
      </w:r>
      <w:r>
        <w:rPr>
          <w:spacing w:val="-9"/>
        </w:rPr>
        <w:t> </w:t>
      </w:r>
      <w:r>
        <w:rPr/>
        <w:t>Mongelli</w:t>
      </w:r>
      <w:r>
        <w:rPr>
          <w:spacing w:val="-8"/>
        </w:rPr>
        <w:t> </w:t>
      </w:r>
      <w:r>
        <w:rPr/>
        <w:t>(2005),</w:t>
      </w:r>
      <w:r>
        <w:rPr>
          <w:spacing w:val="-8"/>
        </w:rPr>
        <w:t> </w:t>
      </w:r>
      <w:r>
        <w:rPr/>
        <w:t>“Endogeneities</w:t>
      </w:r>
      <w:r>
        <w:rPr>
          <w:spacing w:val="-10"/>
        </w:rPr>
        <w:t> </w:t>
      </w:r>
      <w:r>
        <w:rPr/>
        <w:t>of</w:t>
      </w:r>
      <w:r>
        <w:rPr>
          <w:spacing w:val="-10"/>
        </w:rPr>
        <w:t> </w:t>
      </w:r>
      <w:r>
        <w:rPr/>
        <w:t>Optimum</w:t>
      </w:r>
      <w:r>
        <w:rPr>
          <w:spacing w:val="-10"/>
        </w:rPr>
        <w:t> </w:t>
      </w:r>
      <w:r>
        <w:rPr/>
        <w:t>Currency</w:t>
      </w:r>
      <w:r>
        <w:rPr>
          <w:spacing w:val="-9"/>
        </w:rPr>
        <w:t> </w:t>
      </w:r>
      <w:r>
        <w:rPr/>
        <w:t>Areas:</w:t>
      </w:r>
      <w:r>
        <w:rPr>
          <w:spacing w:val="-10"/>
        </w:rPr>
        <w:t> </w:t>
      </w:r>
      <w:r>
        <w:rPr/>
        <w:t>What</w:t>
      </w:r>
      <w:r>
        <w:rPr>
          <w:spacing w:val="-10"/>
        </w:rPr>
        <w:t> </w:t>
      </w:r>
      <w:r>
        <w:rPr/>
        <w:t>Brings</w:t>
      </w:r>
      <w:r>
        <w:rPr>
          <w:spacing w:val="-9"/>
        </w:rPr>
        <w:t> </w:t>
      </w:r>
      <w:r>
        <w:rPr/>
        <w:t>Countries Sharing a Single Currency Closer Together?”, </w:t>
      </w:r>
      <w:r>
        <w:rPr>
          <w:i/>
        </w:rPr>
        <w:t>ECB Working Paper </w:t>
      </w:r>
      <w:r>
        <w:rPr/>
        <w:t>No.468,</w:t>
      </w:r>
      <w:r>
        <w:rPr>
          <w:spacing w:val="-29"/>
        </w:rPr>
        <w:t> </w:t>
      </w:r>
      <w:r>
        <w:rPr/>
        <w:t>Apr.</w:t>
      </w:r>
    </w:p>
    <w:p>
      <w:pPr>
        <w:pStyle w:val="BodyText"/>
        <w:spacing w:before="6"/>
        <w:rPr>
          <w:sz w:val="18"/>
        </w:rPr>
      </w:pPr>
    </w:p>
    <w:p>
      <w:pPr>
        <w:pStyle w:val="BodyText"/>
        <w:spacing w:line="237" w:lineRule="auto" w:before="1"/>
        <w:ind w:left="226"/>
      </w:pPr>
      <w:r>
        <w:rPr/>
        <w:t>Delors</w:t>
      </w:r>
      <w:r>
        <w:rPr>
          <w:spacing w:val="-9"/>
        </w:rPr>
        <w:t> </w:t>
      </w:r>
      <w:r>
        <w:rPr/>
        <w:t>Committee:</w:t>
      </w:r>
      <w:r>
        <w:rPr>
          <w:spacing w:val="-8"/>
        </w:rPr>
        <w:t> </w:t>
      </w:r>
      <w:r>
        <w:rPr/>
        <w:t>Committee</w:t>
      </w:r>
      <w:r>
        <w:rPr>
          <w:spacing w:val="-11"/>
        </w:rPr>
        <w:t> </w:t>
      </w:r>
      <w:r>
        <w:rPr/>
        <w:t>for</w:t>
      </w:r>
      <w:r>
        <w:rPr>
          <w:spacing w:val="-10"/>
        </w:rPr>
        <w:t> </w:t>
      </w:r>
      <w:r>
        <w:rPr/>
        <w:t>the</w:t>
      </w:r>
      <w:r>
        <w:rPr>
          <w:spacing w:val="-9"/>
        </w:rPr>
        <w:t> </w:t>
      </w:r>
      <w:r>
        <w:rPr/>
        <w:t>Study</w:t>
      </w:r>
      <w:r>
        <w:rPr>
          <w:spacing w:val="-9"/>
        </w:rPr>
        <w:t> </w:t>
      </w:r>
      <w:r>
        <w:rPr/>
        <w:t>of</w:t>
      </w:r>
      <w:r>
        <w:rPr>
          <w:spacing w:val="-9"/>
        </w:rPr>
        <w:t> </w:t>
      </w:r>
      <w:r>
        <w:rPr/>
        <w:t>Economic</w:t>
      </w:r>
      <w:r>
        <w:rPr>
          <w:spacing w:val="-9"/>
        </w:rPr>
        <w:t> </w:t>
      </w:r>
      <w:r>
        <w:rPr/>
        <w:t>and</w:t>
      </w:r>
      <w:r>
        <w:rPr>
          <w:spacing w:val="-10"/>
        </w:rPr>
        <w:t> </w:t>
      </w:r>
      <w:r>
        <w:rPr/>
        <w:t>Monetary</w:t>
      </w:r>
      <w:r>
        <w:rPr>
          <w:spacing w:val="-9"/>
        </w:rPr>
        <w:t> </w:t>
      </w:r>
      <w:r>
        <w:rPr/>
        <w:t>Union</w:t>
      </w:r>
      <w:r>
        <w:rPr>
          <w:spacing w:val="-10"/>
        </w:rPr>
        <w:t> </w:t>
      </w:r>
      <w:r>
        <w:rPr/>
        <w:t>(1989),</w:t>
      </w:r>
      <w:r>
        <w:rPr>
          <w:spacing w:val="-10"/>
        </w:rPr>
        <w:t> </w:t>
      </w:r>
      <w:r>
        <w:rPr/>
        <w:t>“Report</w:t>
      </w:r>
      <w:r>
        <w:rPr>
          <w:spacing w:val="-9"/>
        </w:rPr>
        <w:t> </w:t>
      </w:r>
      <w:r>
        <w:rPr/>
        <w:t>on</w:t>
      </w:r>
      <w:r>
        <w:rPr>
          <w:spacing w:val="-10"/>
        </w:rPr>
        <w:t> </w:t>
      </w:r>
      <w:r>
        <w:rPr/>
        <w:t>Economic and Monetary Union in the European Community”, Luxembourg: Office for Official Publications of the European</w:t>
      </w:r>
      <w:r>
        <w:rPr>
          <w:spacing w:val="-2"/>
        </w:rPr>
        <w:t> </w:t>
      </w:r>
      <w:r>
        <w:rPr/>
        <w:t>Communities.</w:t>
      </w:r>
    </w:p>
    <w:p>
      <w:pPr>
        <w:pStyle w:val="BodyText"/>
      </w:pPr>
    </w:p>
    <w:p>
      <w:pPr>
        <w:pStyle w:val="BodyText"/>
        <w:spacing w:line="235" w:lineRule="auto"/>
        <w:ind w:left="226"/>
      </w:pPr>
      <w:r>
        <w:rPr/>
        <w:t>Frankel,</w:t>
      </w:r>
      <w:r>
        <w:rPr>
          <w:spacing w:val="-6"/>
        </w:rPr>
        <w:t> </w:t>
      </w:r>
      <w:r>
        <w:rPr/>
        <w:t>J.</w:t>
      </w:r>
      <w:r>
        <w:rPr>
          <w:spacing w:val="-7"/>
        </w:rPr>
        <w:t> </w:t>
      </w:r>
      <w:r>
        <w:rPr/>
        <w:t>(2008),</w:t>
      </w:r>
      <w:r>
        <w:rPr>
          <w:spacing w:val="-7"/>
        </w:rPr>
        <w:t> </w:t>
      </w:r>
      <w:r>
        <w:rPr/>
        <w:t>“The</w:t>
      </w:r>
      <w:r>
        <w:rPr>
          <w:spacing w:val="-8"/>
        </w:rPr>
        <w:t> </w:t>
      </w:r>
      <w:r>
        <w:rPr/>
        <w:t>Estimated</w:t>
      </w:r>
      <w:r>
        <w:rPr>
          <w:spacing w:val="-7"/>
        </w:rPr>
        <w:t> </w:t>
      </w:r>
      <w:r>
        <w:rPr/>
        <w:t>Effects</w:t>
      </w:r>
      <w:r>
        <w:rPr>
          <w:spacing w:val="-7"/>
        </w:rPr>
        <w:t> </w:t>
      </w:r>
      <w:r>
        <w:rPr/>
        <w:t>of</w:t>
      </w:r>
      <w:r>
        <w:rPr>
          <w:spacing w:val="-7"/>
        </w:rPr>
        <w:t> </w:t>
      </w:r>
      <w:r>
        <w:rPr/>
        <w:t>the</w:t>
      </w:r>
      <w:r>
        <w:rPr>
          <w:spacing w:val="-8"/>
        </w:rPr>
        <w:t> </w:t>
      </w:r>
      <w:r>
        <w:rPr/>
        <w:t>Euro</w:t>
      </w:r>
      <w:r>
        <w:rPr>
          <w:spacing w:val="-7"/>
        </w:rPr>
        <w:t> </w:t>
      </w:r>
      <w:r>
        <w:rPr/>
        <w:t>on</w:t>
      </w:r>
      <w:r>
        <w:rPr>
          <w:spacing w:val="-8"/>
        </w:rPr>
        <w:t> </w:t>
      </w:r>
      <w:r>
        <w:rPr/>
        <w:t>Trade:</w:t>
      </w:r>
      <w:r>
        <w:rPr>
          <w:spacing w:val="-6"/>
        </w:rPr>
        <w:t> </w:t>
      </w:r>
      <w:r>
        <w:rPr/>
        <w:t>Why</w:t>
      </w:r>
      <w:r>
        <w:rPr>
          <w:spacing w:val="-7"/>
        </w:rPr>
        <w:t> </w:t>
      </w:r>
      <w:r>
        <w:rPr/>
        <w:t>Are</w:t>
      </w:r>
      <w:r>
        <w:rPr>
          <w:spacing w:val="-9"/>
        </w:rPr>
        <w:t> </w:t>
      </w:r>
      <w:r>
        <w:rPr/>
        <w:t>They</w:t>
      </w:r>
      <w:r>
        <w:rPr>
          <w:spacing w:val="-6"/>
        </w:rPr>
        <w:t> </w:t>
      </w:r>
      <w:r>
        <w:rPr/>
        <w:t>Below</w:t>
      </w:r>
      <w:r>
        <w:rPr>
          <w:spacing w:val="-9"/>
        </w:rPr>
        <w:t> </w:t>
      </w:r>
      <w:r>
        <w:rPr/>
        <w:t>Historical</w:t>
      </w:r>
      <w:r>
        <w:rPr>
          <w:spacing w:val="-7"/>
        </w:rPr>
        <w:t> </w:t>
      </w:r>
      <w:r>
        <w:rPr/>
        <w:t>Effects</w:t>
      </w:r>
      <w:r>
        <w:rPr>
          <w:spacing w:val="-6"/>
        </w:rPr>
        <w:t> </w:t>
      </w:r>
      <w:r>
        <w:rPr/>
        <w:t>of Monetary Unions Among Smaller Countries?”, </w:t>
      </w:r>
      <w:r>
        <w:rPr>
          <w:i/>
        </w:rPr>
        <w:t>NBER working paper</w:t>
      </w:r>
      <w:r>
        <w:rPr>
          <w:i/>
          <w:spacing w:val="-22"/>
        </w:rPr>
        <w:t> </w:t>
      </w:r>
      <w:r>
        <w:rPr/>
        <w:t>14542.</w:t>
      </w:r>
    </w:p>
    <w:p>
      <w:pPr>
        <w:pStyle w:val="BodyText"/>
      </w:pPr>
    </w:p>
    <w:p>
      <w:pPr>
        <w:pStyle w:val="BodyText"/>
        <w:spacing w:line="237" w:lineRule="auto"/>
        <w:ind w:left="226" w:right="111"/>
      </w:pPr>
      <w:r>
        <w:rPr/>
        <w:t>Frankel,</w:t>
      </w:r>
      <w:r>
        <w:rPr>
          <w:spacing w:val="-8"/>
        </w:rPr>
        <w:t> </w:t>
      </w:r>
      <w:r>
        <w:rPr/>
        <w:t>J.</w:t>
      </w:r>
      <w:r>
        <w:rPr>
          <w:spacing w:val="-10"/>
        </w:rPr>
        <w:t> </w:t>
      </w:r>
      <w:r>
        <w:rPr/>
        <w:t>and</w:t>
      </w:r>
      <w:r>
        <w:rPr>
          <w:spacing w:val="-9"/>
        </w:rPr>
        <w:t> </w:t>
      </w:r>
      <w:r>
        <w:rPr/>
        <w:t>A.</w:t>
      </w:r>
      <w:r>
        <w:rPr>
          <w:spacing w:val="-10"/>
        </w:rPr>
        <w:t> </w:t>
      </w:r>
      <w:r>
        <w:rPr/>
        <w:t>Rose</w:t>
      </w:r>
      <w:r>
        <w:rPr>
          <w:spacing w:val="-10"/>
        </w:rPr>
        <w:t> </w:t>
      </w:r>
      <w:r>
        <w:rPr/>
        <w:t>(1998),</w:t>
      </w:r>
      <w:r>
        <w:rPr>
          <w:spacing w:val="-10"/>
        </w:rPr>
        <w:t> </w:t>
      </w:r>
      <w:r>
        <w:rPr/>
        <w:t>“The</w:t>
      </w:r>
      <w:r>
        <w:rPr>
          <w:spacing w:val="-10"/>
        </w:rPr>
        <w:t> </w:t>
      </w:r>
      <w:r>
        <w:rPr/>
        <w:t>Endogeneity</w:t>
      </w:r>
      <w:r>
        <w:rPr>
          <w:spacing w:val="-9"/>
        </w:rPr>
        <w:t> </w:t>
      </w:r>
      <w:r>
        <w:rPr/>
        <w:t>of</w:t>
      </w:r>
      <w:r>
        <w:rPr>
          <w:spacing w:val="-7"/>
        </w:rPr>
        <w:t> </w:t>
      </w:r>
      <w:r>
        <w:rPr/>
        <w:t>Optimum</w:t>
      </w:r>
      <w:r>
        <w:rPr>
          <w:spacing w:val="-10"/>
        </w:rPr>
        <w:t> </w:t>
      </w:r>
      <w:r>
        <w:rPr/>
        <w:t>Currency</w:t>
      </w:r>
      <w:r>
        <w:rPr>
          <w:spacing w:val="-9"/>
        </w:rPr>
        <w:t> </w:t>
      </w:r>
      <w:r>
        <w:rPr/>
        <w:t>Areas</w:t>
      </w:r>
      <w:r>
        <w:rPr>
          <w:spacing w:val="-9"/>
        </w:rPr>
        <w:t> </w:t>
      </w:r>
      <w:r>
        <w:rPr/>
        <w:t>Criteria”,</w:t>
      </w:r>
      <w:r>
        <w:rPr>
          <w:spacing w:val="-11"/>
        </w:rPr>
        <w:t> </w:t>
      </w:r>
      <w:r>
        <w:rPr>
          <w:i/>
        </w:rPr>
        <w:t>The</w:t>
      </w:r>
      <w:r>
        <w:rPr>
          <w:i/>
          <w:spacing w:val="-10"/>
        </w:rPr>
        <w:t> </w:t>
      </w:r>
      <w:r>
        <w:rPr>
          <w:i/>
        </w:rPr>
        <w:t>Economic </w:t>
      </w:r>
      <w:r>
        <w:rPr>
          <w:i/>
        </w:rPr>
        <w:t>Journal</w:t>
      </w:r>
      <w:r>
        <w:rPr/>
        <w:t>, Vol. 108, Jul, pp.</w:t>
      </w:r>
      <w:r>
        <w:rPr>
          <w:spacing w:val="-8"/>
        </w:rPr>
        <w:t> </w:t>
      </w:r>
      <w:r>
        <w:rPr/>
        <w:t>1009–1025.</w:t>
      </w:r>
    </w:p>
    <w:p>
      <w:pPr>
        <w:spacing w:after="0" w:line="237" w:lineRule="auto"/>
        <w:sectPr>
          <w:pgSz w:w="12240" w:h="15840"/>
          <w:pgMar w:header="0" w:footer="1240" w:top="1340" w:bottom="1440" w:left="1360" w:right="1480"/>
        </w:sectPr>
      </w:pPr>
    </w:p>
    <w:p>
      <w:pPr>
        <w:pStyle w:val="BodyText"/>
        <w:spacing w:line="218" w:lineRule="exact" w:before="72"/>
        <w:ind w:left="226"/>
      </w:pPr>
      <w:r>
        <w:rPr/>
        <w:t>Frankel, J. and A. Rose (2002), “An Estimate of the Effect of Common Currencies on Trade and Income”,</w:t>
      </w:r>
    </w:p>
    <w:p>
      <w:pPr>
        <w:spacing w:line="218" w:lineRule="exact" w:before="0"/>
        <w:ind w:left="226" w:right="0" w:firstLine="0"/>
        <w:jc w:val="left"/>
        <w:rPr>
          <w:sz w:val="19"/>
        </w:rPr>
      </w:pPr>
      <w:r>
        <w:rPr>
          <w:i/>
          <w:sz w:val="19"/>
        </w:rPr>
        <w:t>Quarterly Journal of Economics</w:t>
      </w:r>
      <w:r>
        <w:rPr>
          <w:sz w:val="19"/>
        </w:rPr>
        <w:t>, 117, pp. 437–466.</w:t>
      </w:r>
    </w:p>
    <w:p>
      <w:pPr>
        <w:pStyle w:val="BodyText"/>
        <w:spacing w:before="8"/>
        <w:rPr>
          <w:sz w:val="18"/>
        </w:rPr>
      </w:pPr>
    </w:p>
    <w:p>
      <w:pPr>
        <w:pStyle w:val="BodyText"/>
        <w:spacing w:line="237" w:lineRule="auto"/>
        <w:ind w:left="226" w:right="177"/>
      </w:pPr>
      <w:r>
        <w:rPr/>
        <w:t>HM</w:t>
      </w:r>
      <w:r>
        <w:rPr>
          <w:spacing w:val="-9"/>
        </w:rPr>
        <w:t> </w:t>
      </w:r>
      <w:r>
        <w:rPr/>
        <w:t>Treasury</w:t>
      </w:r>
      <w:r>
        <w:rPr>
          <w:spacing w:val="-8"/>
        </w:rPr>
        <w:t> </w:t>
      </w:r>
      <w:r>
        <w:rPr/>
        <w:t>(2003),</w:t>
      </w:r>
      <w:r>
        <w:rPr>
          <w:spacing w:val="-8"/>
        </w:rPr>
        <w:t> </w:t>
      </w:r>
      <w:r>
        <w:rPr/>
        <w:t>“UK</w:t>
      </w:r>
      <w:r>
        <w:rPr>
          <w:spacing w:val="-9"/>
        </w:rPr>
        <w:t> </w:t>
      </w:r>
      <w:r>
        <w:rPr/>
        <w:t>membership</w:t>
      </w:r>
      <w:r>
        <w:rPr>
          <w:spacing w:val="-8"/>
        </w:rPr>
        <w:t> </w:t>
      </w:r>
      <w:r>
        <w:rPr/>
        <w:t>of</w:t>
      </w:r>
      <w:r>
        <w:rPr>
          <w:spacing w:val="-7"/>
        </w:rPr>
        <w:t> </w:t>
      </w:r>
      <w:r>
        <w:rPr/>
        <w:t>the</w:t>
      </w:r>
      <w:r>
        <w:rPr>
          <w:spacing w:val="-9"/>
        </w:rPr>
        <w:t> </w:t>
      </w:r>
      <w:r>
        <w:rPr/>
        <w:t>single</w:t>
      </w:r>
      <w:r>
        <w:rPr>
          <w:spacing w:val="-8"/>
        </w:rPr>
        <w:t> </w:t>
      </w:r>
      <w:r>
        <w:rPr/>
        <w:t>currency</w:t>
      </w:r>
      <w:r>
        <w:rPr>
          <w:spacing w:val="-9"/>
        </w:rPr>
        <w:t> </w:t>
      </w:r>
      <w:r>
        <w:rPr/>
        <w:t>–</w:t>
      </w:r>
      <w:r>
        <w:rPr>
          <w:spacing w:val="-8"/>
        </w:rPr>
        <w:t> </w:t>
      </w:r>
      <w:r>
        <w:rPr/>
        <w:t>an</w:t>
      </w:r>
      <w:r>
        <w:rPr>
          <w:spacing w:val="-8"/>
        </w:rPr>
        <w:t> </w:t>
      </w:r>
      <w:r>
        <w:rPr/>
        <w:t>assessment</w:t>
      </w:r>
      <w:r>
        <w:rPr>
          <w:spacing w:val="-8"/>
        </w:rPr>
        <w:t> </w:t>
      </w:r>
      <w:r>
        <w:rPr/>
        <w:t>of</w:t>
      </w:r>
      <w:r>
        <w:rPr>
          <w:spacing w:val="-6"/>
        </w:rPr>
        <w:t> </w:t>
      </w:r>
      <w:r>
        <w:rPr/>
        <w:t>the</w:t>
      </w:r>
      <w:r>
        <w:rPr>
          <w:spacing w:val="-10"/>
        </w:rPr>
        <w:t> </w:t>
      </w:r>
      <w:r>
        <w:rPr/>
        <w:t>five</w:t>
      </w:r>
      <w:r>
        <w:rPr>
          <w:spacing w:val="-9"/>
        </w:rPr>
        <w:t> </w:t>
      </w:r>
      <w:r>
        <w:rPr/>
        <w:t>economic</w:t>
      </w:r>
      <w:r>
        <w:rPr>
          <w:spacing w:val="-7"/>
        </w:rPr>
        <w:t> </w:t>
      </w:r>
      <w:r>
        <w:rPr/>
        <w:t>tests”, CM 5776, London, HMSO,</w:t>
      </w:r>
      <w:r>
        <w:rPr>
          <w:spacing w:val="-4"/>
        </w:rPr>
        <w:t> </w:t>
      </w:r>
      <w:r>
        <w:rPr/>
        <w:t>Jun.</w:t>
      </w:r>
    </w:p>
    <w:p>
      <w:pPr>
        <w:pStyle w:val="BodyText"/>
        <w:spacing w:before="9"/>
        <w:rPr>
          <w:sz w:val="18"/>
        </w:rPr>
      </w:pPr>
    </w:p>
    <w:p>
      <w:pPr>
        <w:spacing w:line="237" w:lineRule="auto" w:before="0"/>
        <w:ind w:left="226" w:right="0" w:firstLine="0"/>
        <w:jc w:val="left"/>
        <w:rPr>
          <w:sz w:val="19"/>
        </w:rPr>
      </w:pPr>
      <w:r>
        <w:rPr>
          <w:sz w:val="19"/>
        </w:rPr>
        <w:t>Kenen, P. (1969), “The Theory of Optimum Currency Areas: An Eclectic View,” in Robert Mundell and Alexander</w:t>
      </w:r>
      <w:r>
        <w:rPr>
          <w:spacing w:val="-12"/>
          <w:sz w:val="19"/>
        </w:rPr>
        <w:t> </w:t>
      </w:r>
      <w:r>
        <w:rPr>
          <w:sz w:val="19"/>
        </w:rPr>
        <w:t>Swoboda</w:t>
      </w:r>
      <w:r>
        <w:rPr>
          <w:spacing w:val="-12"/>
          <w:sz w:val="19"/>
        </w:rPr>
        <w:t> </w:t>
      </w:r>
      <w:r>
        <w:rPr>
          <w:sz w:val="19"/>
        </w:rPr>
        <w:t>(eds),</w:t>
      </w:r>
      <w:r>
        <w:rPr>
          <w:spacing w:val="-12"/>
          <w:sz w:val="19"/>
        </w:rPr>
        <w:t> </w:t>
      </w:r>
      <w:r>
        <w:rPr>
          <w:i/>
          <w:sz w:val="19"/>
        </w:rPr>
        <w:t>Monetary</w:t>
      </w:r>
      <w:r>
        <w:rPr>
          <w:i/>
          <w:spacing w:val="-11"/>
          <w:sz w:val="19"/>
        </w:rPr>
        <w:t> </w:t>
      </w:r>
      <w:r>
        <w:rPr>
          <w:i/>
          <w:sz w:val="19"/>
        </w:rPr>
        <w:t>Problems</w:t>
      </w:r>
      <w:r>
        <w:rPr>
          <w:i/>
          <w:spacing w:val="-10"/>
          <w:sz w:val="19"/>
        </w:rPr>
        <w:t> </w:t>
      </w:r>
      <w:r>
        <w:rPr>
          <w:i/>
          <w:sz w:val="19"/>
        </w:rPr>
        <w:t>of</w:t>
      </w:r>
      <w:r>
        <w:rPr>
          <w:i/>
          <w:spacing w:val="-12"/>
          <w:sz w:val="19"/>
        </w:rPr>
        <w:t> </w:t>
      </w:r>
      <w:r>
        <w:rPr>
          <w:i/>
          <w:sz w:val="19"/>
        </w:rPr>
        <w:t>the</w:t>
      </w:r>
      <w:r>
        <w:rPr>
          <w:i/>
          <w:spacing w:val="-12"/>
          <w:sz w:val="19"/>
        </w:rPr>
        <w:t> </w:t>
      </w:r>
      <w:r>
        <w:rPr>
          <w:i/>
          <w:sz w:val="19"/>
        </w:rPr>
        <w:t>International</w:t>
      </w:r>
      <w:r>
        <w:rPr>
          <w:i/>
          <w:spacing w:val="-9"/>
          <w:sz w:val="19"/>
        </w:rPr>
        <w:t> </w:t>
      </w:r>
      <w:r>
        <w:rPr>
          <w:i/>
          <w:sz w:val="19"/>
        </w:rPr>
        <w:t>Economy</w:t>
      </w:r>
      <w:r>
        <w:rPr>
          <w:sz w:val="19"/>
        </w:rPr>
        <w:t>,</w:t>
      </w:r>
      <w:r>
        <w:rPr>
          <w:spacing w:val="-10"/>
          <w:sz w:val="19"/>
        </w:rPr>
        <w:t> </w:t>
      </w:r>
      <w:r>
        <w:rPr>
          <w:sz w:val="19"/>
        </w:rPr>
        <w:t>Chicago:</w:t>
      </w:r>
      <w:r>
        <w:rPr>
          <w:spacing w:val="-12"/>
          <w:sz w:val="19"/>
        </w:rPr>
        <w:t> </w:t>
      </w:r>
      <w:r>
        <w:rPr>
          <w:sz w:val="19"/>
        </w:rPr>
        <w:t>University</w:t>
      </w:r>
      <w:r>
        <w:rPr>
          <w:spacing w:val="-12"/>
          <w:sz w:val="19"/>
        </w:rPr>
        <w:t> </w:t>
      </w:r>
      <w:r>
        <w:rPr>
          <w:sz w:val="19"/>
        </w:rPr>
        <w:t>of</w:t>
      </w:r>
      <w:r>
        <w:rPr>
          <w:spacing w:val="-12"/>
          <w:sz w:val="19"/>
        </w:rPr>
        <w:t> </w:t>
      </w:r>
      <w:r>
        <w:rPr>
          <w:sz w:val="19"/>
        </w:rPr>
        <w:t>Chicago Press,</w:t>
      </w:r>
      <w:r>
        <w:rPr>
          <w:spacing w:val="-2"/>
          <w:sz w:val="19"/>
        </w:rPr>
        <w:t> </w:t>
      </w:r>
      <w:r>
        <w:rPr>
          <w:sz w:val="19"/>
        </w:rPr>
        <w:t>pp.41-60.</w:t>
      </w:r>
    </w:p>
    <w:p>
      <w:pPr>
        <w:pStyle w:val="BodyText"/>
        <w:spacing w:before="8"/>
        <w:rPr>
          <w:sz w:val="18"/>
        </w:rPr>
      </w:pPr>
    </w:p>
    <w:p>
      <w:pPr>
        <w:pStyle w:val="BodyText"/>
        <w:spacing w:line="217" w:lineRule="exact"/>
        <w:ind w:left="226"/>
      </w:pPr>
      <w:r>
        <w:rPr/>
        <w:t>Krugman, P. (1992), “Policy Problems of a Monetary Union”, pp. 185 – 203 in Krugman, Paul R. (1992)</w:t>
      </w:r>
    </w:p>
    <w:p>
      <w:pPr>
        <w:spacing w:line="217" w:lineRule="exact" w:before="0"/>
        <w:ind w:left="226" w:right="0" w:firstLine="0"/>
        <w:jc w:val="left"/>
        <w:rPr>
          <w:sz w:val="19"/>
        </w:rPr>
      </w:pPr>
      <w:r>
        <w:rPr>
          <w:i/>
          <w:sz w:val="19"/>
        </w:rPr>
        <w:t>Currencies and Crises </w:t>
      </w:r>
      <w:r>
        <w:rPr>
          <w:sz w:val="19"/>
        </w:rPr>
        <w:t>(Cambridge Ma, and London: MIT Press).</w:t>
      </w:r>
    </w:p>
    <w:p>
      <w:pPr>
        <w:pStyle w:val="BodyText"/>
        <w:spacing w:before="6"/>
        <w:rPr>
          <w:sz w:val="18"/>
        </w:rPr>
      </w:pPr>
    </w:p>
    <w:p>
      <w:pPr>
        <w:pStyle w:val="BodyText"/>
        <w:ind w:left="226" w:right="111"/>
      </w:pPr>
      <w:r>
        <w:rPr/>
        <w:t>Melitz,</w:t>
      </w:r>
      <w:r>
        <w:rPr>
          <w:spacing w:val="-10"/>
        </w:rPr>
        <w:t> </w:t>
      </w:r>
      <w:r>
        <w:rPr/>
        <w:t>J.</w:t>
      </w:r>
      <w:r>
        <w:rPr>
          <w:spacing w:val="-7"/>
        </w:rPr>
        <w:t> </w:t>
      </w:r>
      <w:r>
        <w:rPr/>
        <w:t>and</w:t>
      </w:r>
      <w:r>
        <w:rPr>
          <w:spacing w:val="-8"/>
        </w:rPr>
        <w:t> </w:t>
      </w:r>
      <w:r>
        <w:rPr/>
        <w:t>F.</w:t>
      </w:r>
      <w:r>
        <w:rPr>
          <w:spacing w:val="-7"/>
        </w:rPr>
        <w:t> </w:t>
      </w:r>
      <w:r>
        <w:rPr/>
        <w:t>Zumer</w:t>
      </w:r>
      <w:r>
        <w:rPr>
          <w:spacing w:val="-8"/>
        </w:rPr>
        <w:t> </w:t>
      </w:r>
      <w:r>
        <w:rPr/>
        <w:t>(2002),</w:t>
      </w:r>
      <w:r>
        <w:rPr>
          <w:spacing w:val="-7"/>
        </w:rPr>
        <w:t> </w:t>
      </w:r>
      <w:r>
        <w:rPr/>
        <w:t>“Regional</w:t>
      </w:r>
      <w:r>
        <w:rPr>
          <w:spacing w:val="-6"/>
        </w:rPr>
        <w:t> </w:t>
      </w:r>
      <w:r>
        <w:rPr/>
        <w:t>Redistribution</w:t>
      </w:r>
      <w:r>
        <w:rPr>
          <w:spacing w:val="-10"/>
        </w:rPr>
        <w:t> </w:t>
      </w:r>
      <w:r>
        <w:rPr/>
        <w:t>and</w:t>
      </w:r>
      <w:r>
        <w:rPr>
          <w:spacing w:val="-9"/>
        </w:rPr>
        <w:t> </w:t>
      </w:r>
      <w:r>
        <w:rPr/>
        <w:t>Stabilization</w:t>
      </w:r>
      <w:r>
        <w:rPr>
          <w:spacing w:val="-9"/>
        </w:rPr>
        <w:t> </w:t>
      </w:r>
      <w:r>
        <w:rPr/>
        <w:t>by</w:t>
      </w:r>
      <w:r>
        <w:rPr>
          <w:spacing w:val="-8"/>
        </w:rPr>
        <w:t> </w:t>
      </w:r>
      <w:r>
        <w:rPr/>
        <w:t>the</w:t>
      </w:r>
      <w:r>
        <w:rPr>
          <w:spacing w:val="-9"/>
        </w:rPr>
        <w:t> </w:t>
      </w:r>
      <w:r>
        <w:rPr/>
        <w:t>Center</w:t>
      </w:r>
      <w:r>
        <w:rPr>
          <w:spacing w:val="-8"/>
        </w:rPr>
        <w:t> </w:t>
      </w:r>
      <w:r>
        <w:rPr/>
        <w:t>in</w:t>
      </w:r>
      <w:r>
        <w:rPr>
          <w:spacing w:val="-9"/>
        </w:rPr>
        <w:t> </w:t>
      </w:r>
      <w:r>
        <w:rPr/>
        <w:t>Canada,</w:t>
      </w:r>
      <w:r>
        <w:rPr>
          <w:spacing w:val="-8"/>
        </w:rPr>
        <w:t> </w:t>
      </w:r>
      <w:r>
        <w:rPr/>
        <w:t>France, the</w:t>
      </w:r>
      <w:r>
        <w:rPr>
          <w:spacing w:val="-6"/>
        </w:rPr>
        <w:t> </w:t>
      </w:r>
      <w:r>
        <w:rPr/>
        <w:t>UK</w:t>
      </w:r>
      <w:r>
        <w:rPr>
          <w:spacing w:val="-5"/>
        </w:rPr>
        <w:t> </w:t>
      </w:r>
      <w:r>
        <w:rPr/>
        <w:t>and</w:t>
      </w:r>
      <w:r>
        <w:rPr>
          <w:spacing w:val="-5"/>
        </w:rPr>
        <w:t> </w:t>
      </w:r>
      <w:r>
        <w:rPr/>
        <w:t>the</w:t>
      </w:r>
      <w:r>
        <w:rPr>
          <w:spacing w:val="-5"/>
        </w:rPr>
        <w:t> </w:t>
      </w:r>
      <w:r>
        <w:rPr/>
        <w:t>US:</w:t>
      </w:r>
      <w:r>
        <w:rPr>
          <w:spacing w:val="-6"/>
        </w:rPr>
        <w:t> </w:t>
      </w:r>
      <w:r>
        <w:rPr/>
        <w:t>A</w:t>
      </w:r>
      <w:r>
        <w:rPr>
          <w:spacing w:val="-4"/>
        </w:rPr>
        <w:t> </w:t>
      </w:r>
      <w:r>
        <w:rPr/>
        <w:t>Reassessment</w:t>
      </w:r>
      <w:r>
        <w:rPr>
          <w:spacing w:val="-5"/>
        </w:rPr>
        <w:t> </w:t>
      </w:r>
      <w:r>
        <w:rPr/>
        <w:t>and</w:t>
      </w:r>
      <w:r>
        <w:rPr>
          <w:spacing w:val="-5"/>
        </w:rPr>
        <w:t> </w:t>
      </w:r>
      <w:r>
        <w:rPr/>
        <w:t>New</w:t>
      </w:r>
      <w:r>
        <w:rPr>
          <w:spacing w:val="-6"/>
        </w:rPr>
        <w:t> </w:t>
      </w:r>
      <w:r>
        <w:rPr/>
        <w:t>Tests”.</w:t>
      </w:r>
      <w:r>
        <w:rPr>
          <w:spacing w:val="-7"/>
        </w:rPr>
        <w:t> </w:t>
      </w:r>
      <w:r>
        <w:rPr>
          <w:i/>
        </w:rPr>
        <w:t>Journal</w:t>
      </w:r>
      <w:r>
        <w:rPr>
          <w:i/>
          <w:spacing w:val="-3"/>
        </w:rPr>
        <w:t> </w:t>
      </w:r>
      <w:r>
        <w:rPr>
          <w:i/>
        </w:rPr>
        <w:t>of</w:t>
      </w:r>
      <w:r>
        <w:rPr>
          <w:i/>
          <w:spacing w:val="-4"/>
        </w:rPr>
        <w:t> </w:t>
      </w:r>
      <w:r>
        <w:rPr>
          <w:i/>
        </w:rPr>
        <w:t>Public</w:t>
      </w:r>
      <w:r>
        <w:rPr>
          <w:i/>
          <w:spacing w:val="-5"/>
        </w:rPr>
        <w:t> </w:t>
      </w:r>
      <w:r>
        <w:rPr>
          <w:i/>
        </w:rPr>
        <w:t>Economic,</w:t>
      </w:r>
      <w:r>
        <w:rPr>
          <w:i/>
          <w:spacing w:val="-6"/>
        </w:rPr>
        <w:t> </w:t>
      </w:r>
      <w:r>
        <w:rPr/>
        <w:t>86,</w:t>
      </w:r>
      <w:r>
        <w:rPr>
          <w:spacing w:val="-3"/>
        </w:rPr>
        <w:t> </w:t>
      </w:r>
      <w:r>
        <w:rPr/>
        <w:t>pp.</w:t>
      </w:r>
      <w:r>
        <w:rPr>
          <w:spacing w:val="-5"/>
        </w:rPr>
        <w:t> </w:t>
      </w:r>
      <w:r>
        <w:rPr/>
        <w:t>263-286.</w:t>
      </w:r>
    </w:p>
    <w:p>
      <w:pPr>
        <w:pStyle w:val="BodyText"/>
        <w:spacing w:before="6"/>
        <w:rPr>
          <w:sz w:val="18"/>
        </w:rPr>
      </w:pPr>
    </w:p>
    <w:p>
      <w:pPr>
        <w:spacing w:before="0"/>
        <w:ind w:left="226" w:right="0" w:firstLine="0"/>
        <w:jc w:val="left"/>
        <w:rPr>
          <w:sz w:val="19"/>
        </w:rPr>
      </w:pPr>
      <w:r>
        <w:rPr>
          <w:sz w:val="19"/>
        </w:rPr>
        <w:t>McCallum,</w:t>
      </w:r>
      <w:r>
        <w:rPr>
          <w:spacing w:val="-11"/>
          <w:sz w:val="19"/>
        </w:rPr>
        <w:t> </w:t>
      </w:r>
      <w:r>
        <w:rPr>
          <w:sz w:val="19"/>
        </w:rPr>
        <w:t>J.</w:t>
      </w:r>
      <w:r>
        <w:rPr>
          <w:spacing w:val="-12"/>
          <w:sz w:val="19"/>
        </w:rPr>
        <w:t> </w:t>
      </w:r>
      <w:r>
        <w:rPr>
          <w:sz w:val="19"/>
        </w:rPr>
        <w:t>(1995),</w:t>
      </w:r>
      <w:r>
        <w:rPr>
          <w:spacing w:val="-12"/>
          <w:sz w:val="19"/>
        </w:rPr>
        <w:t> </w:t>
      </w:r>
      <w:r>
        <w:rPr>
          <w:sz w:val="19"/>
        </w:rPr>
        <w:t>“National</w:t>
      </w:r>
      <w:r>
        <w:rPr>
          <w:spacing w:val="-11"/>
          <w:sz w:val="19"/>
        </w:rPr>
        <w:t> </w:t>
      </w:r>
      <w:r>
        <w:rPr>
          <w:sz w:val="19"/>
        </w:rPr>
        <w:t>borders</w:t>
      </w:r>
      <w:r>
        <w:rPr>
          <w:spacing w:val="-11"/>
          <w:sz w:val="19"/>
        </w:rPr>
        <w:t> </w:t>
      </w:r>
      <w:r>
        <w:rPr>
          <w:sz w:val="19"/>
        </w:rPr>
        <w:t>matter:</w:t>
      </w:r>
      <w:r>
        <w:rPr>
          <w:spacing w:val="-11"/>
          <w:sz w:val="19"/>
        </w:rPr>
        <w:t> </w:t>
      </w:r>
      <w:r>
        <w:rPr>
          <w:sz w:val="19"/>
        </w:rPr>
        <w:t>Canada-US</w:t>
      </w:r>
      <w:r>
        <w:rPr>
          <w:spacing w:val="-11"/>
          <w:sz w:val="19"/>
        </w:rPr>
        <w:t> </w:t>
      </w:r>
      <w:r>
        <w:rPr>
          <w:sz w:val="19"/>
        </w:rPr>
        <w:t>regional</w:t>
      </w:r>
      <w:r>
        <w:rPr>
          <w:spacing w:val="-11"/>
          <w:sz w:val="19"/>
        </w:rPr>
        <w:t> </w:t>
      </w:r>
      <w:r>
        <w:rPr>
          <w:sz w:val="19"/>
        </w:rPr>
        <w:t>trade</w:t>
      </w:r>
      <w:r>
        <w:rPr>
          <w:spacing w:val="-13"/>
          <w:sz w:val="19"/>
        </w:rPr>
        <w:t> </w:t>
      </w:r>
      <w:r>
        <w:rPr>
          <w:sz w:val="19"/>
        </w:rPr>
        <w:t>patterns”,</w:t>
      </w:r>
      <w:r>
        <w:rPr>
          <w:spacing w:val="-10"/>
          <w:sz w:val="19"/>
        </w:rPr>
        <w:t> </w:t>
      </w:r>
      <w:r>
        <w:rPr>
          <w:i/>
          <w:sz w:val="19"/>
        </w:rPr>
        <w:t>The</w:t>
      </w:r>
      <w:r>
        <w:rPr>
          <w:i/>
          <w:spacing w:val="-12"/>
          <w:sz w:val="19"/>
        </w:rPr>
        <w:t> </w:t>
      </w:r>
      <w:r>
        <w:rPr>
          <w:i/>
          <w:sz w:val="19"/>
        </w:rPr>
        <w:t>American</w:t>
      </w:r>
      <w:r>
        <w:rPr>
          <w:i/>
          <w:spacing w:val="-12"/>
          <w:sz w:val="19"/>
        </w:rPr>
        <w:t> </w:t>
      </w:r>
      <w:r>
        <w:rPr>
          <w:i/>
          <w:sz w:val="19"/>
        </w:rPr>
        <w:t>Economic </w:t>
      </w:r>
      <w:r>
        <w:rPr>
          <w:i/>
          <w:sz w:val="19"/>
        </w:rPr>
        <w:t>Review, </w:t>
      </w:r>
      <w:r>
        <w:rPr>
          <w:sz w:val="19"/>
        </w:rPr>
        <w:t>85 (3),</w:t>
      </w:r>
      <w:r>
        <w:rPr>
          <w:spacing w:val="-3"/>
          <w:sz w:val="19"/>
        </w:rPr>
        <w:t> </w:t>
      </w:r>
      <w:r>
        <w:rPr>
          <w:sz w:val="19"/>
        </w:rPr>
        <w:t>615-623.</w:t>
      </w:r>
    </w:p>
    <w:p>
      <w:pPr>
        <w:pStyle w:val="BodyText"/>
        <w:spacing w:before="5"/>
        <w:rPr>
          <w:sz w:val="18"/>
        </w:rPr>
      </w:pPr>
    </w:p>
    <w:p>
      <w:pPr>
        <w:spacing w:before="0"/>
        <w:ind w:left="226" w:right="0" w:hanging="1"/>
        <w:jc w:val="left"/>
        <w:rPr>
          <w:sz w:val="19"/>
        </w:rPr>
      </w:pPr>
      <w:r>
        <w:rPr>
          <w:sz w:val="19"/>
        </w:rPr>
        <w:t>McKinnon, R. (1963), “Optimum currency areas”, </w:t>
      </w:r>
      <w:r>
        <w:rPr>
          <w:i/>
          <w:sz w:val="19"/>
        </w:rPr>
        <w:t>American Economic Review</w:t>
      </w:r>
      <w:r>
        <w:rPr>
          <w:sz w:val="19"/>
        </w:rPr>
        <w:t>, Vol. 53, Sep, pp. 717–25.</w:t>
      </w:r>
    </w:p>
    <w:p>
      <w:pPr>
        <w:pStyle w:val="BodyText"/>
        <w:spacing w:before="1"/>
      </w:pPr>
    </w:p>
    <w:p>
      <w:pPr>
        <w:spacing w:line="235" w:lineRule="auto" w:before="0"/>
        <w:ind w:left="226" w:right="0" w:firstLine="0"/>
        <w:jc w:val="left"/>
        <w:rPr>
          <w:sz w:val="19"/>
        </w:rPr>
      </w:pPr>
      <w:r>
        <w:rPr>
          <w:sz w:val="19"/>
        </w:rPr>
        <w:t>McKinnon,</w:t>
      </w:r>
      <w:r>
        <w:rPr>
          <w:spacing w:val="-9"/>
          <w:sz w:val="19"/>
        </w:rPr>
        <w:t> </w:t>
      </w:r>
      <w:r>
        <w:rPr>
          <w:sz w:val="19"/>
        </w:rPr>
        <w:t>R.</w:t>
      </w:r>
      <w:r>
        <w:rPr>
          <w:spacing w:val="-9"/>
          <w:sz w:val="19"/>
        </w:rPr>
        <w:t> </w:t>
      </w:r>
      <w:r>
        <w:rPr>
          <w:sz w:val="19"/>
        </w:rPr>
        <w:t>(2004),</w:t>
      </w:r>
      <w:r>
        <w:rPr>
          <w:spacing w:val="-10"/>
          <w:sz w:val="19"/>
        </w:rPr>
        <w:t> </w:t>
      </w:r>
      <w:r>
        <w:rPr>
          <w:sz w:val="19"/>
        </w:rPr>
        <w:t>“Optimum</w:t>
      </w:r>
      <w:r>
        <w:rPr>
          <w:spacing w:val="-9"/>
          <w:sz w:val="19"/>
        </w:rPr>
        <w:t> </w:t>
      </w:r>
      <w:r>
        <w:rPr>
          <w:sz w:val="19"/>
        </w:rPr>
        <w:t>Currency</w:t>
      </w:r>
      <w:r>
        <w:rPr>
          <w:spacing w:val="-10"/>
          <w:sz w:val="19"/>
        </w:rPr>
        <w:t> </w:t>
      </w:r>
      <w:r>
        <w:rPr>
          <w:sz w:val="19"/>
        </w:rPr>
        <w:t>Areas</w:t>
      </w:r>
      <w:r>
        <w:rPr>
          <w:spacing w:val="-8"/>
          <w:sz w:val="19"/>
        </w:rPr>
        <w:t> </w:t>
      </w:r>
      <w:r>
        <w:rPr>
          <w:sz w:val="19"/>
        </w:rPr>
        <w:t>and</w:t>
      </w:r>
      <w:r>
        <w:rPr>
          <w:spacing w:val="-9"/>
          <w:sz w:val="19"/>
        </w:rPr>
        <w:t> </w:t>
      </w:r>
      <w:r>
        <w:rPr>
          <w:sz w:val="19"/>
        </w:rPr>
        <w:t>Key</w:t>
      </w:r>
      <w:r>
        <w:rPr>
          <w:spacing w:val="-10"/>
          <w:sz w:val="19"/>
        </w:rPr>
        <w:t> </w:t>
      </w:r>
      <w:r>
        <w:rPr>
          <w:sz w:val="19"/>
        </w:rPr>
        <w:t>Currencies:</w:t>
      </w:r>
      <w:r>
        <w:rPr>
          <w:spacing w:val="-9"/>
          <w:sz w:val="19"/>
        </w:rPr>
        <w:t> </w:t>
      </w:r>
      <w:r>
        <w:rPr>
          <w:sz w:val="19"/>
        </w:rPr>
        <w:t>Mundell</w:t>
      </w:r>
      <w:r>
        <w:rPr>
          <w:spacing w:val="-9"/>
          <w:sz w:val="19"/>
        </w:rPr>
        <w:t> </w:t>
      </w:r>
      <w:r>
        <w:rPr>
          <w:sz w:val="19"/>
        </w:rPr>
        <w:t>I</w:t>
      </w:r>
      <w:r>
        <w:rPr>
          <w:spacing w:val="-10"/>
          <w:sz w:val="19"/>
        </w:rPr>
        <w:t> </w:t>
      </w:r>
      <w:r>
        <w:rPr>
          <w:sz w:val="19"/>
        </w:rPr>
        <w:t>vs.Mundell</w:t>
      </w:r>
      <w:r>
        <w:rPr>
          <w:spacing w:val="-10"/>
          <w:sz w:val="19"/>
        </w:rPr>
        <w:t> </w:t>
      </w:r>
      <w:r>
        <w:rPr>
          <w:sz w:val="19"/>
        </w:rPr>
        <w:t>II”,</w:t>
      </w:r>
      <w:r>
        <w:rPr>
          <w:spacing w:val="-10"/>
          <w:sz w:val="19"/>
        </w:rPr>
        <w:t> </w:t>
      </w:r>
      <w:r>
        <w:rPr>
          <w:i/>
          <w:sz w:val="19"/>
        </w:rPr>
        <w:t>Journal</w:t>
      </w:r>
      <w:r>
        <w:rPr>
          <w:i/>
          <w:spacing w:val="-9"/>
          <w:sz w:val="19"/>
        </w:rPr>
        <w:t> </w:t>
      </w:r>
      <w:r>
        <w:rPr>
          <w:i/>
          <w:sz w:val="19"/>
        </w:rPr>
        <w:t>of </w:t>
      </w:r>
      <w:r>
        <w:rPr>
          <w:i/>
          <w:sz w:val="19"/>
        </w:rPr>
        <w:t>Common Market Studies</w:t>
      </w:r>
      <w:r>
        <w:rPr>
          <w:sz w:val="19"/>
        </w:rPr>
        <w:t>, Vol. 42. Number 4. pp.</w:t>
      </w:r>
      <w:r>
        <w:rPr>
          <w:spacing w:val="-14"/>
          <w:sz w:val="19"/>
        </w:rPr>
        <w:t> </w:t>
      </w:r>
      <w:r>
        <w:rPr>
          <w:sz w:val="19"/>
        </w:rPr>
        <w:t>689–715.</w:t>
      </w:r>
    </w:p>
    <w:p>
      <w:pPr>
        <w:pStyle w:val="BodyText"/>
        <w:spacing w:before="10"/>
        <w:rPr>
          <w:sz w:val="18"/>
        </w:rPr>
      </w:pPr>
    </w:p>
    <w:p>
      <w:pPr>
        <w:spacing w:before="0"/>
        <w:ind w:left="226" w:right="0" w:firstLine="0"/>
        <w:jc w:val="left"/>
        <w:rPr>
          <w:sz w:val="19"/>
        </w:rPr>
      </w:pPr>
      <w:r>
        <w:rPr>
          <w:sz w:val="19"/>
        </w:rPr>
        <w:t>Mundell, R. (1961), “A theory of optimum currency areas”, </w:t>
      </w:r>
      <w:r>
        <w:rPr>
          <w:i/>
          <w:sz w:val="19"/>
        </w:rPr>
        <w:t>American Economic Review</w:t>
      </w:r>
      <w:r>
        <w:rPr>
          <w:sz w:val="19"/>
        </w:rPr>
        <w:t>, Vol. 51, Sep.</w:t>
      </w:r>
    </w:p>
    <w:p>
      <w:pPr>
        <w:pStyle w:val="BodyText"/>
        <w:spacing w:before="7"/>
        <w:rPr>
          <w:sz w:val="18"/>
        </w:rPr>
      </w:pPr>
    </w:p>
    <w:p>
      <w:pPr>
        <w:pStyle w:val="BodyText"/>
        <w:ind w:left="226"/>
      </w:pPr>
      <w:r>
        <w:rPr/>
        <w:t>Mundell,</w:t>
      </w:r>
      <w:r>
        <w:rPr>
          <w:spacing w:val="-11"/>
        </w:rPr>
        <w:t> </w:t>
      </w:r>
      <w:r>
        <w:rPr/>
        <w:t>R.</w:t>
      </w:r>
      <w:r>
        <w:rPr>
          <w:spacing w:val="-10"/>
        </w:rPr>
        <w:t> </w:t>
      </w:r>
      <w:r>
        <w:rPr/>
        <w:t>(1973),</w:t>
      </w:r>
      <w:r>
        <w:rPr>
          <w:spacing w:val="-10"/>
        </w:rPr>
        <w:t> </w:t>
      </w:r>
      <w:r>
        <w:rPr/>
        <w:t>“Uncommon</w:t>
      </w:r>
      <w:r>
        <w:rPr>
          <w:spacing w:val="-11"/>
        </w:rPr>
        <w:t> </w:t>
      </w:r>
      <w:r>
        <w:rPr/>
        <w:t>Arguments</w:t>
      </w:r>
      <w:r>
        <w:rPr>
          <w:spacing w:val="-8"/>
        </w:rPr>
        <w:t> </w:t>
      </w:r>
      <w:r>
        <w:rPr/>
        <w:t>for</w:t>
      </w:r>
      <w:r>
        <w:rPr>
          <w:spacing w:val="-11"/>
        </w:rPr>
        <w:t> </w:t>
      </w:r>
      <w:r>
        <w:rPr/>
        <w:t>Common</w:t>
      </w:r>
      <w:r>
        <w:rPr>
          <w:spacing w:val="-10"/>
        </w:rPr>
        <w:t> </w:t>
      </w:r>
      <w:r>
        <w:rPr/>
        <w:t>Currencies”,</w:t>
      </w:r>
      <w:r>
        <w:rPr>
          <w:spacing w:val="-10"/>
        </w:rPr>
        <w:t> </w:t>
      </w:r>
      <w:r>
        <w:rPr/>
        <w:t>in</w:t>
      </w:r>
      <w:r>
        <w:rPr>
          <w:spacing w:val="-11"/>
        </w:rPr>
        <w:t> </w:t>
      </w:r>
      <w:r>
        <w:rPr/>
        <w:t>Johnson,</w:t>
      </w:r>
      <w:r>
        <w:rPr>
          <w:spacing w:val="-11"/>
        </w:rPr>
        <w:t> </w:t>
      </w:r>
      <w:r>
        <w:rPr/>
        <w:t>H.G.</w:t>
      </w:r>
      <w:r>
        <w:rPr>
          <w:spacing w:val="-10"/>
        </w:rPr>
        <w:t> </w:t>
      </w:r>
      <w:r>
        <w:rPr/>
        <w:t>and</w:t>
      </w:r>
      <w:r>
        <w:rPr>
          <w:spacing w:val="-10"/>
        </w:rPr>
        <w:t> </w:t>
      </w:r>
      <w:r>
        <w:rPr/>
        <w:t>Swoboda,</w:t>
      </w:r>
      <w:r>
        <w:rPr>
          <w:spacing w:val="-11"/>
        </w:rPr>
        <w:t> </w:t>
      </w:r>
      <w:r>
        <w:rPr/>
        <w:t>A.K. (eds).</w:t>
      </w:r>
    </w:p>
    <w:p>
      <w:pPr>
        <w:pStyle w:val="BodyText"/>
        <w:spacing w:before="5"/>
        <w:rPr>
          <w:sz w:val="18"/>
        </w:rPr>
      </w:pPr>
    </w:p>
    <w:p>
      <w:pPr>
        <w:pStyle w:val="BodyText"/>
        <w:spacing w:line="218" w:lineRule="exact"/>
        <w:ind w:left="226"/>
      </w:pPr>
      <w:r>
        <w:rPr/>
        <w:t>Persson, T. and G. Tabellini (1996), “Federal Fiscal Constitutions: Risk Sharing and Moral Hazard”,</w:t>
      </w:r>
    </w:p>
    <w:p>
      <w:pPr>
        <w:spacing w:line="218" w:lineRule="exact" w:before="0"/>
        <w:ind w:left="226" w:right="0" w:firstLine="0"/>
        <w:jc w:val="left"/>
        <w:rPr>
          <w:sz w:val="19"/>
        </w:rPr>
      </w:pPr>
      <w:r>
        <w:rPr>
          <w:i/>
          <w:sz w:val="19"/>
        </w:rPr>
        <w:t>Econometrica </w:t>
      </w:r>
      <w:r>
        <w:rPr>
          <w:sz w:val="19"/>
        </w:rPr>
        <w:t>64(3): pp. 623-646.</w:t>
      </w:r>
    </w:p>
    <w:p>
      <w:pPr>
        <w:pStyle w:val="BodyText"/>
        <w:spacing w:before="8"/>
        <w:rPr>
          <w:sz w:val="18"/>
        </w:rPr>
      </w:pPr>
    </w:p>
    <w:p>
      <w:pPr>
        <w:pStyle w:val="BodyText"/>
        <w:spacing w:line="237" w:lineRule="auto" w:before="1"/>
        <w:ind w:left="226"/>
      </w:pPr>
      <w:r>
        <w:rPr/>
        <w:t>Rose,</w:t>
      </w:r>
      <w:r>
        <w:rPr>
          <w:spacing w:val="-8"/>
        </w:rPr>
        <w:t> </w:t>
      </w:r>
      <w:r>
        <w:rPr/>
        <w:t>A.</w:t>
      </w:r>
      <w:r>
        <w:rPr>
          <w:spacing w:val="-7"/>
        </w:rPr>
        <w:t> </w:t>
      </w:r>
      <w:r>
        <w:rPr/>
        <w:t>(2000),</w:t>
      </w:r>
      <w:r>
        <w:rPr>
          <w:spacing w:val="-8"/>
        </w:rPr>
        <w:t> </w:t>
      </w:r>
      <w:r>
        <w:rPr/>
        <w:t>“One</w:t>
      </w:r>
      <w:r>
        <w:rPr>
          <w:spacing w:val="-9"/>
        </w:rPr>
        <w:t> </w:t>
      </w:r>
      <w:r>
        <w:rPr/>
        <w:t>money,</w:t>
      </w:r>
      <w:r>
        <w:rPr>
          <w:spacing w:val="-7"/>
        </w:rPr>
        <w:t> </w:t>
      </w:r>
      <w:r>
        <w:rPr/>
        <w:t>one</w:t>
      </w:r>
      <w:r>
        <w:rPr>
          <w:spacing w:val="-9"/>
        </w:rPr>
        <w:t> </w:t>
      </w:r>
      <w:r>
        <w:rPr/>
        <w:t>market:</w:t>
      </w:r>
      <w:r>
        <w:rPr>
          <w:spacing w:val="-9"/>
        </w:rPr>
        <w:t> </w:t>
      </w:r>
      <w:r>
        <w:rPr/>
        <w:t>estimating</w:t>
      </w:r>
      <w:r>
        <w:rPr>
          <w:spacing w:val="-10"/>
        </w:rPr>
        <w:t> </w:t>
      </w:r>
      <w:r>
        <w:rPr/>
        <w:t>the</w:t>
      </w:r>
      <w:r>
        <w:rPr>
          <w:spacing w:val="-9"/>
        </w:rPr>
        <w:t> </w:t>
      </w:r>
      <w:r>
        <w:rPr/>
        <w:t>effect</w:t>
      </w:r>
      <w:r>
        <w:rPr>
          <w:spacing w:val="-9"/>
        </w:rPr>
        <w:t> </w:t>
      </w:r>
      <w:r>
        <w:rPr/>
        <w:t>of</w:t>
      </w:r>
      <w:r>
        <w:rPr>
          <w:spacing w:val="-10"/>
        </w:rPr>
        <w:t> </w:t>
      </w:r>
      <w:r>
        <w:rPr/>
        <w:t>common</w:t>
      </w:r>
      <w:r>
        <w:rPr>
          <w:spacing w:val="-9"/>
        </w:rPr>
        <w:t> </w:t>
      </w:r>
      <w:r>
        <w:rPr/>
        <w:t>currencies</w:t>
      </w:r>
      <w:r>
        <w:rPr>
          <w:spacing w:val="-8"/>
        </w:rPr>
        <w:t> </w:t>
      </w:r>
      <w:r>
        <w:rPr/>
        <w:t>on</w:t>
      </w:r>
      <w:r>
        <w:rPr>
          <w:spacing w:val="-9"/>
        </w:rPr>
        <w:t> </w:t>
      </w:r>
      <w:r>
        <w:rPr/>
        <w:t>trade”,</w:t>
      </w:r>
      <w:r>
        <w:rPr>
          <w:spacing w:val="-12"/>
        </w:rPr>
        <w:t> </w:t>
      </w:r>
      <w:r>
        <w:rPr>
          <w:i/>
        </w:rPr>
        <w:t>Economic </w:t>
      </w:r>
      <w:r>
        <w:rPr>
          <w:i/>
        </w:rPr>
        <w:t>Policy</w:t>
      </w:r>
      <w:r>
        <w:rPr/>
        <w:t>, Vol. 15, April, pp.</w:t>
      </w:r>
      <w:r>
        <w:rPr>
          <w:spacing w:val="-5"/>
        </w:rPr>
        <w:t> </w:t>
      </w:r>
      <w:r>
        <w:rPr/>
        <w:t>7–45.</w:t>
      </w:r>
    </w:p>
    <w:p>
      <w:pPr>
        <w:pStyle w:val="BodyText"/>
        <w:spacing w:before="9"/>
        <w:rPr>
          <w:sz w:val="18"/>
        </w:rPr>
      </w:pPr>
    </w:p>
    <w:p>
      <w:pPr>
        <w:pStyle w:val="BodyText"/>
        <w:spacing w:line="237" w:lineRule="auto"/>
        <w:ind w:left="226"/>
      </w:pPr>
      <w:r>
        <w:rPr/>
        <w:t>Rose,</w:t>
      </w:r>
      <w:r>
        <w:rPr>
          <w:spacing w:val="-7"/>
        </w:rPr>
        <w:t> </w:t>
      </w:r>
      <w:r>
        <w:rPr/>
        <w:t>A.</w:t>
      </w:r>
      <w:r>
        <w:rPr>
          <w:spacing w:val="-6"/>
        </w:rPr>
        <w:t> </w:t>
      </w:r>
      <w:r>
        <w:rPr/>
        <w:t>and</w:t>
      </w:r>
      <w:r>
        <w:rPr>
          <w:spacing w:val="-8"/>
        </w:rPr>
        <w:t> </w:t>
      </w:r>
      <w:r>
        <w:rPr/>
        <w:t>van</w:t>
      </w:r>
      <w:r>
        <w:rPr>
          <w:spacing w:val="-8"/>
        </w:rPr>
        <w:t> </w:t>
      </w:r>
      <w:r>
        <w:rPr/>
        <w:t>Wincoop,</w:t>
      </w:r>
      <w:r>
        <w:rPr>
          <w:spacing w:val="-6"/>
        </w:rPr>
        <w:t> </w:t>
      </w:r>
      <w:r>
        <w:rPr/>
        <w:t>E.</w:t>
      </w:r>
      <w:r>
        <w:rPr>
          <w:spacing w:val="-8"/>
        </w:rPr>
        <w:t> </w:t>
      </w:r>
      <w:r>
        <w:rPr/>
        <w:t>(2001),</w:t>
      </w:r>
      <w:r>
        <w:rPr>
          <w:spacing w:val="-6"/>
        </w:rPr>
        <w:t> </w:t>
      </w:r>
      <w:r>
        <w:rPr/>
        <w:t>“National</w:t>
      </w:r>
      <w:r>
        <w:rPr>
          <w:spacing w:val="-6"/>
        </w:rPr>
        <w:t> </w:t>
      </w:r>
      <w:r>
        <w:rPr/>
        <w:t>money</w:t>
      </w:r>
      <w:r>
        <w:rPr>
          <w:spacing w:val="-8"/>
        </w:rPr>
        <w:t> </w:t>
      </w:r>
      <w:r>
        <w:rPr/>
        <w:t>as</w:t>
      </w:r>
      <w:r>
        <w:rPr>
          <w:spacing w:val="-7"/>
        </w:rPr>
        <w:t> </w:t>
      </w:r>
      <w:r>
        <w:rPr/>
        <w:t>a</w:t>
      </w:r>
      <w:r>
        <w:rPr>
          <w:spacing w:val="-8"/>
        </w:rPr>
        <w:t> </w:t>
      </w:r>
      <w:r>
        <w:rPr/>
        <w:t>barrier</w:t>
      </w:r>
      <w:r>
        <w:rPr>
          <w:spacing w:val="-8"/>
        </w:rPr>
        <w:t> </w:t>
      </w:r>
      <w:r>
        <w:rPr/>
        <w:t>to</w:t>
      </w:r>
      <w:r>
        <w:rPr>
          <w:spacing w:val="-7"/>
        </w:rPr>
        <w:t> </w:t>
      </w:r>
      <w:r>
        <w:rPr/>
        <w:t>international</w:t>
      </w:r>
      <w:r>
        <w:rPr>
          <w:spacing w:val="-8"/>
        </w:rPr>
        <w:t> </w:t>
      </w:r>
      <w:r>
        <w:rPr/>
        <w:t>trade:</w:t>
      </w:r>
      <w:r>
        <w:rPr>
          <w:spacing w:val="-8"/>
        </w:rPr>
        <w:t> </w:t>
      </w:r>
      <w:r>
        <w:rPr/>
        <w:t>The</w:t>
      </w:r>
      <w:r>
        <w:rPr>
          <w:spacing w:val="-8"/>
        </w:rPr>
        <w:t> </w:t>
      </w:r>
      <w:r>
        <w:rPr/>
        <w:t>real</w:t>
      </w:r>
      <w:r>
        <w:rPr>
          <w:spacing w:val="-7"/>
        </w:rPr>
        <w:t> </w:t>
      </w:r>
      <w:r>
        <w:rPr/>
        <w:t>case</w:t>
      </w:r>
      <w:r>
        <w:rPr>
          <w:spacing w:val="-8"/>
        </w:rPr>
        <w:t> </w:t>
      </w:r>
      <w:r>
        <w:rPr/>
        <w:t>for currency union”, </w:t>
      </w:r>
      <w:r>
        <w:rPr>
          <w:i/>
        </w:rPr>
        <w:t>American Economic Review </w:t>
      </w:r>
      <w:r>
        <w:rPr/>
        <w:t>91(2),</w:t>
      </w:r>
      <w:r>
        <w:rPr>
          <w:spacing w:val="-8"/>
        </w:rPr>
        <w:t> </w:t>
      </w:r>
      <w:r>
        <w:rPr/>
        <w:t>pp.386–390.</w:t>
      </w:r>
    </w:p>
    <w:p>
      <w:pPr>
        <w:pStyle w:val="BodyText"/>
        <w:spacing w:before="10"/>
        <w:rPr>
          <w:sz w:val="18"/>
        </w:rPr>
      </w:pPr>
    </w:p>
    <w:p>
      <w:pPr>
        <w:pStyle w:val="BodyText"/>
        <w:spacing w:line="237" w:lineRule="auto"/>
        <w:ind w:left="226"/>
      </w:pPr>
      <w:r>
        <w:rPr/>
        <w:t>Rose,</w:t>
      </w:r>
      <w:r>
        <w:rPr>
          <w:spacing w:val="-8"/>
        </w:rPr>
        <w:t> </w:t>
      </w:r>
      <w:r>
        <w:rPr/>
        <w:t>A.</w:t>
      </w:r>
      <w:r>
        <w:rPr>
          <w:spacing w:val="-7"/>
        </w:rPr>
        <w:t> </w:t>
      </w:r>
      <w:r>
        <w:rPr/>
        <w:t>(2009),</w:t>
      </w:r>
      <w:r>
        <w:rPr>
          <w:spacing w:val="-7"/>
        </w:rPr>
        <w:t> </w:t>
      </w:r>
      <w:r>
        <w:rPr/>
        <w:t>“Is</w:t>
      </w:r>
      <w:r>
        <w:rPr>
          <w:spacing w:val="-9"/>
        </w:rPr>
        <w:t> </w:t>
      </w:r>
      <w:r>
        <w:rPr/>
        <w:t>EMU</w:t>
      </w:r>
      <w:r>
        <w:rPr>
          <w:spacing w:val="-9"/>
        </w:rPr>
        <w:t> </w:t>
      </w:r>
      <w:r>
        <w:rPr/>
        <w:t>becoming</w:t>
      </w:r>
      <w:r>
        <w:rPr>
          <w:spacing w:val="-8"/>
        </w:rPr>
        <w:t> </w:t>
      </w:r>
      <w:r>
        <w:rPr/>
        <w:t>an</w:t>
      </w:r>
      <w:r>
        <w:rPr>
          <w:spacing w:val="-8"/>
        </w:rPr>
        <w:t> </w:t>
      </w:r>
      <w:r>
        <w:rPr/>
        <w:t>optimum</w:t>
      </w:r>
      <w:r>
        <w:rPr>
          <w:spacing w:val="-8"/>
        </w:rPr>
        <w:t> </w:t>
      </w:r>
      <w:r>
        <w:rPr/>
        <w:t>currency</w:t>
      </w:r>
      <w:r>
        <w:rPr>
          <w:spacing w:val="-8"/>
        </w:rPr>
        <w:t> </w:t>
      </w:r>
      <w:r>
        <w:rPr/>
        <w:t>area?</w:t>
      </w:r>
      <w:r>
        <w:rPr>
          <w:spacing w:val="-8"/>
        </w:rPr>
        <w:t> </w:t>
      </w:r>
      <w:r>
        <w:rPr/>
        <w:t>The</w:t>
      </w:r>
      <w:r>
        <w:rPr>
          <w:spacing w:val="-9"/>
        </w:rPr>
        <w:t> </w:t>
      </w:r>
      <w:r>
        <w:rPr/>
        <w:t>evidence</w:t>
      </w:r>
      <w:r>
        <w:rPr>
          <w:spacing w:val="-8"/>
        </w:rPr>
        <w:t> </w:t>
      </w:r>
      <w:r>
        <w:rPr/>
        <w:t>on</w:t>
      </w:r>
      <w:r>
        <w:rPr>
          <w:spacing w:val="-9"/>
        </w:rPr>
        <w:t> </w:t>
      </w:r>
      <w:r>
        <w:rPr/>
        <w:t>trade</w:t>
      </w:r>
      <w:r>
        <w:rPr>
          <w:spacing w:val="-8"/>
        </w:rPr>
        <w:t> </w:t>
      </w:r>
      <w:r>
        <w:rPr/>
        <w:t>and</w:t>
      </w:r>
      <w:r>
        <w:rPr>
          <w:spacing w:val="-8"/>
        </w:rPr>
        <w:t> </w:t>
      </w:r>
      <w:r>
        <w:rPr/>
        <w:t>business</w:t>
      </w:r>
      <w:r>
        <w:rPr>
          <w:spacing w:val="-7"/>
        </w:rPr>
        <w:t> </w:t>
      </w:r>
      <w:r>
        <w:rPr/>
        <w:t>cycle synchronization”,</w:t>
      </w:r>
      <w:r>
        <w:rPr>
          <w:spacing w:val="1"/>
        </w:rPr>
        <w:t> </w:t>
      </w:r>
      <w:r>
        <w:rPr>
          <w:i/>
        </w:rPr>
        <w:t>mimeo</w:t>
      </w:r>
      <w:r>
        <w:rPr/>
        <w:t>.</w:t>
      </w:r>
    </w:p>
    <w:p>
      <w:pPr>
        <w:spacing w:after="0" w:line="237" w:lineRule="auto"/>
        <w:sectPr>
          <w:pgSz w:w="12240" w:h="15840"/>
          <w:pgMar w:header="0" w:footer="1240" w:top="1280" w:bottom="1440" w:left="1360" w:right="1480"/>
        </w:sectPr>
      </w:pPr>
    </w:p>
    <w:p>
      <w:pPr>
        <w:pStyle w:val="Heading1"/>
        <w:spacing w:before="114"/>
        <w:ind w:left="340" w:right="793"/>
        <w:jc w:val="center"/>
      </w:pPr>
      <w:r>
        <w:rPr>
          <w:color w:val="0070C0"/>
        </w:rPr>
        <w:t>TABLE AND CHART ANNEX</w:t>
      </w:r>
      <w:r>
        <w:rPr>
          <w:color w:val="0070C0"/>
          <w:vertAlign w:val="superscript"/>
        </w:rPr>
        <w:t>(i)</w:t>
      </w:r>
    </w:p>
    <w:p>
      <w:pPr>
        <w:pStyle w:val="BodyText"/>
        <w:rPr>
          <w:b/>
          <w:sz w:val="24"/>
        </w:rPr>
      </w:pPr>
    </w:p>
    <w:p>
      <w:pPr>
        <w:pStyle w:val="BodyText"/>
        <w:rPr>
          <w:b/>
          <w:sz w:val="24"/>
        </w:rPr>
      </w:pPr>
    </w:p>
    <w:p>
      <w:pPr>
        <w:spacing w:before="189"/>
        <w:ind w:left="340" w:right="793" w:firstLine="0"/>
        <w:jc w:val="center"/>
        <w:rPr>
          <w:b/>
          <w:sz w:val="19"/>
        </w:rPr>
      </w:pPr>
      <w:r>
        <w:rPr>
          <w:b/>
          <w:color w:val="0070C0"/>
          <w:sz w:val="19"/>
        </w:rPr>
        <w:t>Table 1: Similarity of industrial structures</w:t>
      </w:r>
    </w:p>
    <w:p>
      <w:pPr>
        <w:pStyle w:val="BodyText"/>
        <w:rPr>
          <w:b/>
          <w:sz w:val="20"/>
        </w:rPr>
      </w:pPr>
    </w:p>
    <w:p>
      <w:pPr>
        <w:pStyle w:val="BodyText"/>
        <w:spacing w:before="3"/>
        <w:rPr>
          <w:b/>
          <w:sz w:val="24"/>
        </w:rPr>
      </w:pPr>
    </w:p>
    <w:tbl>
      <w:tblPr>
        <w:tblW w:w="0" w:type="auto"/>
        <w:jc w:val="left"/>
        <w:tblInd w:w="2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9"/>
        <w:gridCol w:w="1256"/>
        <w:gridCol w:w="1046"/>
        <w:gridCol w:w="963"/>
        <w:gridCol w:w="1325"/>
        <w:gridCol w:w="1212"/>
        <w:gridCol w:w="1193"/>
      </w:tblGrid>
      <w:tr>
        <w:trPr>
          <w:trHeight w:val="731" w:hRule="atLeast"/>
        </w:trPr>
        <w:tc>
          <w:tcPr>
            <w:tcW w:w="1399" w:type="dxa"/>
            <w:tcBorders>
              <w:bottom w:val="single" w:sz="4" w:space="0" w:color="000000"/>
            </w:tcBorders>
          </w:tcPr>
          <w:p>
            <w:pPr>
              <w:pStyle w:val="TableParagraph"/>
              <w:spacing w:before="0"/>
              <w:ind w:left="0"/>
              <w:jc w:val="left"/>
              <w:rPr>
                <w:rFonts w:ascii="Times New Roman"/>
                <w:sz w:val="16"/>
              </w:rPr>
            </w:pPr>
          </w:p>
        </w:tc>
        <w:tc>
          <w:tcPr>
            <w:tcW w:w="1256" w:type="dxa"/>
            <w:tcBorders>
              <w:bottom w:val="single" w:sz="4" w:space="0" w:color="000000"/>
            </w:tcBorders>
          </w:tcPr>
          <w:p>
            <w:pPr>
              <w:pStyle w:val="TableParagraph"/>
              <w:spacing w:before="0"/>
              <w:ind w:left="0"/>
              <w:jc w:val="left"/>
              <w:rPr>
                <w:b/>
                <w:sz w:val="20"/>
              </w:rPr>
            </w:pPr>
          </w:p>
          <w:p>
            <w:pPr>
              <w:pStyle w:val="TableParagraph"/>
              <w:spacing w:line="184" w:lineRule="exact" w:before="135"/>
              <w:ind w:left="370" w:right="91" w:hanging="88"/>
              <w:jc w:val="left"/>
              <w:rPr>
                <w:sz w:val="16"/>
              </w:rPr>
            </w:pPr>
            <w:r>
              <w:rPr>
                <w:sz w:val="16"/>
              </w:rPr>
              <w:t>EA (Core vs VEAPs)</w:t>
            </w:r>
            <w:r>
              <w:rPr>
                <w:sz w:val="16"/>
                <w:vertAlign w:val="superscript"/>
              </w:rPr>
              <w:t>(a)</w:t>
            </w:r>
          </w:p>
        </w:tc>
        <w:tc>
          <w:tcPr>
            <w:tcW w:w="1046" w:type="dxa"/>
            <w:tcBorders>
              <w:bottom w:val="single" w:sz="4" w:space="0" w:color="000000"/>
            </w:tcBorders>
          </w:tcPr>
          <w:p>
            <w:pPr>
              <w:pStyle w:val="TableParagraph"/>
              <w:spacing w:before="0"/>
              <w:ind w:left="0"/>
              <w:jc w:val="left"/>
              <w:rPr>
                <w:b/>
                <w:sz w:val="18"/>
              </w:rPr>
            </w:pPr>
          </w:p>
          <w:p>
            <w:pPr>
              <w:pStyle w:val="TableParagraph"/>
              <w:spacing w:line="184" w:lineRule="exact" w:before="155"/>
              <w:ind w:left="87" w:right="87"/>
              <w:rPr>
                <w:sz w:val="16"/>
              </w:rPr>
            </w:pPr>
            <w:r>
              <w:rPr>
                <w:sz w:val="16"/>
              </w:rPr>
              <w:t>EA (17</w:t>
            </w:r>
          </w:p>
          <w:p>
            <w:pPr>
              <w:pStyle w:val="TableParagraph"/>
              <w:spacing w:line="166" w:lineRule="exact" w:before="0"/>
              <w:ind w:left="88" w:right="87"/>
              <w:rPr>
                <w:sz w:val="16"/>
              </w:rPr>
            </w:pPr>
            <w:r>
              <w:rPr>
                <w:sz w:val="16"/>
              </w:rPr>
              <w:t>countries)</w:t>
            </w:r>
            <w:r>
              <w:rPr>
                <w:sz w:val="16"/>
                <w:vertAlign w:val="superscript"/>
              </w:rPr>
              <w:t>(b)</w:t>
            </w:r>
          </w:p>
        </w:tc>
        <w:tc>
          <w:tcPr>
            <w:tcW w:w="963" w:type="dxa"/>
            <w:tcBorders>
              <w:bottom w:val="single" w:sz="4" w:space="0" w:color="000000"/>
            </w:tcBorders>
          </w:tcPr>
          <w:p>
            <w:pPr>
              <w:pStyle w:val="TableParagraph"/>
              <w:spacing w:before="0"/>
              <w:ind w:left="0"/>
              <w:jc w:val="left"/>
              <w:rPr>
                <w:b/>
                <w:sz w:val="20"/>
              </w:rPr>
            </w:pPr>
          </w:p>
          <w:p>
            <w:pPr>
              <w:pStyle w:val="TableParagraph"/>
              <w:spacing w:line="184" w:lineRule="exact" w:before="135"/>
              <w:ind w:left="107" w:right="92" w:firstLine="76"/>
              <w:jc w:val="left"/>
              <w:rPr>
                <w:sz w:val="16"/>
              </w:rPr>
            </w:pPr>
            <w:r>
              <w:rPr>
                <w:sz w:val="16"/>
              </w:rPr>
              <w:t>rUK and Scotland</w:t>
            </w:r>
            <w:r>
              <w:rPr>
                <w:sz w:val="16"/>
                <w:vertAlign w:val="superscript"/>
              </w:rPr>
              <w:t>(c)</w:t>
            </w:r>
          </w:p>
        </w:tc>
        <w:tc>
          <w:tcPr>
            <w:tcW w:w="1325" w:type="dxa"/>
            <w:tcBorders>
              <w:bottom w:val="single" w:sz="4" w:space="0" w:color="000000"/>
            </w:tcBorders>
          </w:tcPr>
          <w:p>
            <w:pPr>
              <w:pStyle w:val="TableParagraph"/>
              <w:spacing w:before="0"/>
              <w:ind w:left="114" w:right="104" w:hanging="1"/>
              <w:rPr>
                <w:sz w:val="16"/>
              </w:rPr>
            </w:pPr>
            <w:r>
              <w:rPr>
                <w:sz w:val="16"/>
              </w:rPr>
              <w:t>rUK and Scotland (oil on geographic</w:t>
            </w:r>
          </w:p>
          <w:p>
            <w:pPr>
              <w:pStyle w:val="TableParagraph"/>
              <w:spacing w:line="165" w:lineRule="exact" w:before="0"/>
              <w:ind w:left="369" w:right="362"/>
              <w:rPr>
                <w:sz w:val="16"/>
              </w:rPr>
            </w:pPr>
            <w:r>
              <w:rPr>
                <w:sz w:val="16"/>
              </w:rPr>
              <w:t>basis)</w:t>
            </w:r>
            <w:r>
              <w:rPr>
                <w:sz w:val="16"/>
                <w:vertAlign w:val="superscript"/>
              </w:rPr>
              <w:t>(d)</w:t>
            </w:r>
          </w:p>
        </w:tc>
        <w:tc>
          <w:tcPr>
            <w:tcW w:w="1212" w:type="dxa"/>
            <w:tcBorders>
              <w:bottom w:val="single" w:sz="4" w:space="0" w:color="000000"/>
            </w:tcBorders>
          </w:tcPr>
          <w:p>
            <w:pPr>
              <w:pStyle w:val="TableParagraph"/>
              <w:spacing w:before="4"/>
              <w:ind w:left="0"/>
              <w:jc w:val="left"/>
              <w:rPr>
                <w:b/>
                <w:sz w:val="15"/>
              </w:rPr>
            </w:pPr>
          </w:p>
          <w:p>
            <w:pPr>
              <w:pStyle w:val="TableParagraph"/>
              <w:spacing w:before="1"/>
              <w:ind w:left="110" w:firstLine="78"/>
              <w:jc w:val="left"/>
              <w:rPr>
                <w:sz w:val="16"/>
              </w:rPr>
            </w:pPr>
            <w:r>
              <w:rPr>
                <w:sz w:val="16"/>
              </w:rPr>
              <w:t>Canada (13</w:t>
            </w:r>
          </w:p>
          <w:p>
            <w:pPr>
              <w:pStyle w:val="TableParagraph"/>
              <w:spacing w:line="184" w:lineRule="exact" w:before="3"/>
              <w:ind w:left="247" w:right="85" w:hanging="137"/>
              <w:jc w:val="left"/>
              <w:rPr>
                <w:sz w:val="16"/>
              </w:rPr>
            </w:pPr>
            <w:r>
              <w:rPr>
                <w:sz w:val="16"/>
              </w:rPr>
              <w:t>provinces and territories)</w:t>
            </w:r>
          </w:p>
        </w:tc>
        <w:tc>
          <w:tcPr>
            <w:tcW w:w="1193" w:type="dxa"/>
            <w:tcBorders>
              <w:bottom w:val="single" w:sz="4" w:space="0" w:color="000000"/>
            </w:tcBorders>
          </w:tcPr>
          <w:p>
            <w:pPr>
              <w:pStyle w:val="TableParagraph"/>
              <w:spacing w:before="0"/>
              <w:ind w:left="0"/>
              <w:jc w:val="left"/>
              <w:rPr>
                <w:b/>
                <w:sz w:val="18"/>
              </w:rPr>
            </w:pPr>
          </w:p>
          <w:p>
            <w:pPr>
              <w:pStyle w:val="TableParagraph"/>
              <w:spacing w:line="184" w:lineRule="exact" w:before="155"/>
              <w:ind w:left="91" w:right="91"/>
              <w:rPr>
                <w:sz w:val="16"/>
              </w:rPr>
            </w:pPr>
            <w:r>
              <w:rPr>
                <w:sz w:val="16"/>
              </w:rPr>
              <w:t>US (50 states</w:t>
            </w:r>
          </w:p>
          <w:p>
            <w:pPr>
              <w:pStyle w:val="TableParagraph"/>
              <w:spacing w:line="166" w:lineRule="exact" w:before="0"/>
              <w:ind w:left="90" w:right="91"/>
              <w:rPr>
                <w:sz w:val="16"/>
              </w:rPr>
            </w:pPr>
            <w:r>
              <w:rPr>
                <w:sz w:val="16"/>
              </w:rPr>
              <w:t>+ DC)</w:t>
            </w:r>
          </w:p>
        </w:tc>
      </w:tr>
      <w:tr>
        <w:trPr>
          <w:trHeight w:val="331" w:hRule="atLeast"/>
        </w:trPr>
        <w:tc>
          <w:tcPr>
            <w:tcW w:w="1399" w:type="dxa"/>
            <w:tcBorders>
              <w:top w:val="single" w:sz="4" w:space="0" w:color="000000"/>
            </w:tcBorders>
          </w:tcPr>
          <w:p>
            <w:pPr>
              <w:pStyle w:val="TableParagraph"/>
              <w:spacing w:before="95"/>
              <w:ind w:left="101"/>
              <w:jc w:val="left"/>
              <w:rPr>
                <w:sz w:val="16"/>
              </w:rPr>
            </w:pPr>
            <w:r>
              <w:rPr>
                <w:sz w:val="16"/>
              </w:rPr>
              <w:t>Energy</w:t>
            </w:r>
          </w:p>
        </w:tc>
        <w:tc>
          <w:tcPr>
            <w:tcW w:w="1256" w:type="dxa"/>
            <w:tcBorders>
              <w:top w:val="single" w:sz="4" w:space="0" w:color="000000"/>
            </w:tcBorders>
          </w:tcPr>
          <w:p>
            <w:pPr>
              <w:pStyle w:val="TableParagraph"/>
              <w:spacing w:before="95"/>
              <w:ind w:left="0" w:right="427"/>
              <w:jc w:val="right"/>
              <w:rPr>
                <w:sz w:val="16"/>
              </w:rPr>
            </w:pPr>
            <w:r>
              <w:rPr>
                <w:sz w:val="16"/>
              </w:rPr>
              <w:t>0.1</w:t>
            </w:r>
          </w:p>
        </w:tc>
        <w:tc>
          <w:tcPr>
            <w:tcW w:w="1046" w:type="dxa"/>
            <w:tcBorders>
              <w:top w:val="single" w:sz="4" w:space="0" w:color="000000"/>
            </w:tcBorders>
          </w:tcPr>
          <w:p>
            <w:pPr>
              <w:pStyle w:val="TableParagraph"/>
              <w:spacing w:before="95"/>
              <w:ind w:left="410"/>
              <w:jc w:val="left"/>
              <w:rPr>
                <w:sz w:val="16"/>
              </w:rPr>
            </w:pPr>
            <w:r>
              <w:rPr>
                <w:sz w:val="16"/>
              </w:rPr>
              <w:t>1.0</w:t>
            </w:r>
          </w:p>
        </w:tc>
        <w:tc>
          <w:tcPr>
            <w:tcW w:w="963" w:type="dxa"/>
            <w:tcBorders>
              <w:top w:val="single" w:sz="4" w:space="0" w:color="000000"/>
            </w:tcBorders>
          </w:tcPr>
          <w:p>
            <w:pPr>
              <w:pStyle w:val="TableParagraph"/>
              <w:spacing w:before="95"/>
              <w:ind w:left="348" w:right="352"/>
              <w:rPr>
                <w:sz w:val="16"/>
              </w:rPr>
            </w:pPr>
            <w:r>
              <w:rPr>
                <w:sz w:val="16"/>
              </w:rPr>
              <w:t>1.8</w:t>
            </w:r>
          </w:p>
        </w:tc>
        <w:tc>
          <w:tcPr>
            <w:tcW w:w="1325" w:type="dxa"/>
            <w:tcBorders>
              <w:top w:val="single" w:sz="4" w:space="0" w:color="000000"/>
            </w:tcBorders>
          </w:tcPr>
          <w:p>
            <w:pPr>
              <w:pStyle w:val="TableParagraph"/>
              <w:spacing w:before="95"/>
              <w:ind w:left="368" w:right="362"/>
              <w:rPr>
                <w:sz w:val="16"/>
              </w:rPr>
            </w:pPr>
            <w:r>
              <w:rPr>
                <w:sz w:val="16"/>
              </w:rPr>
              <w:t>10.0</w:t>
            </w:r>
          </w:p>
        </w:tc>
        <w:tc>
          <w:tcPr>
            <w:tcW w:w="1212" w:type="dxa"/>
            <w:tcBorders>
              <w:top w:val="single" w:sz="4" w:space="0" w:color="000000"/>
            </w:tcBorders>
          </w:tcPr>
          <w:p>
            <w:pPr>
              <w:pStyle w:val="TableParagraph"/>
              <w:spacing w:before="95"/>
              <w:ind w:left="452"/>
              <w:jc w:val="left"/>
              <w:rPr>
                <w:sz w:val="16"/>
              </w:rPr>
            </w:pPr>
            <w:r>
              <w:rPr>
                <w:sz w:val="16"/>
              </w:rPr>
              <w:t>11.5</w:t>
            </w:r>
          </w:p>
        </w:tc>
        <w:tc>
          <w:tcPr>
            <w:tcW w:w="1193" w:type="dxa"/>
            <w:tcBorders>
              <w:top w:val="single" w:sz="4" w:space="0" w:color="000000"/>
            </w:tcBorders>
          </w:tcPr>
          <w:p>
            <w:pPr>
              <w:pStyle w:val="TableParagraph"/>
              <w:spacing w:before="95"/>
              <w:ind w:left="484"/>
              <w:jc w:val="left"/>
              <w:rPr>
                <w:sz w:val="16"/>
              </w:rPr>
            </w:pPr>
            <w:r>
              <w:rPr>
                <w:sz w:val="16"/>
              </w:rPr>
              <w:t>3.1</w:t>
            </w:r>
          </w:p>
        </w:tc>
      </w:tr>
      <w:tr>
        <w:trPr>
          <w:trHeight w:val="281" w:hRule="atLeast"/>
        </w:trPr>
        <w:tc>
          <w:tcPr>
            <w:tcW w:w="1399" w:type="dxa"/>
          </w:tcPr>
          <w:p>
            <w:pPr>
              <w:pStyle w:val="TableParagraph"/>
              <w:spacing w:before="46"/>
              <w:ind w:left="102"/>
              <w:jc w:val="left"/>
              <w:rPr>
                <w:sz w:val="16"/>
              </w:rPr>
            </w:pPr>
            <w:r>
              <w:rPr>
                <w:sz w:val="16"/>
              </w:rPr>
              <w:t>Construction</w:t>
            </w:r>
          </w:p>
        </w:tc>
        <w:tc>
          <w:tcPr>
            <w:tcW w:w="1256" w:type="dxa"/>
          </w:tcPr>
          <w:p>
            <w:pPr>
              <w:pStyle w:val="TableParagraph"/>
              <w:spacing w:before="46"/>
              <w:ind w:left="0" w:right="427"/>
              <w:jc w:val="right"/>
              <w:rPr>
                <w:sz w:val="16"/>
              </w:rPr>
            </w:pPr>
            <w:r>
              <w:rPr>
                <w:sz w:val="16"/>
              </w:rPr>
              <w:t>0.6</w:t>
            </w:r>
          </w:p>
        </w:tc>
        <w:tc>
          <w:tcPr>
            <w:tcW w:w="1046" w:type="dxa"/>
          </w:tcPr>
          <w:p>
            <w:pPr>
              <w:pStyle w:val="TableParagraph"/>
              <w:spacing w:before="46"/>
              <w:ind w:left="411"/>
              <w:jc w:val="left"/>
              <w:rPr>
                <w:sz w:val="16"/>
              </w:rPr>
            </w:pPr>
            <w:r>
              <w:rPr>
                <w:sz w:val="16"/>
              </w:rPr>
              <w:t>1.3</w:t>
            </w:r>
          </w:p>
        </w:tc>
        <w:tc>
          <w:tcPr>
            <w:tcW w:w="963" w:type="dxa"/>
          </w:tcPr>
          <w:p>
            <w:pPr>
              <w:pStyle w:val="TableParagraph"/>
              <w:spacing w:before="46"/>
              <w:ind w:left="348" w:right="352"/>
              <w:rPr>
                <w:sz w:val="16"/>
              </w:rPr>
            </w:pPr>
            <w:r>
              <w:rPr>
                <w:sz w:val="16"/>
              </w:rPr>
              <w:t>0.1</w:t>
            </w:r>
          </w:p>
        </w:tc>
        <w:tc>
          <w:tcPr>
            <w:tcW w:w="1325" w:type="dxa"/>
          </w:tcPr>
          <w:p>
            <w:pPr>
              <w:pStyle w:val="TableParagraph"/>
              <w:spacing w:before="46"/>
              <w:ind w:left="369" w:right="360"/>
              <w:rPr>
                <w:sz w:val="16"/>
              </w:rPr>
            </w:pPr>
            <w:r>
              <w:rPr>
                <w:sz w:val="16"/>
              </w:rPr>
              <w:t>0.7</w:t>
            </w:r>
          </w:p>
        </w:tc>
        <w:tc>
          <w:tcPr>
            <w:tcW w:w="1212" w:type="dxa"/>
          </w:tcPr>
          <w:p>
            <w:pPr>
              <w:pStyle w:val="TableParagraph"/>
              <w:spacing w:before="46"/>
              <w:ind w:left="496"/>
              <w:jc w:val="left"/>
              <w:rPr>
                <w:sz w:val="16"/>
              </w:rPr>
            </w:pPr>
            <w:r>
              <w:rPr>
                <w:sz w:val="16"/>
              </w:rPr>
              <w:t>1.3</w:t>
            </w:r>
          </w:p>
        </w:tc>
        <w:tc>
          <w:tcPr>
            <w:tcW w:w="1193" w:type="dxa"/>
          </w:tcPr>
          <w:p>
            <w:pPr>
              <w:pStyle w:val="TableParagraph"/>
              <w:spacing w:before="46"/>
              <w:ind w:left="484"/>
              <w:jc w:val="left"/>
              <w:rPr>
                <w:sz w:val="16"/>
              </w:rPr>
            </w:pPr>
            <w:r>
              <w:rPr>
                <w:sz w:val="16"/>
              </w:rPr>
              <w:t>0.6</w:t>
            </w:r>
          </w:p>
        </w:tc>
      </w:tr>
      <w:tr>
        <w:trPr>
          <w:trHeight w:val="324" w:hRule="atLeast"/>
        </w:trPr>
        <w:tc>
          <w:tcPr>
            <w:tcW w:w="1399" w:type="dxa"/>
          </w:tcPr>
          <w:p>
            <w:pPr>
              <w:pStyle w:val="TableParagraph"/>
              <w:spacing w:before="46"/>
              <w:ind w:left="102"/>
              <w:jc w:val="left"/>
              <w:rPr>
                <w:sz w:val="16"/>
              </w:rPr>
            </w:pPr>
            <w:r>
              <w:rPr>
                <w:sz w:val="16"/>
              </w:rPr>
              <w:t>Manufacturing</w:t>
            </w:r>
          </w:p>
        </w:tc>
        <w:tc>
          <w:tcPr>
            <w:tcW w:w="1256" w:type="dxa"/>
          </w:tcPr>
          <w:p>
            <w:pPr>
              <w:pStyle w:val="TableParagraph"/>
              <w:spacing w:before="46"/>
              <w:ind w:left="0" w:right="427"/>
              <w:jc w:val="right"/>
              <w:rPr>
                <w:sz w:val="16"/>
              </w:rPr>
            </w:pPr>
            <w:r>
              <w:rPr>
                <w:sz w:val="16"/>
              </w:rPr>
              <w:t>1.3</w:t>
            </w:r>
          </w:p>
        </w:tc>
        <w:tc>
          <w:tcPr>
            <w:tcW w:w="1046" w:type="dxa"/>
          </w:tcPr>
          <w:p>
            <w:pPr>
              <w:pStyle w:val="TableParagraph"/>
              <w:spacing w:before="46"/>
              <w:ind w:left="411"/>
              <w:jc w:val="left"/>
              <w:rPr>
                <w:sz w:val="16"/>
              </w:rPr>
            </w:pPr>
            <w:r>
              <w:rPr>
                <w:sz w:val="16"/>
              </w:rPr>
              <w:t>6.1</w:t>
            </w:r>
          </w:p>
        </w:tc>
        <w:tc>
          <w:tcPr>
            <w:tcW w:w="963" w:type="dxa"/>
          </w:tcPr>
          <w:p>
            <w:pPr>
              <w:pStyle w:val="TableParagraph"/>
              <w:spacing w:before="46"/>
              <w:ind w:left="348" w:right="352"/>
              <w:rPr>
                <w:sz w:val="16"/>
              </w:rPr>
            </w:pPr>
            <w:r>
              <w:rPr>
                <w:sz w:val="16"/>
              </w:rPr>
              <w:t>0.7</w:t>
            </w:r>
          </w:p>
        </w:tc>
        <w:tc>
          <w:tcPr>
            <w:tcW w:w="1325" w:type="dxa"/>
          </w:tcPr>
          <w:p>
            <w:pPr>
              <w:pStyle w:val="TableParagraph"/>
              <w:spacing w:before="46"/>
              <w:ind w:left="369" w:right="360"/>
              <w:rPr>
                <w:sz w:val="16"/>
              </w:rPr>
            </w:pPr>
            <w:r>
              <w:rPr>
                <w:sz w:val="16"/>
              </w:rPr>
              <w:t>0.5</w:t>
            </w:r>
          </w:p>
        </w:tc>
        <w:tc>
          <w:tcPr>
            <w:tcW w:w="1212" w:type="dxa"/>
          </w:tcPr>
          <w:p>
            <w:pPr>
              <w:pStyle w:val="TableParagraph"/>
              <w:spacing w:before="46"/>
              <w:ind w:left="496"/>
              <w:jc w:val="left"/>
              <w:rPr>
                <w:sz w:val="16"/>
              </w:rPr>
            </w:pPr>
            <w:r>
              <w:rPr>
                <w:sz w:val="16"/>
              </w:rPr>
              <w:t>4.8</w:t>
            </w:r>
          </w:p>
        </w:tc>
        <w:tc>
          <w:tcPr>
            <w:tcW w:w="1193" w:type="dxa"/>
          </w:tcPr>
          <w:p>
            <w:pPr>
              <w:pStyle w:val="TableParagraph"/>
              <w:spacing w:before="46"/>
              <w:ind w:left="484"/>
              <w:jc w:val="left"/>
              <w:rPr>
                <w:sz w:val="16"/>
              </w:rPr>
            </w:pPr>
            <w:r>
              <w:rPr>
                <w:sz w:val="16"/>
              </w:rPr>
              <w:t>4.5</w:t>
            </w:r>
          </w:p>
        </w:tc>
      </w:tr>
      <w:tr>
        <w:trPr>
          <w:trHeight w:val="508" w:hRule="atLeast"/>
        </w:trPr>
        <w:tc>
          <w:tcPr>
            <w:tcW w:w="1399" w:type="dxa"/>
          </w:tcPr>
          <w:p>
            <w:pPr>
              <w:pStyle w:val="TableParagraph"/>
              <w:spacing w:before="89"/>
              <w:ind w:left="102" w:right="396"/>
              <w:jc w:val="left"/>
              <w:rPr>
                <w:sz w:val="16"/>
              </w:rPr>
            </w:pPr>
            <w:r>
              <w:rPr>
                <w:sz w:val="16"/>
              </w:rPr>
              <w:t>Finance and insurance</w:t>
            </w:r>
          </w:p>
        </w:tc>
        <w:tc>
          <w:tcPr>
            <w:tcW w:w="1256" w:type="dxa"/>
          </w:tcPr>
          <w:p>
            <w:pPr>
              <w:pStyle w:val="TableParagraph"/>
              <w:spacing w:before="89"/>
              <w:ind w:left="0" w:right="427"/>
              <w:jc w:val="right"/>
              <w:rPr>
                <w:sz w:val="16"/>
              </w:rPr>
            </w:pPr>
            <w:r>
              <w:rPr>
                <w:sz w:val="16"/>
              </w:rPr>
              <w:t>0.3</w:t>
            </w:r>
          </w:p>
        </w:tc>
        <w:tc>
          <w:tcPr>
            <w:tcW w:w="1046" w:type="dxa"/>
          </w:tcPr>
          <w:p>
            <w:pPr>
              <w:pStyle w:val="TableParagraph"/>
              <w:spacing w:before="89"/>
              <w:ind w:left="411"/>
              <w:jc w:val="left"/>
              <w:rPr>
                <w:sz w:val="16"/>
              </w:rPr>
            </w:pPr>
            <w:r>
              <w:rPr>
                <w:sz w:val="16"/>
              </w:rPr>
              <w:t>2.5</w:t>
            </w:r>
          </w:p>
        </w:tc>
        <w:tc>
          <w:tcPr>
            <w:tcW w:w="963" w:type="dxa"/>
          </w:tcPr>
          <w:p>
            <w:pPr>
              <w:pStyle w:val="TableParagraph"/>
              <w:spacing w:before="89"/>
              <w:ind w:left="348" w:right="352"/>
              <w:rPr>
                <w:sz w:val="16"/>
              </w:rPr>
            </w:pPr>
            <w:r>
              <w:rPr>
                <w:sz w:val="16"/>
              </w:rPr>
              <w:t>0.8</w:t>
            </w:r>
          </w:p>
        </w:tc>
        <w:tc>
          <w:tcPr>
            <w:tcW w:w="1325" w:type="dxa"/>
          </w:tcPr>
          <w:p>
            <w:pPr>
              <w:pStyle w:val="TableParagraph"/>
              <w:spacing w:before="89"/>
              <w:ind w:left="369" w:right="360"/>
              <w:rPr>
                <w:sz w:val="16"/>
              </w:rPr>
            </w:pPr>
            <w:r>
              <w:rPr>
                <w:sz w:val="16"/>
              </w:rPr>
              <w:t>1.4</w:t>
            </w:r>
          </w:p>
        </w:tc>
        <w:tc>
          <w:tcPr>
            <w:tcW w:w="1212" w:type="dxa"/>
          </w:tcPr>
          <w:p>
            <w:pPr>
              <w:pStyle w:val="TableParagraph"/>
              <w:spacing w:before="89"/>
              <w:ind w:left="497"/>
              <w:jc w:val="left"/>
              <w:rPr>
                <w:sz w:val="16"/>
              </w:rPr>
            </w:pPr>
            <w:r>
              <w:rPr>
                <w:sz w:val="16"/>
              </w:rPr>
              <w:t>2.2</w:t>
            </w:r>
          </w:p>
        </w:tc>
        <w:tc>
          <w:tcPr>
            <w:tcW w:w="1193" w:type="dxa"/>
          </w:tcPr>
          <w:p>
            <w:pPr>
              <w:pStyle w:val="TableParagraph"/>
              <w:spacing w:before="89"/>
              <w:ind w:left="485"/>
              <w:jc w:val="left"/>
              <w:rPr>
                <w:sz w:val="16"/>
              </w:rPr>
            </w:pPr>
            <w:r>
              <w:rPr>
                <w:sz w:val="16"/>
              </w:rPr>
              <w:t>3.2</w:t>
            </w:r>
          </w:p>
        </w:tc>
      </w:tr>
      <w:tr>
        <w:trPr>
          <w:trHeight w:val="422" w:hRule="atLeast"/>
        </w:trPr>
        <w:tc>
          <w:tcPr>
            <w:tcW w:w="1399" w:type="dxa"/>
          </w:tcPr>
          <w:p>
            <w:pPr>
              <w:pStyle w:val="TableParagraph"/>
              <w:spacing w:before="46"/>
              <w:ind w:left="102"/>
              <w:jc w:val="left"/>
              <w:rPr>
                <w:sz w:val="16"/>
              </w:rPr>
            </w:pPr>
            <w:r>
              <w:rPr>
                <w:sz w:val="16"/>
              </w:rPr>
              <w:t>Other</w:t>
            </w:r>
          </w:p>
        </w:tc>
        <w:tc>
          <w:tcPr>
            <w:tcW w:w="1256" w:type="dxa"/>
          </w:tcPr>
          <w:p>
            <w:pPr>
              <w:pStyle w:val="TableParagraph"/>
              <w:spacing w:before="46"/>
              <w:ind w:left="0" w:right="427"/>
              <w:jc w:val="right"/>
              <w:rPr>
                <w:sz w:val="16"/>
              </w:rPr>
            </w:pPr>
            <w:r>
              <w:rPr>
                <w:sz w:val="16"/>
              </w:rPr>
              <w:t>0.3</w:t>
            </w:r>
          </w:p>
        </w:tc>
        <w:tc>
          <w:tcPr>
            <w:tcW w:w="1046" w:type="dxa"/>
          </w:tcPr>
          <w:p>
            <w:pPr>
              <w:pStyle w:val="TableParagraph"/>
              <w:spacing w:before="46"/>
              <w:ind w:left="411"/>
              <w:jc w:val="left"/>
              <w:rPr>
                <w:sz w:val="16"/>
              </w:rPr>
            </w:pPr>
            <w:r>
              <w:rPr>
                <w:sz w:val="16"/>
              </w:rPr>
              <w:t>5.6</w:t>
            </w:r>
          </w:p>
        </w:tc>
        <w:tc>
          <w:tcPr>
            <w:tcW w:w="963" w:type="dxa"/>
          </w:tcPr>
          <w:p>
            <w:pPr>
              <w:pStyle w:val="TableParagraph"/>
              <w:spacing w:before="46"/>
              <w:ind w:left="348" w:right="352"/>
              <w:rPr>
                <w:sz w:val="16"/>
              </w:rPr>
            </w:pPr>
            <w:r>
              <w:rPr>
                <w:sz w:val="16"/>
              </w:rPr>
              <w:t>1.5</w:t>
            </w:r>
          </w:p>
        </w:tc>
        <w:tc>
          <w:tcPr>
            <w:tcW w:w="1325" w:type="dxa"/>
          </w:tcPr>
          <w:p>
            <w:pPr>
              <w:pStyle w:val="TableParagraph"/>
              <w:spacing w:before="46"/>
              <w:ind w:left="369" w:right="360"/>
              <w:rPr>
                <w:sz w:val="16"/>
              </w:rPr>
            </w:pPr>
            <w:r>
              <w:rPr>
                <w:sz w:val="16"/>
              </w:rPr>
              <w:t>7.4</w:t>
            </w:r>
          </w:p>
        </w:tc>
        <w:tc>
          <w:tcPr>
            <w:tcW w:w="1212" w:type="dxa"/>
          </w:tcPr>
          <w:p>
            <w:pPr>
              <w:pStyle w:val="TableParagraph"/>
              <w:spacing w:before="46"/>
              <w:ind w:left="497"/>
              <w:jc w:val="left"/>
              <w:rPr>
                <w:sz w:val="16"/>
              </w:rPr>
            </w:pPr>
            <w:r>
              <w:rPr>
                <w:sz w:val="16"/>
              </w:rPr>
              <w:t>8.5</w:t>
            </w:r>
          </w:p>
        </w:tc>
        <w:tc>
          <w:tcPr>
            <w:tcW w:w="1193" w:type="dxa"/>
          </w:tcPr>
          <w:p>
            <w:pPr>
              <w:pStyle w:val="TableParagraph"/>
              <w:spacing w:before="46"/>
              <w:ind w:left="485"/>
              <w:jc w:val="left"/>
              <w:rPr>
                <w:sz w:val="16"/>
              </w:rPr>
            </w:pPr>
            <w:r>
              <w:rPr>
                <w:sz w:val="16"/>
              </w:rPr>
              <w:t>5.2</w:t>
            </w:r>
          </w:p>
        </w:tc>
      </w:tr>
      <w:tr>
        <w:trPr>
          <w:trHeight w:val="371" w:hRule="atLeast"/>
        </w:trPr>
        <w:tc>
          <w:tcPr>
            <w:tcW w:w="1399" w:type="dxa"/>
          </w:tcPr>
          <w:p>
            <w:pPr>
              <w:pStyle w:val="TableParagraph"/>
              <w:spacing w:before="3"/>
              <w:ind w:left="0"/>
              <w:jc w:val="left"/>
              <w:rPr>
                <w:b/>
                <w:sz w:val="16"/>
              </w:rPr>
            </w:pPr>
          </w:p>
          <w:p>
            <w:pPr>
              <w:pStyle w:val="TableParagraph"/>
              <w:spacing w:line="164" w:lineRule="exact" w:before="0"/>
              <w:ind w:left="102"/>
              <w:jc w:val="left"/>
              <w:rPr>
                <w:b/>
                <w:sz w:val="16"/>
              </w:rPr>
            </w:pPr>
            <w:r>
              <w:rPr>
                <w:b/>
                <w:sz w:val="16"/>
              </w:rPr>
              <w:t>Sum</w:t>
            </w:r>
          </w:p>
        </w:tc>
        <w:tc>
          <w:tcPr>
            <w:tcW w:w="1256" w:type="dxa"/>
          </w:tcPr>
          <w:p>
            <w:pPr>
              <w:pStyle w:val="TableParagraph"/>
              <w:spacing w:before="3"/>
              <w:ind w:left="0"/>
              <w:jc w:val="left"/>
              <w:rPr>
                <w:b/>
                <w:sz w:val="16"/>
              </w:rPr>
            </w:pPr>
          </w:p>
          <w:p>
            <w:pPr>
              <w:pStyle w:val="TableParagraph"/>
              <w:spacing w:line="164" w:lineRule="exact" w:before="0"/>
              <w:ind w:left="0" w:right="427"/>
              <w:jc w:val="right"/>
              <w:rPr>
                <w:b/>
                <w:sz w:val="16"/>
              </w:rPr>
            </w:pPr>
            <w:r>
              <w:rPr>
                <w:b/>
                <w:sz w:val="16"/>
              </w:rPr>
              <w:t>2.6</w:t>
            </w:r>
          </w:p>
        </w:tc>
        <w:tc>
          <w:tcPr>
            <w:tcW w:w="1046" w:type="dxa"/>
          </w:tcPr>
          <w:p>
            <w:pPr>
              <w:pStyle w:val="TableParagraph"/>
              <w:spacing w:before="3"/>
              <w:ind w:left="0"/>
              <w:jc w:val="left"/>
              <w:rPr>
                <w:b/>
                <w:sz w:val="16"/>
              </w:rPr>
            </w:pPr>
          </w:p>
          <w:p>
            <w:pPr>
              <w:pStyle w:val="TableParagraph"/>
              <w:spacing w:line="164" w:lineRule="exact" w:before="0"/>
              <w:ind w:left="367"/>
              <w:jc w:val="left"/>
              <w:rPr>
                <w:b/>
                <w:sz w:val="16"/>
              </w:rPr>
            </w:pPr>
            <w:r>
              <w:rPr>
                <w:b/>
                <w:sz w:val="16"/>
              </w:rPr>
              <w:t>16.4</w:t>
            </w:r>
          </w:p>
        </w:tc>
        <w:tc>
          <w:tcPr>
            <w:tcW w:w="963" w:type="dxa"/>
          </w:tcPr>
          <w:p>
            <w:pPr>
              <w:pStyle w:val="TableParagraph"/>
              <w:spacing w:before="3"/>
              <w:ind w:left="0"/>
              <w:jc w:val="left"/>
              <w:rPr>
                <w:b/>
                <w:sz w:val="16"/>
              </w:rPr>
            </w:pPr>
          </w:p>
          <w:p>
            <w:pPr>
              <w:pStyle w:val="TableParagraph"/>
              <w:spacing w:line="164" w:lineRule="exact" w:before="0"/>
              <w:ind w:left="348" w:right="352"/>
              <w:rPr>
                <w:b/>
                <w:sz w:val="16"/>
              </w:rPr>
            </w:pPr>
            <w:r>
              <w:rPr>
                <w:b/>
                <w:sz w:val="16"/>
              </w:rPr>
              <w:t>4.7</w:t>
            </w:r>
          </w:p>
        </w:tc>
        <w:tc>
          <w:tcPr>
            <w:tcW w:w="1325" w:type="dxa"/>
          </w:tcPr>
          <w:p>
            <w:pPr>
              <w:pStyle w:val="TableParagraph"/>
              <w:spacing w:before="3"/>
              <w:ind w:left="0"/>
              <w:jc w:val="left"/>
              <w:rPr>
                <w:b/>
                <w:sz w:val="16"/>
              </w:rPr>
            </w:pPr>
          </w:p>
          <w:p>
            <w:pPr>
              <w:pStyle w:val="TableParagraph"/>
              <w:spacing w:line="164" w:lineRule="exact" w:before="0"/>
              <w:ind w:left="368" w:right="362"/>
              <w:rPr>
                <w:b/>
                <w:sz w:val="16"/>
              </w:rPr>
            </w:pPr>
            <w:r>
              <w:rPr>
                <w:b/>
                <w:sz w:val="16"/>
              </w:rPr>
              <w:t>20.1</w:t>
            </w:r>
          </w:p>
        </w:tc>
        <w:tc>
          <w:tcPr>
            <w:tcW w:w="1212" w:type="dxa"/>
          </w:tcPr>
          <w:p>
            <w:pPr>
              <w:pStyle w:val="TableParagraph"/>
              <w:spacing w:before="3"/>
              <w:ind w:left="0"/>
              <w:jc w:val="left"/>
              <w:rPr>
                <w:b/>
                <w:sz w:val="16"/>
              </w:rPr>
            </w:pPr>
          </w:p>
          <w:p>
            <w:pPr>
              <w:pStyle w:val="TableParagraph"/>
              <w:spacing w:line="164" w:lineRule="exact" w:before="0"/>
              <w:ind w:left="452"/>
              <w:jc w:val="left"/>
              <w:rPr>
                <w:b/>
                <w:sz w:val="16"/>
              </w:rPr>
            </w:pPr>
            <w:r>
              <w:rPr>
                <w:b/>
                <w:sz w:val="16"/>
              </w:rPr>
              <w:t>28.3</w:t>
            </w:r>
          </w:p>
        </w:tc>
        <w:tc>
          <w:tcPr>
            <w:tcW w:w="1193" w:type="dxa"/>
          </w:tcPr>
          <w:p>
            <w:pPr>
              <w:pStyle w:val="TableParagraph"/>
              <w:spacing w:before="3"/>
              <w:ind w:left="0"/>
              <w:jc w:val="left"/>
              <w:rPr>
                <w:b/>
                <w:sz w:val="16"/>
              </w:rPr>
            </w:pPr>
          </w:p>
          <w:p>
            <w:pPr>
              <w:pStyle w:val="TableParagraph"/>
              <w:spacing w:line="164" w:lineRule="exact" w:before="0"/>
              <w:ind w:left="440"/>
              <w:jc w:val="left"/>
              <w:rPr>
                <w:b/>
                <w:sz w:val="16"/>
              </w:rPr>
            </w:pPr>
            <w:r>
              <w:rPr>
                <w:b/>
                <w:sz w:val="16"/>
              </w:rPr>
              <w:t>16.6</w:t>
            </w:r>
          </w:p>
        </w:tc>
      </w:tr>
    </w:tbl>
    <w:p>
      <w:pPr>
        <w:pStyle w:val="BodyText"/>
        <w:rPr>
          <w:b/>
          <w:sz w:val="20"/>
        </w:rPr>
      </w:pPr>
    </w:p>
    <w:p>
      <w:pPr>
        <w:pStyle w:val="BodyText"/>
        <w:spacing w:before="5"/>
        <w:rPr>
          <w:b/>
          <w:sz w:val="18"/>
        </w:rPr>
      </w:pPr>
    </w:p>
    <w:p>
      <w:pPr>
        <w:spacing w:before="95"/>
        <w:ind w:left="226" w:right="708" w:firstLine="0"/>
        <w:jc w:val="left"/>
        <w:rPr>
          <w:sz w:val="16"/>
        </w:rPr>
      </w:pPr>
      <w:r>
        <w:rPr>
          <w:sz w:val="16"/>
        </w:rPr>
        <w:t>Sources: Bank calculations; Statistics Canada; US Bureau of Economic Analysis; Eurostat; ONS Regional Gross Value Added. rUK and Scotland data are for 2011; Euro Area (EA), US and Canada data are for 2012. Industrial classifications</w:t>
      </w:r>
      <w:r>
        <w:rPr>
          <w:spacing w:val="-3"/>
          <w:sz w:val="16"/>
        </w:rPr>
        <w:t> </w:t>
      </w:r>
      <w:r>
        <w:rPr>
          <w:sz w:val="16"/>
        </w:rPr>
        <w:t>in</w:t>
      </w:r>
      <w:r>
        <w:rPr>
          <w:spacing w:val="-2"/>
          <w:sz w:val="16"/>
        </w:rPr>
        <w:t> </w:t>
      </w:r>
      <w:r>
        <w:rPr>
          <w:sz w:val="16"/>
        </w:rPr>
        <w:t>the</w:t>
      </w:r>
      <w:r>
        <w:rPr>
          <w:spacing w:val="-2"/>
          <w:sz w:val="16"/>
        </w:rPr>
        <w:t> </w:t>
      </w:r>
      <w:r>
        <w:rPr>
          <w:sz w:val="16"/>
        </w:rPr>
        <w:t>US</w:t>
      </w:r>
      <w:r>
        <w:rPr>
          <w:spacing w:val="-4"/>
          <w:sz w:val="16"/>
        </w:rPr>
        <w:t> </w:t>
      </w:r>
      <w:r>
        <w:rPr>
          <w:sz w:val="16"/>
        </w:rPr>
        <w:t>and</w:t>
      </w:r>
      <w:r>
        <w:rPr>
          <w:spacing w:val="-2"/>
          <w:sz w:val="16"/>
        </w:rPr>
        <w:t> </w:t>
      </w:r>
      <w:r>
        <w:rPr>
          <w:sz w:val="16"/>
        </w:rPr>
        <w:t>Canada</w:t>
      </w:r>
      <w:r>
        <w:rPr>
          <w:spacing w:val="-3"/>
          <w:sz w:val="16"/>
        </w:rPr>
        <w:t> </w:t>
      </w:r>
      <w:r>
        <w:rPr>
          <w:sz w:val="16"/>
        </w:rPr>
        <w:t>are</w:t>
      </w:r>
      <w:r>
        <w:rPr>
          <w:spacing w:val="-2"/>
          <w:sz w:val="16"/>
        </w:rPr>
        <w:t> </w:t>
      </w:r>
      <w:r>
        <w:rPr>
          <w:sz w:val="16"/>
        </w:rPr>
        <w:t>NAICS,</w:t>
      </w:r>
      <w:r>
        <w:rPr>
          <w:spacing w:val="-3"/>
          <w:sz w:val="16"/>
        </w:rPr>
        <w:t> </w:t>
      </w:r>
      <w:r>
        <w:rPr>
          <w:sz w:val="16"/>
        </w:rPr>
        <w:t>in</w:t>
      </w:r>
      <w:r>
        <w:rPr>
          <w:spacing w:val="-2"/>
          <w:sz w:val="16"/>
        </w:rPr>
        <w:t> </w:t>
      </w:r>
      <w:r>
        <w:rPr>
          <w:sz w:val="16"/>
        </w:rPr>
        <w:t>the</w:t>
      </w:r>
      <w:r>
        <w:rPr>
          <w:spacing w:val="-3"/>
          <w:sz w:val="16"/>
        </w:rPr>
        <w:t> </w:t>
      </w:r>
      <w:r>
        <w:rPr>
          <w:sz w:val="16"/>
        </w:rPr>
        <w:t>UK</w:t>
      </w:r>
      <w:r>
        <w:rPr>
          <w:spacing w:val="-2"/>
          <w:sz w:val="16"/>
        </w:rPr>
        <w:t> </w:t>
      </w:r>
      <w:r>
        <w:rPr>
          <w:sz w:val="16"/>
        </w:rPr>
        <w:t>SIC,</w:t>
      </w:r>
      <w:r>
        <w:rPr>
          <w:spacing w:val="-4"/>
          <w:sz w:val="16"/>
        </w:rPr>
        <w:t> </w:t>
      </w:r>
      <w:r>
        <w:rPr>
          <w:sz w:val="16"/>
        </w:rPr>
        <w:t>and</w:t>
      </w:r>
      <w:r>
        <w:rPr>
          <w:spacing w:val="-3"/>
          <w:sz w:val="16"/>
        </w:rPr>
        <w:t> </w:t>
      </w:r>
      <w:r>
        <w:rPr>
          <w:sz w:val="16"/>
        </w:rPr>
        <w:t>in</w:t>
      </w:r>
      <w:r>
        <w:rPr>
          <w:spacing w:val="-2"/>
          <w:sz w:val="16"/>
        </w:rPr>
        <w:t> </w:t>
      </w:r>
      <w:r>
        <w:rPr>
          <w:sz w:val="16"/>
        </w:rPr>
        <w:t>the</w:t>
      </w:r>
      <w:r>
        <w:rPr>
          <w:spacing w:val="-2"/>
          <w:sz w:val="16"/>
        </w:rPr>
        <w:t> </w:t>
      </w:r>
      <w:r>
        <w:rPr>
          <w:sz w:val="16"/>
        </w:rPr>
        <w:t>Euro</w:t>
      </w:r>
      <w:r>
        <w:rPr>
          <w:spacing w:val="-2"/>
          <w:sz w:val="16"/>
        </w:rPr>
        <w:t> </w:t>
      </w:r>
      <w:r>
        <w:rPr>
          <w:sz w:val="16"/>
        </w:rPr>
        <w:t>Area</w:t>
      </w:r>
      <w:r>
        <w:rPr>
          <w:spacing w:val="-1"/>
          <w:sz w:val="16"/>
        </w:rPr>
        <w:t> </w:t>
      </w:r>
      <w:r>
        <w:rPr>
          <w:sz w:val="16"/>
        </w:rPr>
        <w:t>they</w:t>
      </w:r>
      <w:r>
        <w:rPr>
          <w:spacing w:val="-5"/>
          <w:sz w:val="16"/>
        </w:rPr>
        <w:t> </w:t>
      </w:r>
      <w:r>
        <w:rPr>
          <w:sz w:val="16"/>
        </w:rPr>
        <w:t>are</w:t>
      </w:r>
      <w:r>
        <w:rPr>
          <w:spacing w:val="-3"/>
          <w:sz w:val="16"/>
        </w:rPr>
        <w:t> </w:t>
      </w:r>
      <w:r>
        <w:rPr>
          <w:sz w:val="16"/>
        </w:rPr>
        <w:t>NACE</w:t>
      </w:r>
      <w:r>
        <w:rPr>
          <w:spacing w:val="-3"/>
          <w:sz w:val="16"/>
        </w:rPr>
        <w:t> </w:t>
      </w:r>
      <w:r>
        <w:rPr>
          <w:sz w:val="16"/>
        </w:rPr>
        <w:t>Rev2.</w:t>
      </w:r>
      <w:r>
        <w:rPr>
          <w:spacing w:val="-4"/>
          <w:sz w:val="16"/>
        </w:rPr>
        <w:t> </w:t>
      </w:r>
      <w:r>
        <w:rPr>
          <w:sz w:val="16"/>
        </w:rPr>
        <w:t>These</w:t>
      </w:r>
      <w:r>
        <w:rPr>
          <w:spacing w:val="-2"/>
          <w:sz w:val="16"/>
        </w:rPr>
        <w:t> </w:t>
      </w:r>
      <w:r>
        <w:rPr>
          <w:sz w:val="16"/>
        </w:rPr>
        <w:t>were consolidated into the five broader industrial classifications to ensure</w:t>
      </w:r>
      <w:r>
        <w:rPr>
          <w:spacing w:val="-10"/>
          <w:sz w:val="16"/>
        </w:rPr>
        <w:t> </w:t>
      </w:r>
      <w:r>
        <w:rPr>
          <w:sz w:val="16"/>
        </w:rPr>
        <w:t>consistency.</w:t>
      </w:r>
    </w:p>
    <w:p>
      <w:pPr>
        <w:pStyle w:val="BodyText"/>
        <w:rPr>
          <w:sz w:val="16"/>
        </w:rPr>
      </w:pPr>
    </w:p>
    <w:p>
      <w:pPr>
        <w:spacing w:before="0"/>
        <w:ind w:left="226" w:right="748" w:firstLine="0"/>
        <w:jc w:val="left"/>
        <w:rPr>
          <w:sz w:val="16"/>
        </w:rPr>
      </w:pPr>
      <w:r>
        <w:rPr>
          <w:sz w:val="16"/>
        </w:rPr>
        <w:t>Notes: The table shows absolute differences between output industry shares in each region and the monetary union as a whole, which are then averaged for each industry in each monetary union. The sum of each column is the</w:t>
      </w:r>
    </w:p>
    <w:p>
      <w:pPr>
        <w:spacing w:before="1"/>
        <w:ind w:left="226" w:right="724" w:firstLine="0"/>
        <w:jc w:val="left"/>
        <w:rPr>
          <w:sz w:val="16"/>
        </w:rPr>
      </w:pPr>
      <w:r>
        <w:rPr>
          <w:sz w:val="16"/>
        </w:rPr>
        <w:t>Krugman Specialisation Index (multiplied by a factor of 100) and is a measure of dispersion of industrial structure. A value of 0 indicates all regions within a monetary union have an identical industrial structure. The higher the index, the more diverse the industrial structure across regions. A more detailed description of different indexation measures of specialisation can be found in Appendix B of </w:t>
      </w:r>
      <w:r>
        <w:rPr>
          <w:i/>
          <w:color w:val="0000FF"/>
          <w:sz w:val="16"/>
          <w:u w:val="single" w:color="0000FF"/>
        </w:rPr>
        <w:t>EMU and business sectors</w:t>
      </w:r>
      <w:r>
        <w:rPr>
          <w:i/>
          <w:color w:val="0000FF"/>
          <w:sz w:val="16"/>
        </w:rPr>
        <w:t> </w:t>
      </w:r>
      <w:r>
        <w:rPr>
          <w:sz w:val="16"/>
        </w:rPr>
        <w:t>(HM Treasury).</w:t>
      </w:r>
    </w:p>
    <w:p>
      <w:pPr>
        <w:pStyle w:val="ListParagraph"/>
        <w:numPr>
          <w:ilvl w:val="0"/>
          <w:numId w:val="2"/>
        </w:numPr>
        <w:tabs>
          <w:tab w:pos="467" w:val="left" w:leader="none"/>
        </w:tabs>
        <w:spacing w:line="240" w:lineRule="auto" w:before="0" w:after="0"/>
        <w:ind w:left="226" w:right="730" w:firstLine="0"/>
        <w:jc w:val="left"/>
        <w:rPr>
          <w:sz w:val="16"/>
        </w:rPr>
      </w:pPr>
      <w:r>
        <w:rPr>
          <w:sz w:val="16"/>
        </w:rPr>
        <w:t>Based on data for Vulnerable Euro Area Periphery economies (VEAPS) (Ireland, Portugal, Spain, Greece, Italy) and core (all other EA</w:t>
      </w:r>
      <w:r>
        <w:rPr>
          <w:spacing w:val="-4"/>
          <w:sz w:val="16"/>
        </w:rPr>
        <w:t> </w:t>
      </w:r>
      <w:r>
        <w:rPr>
          <w:sz w:val="16"/>
        </w:rPr>
        <w:t>countries).</w:t>
      </w:r>
    </w:p>
    <w:p>
      <w:pPr>
        <w:pStyle w:val="ListParagraph"/>
        <w:numPr>
          <w:ilvl w:val="0"/>
          <w:numId w:val="2"/>
        </w:numPr>
        <w:tabs>
          <w:tab w:pos="467" w:val="left" w:leader="none"/>
        </w:tabs>
        <w:spacing w:line="184" w:lineRule="exact" w:before="0" w:after="0"/>
        <w:ind w:left="466" w:right="0" w:hanging="241"/>
        <w:jc w:val="left"/>
        <w:rPr>
          <w:sz w:val="16"/>
        </w:rPr>
      </w:pPr>
      <w:r>
        <w:rPr>
          <w:sz w:val="16"/>
        </w:rPr>
        <w:t>Based on data for 17 Euro Area (EA) countries (all EA countries excluding</w:t>
      </w:r>
      <w:r>
        <w:rPr>
          <w:spacing w:val="-16"/>
          <w:sz w:val="16"/>
        </w:rPr>
        <w:t> </w:t>
      </w:r>
      <w:r>
        <w:rPr>
          <w:sz w:val="16"/>
        </w:rPr>
        <w:t>Malta).</w:t>
      </w:r>
    </w:p>
    <w:p>
      <w:pPr>
        <w:pStyle w:val="ListParagraph"/>
        <w:numPr>
          <w:ilvl w:val="0"/>
          <w:numId w:val="2"/>
        </w:numPr>
        <w:tabs>
          <w:tab w:pos="459" w:val="left" w:leader="none"/>
        </w:tabs>
        <w:spacing w:line="184" w:lineRule="exact" w:before="0" w:after="0"/>
        <w:ind w:left="458" w:right="0" w:hanging="233"/>
        <w:jc w:val="left"/>
        <w:rPr>
          <w:sz w:val="16"/>
        </w:rPr>
      </w:pPr>
      <w:r>
        <w:rPr>
          <w:sz w:val="16"/>
        </w:rPr>
        <w:t>Estimates for rUK and Scotland exclude the 'extra-regio' contribution from North Sea mining &amp;</w:t>
      </w:r>
      <w:r>
        <w:rPr>
          <w:spacing w:val="-22"/>
          <w:sz w:val="16"/>
        </w:rPr>
        <w:t> </w:t>
      </w:r>
      <w:r>
        <w:rPr>
          <w:sz w:val="16"/>
        </w:rPr>
        <w:t>extraction.</w:t>
      </w:r>
    </w:p>
    <w:p>
      <w:pPr>
        <w:pStyle w:val="ListParagraph"/>
        <w:numPr>
          <w:ilvl w:val="0"/>
          <w:numId w:val="2"/>
        </w:numPr>
        <w:tabs>
          <w:tab w:pos="467" w:val="left" w:leader="none"/>
        </w:tabs>
        <w:spacing w:line="240" w:lineRule="auto" w:before="0" w:after="0"/>
        <w:ind w:left="226" w:right="1106" w:firstLine="0"/>
        <w:jc w:val="left"/>
        <w:rPr>
          <w:sz w:val="16"/>
        </w:rPr>
      </w:pPr>
      <w:r>
        <w:rPr>
          <w:sz w:val="16"/>
        </w:rPr>
        <w:t>The contribution from 'extra-regio' mining &amp; extraction is allocated on a ‘geographical’ basis. This assumes that around 90% is allocated to Scotland and 10% to the rest of the UK. This is in line with estimates proposed by Professor Kemp and used by the Scottish Government. Used here for illustrative</w:t>
      </w:r>
      <w:r>
        <w:rPr>
          <w:spacing w:val="-21"/>
          <w:sz w:val="16"/>
        </w:rPr>
        <w:t> </w:t>
      </w:r>
      <w:r>
        <w:rPr>
          <w:sz w:val="16"/>
        </w:rPr>
        <w:t>purposes.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16"/>
        <w:ind w:left="226" w:right="0" w:firstLine="0"/>
        <w:jc w:val="left"/>
        <w:rPr>
          <w:sz w:val="16"/>
        </w:rPr>
      </w:pPr>
      <w:r>
        <w:rPr>
          <w:sz w:val="16"/>
        </w:rPr>
        <w:t>(i) Throughout this annex the abbreviation ‘rUK’ refers to the UK excluding Scotland.</w:t>
      </w:r>
    </w:p>
    <w:p>
      <w:pPr>
        <w:spacing w:after="0"/>
        <w:jc w:val="left"/>
        <w:rPr>
          <w:sz w:val="16"/>
        </w:rPr>
        <w:sectPr>
          <w:pgSz w:w="12240" w:h="15840"/>
          <w:pgMar w:header="0" w:footer="1240" w:top="1340" w:bottom="1440" w:left="1360" w:right="1480"/>
        </w:sectPr>
      </w:pPr>
    </w:p>
    <w:p>
      <w:pPr>
        <w:pStyle w:val="Heading1"/>
        <w:spacing w:before="74"/>
        <w:ind w:left="2266"/>
      </w:pPr>
      <w:r>
        <w:rPr>
          <w:color w:val="0070C0"/>
        </w:rPr>
        <w:t>Chart 1: UK and Scottish onshore GDP per capita</w:t>
      </w:r>
    </w:p>
    <w:p>
      <w:pPr>
        <w:pStyle w:val="BodyText"/>
        <w:spacing w:before="5"/>
        <w:rPr>
          <w:b/>
          <w:sz w:val="24"/>
        </w:rPr>
      </w:pPr>
      <w:r>
        <w:rPr/>
        <w:pict>
          <v:group style="position:absolute;margin-left:193.320007pt;margin-top:16.035927pt;width:197.5pt;height:178.8pt;mso-position-horizontal-relative:page;mso-position-vertical-relative:paragraph;z-index:-251648000;mso-wrap-distance-left:0;mso-wrap-distance-right:0" coordorigin="3866,321" coordsize="3950,3576">
            <v:shape style="position:absolute;left:4156;top:930;width:3315;height:2568" coordorigin="4157,930" coordsize="3315,2568" path="m7469,930l4159,930,4157,932,4157,3496,4159,3498,7469,3498,7471,3496,4162,3496,4159,3494,4162,3494,4162,934,4159,934,4162,932,7471,932,7469,930xm4162,3494l4159,3494,4162,3496,4162,3494xm7466,3494l4162,3494,4162,3496,7466,3496,7466,3494xm7466,932l7466,3496,7469,3494,7471,3494,7471,934,7469,934,7466,932xm7471,3494l7469,3494,7466,3496,7471,3496,7471,3494xm4162,932l4159,934,4162,934,4162,932xm7466,932l4162,932,4162,934,7466,934,7466,932xm7471,932l7466,932,7469,934,7471,934,7471,932xe" filled="true" fillcolor="#000000" stroked="false">
              <v:path arrowok="t"/>
              <v:fill type="solid"/>
            </v:shape>
            <v:line style="position:absolute" from="7468,932" to="7468,3544" stroked="true" strokeweight=".17999pt" strokecolor="#000000">
              <v:stroke dashstyle="solid"/>
            </v:line>
            <v:rect style="position:absolute;left:7419;top:3493;width:50;height:5" filled="true" fillcolor="#000000" stroked="false">
              <v:fill type="solid"/>
            </v:rect>
            <v:rect style="position:absolute;left:7419;top:3209;width:50;height:5" filled="true" fillcolor="#000000" stroked="false">
              <v:fill type="solid"/>
            </v:rect>
            <v:rect style="position:absolute;left:7419;top:2924;width:50;height:5" filled="true" fillcolor="#000000" stroked="false">
              <v:fill type="solid"/>
            </v:rect>
            <v:rect style="position:absolute;left:7419;top:2639;width:50;height:5" filled="true" fillcolor="#000000" stroked="false">
              <v:fill type="solid"/>
            </v:rect>
            <v:rect style="position:absolute;left:7419;top:2354;width:50;height:5" filled="true" fillcolor="#000000" stroked="false">
              <v:fill type="solid"/>
            </v:rect>
            <v:rect style="position:absolute;left:7419;top:2069;width:50;height:5" filled="true" fillcolor="#000000" stroked="false">
              <v:fill type="solid"/>
            </v:rect>
            <v:rect style="position:absolute;left:7419;top:1784;width:50;height:4" filled="true" fillcolor="#000000" stroked="false">
              <v:fill type="solid"/>
            </v:rect>
            <v:rect style="position:absolute;left:7419;top:1500;width:50;height:4" filled="true" fillcolor="#000000" stroked="false">
              <v:fill type="solid"/>
            </v:rect>
            <v:rect style="position:absolute;left:7419;top:1214;width:50;height:4" filled="true" fillcolor="#000000" stroked="false">
              <v:fill type="solid"/>
            </v:rect>
            <v:rect style="position:absolute;left:7419;top:930;width:50;height:4" filled="true" fillcolor="#000000" stroked="false">
              <v:fill type="solid"/>
            </v:rect>
            <v:line style="position:absolute" from="4159,3496" to="7469,3496" stroked="true" strokeweight=".23999pt" strokecolor="#000000">
              <v:stroke dashstyle="solid"/>
            </v:line>
            <v:rect style="position:absolute;left:4156;top:3495;width:5;height:48" filled="true" fillcolor="#000000" stroked="false">
              <v:fill type="solid"/>
            </v:rect>
            <v:rect style="position:absolute;left:4707;top:3495;width:5;height:48" filled="true" fillcolor="#000000" stroked="false">
              <v:fill type="solid"/>
            </v:rect>
            <v:rect style="position:absolute;left:5259;top:3495;width:5;height:48" filled="true" fillcolor="#000000" stroked="false">
              <v:fill type="solid"/>
            </v:rect>
            <v:rect style="position:absolute;left:5811;top:3495;width:4;height:48" filled="true" fillcolor="#000000" stroked="false">
              <v:fill type="solid"/>
            </v:rect>
            <v:rect style="position:absolute;left:6363;top:3495;width:4;height:48" filled="true" fillcolor="#000000" stroked="false">
              <v:fill type="solid"/>
            </v:rect>
            <v:rect style="position:absolute;left:6914;top:3495;width:4;height:48" filled="true" fillcolor="#000000" stroked="false">
              <v:fill type="solid"/>
            </v:rect>
            <v:shape style="position:absolute;left:4159;top:1251;width:3323;height:1974" type="#_x0000_t75" stroked="false">
              <v:imagedata r:id="rId18" o:title=""/>
            </v:shape>
            <v:line style="position:absolute" from="4157,2358" to="7471,2358" stroked="true" strokeweight=".1pt" strokecolor="#000000">
              <v:stroke dashstyle="solid"/>
            </v:line>
            <v:line style="position:absolute" from="4158,2356" to="7470,2356" stroked="true" strokeweight=".1pt" strokecolor="#000000">
              <v:stroke dashstyle="solid"/>
            </v:line>
            <v:line style="position:absolute" from="4109,433" to="4507,433" stroked="true" strokeweight="1.86pt" strokecolor="#165788">
              <v:stroke dashstyle="solid"/>
            </v:line>
            <v:line style="position:absolute" from="4109,653" to="4507,653" stroked="true" strokeweight="1.86pt" strokecolor="#f0ab00">
              <v:stroke dashstyle="solid"/>
            </v:line>
            <v:shape style="position:absolute;left:3866;top:320;width:3950;height:3576" coordorigin="3866,321" coordsize="3950,3576" path="m7816,321l3866,321,3866,3896,3868,3897,7814,3897,7816,3896,7816,3894,3871,3894,3869,3892,3871,3892,3871,326,3869,326,3871,323,7816,323,7816,321xm3871,3892l3869,3892,3871,3894,3871,3892xm7811,3892l3871,3892,3871,3894,7811,3894,7811,3892xm7811,323l7811,3894,7813,3892,7816,3892,7816,326,7813,326,7811,323xm7816,3892l7813,3892,7811,3894,7816,3894,7816,3892xm3871,323l3869,326,3871,326,3871,323xm7811,323l3871,323,3871,326,7811,326,7811,323xm7816,323l7811,323,7813,326,7816,326,7816,323xe" filled="true" fillcolor="#ffffff" stroked="false">
              <v:path arrowok="t"/>
              <v:fill type="solid"/>
            </v:shape>
            <v:shape style="position:absolute;left:3981;top:337;width:1479;height:3434" type="#_x0000_t202" filled="false" stroked="false">
              <v:textbox inset="0,0,0,0">
                <w:txbxContent>
                  <w:p>
                    <w:pPr>
                      <w:spacing w:line="179" w:lineRule="exact" w:before="0"/>
                      <w:ind w:left="546" w:right="0" w:firstLine="0"/>
                      <w:jc w:val="left"/>
                      <w:rPr>
                        <w:sz w:val="16"/>
                      </w:rPr>
                    </w:pPr>
                    <w:r>
                      <w:rPr>
                        <w:sz w:val="16"/>
                      </w:rPr>
                      <w:t>UK</w:t>
                    </w:r>
                  </w:p>
                  <w:p>
                    <w:pPr>
                      <w:spacing w:before="35"/>
                      <w:ind w:left="546" w:right="0" w:firstLine="0"/>
                      <w:jc w:val="left"/>
                      <w:rPr>
                        <w:sz w:val="16"/>
                      </w:rPr>
                    </w:pPr>
                    <w:r>
                      <w:rPr>
                        <w:sz w:val="16"/>
                      </w:rPr>
                      <w:t>Scotland</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before="160"/>
                      <w:ind w:left="0" w:right="0" w:firstLine="0"/>
                      <w:jc w:val="left"/>
                      <w:rPr>
                        <w:sz w:val="16"/>
                      </w:rPr>
                    </w:pPr>
                    <w:r>
                      <w:rPr>
                        <w:sz w:val="16"/>
                      </w:rPr>
                      <w:t>1964 1972 1980</w:t>
                    </w:r>
                  </w:p>
                </w:txbxContent>
              </v:textbox>
              <w10:wrap type="none"/>
            </v:shape>
            <v:shape style="position:absolute;left:5636;top:395;width:2169;height:3376" type="#_x0000_t202" filled="false" stroked="false">
              <v:textbox inset="0,0,0,0">
                <w:txbxContent>
                  <w:p>
                    <w:pPr>
                      <w:spacing w:line="179" w:lineRule="exact" w:before="0"/>
                      <w:ind w:left="0" w:right="169" w:firstLine="0"/>
                      <w:jc w:val="right"/>
                      <w:rPr>
                        <w:sz w:val="16"/>
                      </w:rPr>
                    </w:pPr>
                    <w:r>
                      <w:rPr>
                        <w:sz w:val="16"/>
                      </w:rPr>
                      <w:t>Percentage changes on</w:t>
                    </w:r>
                  </w:p>
                  <w:p>
                    <w:pPr>
                      <w:spacing w:before="0"/>
                      <w:ind w:left="0" w:right="124" w:firstLine="0"/>
                      <w:jc w:val="right"/>
                      <w:rPr>
                        <w:sz w:val="16"/>
                      </w:rPr>
                    </w:pPr>
                    <w:r>
                      <w:rPr>
                        <w:sz w:val="16"/>
                      </w:rPr>
                      <w:t>a year earlier</w:t>
                    </w:r>
                  </w:p>
                  <w:p>
                    <w:pPr>
                      <w:spacing w:before="73"/>
                      <w:ind w:left="1970" w:right="0" w:firstLine="0"/>
                      <w:jc w:val="left"/>
                      <w:rPr>
                        <w:sz w:val="16"/>
                      </w:rPr>
                    </w:pPr>
                    <w:r>
                      <w:rPr>
                        <w:sz w:val="16"/>
                      </w:rPr>
                      <w:t>10</w:t>
                    </w:r>
                  </w:p>
                  <w:p>
                    <w:pPr>
                      <w:spacing w:before="102"/>
                      <w:ind w:left="1970" w:right="0" w:firstLine="0"/>
                      <w:jc w:val="left"/>
                      <w:rPr>
                        <w:sz w:val="16"/>
                      </w:rPr>
                    </w:pPr>
                    <w:r>
                      <w:rPr>
                        <w:w w:val="100"/>
                        <w:sz w:val="16"/>
                      </w:rPr>
                      <w:t>8</w:t>
                    </w:r>
                  </w:p>
                  <w:p>
                    <w:pPr>
                      <w:spacing w:before="101"/>
                      <w:ind w:left="1970" w:right="0" w:firstLine="0"/>
                      <w:jc w:val="left"/>
                      <w:rPr>
                        <w:sz w:val="16"/>
                      </w:rPr>
                    </w:pPr>
                    <w:r>
                      <w:rPr>
                        <w:w w:val="100"/>
                        <w:sz w:val="16"/>
                      </w:rPr>
                      <w:t>6</w:t>
                    </w:r>
                  </w:p>
                  <w:p>
                    <w:pPr>
                      <w:spacing w:before="101"/>
                      <w:ind w:left="1970" w:right="0" w:firstLine="0"/>
                      <w:jc w:val="left"/>
                      <w:rPr>
                        <w:sz w:val="16"/>
                      </w:rPr>
                    </w:pPr>
                    <w:r>
                      <w:rPr>
                        <w:w w:val="100"/>
                        <w:sz w:val="16"/>
                      </w:rPr>
                      <w:t>4</w:t>
                    </w:r>
                  </w:p>
                  <w:p>
                    <w:pPr>
                      <w:spacing w:before="101"/>
                      <w:ind w:left="1970" w:right="0" w:firstLine="0"/>
                      <w:jc w:val="left"/>
                      <w:rPr>
                        <w:sz w:val="16"/>
                      </w:rPr>
                    </w:pPr>
                    <w:r>
                      <w:rPr>
                        <w:w w:val="100"/>
                        <w:sz w:val="16"/>
                      </w:rPr>
                      <w:t>2</w:t>
                    </w:r>
                  </w:p>
                  <w:p>
                    <w:pPr>
                      <w:spacing w:before="100"/>
                      <w:ind w:left="1970" w:right="0" w:firstLine="0"/>
                      <w:jc w:val="left"/>
                      <w:rPr>
                        <w:sz w:val="16"/>
                      </w:rPr>
                    </w:pPr>
                    <w:r>
                      <w:rPr>
                        <w:w w:val="100"/>
                        <w:sz w:val="16"/>
                      </w:rPr>
                      <w:t>0</w:t>
                    </w:r>
                  </w:p>
                  <w:p>
                    <w:pPr>
                      <w:spacing w:before="102"/>
                      <w:ind w:left="1970" w:right="0" w:firstLine="0"/>
                      <w:jc w:val="left"/>
                      <w:rPr>
                        <w:sz w:val="16"/>
                      </w:rPr>
                    </w:pPr>
                    <w:r>
                      <w:rPr>
                        <w:sz w:val="16"/>
                      </w:rPr>
                      <w:t>-2</w:t>
                    </w:r>
                  </w:p>
                  <w:p>
                    <w:pPr>
                      <w:spacing w:before="100"/>
                      <w:ind w:left="1970" w:right="0" w:firstLine="0"/>
                      <w:jc w:val="left"/>
                      <w:rPr>
                        <w:sz w:val="16"/>
                      </w:rPr>
                    </w:pPr>
                    <w:r>
                      <w:rPr>
                        <w:sz w:val="16"/>
                      </w:rPr>
                      <w:t>-4</w:t>
                    </w:r>
                  </w:p>
                  <w:p>
                    <w:pPr>
                      <w:spacing w:before="102"/>
                      <w:ind w:left="1970" w:right="0" w:firstLine="0"/>
                      <w:jc w:val="left"/>
                      <w:rPr>
                        <w:sz w:val="16"/>
                      </w:rPr>
                    </w:pPr>
                    <w:r>
                      <w:rPr>
                        <w:sz w:val="16"/>
                      </w:rPr>
                      <w:t>-6</w:t>
                    </w:r>
                  </w:p>
                  <w:p>
                    <w:pPr>
                      <w:spacing w:before="100"/>
                      <w:ind w:left="1970" w:right="0" w:firstLine="0"/>
                      <w:jc w:val="left"/>
                      <w:rPr>
                        <w:sz w:val="16"/>
                      </w:rPr>
                    </w:pPr>
                    <w:r>
                      <w:rPr>
                        <w:sz w:val="16"/>
                      </w:rPr>
                      <w:t>-8</w:t>
                    </w:r>
                  </w:p>
                  <w:p>
                    <w:pPr>
                      <w:spacing w:before="7"/>
                      <w:ind w:left="0" w:right="0" w:firstLine="0"/>
                      <w:jc w:val="left"/>
                      <w:rPr>
                        <w:sz w:val="16"/>
                      </w:rPr>
                    </w:pPr>
                    <w:r>
                      <w:rPr>
                        <w:sz w:val="16"/>
                      </w:rPr>
                      <w:t>1988 1996 2004 2012</w:t>
                    </w:r>
                  </w:p>
                </w:txbxContent>
              </v:textbox>
              <w10:wrap type="none"/>
            </v:shape>
            <w10:wrap type="topAndBottom"/>
          </v:group>
        </w:pict>
      </w:r>
    </w:p>
    <w:p>
      <w:pPr>
        <w:pStyle w:val="BodyText"/>
        <w:spacing w:before="4"/>
        <w:rPr>
          <w:b/>
        </w:rPr>
      </w:pPr>
    </w:p>
    <w:p>
      <w:pPr>
        <w:spacing w:before="0"/>
        <w:ind w:left="226" w:right="830" w:firstLine="0"/>
        <w:jc w:val="left"/>
        <w:rPr>
          <w:sz w:val="16"/>
        </w:rPr>
      </w:pPr>
      <w:r>
        <w:rPr>
          <w:sz w:val="16"/>
        </w:rPr>
        <w:t>Source: Bank calculations; Scottish Government GDP statistical bulletin (2010Q1 and 2013Q3); ONS UK real GVA ex oil and gas extraction (KLS2 &amp; UIZY); ONS mid-year population estimates; General Register Office Scotland; OECD.</w:t>
      </w:r>
    </w:p>
    <w:p>
      <w:pPr>
        <w:pStyle w:val="BodyText"/>
        <w:rPr>
          <w:sz w:val="18"/>
        </w:rPr>
      </w:pPr>
    </w:p>
    <w:p>
      <w:pPr>
        <w:pStyle w:val="BodyText"/>
        <w:rPr>
          <w:sz w:val="18"/>
        </w:rPr>
      </w:pPr>
    </w:p>
    <w:p>
      <w:pPr>
        <w:pStyle w:val="BodyText"/>
        <w:spacing w:before="8"/>
        <w:rPr>
          <w:sz w:val="16"/>
        </w:rPr>
      </w:pPr>
    </w:p>
    <w:p>
      <w:pPr>
        <w:pStyle w:val="Heading1"/>
        <w:ind w:left="2317"/>
      </w:pPr>
      <w:r>
        <w:rPr>
          <w:color w:val="0070C0"/>
        </w:rPr>
        <w:t>Chart 2: Unit wage costs in the UK and Scotland</w:t>
      </w:r>
    </w:p>
    <w:p>
      <w:pPr>
        <w:pStyle w:val="BodyText"/>
        <w:spacing w:before="5"/>
        <w:rPr>
          <w:b/>
          <w:sz w:val="24"/>
        </w:rPr>
      </w:pPr>
      <w:r>
        <w:rPr/>
        <w:pict>
          <v:group style="position:absolute;margin-left:192.059998pt;margin-top:16.005957pt;width:197.4pt;height:178.8pt;mso-position-horizontal-relative:page;mso-position-vertical-relative:paragraph;z-index:-251642880;mso-wrap-distance-left:0;mso-wrap-distance-right:0" coordorigin="3841,320" coordsize="3948,3576">
            <v:shape style="position:absolute;left:4126;top:828;width:3208;height:2769" coordorigin="4127,829" coordsize="3208,2769" path="m7327,829l4134,829,4129,831,4127,835,4127,3590,4129,3595,4134,3597,7327,3597,7332,3595,7334,3590,4140,3590,4134,3583,4140,3583,4140,842,4134,842,4140,835,7334,835,7332,831,7327,829xm4140,3583l4134,3583,4140,3590,4140,3583xm7320,3583l4140,3583,4140,3590,7320,3590,7320,3583xm7320,835l7320,3590,7327,3583,7334,3583,7334,842,7327,842,7320,835xm7334,3583l7327,3583,7320,3590,7334,3590,7334,3583xm4140,835l4134,842,4140,842,4140,835xm7320,835l4140,835,4140,842,7320,842,7320,835xm7334,835l7320,835,7327,842,7334,842,7334,835xe" filled="true" fillcolor="#000000" stroked="false">
              <v:path arrowok="t"/>
              <v:fill type="solid"/>
            </v:shape>
            <v:line style="position:absolute" from="7327,835" to="7327,3590" stroked="true" strokeweight=".23999pt" strokecolor="#000000">
              <v:stroke dashstyle="solid"/>
            </v:line>
            <v:rect style="position:absolute;left:7279;top:3587;width:48;height:5" filled="true" fillcolor="#000000" stroked="false">
              <v:fill type="solid"/>
            </v:rect>
            <v:rect style="position:absolute;left:7279;top:3194;width:48;height:4" filled="true" fillcolor="#000000" stroked="false">
              <v:fill type="solid"/>
            </v:rect>
            <v:rect style="position:absolute;left:7279;top:2800;width:48;height:5" filled="true" fillcolor="#000000" stroked="false">
              <v:fill type="solid"/>
            </v:rect>
            <v:rect style="position:absolute;left:7279;top:2406;width:48;height:5" filled="true" fillcolor="#000000" stroked="false">
              <v:fill type="solid"/>
            </v:rect>
            <v:rect style="position:absolute;left:7279;top:2014;width:48;height:4" filled="true" fillcolor="#000000" stroked="false">
              <v:fill type="solid"/>
            </v:rect>
            <v:rect style="position:absolute;left:7279;top:1619;width:48;height:5" filled="true" fillcolor="#000000" stroked="false">
              <v:fill type="solid"/>
            </v:rect>
            <v:rect style="position:absolute;left:7279;top:1227;width:48;height:5" filled="true" fillcolor="#000000" stroked="false">
              <v:fill type="solid"/>
            </v:rect>
            <v:rect style="position:absolute;left:7279;top:833;width:48;height:4" filled="true" fillcolor="#000000" stroked="false">
              <v:fill type="solid"/>
            </v:rect>
            <v:line style="position:absolute" from="4133,3590" to="7327,3590" stroked="true" strokeweight=".24002pt" strokecolor="#000000">
              <v:stroke dashstyle="solid"/>
            </v:line>
            <v:rect style="position:absolute;left:4131;top:3590;width:4;height:47" filled="true" fillcolor="#000000" stroked="false">
              <v:fill type="solid"/>
            </v:rect>
            <v:rect style="position:absolute;left:4556;top:3590;width:5;height:47" filled="true" fillcolor="#000000" stroked="false">
              <v:fill type="solid"/>
            </v:rect>
            <v:rect style="position:absolute;left:4982;top:3590;width:5;height:47" filled="true" fillcolor="#000000" stroked="false">
              <v:fill type="solid"/>
            </v:rect>
            <v:rect style="position:absolute;left:5409;top:3590;width:4;height:47" filled="true" fillcolor="#000000" stroked="false">
              <v:fill type="solid"/>
            </v:rect>
            <v:rect style="position:absolute;left:5834;top:3590;width:5;height:47" filled="true" fillcolor="#000000" stroked="false">
              <v:fill type="solid"/>
            </v:rect>
            <v:rect style="position:absolute;left:6260;top:3590;width:5;height:47" filled="true" fillcolor="#000000" stroked="false">
              <v:fill type="solid"/>
            </v:rect>
            <v:rect style="position:absolute;left:6686;top:3590;width:4;height:47" filled="true" fillcolor="#000000" stroked="false">
              <v:fill type="solid"/>
            </v:rect>
            <v:rect style="position:absolute;left:7112;top:3590;width:5;height:47" filled="true" fillcolor="#000000" stroked="false">
              <v:fill type="solid"/>
            </v:rect>
            <v:shape style="position:absolute;left:4132;top:1413;width:3209;height:1816" type="#_x0000_t75" stroked="false">
              <v:imagedata r:id="rId19" o:title=""/>
            </v:shape>
            <v:line style="position:absolute" from="4080,441" to="4478,441" stroked="true" strokeweight="1.86pt" strokecolor="#165788">
              <v:stroke dashstyle="solid"/>
            </v:line>
            <v:line style="position:absolute" from="4080,681" to="4478,681" stroked="true" strokeweight="1.86pt" strokecolor="#a31a7e">
              <v:stroke dashstyle="solid"/>
            </v:line>
            <v:shape style="position:absolute;left:3841;top:320;width:3948;height:3576" coordorigin="3841,320" coordsize="3948,3576" path="m7788,320l3841,320,3841,3896,7788,3896,7789,3895,7789,3894,3846,3894,3844,3891,3846,3891,3846,325,3844,325,3846,323,7789,323,7789,321,7788,320xm3846,3891l3844,3891,3846,3894,3846,3891xm7784,3891l3846,3891,3846,3894,7784,3894,7784,3891xm7784,323l7784,3894,7787,3891,7789,3891,7789,325,7787,325,7784,323xm7789,3891l7787,3891,7784,3894,7789,3894,7789,3891xm3846,323l3844,325,3846,325,3846,323xm7784,323l3846,323,3846,325,7784,325,7784,323xm7789,323l7784,323,7787,325,7789,325,7789,323xe" filled="true" fillcolor="#ffffff" stroked="false">
              <v:path arrowok="t"/>
              <v:fill type="solid"/>
            </v:shape>
            <v:shape style="position:absolute;left:4498;top:346;width:643;height:418" type="#_x0000_t202" filled="false" stroked="false">
              <v:textbox inset="0,0,0,0">
                <w:txbxContent>
                  <w:p>
                    <w:pPr>
                      <w:spacing w:line="179" w:lineRule="exact" w:before="0"/>
                      <w:ind w:left="0" w:right="0" w:firstLine="0"/>
                      <w:jc w:val="left"/>
                      <w:rPr>
                        <w:sz w:val="16"/>
                      </w:rPr>
                    </w:pPr>
                    <w:r>
                      <w:rPr>
                        <w:sz w:val="16"/>
                      </w:rPr>
                      <w:t>UK</w:t>
                    </w:r>
                  </w:p>
                  <w:p>
                    <w:pPr>
                      <w:spacing w:before="55"/>
                      <w:ind w:left="0" w:right="0" w:firstLine="0"/>
                      <w:jc w:val="left"/>
                      <w:rPr>
                        <w:sz w:val="16"/>
                      </w:rPr>
                    </w:pPr>
                    <w:r>
                      <w:rPr>
                        <w:sz w:val="16"/>
                      </w:rPr>
                      <w:t>Scotland</w:t>
                    </w:r>
                  </w:p>
                </w:txbxContent>
              </v:textbox>
              <w10:wrap type="none"/>
            </v:shape>
            <v:shape style="position:absolute;left:5953;top:622;width:1422;height:180" type="#_x0000_t202" filled="false" stroked="false">
              <v:textbox inset="0,0,0,0">
                <w:txbxContent>
                  <w:p>
                    <w:pPr>
                      <w:spacing w:line="179" w:lineRule="exact" w:before="0"/>
                      <w:ind w:left="0" w:right="0" w:firstLine="0"/>
                      <w:jc w:val="left"/>
                      <w:rPr>
                        <w:sz w:val="16"/>
                      </w:rPr>
                    </w:pPr>
                    <w:r>
                      <w:rPr>
                        <w:sz w:val="16"/>
                      </w:rPr>
                      <w:t>Indices: 2000 = 100</w:t>
                    </w:r>
                  </w:p>
                </w:txbxContent>
              </v:textbox>
              <w10:wrap type="none"/>
            </v:shape>
            <v:shape style="position:absolute;left:7466;top:741;width:287;height:2934" type="#_x0000_t202" filled="false" stroked="false">
              <v:textbox inset="0,0,0,0">
                <w:txbxContent>
                  <w:p>
                    <w:pPr>
                      <w:spacing w:line="179" w:lineRule="exact" w:before="0"/>
                      <w:ind w:left="0" w:right="0" w:firstLine="0"/>
                      <w:jc w:val="left"/>
                      <w:rPr>
                        <w:sz w:val="16"/>
                      </w:rPr>
                    </w:pPr>
                    <w:r>
                      <w:rPr>
                        <w:sz w:val="16"/>
                      </w:rPr>
                      <w:t>150</w:t>
                    </w:r>
                  </w:p>
                  <w:p>
                    <w:pPr>
                      <w:spacing w:line="240" w:lineRule="auto" w:before="2"/>
                      <w:rPr>
                        <w:sz w:val="18"/>
                      </w:rPr>
                    </w:pPr>
                  </w:p>
                  <w:p>
                    <w:pPr>
                      <w:spacing w:before="0"/>
                      <w:ind w:left="0" w:right="0" w:firstLine="0"/>
                      <w:jc w:val="left"/>
                      <w:rPr>
                        <w:sz w:val="16"/>
                      </w:rPr>
                    </w:pPr>
                    <w:r>
                      <w:rPr>
                        <w:sz w:val="16"/>
                      </w:rPr>
                      <w:t>140</w:t>
                    </w:r>
                  </w:p>
                  <w:p>
                    <w:pPr>
                      <w:spacing w:line="240" w:lineRule="auto" w:before="3"/>
                      <w:rPr>
                        <w:sz w:val="18"/>
                      </w:rPr>
                    </w:pPr>
                  </w:p>
                  <w:p>
                    <w:pPr>
                      <w:spacing w:before="0"/>
                      <w:ind w:left="0" w:right="0" w:firstLine="0"/>
                      <w:jc w:val="left"/>
                      <w:rPr>
                        <w:sz w:val="16"/>
                      </w:rPr>
                    </w:pPr>
                    <w:r>
                      <w:rPr>
                        <w:sz w:val="16"/>
                      </w:rPr>
                      <w:t>130</w:t>
                    </w:r>
                  </w:p>
                  <w:p>
                    <w:pPr>
                      <w:spacing w:line="240" w:lineRule="auto" w:before="2"/>
                      <w:rPr>
                        <w:sz w:val="18"/>
                      </w:rPr>
                    </w:pPr>
                  </w:p>
                  <w:p>
                    <w:pPr>
                      <w:spacing w:before="1"/>
                      <w:ind w:left="0" w:right="0" w:firstLine="0"/>
                      <w:jc w:val="left"/>
                      <w:rPr>
                        <w:sz w:val="16"/>
                      </w:rPr>
                    </w:pPr>
                    <w:r>
                      <w:rPr>
                        <w:sz w:val="16"/>
                      </w:rPr>
                      <w:t>120</w:t>
                    </w:r>
                  </w:p>
                  <w:p>
                    <w:pPr>
                      <w:spacing w:line="240" w:lineRule="auto" w:before="2"/>
                      <w:rPr>
                        <w:sz w:val="18"/>
                      </w:rPr>
                    </w:pPr>
                  </w:p>
                  <w:p>
                    <w:pPr>
                      <w:spacing w:before="0"/>
                      <w:ind w:left="0" w:right="0" w:firstLine="0"/>
                      <w:jc w:val="left"/>
                      <w:rPr>
                        <w:sz w:val="16"/>
                      </w:rPr>
                    </w:pPr>
                    <w:r>
                      <w:rPr>
                        <w:sz w:val="16"/>
                      </w:rPr>
                      <w:t>110</w:t>
                    </w:r>
                  </w:p>
                  <w:p>
                    <w:pPr>
                      <w:spacing w:line="240" w:lineRule="auto" w:before="1"/>
                      <w:rPr>
                        <w:sz w:val="18"/>
                      </w:rPr>
                    </w:pPr>
                  </w:p>
                  <w:p>
                    <w:pPr>
                      <w:spacing w:before="1"/>
                      <w:ind w:left="0" w:right="0" w:firstLine="0"/>
                      <w:jc w:val="left"/>
                      <w:rPr>
                        <w:sz w:val="16"/>
                      </w:rPr>
                    </w:pPr>
                    <w:r>
                      <w:rPr>
                        <w:sz w:val="16"/>
                      </w:rPr>
                      <w:t>100</w:t>
                    </w:r>
                  </w:p>
                  <w:p>
                    <w:pPr>
                      <w:spacing w:line="240" w:lineRule="auto" w:before="2"/>
                      <w:rPr>
                        <w:sz w:val="18"/>
                      </w:rPr>
                    </w:pPr>
                  </w:p>
                  <w:p>
                    <w:pPr>
                      <w:spacing w:before="0"/>
                      <w:ind w:left="0" w:right="0" w:firstLine="0"/>
                      <w:jc w:val="left"/>
                      <w:rPr>
                        <w:sz w:val="16"/>
                      </w:rPr>
                    </w:pPr>
                    <w:r>
                      <w:rPr>
                        <w:sz w:val="16"/>
                      </w:rPr>
                      <w:t>90</w:t>
                    </w:r>
                  </w:p>
                  <w:p>
                    <w:pPr>
                      <w:spacing w:line="240" w:lineRule="auto" w:before="3"/>
                      <w:rPr>
                        <w:sz w:val="18"/>
                      </w:rPr>
                    </w:pPr>
                  </w:p>
                  <w:p>
                    <w:pPr>
                      <w:spacing w:before="0"/>
                      <w:ind w:left="0" w:right="0" w:firstLine="0"/>
                      <w:jc w:val="left"/>
                      <w:rPr>
                        <w:sz w:val="16"/>
                      </w:rPr>
                    </w:pPr>
                    <w:r>
                      <w:rPr>
                        <w:sz w:val="16"/>
                      </w:rPr>
                      <w:t>80</w:t>
                    </w:r>
                  </w:p>
                </w:txbxContent>
              </v:textbox>
              <w10:wrap type="none"/>
            </v:shape>
            <v:shape style="position:absolute;left:3955;top:3686;width:3357;height:180" type="#_x0000_t202" filled="false" stroked="false">
              <v:textbox inset="0,0,0,0">
                <w:txbxContent>
                  <w:p>
                    <w:pPr>
                      <w:spacing w:line="179" w:lineRule="exact" w:before="0"/>
                      <w:ind w:left="0" w:right="0" w:firstLine="0"/>
                      <w:jc w:val="left"/>
                      <w:rPr>
                        <w:sz w:val="16"/>
                      </w:rPr>
                    </w:pPr>
                    <w:r>
                      <w:rPr>
                        <w:sz w:val="16"/>
                      </w:rPr>
                      <w:t>1998 2000 2002 2004 2006 2008 2010 2012</w:t>
                    </w:r>
                  </w:p>
                </w:txbxContent>
              </v:textbox>
              <w10:wrap type="none"/>
            </v:shape>
            <w10:wrap type="topAndBottom"/>
          </v:group>
        </w:pict>
      </w:r>
    </w:p>
    <w:p>
      <w:pPr>
        <w:pStyle w:val="BodyText"/>
        <w:spacing w:before="5"/>
        <w:rPr>
          <w:b/>
        </w:rPr>
      </w:pPr>
    </w:p>
    <w:p>
      <w:pPr>
        <w:spacing w:before="0"/>
        <w:ind w:left="226" w:right="1297" w:firstLine="0"/>
        <w:jc w:val="both"/>
        <w:rPr>
          <w:sz w:val="16"/>
        </w:rPr>
      </w:pPr>
      <w:r>
        <w:rPr>
          <w:sz w:val="16"/>
        </w:rPr>
        <w:t>Sources: Bank calculations; ONS Gross weekly earnings by region (EARN05); ONS real GDP (ABMI); Scottish Government</w:t>
      </w:r>
      <w:r>
        <w:rPr>
          <w:spacing w:val="-4"/>
          <w:sz w:val="16"/>
        </w:rPr>
        <w:t> </w:t>
      </w:r>
      <w:r>
        <w:rPr>
          <w:sz w:val="16"/>
        </w:rPr>
        <w:t>GDP</w:t>
      </w:r>
      <w:r>
        <w:rPr>
          <w:spacing w:val="-4"/>
          <w:sz w:val="16"/>
        </w:rPr>
        <w:t> </w:t>
      </w:r>
      <w:r>
        <w:rPr>
          <w:sz w:val="16"/>
        </w:rPr>
        <w:t>statistical</w:t>
      </w:r>
      <w:r>
        <w:rPr>
          <w:spacing w:val="-5"/>
          <w:sz w:val="16"/>
        </w:rPr>
        <w:t> </w:t>
      </w:r>
      <w:r>
        <w:rPr>
          <w:sz w:val="16"/>
        </w:rPr>
        <w:t>bulletin</w:t>
      </w:r>
      <w:r>
        <w:rPr>
          <w:spacing w:val="-4"/>
          <w:sz w:val="16"/>
        </w:rPr>
        <w:t> </w:t>
      </w:r>
      <w:r>
        <w:rPr>
          <w:sz w:val="16"/>
        </w:rPr>
        <w:t>2013Q3;</w:t>
      </w:r>
      <w:r>
        <w:rPr>
          <w:spacing w:val="-6"/>
          <w:sz w:val="16"/>
        </w:rPr>
        <w:t> </w:t>
      </w:r>
      <w:r>
        <w:rPr>
          <w:sz w:val="16"/>
        </w:rPr>
        <w:t>Labour</w:t>
      </w:r>
      <w:r>
        <w:rPr>
          <w:spacing w:val="-3"/>
          <w:sz w:val="16"/>
        </w:rPr>
        <w:t> </w:t>
      </w:r>
      <w:r>
        <w:rPr>
          <w:sz w:val="16"/>
        </w:rPr>
        <w:t>Force</w:t>
      </w:r>
      <w:r>
        <w:rPr>
          <w:spacing w:val="-3"/>
          <w:sz w:val="16"/>
        </w:rPr>
        <w:t> </w:t>
      </w:r>
      <w:r>
        <w:rPr>
          <w:sz w:val="16"/>
        </w:rPr>
        <w:t>Survey.</w:t>
      </w:r>
      <w:r>
        <w:rPr>
          <w:spacing w:val="-5"/>
          <w:sz w:val="16"/>
        </w:rPr>
        <w:t> </w:t>
      </w:r>
      <w:r>
        <w:rPr>
          <w:sz w:val="16"/>
        </w:rPr>
        <w:t>Gross</w:t>
      </w:r>
      <w:r>
        <w:rPr>
          <w:spacing w:val="-4"/>
          <w:sz w:val="16"/>
        </w:rPr>
        <w:t> </w:t>
      </w:r>
      <w:r>
        <w:rPr>
          <w:sz w:val="16"/>
        </w:rPr>
        <w:t>weekly</w:t>
      </w:r>
      <w:r>
        <w:rPr>
          <w:spacing w:val="-6"/>
          <w:sz w:val="16"/>
        </w:rPr>
        <w:t> </w:t>
      </w:r>
      <w:r>
        <w:rPr>
          <w:sz w:val="16"/>
        </w:rPr>
        <w:t>earnings</w:t>
      </w:r>
      <w:r>
        <w:rPr>
          <w:spacing w:val="-3"/>
          <w:sz w:val="16"/>
        </w:rPr>
        <w:t> </w:t>
      </w:r>
      <w:r>
        <w:rPr>
          <w:sz w:val="16"/>
        </w:rPr>
        <w:t>seasonally</w:t>
      </w:r>
      <w:r>
        <w:rPr>
          <w:spacing w:val="-6"/>
          <w:sz w:val="16"/>
        </w:rPr>
        <w:t> </w:t>
      </w:r>
      <w:r>
        <w:rPr>
          <w:sz w:val="16"/>
        </w:rPr>
        <w:t>adjusted in-house.</w:t>
      </w:r>
    </w:p>
    <w:p>
      <w:pPr>
        <w:pStyle w:val="BodyText"/>
        <w:rPr>
          <w:sz w:val="16"/>
        </w:rPr>
      </w:pPr>
    </w:p>
    <w:p>
      <w:pPr>
        <w:spacing w:before="0"/>
        <w:ind w:left="226" w:right="0" w:firstLine="0"/>
        <w:jc w:val="left"/>
        <w:rPr>
          <w:sz w:val="16"/>
        </w:rPr>
      </w:pPr>
      <w:r>
        <w:rPr>
          <w:sz w:val="16"/>
        </w:rPr>
        <w:t>Notes: Unit wage costs calculated as gross weekly earnings divided by real output per worker for the UK and Scotland.</w:t>
      </w:r>
    </w:p>
    <w:p>
      <w:pPr>
        <w:spacing w:after="0"/>
        <w:jc w:val="left"/>
        <w:rPr>
          <w:sz w:val="16"/>
        </w:rPr>
        <w:sectPr>
          <w:pgSz w:w="12240" w:h="15840"/>
          <w:pgMar w:header="0" w:footer="1240" w:top="1380" w:bottom="1440" w:left="1360" w:right="1480"/>
        </w:sectPr>
      </w:pPr>
    </w:p>
    <w:p>
      <w:pPr>
        <w:pStyle w:val="Heading1"/>
        <w:spacing w:before="114"/>
        <w:ind w:left="2614"/>
      </w:pPr>
      <w:r>
        <w:rPr>
          <w:color w:val="0070C0"/>
        </w:rPr>
        <w:t>Chart 3: Unit labour costs in the Euro area</w:t>
      </w:r>
      <w:r>
        <w:rPr>
          <w:color w:val="0070C0"/>
          <w:vertAlign w:val="superscript"/>
        </w:rPr>
        <w:t>(a)</w:t>
      </w:r>
    </w:p>
    <w:p>
      <w:pPr>
        <w:pStyle w:val="BodyText"/>
        <w:spacing w:before="4"/>
        <w:rPr>
          <w:b/>
          <w:sz w:val="15"/>
        </w:rPr>
      </w:pPr>
      <w:r>
        <w:rPr/>
        <w:pict>
          <v:group style="position:absolute;margin-left:135.179993pt;margin-top:10.815928pt;width:322.7pt;height:178.8pt;mso-position-horizontal-relative:page;mso-position-vertical-relative:paragraph;z-index:-251637760;mso-wrap-distance-left:0;mso-wrap-distance-right:0" coordorigin="2704,216" coordsize="6454,3576">
            <v:shape style="position:absolute;left:3159;top:529;width:3333;height:2946" coordorigin="3160,530" coordsize="3333,2946" path="m6490,530l3161,530,3160,531,3160,3473,3161,3476,6490,3476,6492,3473,3163,3473,3161,3471,3163,3471,3163,533,3161,533,3163,531,6492,531,6490,530xm3163,3471l3161,3471,3163,3473,3163,3471xm6487,3471l3163,3471,3163,3473,6487,3473,6487,3471xm6487,531l6487,3473,6490,3471,6492,3471,6492,533,6490,533,6487,531xm6492,3471l6490,3471,6487,3473,6492,3473,6492,3471xm3163,531l3161,533,3163,533,3163,531xm6487,531l3163,531,3163,533,6487,533,6487,531xm6492,531l6487,531,6490,533,6492,533,6492,531xe" filled="true" fillcolor="#000000" stroked="false">
              <v:path arrowok="t"/>
              <v:fill type="solid"/>
            </v:shape>
            <v:line style="position:absolute" from="6490,531" to="6490,3473" stroked="true" strokeweight=".23999pt" strokecolor="#000000">
              <v:stroke dashstyle="solid"/>
            </v:line>
            <v:rect style="position:absolute;left:6440;top:3470;width:50;height:5" filled="true" fillcolor="#000000" stroked="false">
              <v:fill type="solid"/>
            </v:rect>
            <v:rect style="position:absolute;left:6440;top:3104;width:50;height:4" filled="true" fillcolor="#000000" stroked="false">
              <v:fill type="solid"/>
            </v:rect>
            <v:rect style="position:absolute;left:6440;top:2736;width:50;height:5" filled="true" fillcolor="#000000" stroked="false">
              <v:fill type="solid"/>
            </v:rect>
            <v:rect style="position:absolute;left:6440;top:2367;width:50;height:5" filled="true" fillcolor="#000000" stroked="false">
              <v:fill type="solid"/>
            </v:rect>
            <v:rect style="position:absolute;left:6440;top:1999;width:50;height:5" filled="true" fillcolor="#000000" stroked="false">
              <v:fill type="solid"/>
            </v:rect>
            <v:rect style="position:absolute;left:6440;top:1633;width:50;height:4" filled="true" fillcolor="#000000" stroked="false">
              <v:fill type="solid"/>
            </v:rect>
            <v:rect style="position:absolute;left:6440;top:1265;width:50;height:5" filled="true" fillcolor="#000000" stroked="false">
              <v:fill type="solid"/>
            </v:rect>
            <v:rect style="position:absolute;left:6440;top:896;width:50;height:5" filled="true" fillcolor="#000000" stroked="false">
              <v:fill type="solid"/>
            </v:rect>
            <v:rect style="position:absolute;left:6440;top:529;width:50;height:4" filled="true" fillcolor="#000000" stroked="false">
              <v:fill type="solid"/>
            </v:rect>
            <v:line style="position:absolute" from="3161,3473" to="6490,3473" stroked="true" strokeweight=".23999pt" strokecolor="#000000">
              <v:stroke dashstyle="solid"/>
            </v:line>
            <v:rect style="position:absolute;left:3159;top:3473;width:4;height:50" filled="true" fillcolor="#000000" stroked="false">
              <v:fill type="solid"/>
            </v:rect>
            <v:rect style="position:absolute;left:3898;top:3473;width:5;height:50" filled="true" fillcolor="#000000" stroked="false">
              <v:fill type="solid"/>
            </v:rect>
            <v:rect style="position:absolute;left:4638;top:3473;width:5;height:50" filled="true" fillcolor="#000000" stroked="false">
              <v:fill type="solid"/>
            </v:rect>
            <v:rect style="position:absolute;left:5377;top:3473;width:5;height:50" filled="true" fillcolor="#000000" stroked="false">
              <v:fill type="solid"/>
            </v:rect>
            <v:rect style="position:absolute;left:6116;top:3473;width:5;height:50" filled="true" fillcolor="#000000" stroked="false">
              <v:fill type="solid"/>
            </v:rect>
            <v:shape style="position:absolute;left:3162;top:656;width:3342;height:2560" type="#_x0000_t75" stroked="false">
              <v:imagedata r:id="rId20" o:title=""/>
            </v:shape>
            <v:line style="position:absolute" from="3160,3108" to="6490,3108" stroked="true" strokeweight=".1pt" strokecolor="#000000">
              <v:stroke dashstyle="solid"/>
            </v:line>
            <v:line style="position:absolute" from="3160,3106" to="6492,3106" stroked="true" strokeweight=".1pt" strokecolor="#000000">
              <v:stroke dashstyle="solid"/>
            </v:line>
            <v:line style="position:absolute" from="7378,349" to="7776,349" stroked="true" strokeweight="1.86pt" strokecolor="#165788">
              <v:stroke dashstyle="solid"/>
            </v:line>
            <v:line style="position:absolute" from="7378,533" to="7776,533" stroked="true" strokeweight="1.86pt" strokecolor="#a31a7e">
              <v:stroke dashstyle="solid"/>
            </v:line>
            <v:line style="position:absolute" from="7378,717" to="7776,717" stroked="true" strokeweight="1.86pt" strokecolor="#f0ab00">
              <v:stroke dashstyle="solid"/>
            </v:line>
            <v:line style="position:absolute" from="7378,902" to="7776,902" stroked="true" strokeweight="1.86pt" strokecolor="#7ab800">
              <v:stroke dashstyle="solid"/>
            </v:line>
            <v:line style="position:absolute" from="7378,1086" to="7776,1086" stroked="true" strokeweight="1.86pt" strokecolor="#8091de">
              <v:stroke dashstyle="solid"/>
            </v:line>
            <v:line style="position:absolute" from="7378,1271" to="7776,1271" stroked="true" strokeweight="1.86pt" strokecolor="#d63147">
              <v:stroke dashstyle="solid"/>
            </v:line>
            <v:line style="position:absolute" from="7378,1455" to="7776,1455" stroked="true" strokeweight="1.86pt" strokecolor="#11ff33">
              <v:stroke dashstyle="solid"/>
            </v:line>
            <v:line style="position:absolute" from="7378,1639" to="7776,1639" stroked="true" strokeweight="1.86pt" strokecolor="#797979">
              <v:stroke dashstyle="solid"/>
            </v:line>
            <v:line style="position:absolute" from="7378,1825" to="7776,1825" stroked="true" strokeweight="1.86pt" strokecolor="#2288d4">
              <v:stroke dashstyle="solid"/>
            </v:line>
            <v:line style="position:absolute" from="7378,2009" to="7776,2009" stroked="true" strokeweight="1.86pt" strokecolor="#e977cb">
              <v:stroke dashstyle="solid"/>
            </v:line>
            <v:line style="position:absolute" from="7378,2192" to="7776,2192" stroked="true" strokeweight="1.86pt" strokecolor="#ffe49f">
              <v:stroke dashstyle="solid"/>
            </v:line>
            <v:line style="position:absolute" from="7378,2378" to="7776,2378" stroked="true" strokeweight="1.86pt" strokecolor="#c6ff53">
              <v:stroke dashstyle="solid"/>
            </v:line>
            <v:line style="position:absolute" from="7378,2562" to="7776,2562" stroked="true" strokeweight="1.86pt" strokecolor="#b0bbea">
              <v:stroke dashstyle="solid"/>
            </v:line>
            <v:line style="position:absolute" from="7378,2745" to="7776,2745" stroked="true" strokeweight="1.86pt" strokecolor="#f0b2bb">
              <v:stroke dashstyle="solid"/>
            </v:line>
            <v:line style="position:absolute" from="7378,2931" to="7776,2931" stroked="true" strokeweight="1.86pt" strokecolor="#007a11">
              <v:stroke dashstyle="solid"/>
            </v:line>
            <v:line style="position:absolute" from="7378,3115" to="7776,3115" stroked="true" strokeweight="1.86pt" strokecolor="#000000">
              <v:stroke dashstyle="solid"/>
            </v:line>
            <v:line style="position:absolute" from="7378,3300" to="7776,3300" stroked="true" strokeweight="1.86pt" strokecolor="#00ccff">
              <v:stroke dashstyle="solid"/>
            </v:line>
            <v:line style="position:absolute" from="7378,3485" to="7776,3485" stroked="true" strokeweight="1.86pt" strokecolor="#ccffff">
              <v:stroke dashstyle="solid"/>
            </v:line>
            <v:line style="position:absolute" from="7378,3668" to="7776,3668" stroked="true" strokeweight="1.86pt" strokecolor="#c5ffc5">
              <v:stroke dashstyle="solid"/>
            </v:line>
            <v:shape style="position:absolute;left:2703;top:216;width:6454;height:3576" coordorigin="2704,216" coordsize="6454,3576" path="m9156,216l2705,216,2704,218,2704,3791,2705,3792,9156,3792,9157,3791,9157,3790,2708,3790,2706,3788,2708,3788,2708,221,2706,221,2708,219,9157,219,9157,218,9156,216xm2708,3788l2706,3788,2708,3790,2708,3788xm9152,3788l2708,3788,2708,3790,9152,3790,9152,3788xm9152,219l9152,3790,9155,3788,9157,3788,9157,221,9155,221,9152,219xm9157,3788l9155,3788,9152,3790,9157,3790,9157,3788xm2708,219l2706,221,2708,221,2708,219xm9152,219l2708,219,2708,221,9152,221,9152,219xm9157,219l9152,219,9155,221,9157,221,9157,219xe" filled="true" fillcolor="#ffffff" stroked="false">
              <v:path arrowok="t"/>
              <v:fill type="solid"/>
            </v:shape>
            <v:shape style="position:absolute;left:4711;top:313;width:1636;height:180" type="#_x0000_t202" filled="false" stroked="false">
              <v:textbox inset="0,0,0,0">
                <w:txbxContent>
                  <w:p>
                    <w:pPr>
                      <w:spacing w:line="179" w:lineRule="exact" w:before="0"/>
                      <w:ind w:left="0" w:right="0" w:firstLine="0"/>
                      <w:jc w:val="left"/>
                      <w:rPr>
                        <w:sz w:val="16"/>
                      </w:rPr>
                    </w:pPr>
                    <w:r>
                      <w:rPr>
                        <w:sz w:val="16"/>
                      </w:rPr>
                      <w:t>Indices: 2000Q1 = 100</w:t>
                    </w:r>
                  </w:p>
                </w:txbxContent>
              </v:textbox>
              <w10:wrap type="none"/>
            </v:shape>
            <v:shape style="position:absolute;left:6627;top:437;width:287;height:3122" type="#_x0000_t202" filled="false" stroked="false">
              <v:textbox inset="0,0,0,0">
                <w:txbxContent>
                  <w:p>
                    <w:pPr>
                      <w:spacing w:line="179" w:lineRule="exact" w:before="0"/>
                      <w:ind w:left="0" w:right="0" w:firstLine="0"/>
                      <w:jc w:val="left"/>
                      <w:rPr>
                        <w:sz w:val="16"/>
                      </w:rPr>
                    </w:pPr>
                    <w:r>
                      <w:rPr>
                        <w:sz w:val="16"/>
                      </w:rPr>
                      <w:t>240</w:t>
                    </w:r>
                  </w:p>
                  <w:p>
                    <w:pPr>
                      <w:spacing w:line="240" w:lineRule="auto" w:before="10"/>
                      <w:rPr>
                        <w:sz w:val="15"/>
                      </w:rPr>
                    </w:pPr>
                  </w:p>
                  <w:p>
                    <w:pPr>
                      <w:spacing w:before="0"/>
                      <w:ind w:left="0" w:right="0" w:firstLine="0"/>
                      <w:jc w:val="left"/>
                      <w:rPr>
                        <w:sz w:val="16"/>
                      </w:rPr>
                    </w:pPr>
                    <w:r>
                      <w:rPr>
                        <w:sz w:val="16"/>
                      </w:rPr>
                      <w:t>220</w:t>
                    </w:r>
                  </w:p>
                  <w:p>
                    <w:pPr>
                      <w:spacing w:line="240" w:lineRule="auto" w:before="1"/>
                      <w:rPr>
                        <w:sz w:val="16"/>
                      </w:rPr>
                    </w:pPr>
                  </w:p>
                  <w:p>
                    <w:pPr>
                      <w:spacing w:before="0"/>
                      <w:ind w:left="0" w:right="0" w:firstLine="0"/>
                      <w:jc w:val="left"/>
                      <w:rPr>
                        <w:sz w:val="16"/>
                      </w:rPr>
                    </w:pPr>
                    <w:r>
                      <w:rPr>
                        <w:sz w:val="16"/>
                      </w:rPr>
                      <w:t>200</w:t>
                    </w:r>
                  </w:p>
                  <w:p>
                    <w:pPr>
                      <w:spacing w:line="240" w:lineRule="auto" w:before="10"/>
                      <w:rPr>
                        <w:sz w:val="15"/>
                      </w:rPr>
                    </w:pPr>
                  </w:p>
                  <w:p>
                    <w:pPr>
                      <w:spacing w:before="1"/>
                      <w:ind w:left="0" w:right="0" w:firstLine="0"/>
                      <w:jc w:val="left"/>
                      <w:rPr>
                        <w:sz w:val="16"/>
                      </w:rPr>
                    </w:pPr>
                    <w:r>
                      <w:rPr>
                        <w:sz w:val="16"/>
                      </w:rPr>
                      <w:t>180</w:t>
                    </w:r>
                  </w:p>
                  <w:p>
                    <w:pPr>
                      <w:spacing w:line="240" w:lineRule="auto" w:before="0"/>
                      <w:rPr>
                        <w:sz w:val="16"/>
                      </w:rPr>
                    </w:pPr>
                  </w:p>
                  <w:p>
                    <w:pPr>
                      <w:spacing w:before="0"/>
                      <w:ind w:left="0" w:right="0" w:firstLine="0"/>
                      <w:jc w:val="left"/>
                      <w:rPr>
                        <w:sz w:val="16"/>
                      </w:rPr>
                    </w:pPr>
                    <w:r>
                      <w:rPr>
                        <w:sz w:val="16"/>
                      </w:rPr>
                      <w:t>160</w:t>
                    </w:r>
                  </w:p>
                  <w:p>
                    <w:pPr>
                      <w:spacing w:line="240" w:lineRule="auto" w:before="11"/>
                      <w:rPr>
                        <w:sz w:val="15"/>
                      </w:rPr>
                    </w:pPr>
                  </w:p>
                  <w:p>
                    <w:pPr>
                      <w:spacing w:before="0"/>
                      <w:ind w:left="0" w:right="0" w:firstLine="0"/>
                      <w:jc w:val="left"/>
                      <w:rPr>
                        <w:sz w:val="16"/>
                      </w:rPr>
                    </w:pPr>
                    <w:r>
                      <w:rPr>
                        <w:sz w:val="16"/>
                      </w:rPr>
                      <w:t>140</w:t>
                    </w:r>
                  </w:p>
                  <w:p>
                    <w:pPr>
                      <w:spacing w:line="240" w:lineRule="auto" w:before="0"/>
                      <w:rPr>
                        <w:sz w:val="16"/>
                      </w:rPr>
                    </w:pPr>
                  </w:p>
                  <w:p>
                    <w:pPr>
                      <w:spacing w:before="0"/>
                      <w:ind w:left="0" w:right="0" w:firstLine="0"/>
                      <w:jc w:val="left"/>
                      <w:rPr>
                        <w:sz w:val="16"/>
                      </w:rPr>
                    </w:pPr>
                    <w:r>
                      <w:rPr>
                        <w:sz w:val="16"/>
                      </w:rPr>
                      <w:t>120</w:t>
                    </w:r>
                  </w:p>
                  <w:p>
                    <w:pPr>
                      <w:spacing w:line="240" w:lineRule="auto" w:before="11"/>
                      <w:rPr>
                        <w:sz w:val="15"/>
                      </w:rPr>
                    </w:pPr>
                  </w:p>
                  <w:p>
                    <w:pPr>
                      <w:spacing w:before="0"/>
                      <w:ind w:left="0" w:right="0" w:firstLine="0"/>
                      <w:jc w:val="left"/>
                      <w:rPr>
                        <w:sz w:val="16"/>
                      </w:rPr>
                    </w:pPr>
                    <w:r>
                      <w:rPr>
                        <w:sz w:val="16"/>
                      </w:rPr>
                      <w:t>100</w:t>
                    </w:r>
                  </w:p>
                  <w:p>
                    <w:pPr>
                      <w:spacing w:line="240" w:lineRule="auto" w:before="0"/>
                      <w:rPr>
                        <w:sz w:val="16"/>
                      </w:rPr>
                    </w:pPr>
                  </w:p>
                  <w:p>
                    <w:pPr>
                      <w:spacing w:before="0"/>
                      <w:ind w:left="0" w:right="0" w:firstLine="0"/>
                      <w:jc w:val="left"/>
                      <w:rPr>
                        <w:sz w:val="16"/>
                      </w:rPr>
                    </w:pPr>
                    <w:r>
                      <w:rPr>
                        <w:sz w:val="16"/>
                      </w:rPr>
                      <w:t>80</w:t>
                    </w:r>
                  </w:p>
                </w:txbxContent>
              </v:textbox>
              <w10:wrap type="none"/>
            </v:shape>
            <v:shape style="position:absolute;left:2876;top:3570;width:3548;height:180" type="#_x0000_t202" filled="false" stroked="false">
              <v:textbox inset="0,0,0,0">
                <w:txbxContent>
                  <w:p>
                    <w:pPr>
                      <w:spacing w:line="179" w:lineRule="exact" w:before="0"/>
                      <w:ind w:left="0" w:right="0" w:firstLine="0"/>
                      <w:jc w:val="left"/>
                      <w:rPr>
                        <w:sz w:val="16"/>
                      </w:rPr>
                    </w:pPr>
                    <w:r>
                      <w:rPr>
                        <w:sz w:val="16"/>
                      </w:rPr>
                      <w:t>2000Q1 2003Q1 2006Q1 2009Q1 2012Q1</w:t>
                    </w:r>
                  </w:p>
                </w:txbxContent>
              </v:textbox>
              <w10:wrap type="none"/>
            </v:shape>
            <v:shape style="position:absolute;left:7796;top:253;width:910;height:3500" type="#_x0000_t202" filled="false" stroked="false">
              <v:textbox inset="0,0,0,0">
                <w:txbxContent>
                  <w:p>
                    <w:pPr>
                      <w:spacing w:line="240" w:lineRule="auto" w:before="0"/>
                      <w:ind w:left="0" w:right="187" w:firstLine="0"/>
                      <w:jc w:val="left"/>
                      <w:rPr>
                        <w:sz w:val="16"/>
                      </w:rPr>
                    </w:pPr>
                    <w:r>
                      <w:rPr>
                        <w:sz w:val="16"/>
                      </w:rPr>
                      <w:t>Euro area Belgium Germany Estonia Ireland Spain France Italy Cyprus Latvia</w:t>
                    </w:r>
                  </w:p>
                  <w:p>
                    <w:pPr>
                      <w:spacing w:before="0"/>
                      <w:ind w:left="0" w:right="0" w:firstLine="0"/>
                      <w:jc w:val="left"/>
                      <w:rPr>
                        <w:sz w:val="16"/>
                      </w:rPr>
                    </w:pPr>
                    <w:r>
                      <w:rPr>
                        <w:sz w:val="16"/>
                      </w:rPr>
                      <w:t>Luxembourg Malta Netherlands Austria Portugal Slovenia Slovakia Finland Greece</w:t>
                    </w:r>
                  </w:p>
                </w:txbxContent>
              </v:textbox>
              <w10:wrap type="none"/>
            </v:shape>
            <w10:wrap type="topAndBottom"/>
          </v:group>
        </w:pict>
      </w:r>
    </w:p>
    <w:p>
      <w:pPr>
        <w:pStyle w:val="BodyText"/>
        <w:rPr>
          <w:b/>
          <w:sz w:val="26"/>
        </w:rPr>
      </w:pPr>
    </w:p>
    <w:p>
      <w:pPr>
        <w:spacing w:line="480" w:lineRule="auto" w:before="0"/>
        <w:ind w:left="226" w:right="4929" w:firstLine="0"/>
        <w:jc w:val="left"/>
        <w:rPr>
          <w:sz w:val="16"/>
        </w:rPr>
      </w:pPr>
      <w:r>
        <w:rPr>
          <w:sz w:val="16"/>
        </w:rPr>
        <w:t>Sources: DataStream, Eurostat and Bank Calculations. Notes: Greek data seasonally adjusted by Bank of England.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pPr>
    </w:p>
    <w:p>
      <w:pPr>
        <w:pStyle w:val="Heading1"/>
        <w:ind w:left="2663"/>
      </w:pPr>
      <w:r>
        <w:rPr>
          <w:color w:val="0070C0"/>
        </w:rPr>
        <w:t>Table 2: Labour mobility estimates, 2010</w:t>
      </w:r>
    </w:p>
    <w:p>
      <w:pPr>
        <w:pStyle w:val="BodyText"/>
        <w:rPr>
          <w:b/>
          <w:sz w:val="20"/>
        </w:rPr>
      </w:pPr>
    </w:p>
    <w:p>
      <w:pPr>
        <w:pStyle w:val="BodyText"/>
        <w:spacing w:before="2"/>
        <w:rPr>
          <w:b/>
        </w:rPr>
      </w:pPr>
    </w:p>
    <w:p>
      <w:pPr>
        <w:spacing w:after="0"/>
        <w:sectPr>
          <w:pgSz w:w="12240" w:h="15840"/>
          <w:pgMar w:header="0" w:footer="1240" w:top="1340" w:bottom="1440" w:left="1360" w:right="1480"/>
        </w:sectPr>
      </w:pPr>
    </w:p>
    <w:p>
      <w:pPr>
        <w:pStyle w:val="BodyText"/>
        <w:spacing w:before="2"/>
        <w:rPr>
          <w:b/>
          <w:sz w:val="24"/>
        </w:rPr>
      </w:pPr>
    </w:p>
    <w:p>
      <w:pPr>
        <w:spacing w:before="1"/>
        <w:ind w:left="0" w:right="0" w:firstLine="0"/>
        <w:jc w:val="right"/>
        <w:rPr>
          <w:b/>
          <w:sz w:val="16"/>
        </w:rPr>
      </w:pPr>
      <w:r>
        <w:rPr/>
        <w:pict>
          <v:line style="position:absolute;mso-position-horizontal-relative:page;mso-position-vertical-relative:paragraph;z-index:251679744" from="127.739998pt,9.593889pt" to="455.459998pt,9.593889pt" stroked="true" strokeweight=".48001pt" strokecolor="#000000">
            <v:stroke dashstyle="solid"/>
            <w10:wrap type="none"/>
          </v:line>
        </w:pict>
      </w:r>
      <w:r>
        <w:rPr>
          <w:b/>
          <w:sz w:val="16"/>
        </w:rPr>
        <w:t>Regions</w:t>
      </w:r>
    </w:p>
    <w:p>
      <w:pPr>
        <w:spacing w:before="95"/>
        <w:ind w:left="1735" w:right="1898" w:firstLine="0"/>
        <w:jc w:val="center"/>
        <w:rPr>
          <w:b/>
          <w:sz w:val="16"/>
        </w:rPr>
      </w:pPr>
      <w:r>
        <w:rPr/>
        <w:br w:type="column"/>
      </w:r>
      <w:r>
        <w:rPr>
          <w:b/>
          <w:sz w:val="16"/>
        </w:rPr>
        <w:t>Annual gross migration flows/population, %</w:t>
      </w:r>
    </w:p>
    <w:p>
      <w:pPr>
        <w:spacing w:after="0"/>
        <w:jc w:val="center"/>
        <w:rPr>
          <w:sz w:val="16"/>
        </w:rPr>
        <w:sectPr>
          <w:type w:val="continuous"/>
          <w:pgSz w:w="12240" w:h="15840"/>
          <w:pgMar w:top="1120" w:bottom="1440" w:left="1360" w:right="1480"/>
          <w:cols w:num="2" w:equalWidth="0">
            <w:col w:w="3929" w:space="40"/>
            <w:col w:w="5431"/>
          </w:cols>
        </w:sectPr>
      </w:pPr>
    </w:p>
    <w:p>
      <w:pPr>
        <w:tabs>
          <w:tab w:pos="7031" w:val="right" w:leader="none"/>
        </w:tabs>
        <w:spacing w:before="108"/>
        <w:ind w:left="2839" w:right="0" w:firstLine="0"/>
        <w:jc w:val="left"/>
        <w:rPr>
          <w:sz w:val="16"/>
        </w:rPr>
      </w:pPr>
      <w:r>
        <w:rPr>
          <w:sz w:val="16"/>
        </w:rPr>
        <w:t>US: between</w:t>
      </w:r>
      <w:r>
        <w:rPr>
          <w:spacing w:val="-4"/>
          <w:sz w:val="16"/>
        </w:rPr>
        <w:t> </w:t>
      </w:r>
      <w:r>
        <w:rPr>
          <w:sz w:val="16"/>
        </w:rPr>
        <w:t>50</w:t>
      </w:r>
      <w:r>
        <w:rPr>
          <w:spacing w:val="-1"/>
          <w:sz w:val="16"/>
        </w:rPr>
        <w:t> </w:t>
      </w:r>
      <w:r>
        <w:rPr>
          <w:sz w:val="16"/>
        </w:rPr>
        <w:t>states</w:t>
        <w:tab/>
        <w:t>2.4</w:t>
      </w:r>
    </w:p>
    <w:p>
      <w:pPr>
        <w:tabs>
          <w:tab w:pos="7031" w:val="right" w:leader="none"/>
        </w:tabs>
        <w:spacing w:before="98"/>
        <w:ind w:left="2328" w:right="0" w:firstLine="0"/>
        <w:jc w:val="left"/>
        <w:rPr>
          <w:sz w:val="16"/>
        </w:rPr>
      </w:pPr>
      <w:r>
        <w:rPr>
          <w:sz w:val="16"/>
        </w:rPr>
        <w:t>Australia: between</w:t>
      </w:r>
      <w:r>
        <w:rPr>
          <w:spacing w:val="-3"/>
          <w:sz w:val="16"/>
        </w:rPr>
        <w:t> </w:t>
      </w:r>
      <w:r>
        <w:rPr>
          <w:sz w:val="16"/>
        </w:rPr>
        <w:t>8</w:t>
      </w:r>
      <w:r>
        <w:rPr>
          <w:spacing w:val="-1"/>
          <w:sz w:val="16"/>
        </w:rPr>
        <w:t> </w:t>
      </w:r>
      <w:r>
        <w:rPr>
          <w:sz w:val="16"/>
        </w:rPr>
        <w:t>states/territories</w:t>
        <w:tab/>
        <w:t>1.5</w:t>
      </w:r>
    </w:p>
    <w:p>
      <w:pPr>
        <w:tabs>
          <w:tab w:pos="6808" w:val="left" w:leader="none"/>
        </w:tabs>
        <w:spacing w:before="98"/>
        <w:ind w:left="2186" w:right="0" w:firstLine="0"/>
        <w:jc w:val="left"/>
        <w:rPr>
          <w:sz w:val="16"/>
        </w:rPr>
      </w:pPr>
      <w:r>
        <w:rPr>
          <w:sz w:val="16"/>
        </w:rPr>
        <w:t>Canada: between</w:t>
      </w:r>
      <w:r>
        <w:rPr>
          <w:spacing w:val="-10"/>
          <w:sz w:val="16"/>
        </w:rPr>
        <w:t> </w:t>
      </w:r>
      <w:r>
        <w:rPr>
          <w:sz w:val="16"/>
        </w:rPr>
        <w:t>10</w:t>
      </w:r>
      <w:r>
        <w:rPr>
          <w:spacing w:val="-4"/>
          <w:sz w:val="16"/>
        </w:rPr>
        <w:t> </w:t>
      </w:r>
      <w:r>
        <w:rPr>
          <w:sz w:val="16"/>
        </w:rPr>
        <w:t>provinces/territories</w:t>
        <w:tab/>
        <w:t>1.0</w:t>
      </w:r>
    </w:p>
    <w:p>
      <w:pPr>
        <w:tabs>
          <w:tab w:pos="7031" w:val="right" w:leader="none"/>
        </w:tabs>
        <w:spacing w:before="64"/>
        <w:ind w:left="3138" w:right="0" w:firstLine="0"/>
        <w:jc w:val="left"/>
        <w:rPr>
          <w:b/>
          <w:sz w:val="16"/>
        </w:rPr>
      </w:pPr>
      <w:r>
        <w:rPr>
          <w:b/>
          <w:sz w:val="16"/>
        </w:rPr>
        <w:t>Scotland/rUK</w:t>
        <w:tab/>
        <w:t>0.6</w:t>
      </w:r>
    </w:p>
    <w:p>
      <w:pPr>
        <w:tabs>
          <w:tab w:pos="7031" w:val="right" w:leader="none"/>
        </w:tabs>
        <w:spacing w:before="99"/>
        <w:ind w:left="2639" w:right="0" w:firstLine="0"/>
        <w:jc w:val="left"/>
        <w:rPr>
          <w:sz w:val="16"/>
        </w:rPr>
      </w:pPr>
      <w:r>
        <w:rPr>
          <w:sz w:val="16"/>
        </w:rPr>
        <w:t>EU27: between</w:t>
      </w:r>
      <w:r>
        <w:rPr>
          <w:spacing w:val="-5"/>
          <w:sz w:val="16"/>
        </w:rPr>
        <w:t> </w:t>
      </w:r>
      <w:r>
        <w:rPr>
          <w:sz w:val="16"/>
        </w:rPr>
        <w:t>27 countries</w:t>
        <w:tab/>
        <w:t>0.3</w:t>
      </w:r>
    </w:p>
    <w:p>
      <w:pPr>
        <w:spacing w:before="594"/>
        <w:ind w:left="226" w:right="1115" w:firstLine="0"/>
        <w:jc w:val="left"/>
        <w:rPr>
          <w:sz w:val="16"/>
        </w:rPr>
      </w:pPr>
      <w:r>
        <w:rPr>
          <w:sz w:val="16"/>
        </w:rPr>
        <w:t>Sources: OECD; Bank calculations using General Register Office Scotland Migration Statistics and ONS mid-year population estimates. All data are for 2010.</w:t>
      </w:r>
    </w:p>
    <w:p>
      <w:pPr>
        <w:spacing w:before="112"/>
        <w:ind w:left="226" w:right="724" w:firstLine="0"/>
        <w:jc w:val="left"/>
        <w:rPr>
          <w:sz w:val="16"/>
        </w:rPr>
      </w:pPr>
      <w:r>
        <w:rPr>
          <w:sz w:val="16"/>
        </w:rPr>
        <w:t>Notes: Population mobility estimates are shown for the UK, Australia, Canada and the Unites States and labour force mobility for the EU.</w:t>
      </w:r>
    </w:p>
    <w:p>
      <w:pPr>
        <w:spacing w:after="0"/>
        <w:jc w:val="left"/>
        <w:rPr>
          <w:sz w:val="16"/>
        </w:rPr>
        <w:sectPr>
          <w:type w:val="continuous"/>
          <w:pgSz w:w="12240" w:h="15840"/>
          <w:pgMar w:top="1120" w:bottom="1440" w:left="1360" w:right="1480"/>
        </w:sectPr>
      </w:pPr>
    </w:p>
    <w:p>
      <w:pPr>
        <w:pStyle w:val="BodyText"/>
        <w:spacing w:before="9"/>
        <w:rPr>
          <w:sz w:val="23"/>
        </w:rPr>
      </w:pPr>
    </w:p>
    <w:p>
      <w:pPr>
        <w:pStyle w:val="Heading1"/>
        <w:ind w:left="914" w:right="793"/>
        <w:jc w:val="center"/>
      </w:pPr>
      <w:r>
        <w:rPr>
          <w:color w:val="0070C0"/>
        </w:rPr>
        <w:t>Table 3: Nominal export and import shares in 2013</w:t>
      </w:r>
    </w:p>
    <w:p>
      <w:pPr>
        <w:pStyle w:val="BodyText"/>
        <w:rPr>
          <w:b/>
          <w:sz w:val="20"/>
        </w:rPr>
      </w:pPr>
    </w:p>
    <w:p>
      <w:pPr>
        <w:tabs>
          <w:tab w:pos="527" w:val="left" w:leader="none"/>
          <w:tab w:pos="2528" w:val="left" w:leader="none"/>
          <w:tab w:pos="4017" w:val="left" w:leader="none"/>
        </w:tabs>
        <w:spacing w:before="153"/>
        <w:ind w:left="0" w:right="427" w:firstLine="0"/>
        <w:jc w:val="center"/>
        <w:rPr>
          <w:rFonts w:ascii="Calibri"/>
          <w:b/>
          <w:sz w:val="19"/>
        </w:rPr>
      </w:pPr>
      <w:r>
        <w:rPr>
          <w:rFonts w:ascii="Times New Roman"/>
          <w:w w:val="99"/>
          <w:sz w:val="19"/>
          <w:u w:val="single"/>
        </w:rPr>
        <w:t> </w:t>
      </w:r>
      <w:r>
        <w:rPr>
          <w:rFonts w:ascii="Times New Roman"/>
          <w:sz w:val="19"/>
          <w:u w:val="single"/>
        </w:rPr>
        <w:tab/>
      </w:r>
      <w:r>
        <w:rPr>
          <w:rFonts w:ascii="Calibri"/>
          <w:b/>
          <w:sz w:val="19"/>
          <w:u w:val="single"/>
        </w:rPr>
        <w:t>Export</w:t>
      </w:r>
      <w:r>
        <w:rPr>
          <w:rFonts w:ascii="Calibri"/>
          <w:b/>
          <w:spacing w:val="-6"/>
          <w:sz w:val="19"/>
          <w:u w:val="single"/>
        </w:rPr>
        <w:t> </w:t>
      </w:r>
      <w:r>
        <w:rPr>
          <w:rFonts w:ascii="Calibri"/>
          <w:b/>
          <w:sz w:val="19"/>
          <w:u w:val="single"/>
        </w:rPr>
        <w:t>Shares</w:t>
        <w:tab/>
        <w:t>2013 Q1 &amp;</w:t>
      </w:r>
      <w:r>
        <w:rPr>
          <w:rFonts w:ascii="Calibri"/>
          <w:b/>
          <w:spacing w:val="-12"/>
          <w:sz w:val="19"/>
          <w:u w:val="single"/>
        </w:rPr>
        <w:t> </w:t>
      </w:r>
      <w:r>
        <w:rPr>
          <w:rFonts w:ascii="Calibri"/>
          <w:b/>
          <w:sz w:val="19"/>
          <w:u w:val="single"/>
        </w:rPr>
        <w:t>Q2</w:t>
        <w:tab/>
      </w:r>
    </w:p>
    <w:p>
      <w:pPr>
        <w:pStyle w:val="BodyText"/>
        <w:tabs>
          <w:tab w:pos="2498" w:val="left" w:leader="none"/>
        </w:tabs>
        <w:spacing w:before="69"/>
        <w:ind w:right="793"/>
        <w:jc w:val="center"/>
        <w:rPr>
          <w:rFonts w:ascii="Calibri"/>
        </w:rPr>
      </w:pPr>
      <w:r>
        <w:rPr>
          <w:rFonts w:ascii="Calibri"/>
        </w:rPr>
        <w:t>rUK</w:t>
      </w:r>
      <w:r>
        <w:rPr>
          <w:rFonts w:ascii="Calibri"/>
          <w:spacing w:val="-5"/>
        </w:rPr>
        <w:t> </w:t>
      </w:r>
      <w:r>
        <w:rPr>
          <w:rFonts w:ascii="Calibri"/>
        </w:rPr>
        <w:t>(to</w:t>
      </w:r>
      <w:r>
        <w:rPr>
          <w:rFonts w:ascii="Calibri"/>
          <w:spacing w:val="-5"/>
        </w:rPr>
        <w:t> </w:t>
      </w:r>
      <w:r>
        <w:rPr>
          <w:rFonts w:ascii="Calibri"/>
        </w:rPr>
        <w:t>Scotland)</w:t>
        <w:tab/>
        <w:t>14%</w:t>
      </w:r>
    </w:p>
    <w:p>
      <w:pPr>
        <w:pStyle w:val="BodyText"/>
        <w:tabs>
          <w:tab w:pos="2498" w:val="left" w:leader="none"/>
        </w:tabs>
        <w:spacing w:before="61"/>
        <w:ind w:right="793"/>
        <w:jc w:val="center"/>
        <w:rPr>
          <w:rFonts w:ascii="Calibri"/>
        </w:rPr>
      </w:pPr>
      <w:r>
        <w:rPr>
          <w:rFonts w:ascii="Calibri"/>
        </w:rPr>
        <w:t>Scotland</w:t>
      </w:r>
      <w:r>
        <w:rPr>
          <w:rFonts w:ascii="Calibri"/>
          <w:spacing w:val="-4"/>
        </w:rPr>
        <w:t> </w:t>
      </w:r>
      <w:r>
        <w:rPr>
          <w:rFonts w:ascii="Calibri"/>
        </w:rPr>
        <w:t>(to</w:t>
      </w:r>
      <w:r>
        <w:rPr>
          <w:rFonts w:ascii="Calibri"/>
          <w:spacing w:val="-5"/>
        </w:rPr>
        <w:t> </w:t>
      </w:r>
      <w:r>
        <w:rPr>
          <w:rFonts w:ascii="Calibri"/>
        </w:rPr>
        <w:t>rUK)</w:t>
        <w:tab/>
        <w:t>70%</w:t>
      </w:r>
    </w:p>
    <w:p>
      <w:pPr>
        <w:pStyle w:val="BodyText"/>
        <w:rPr>
          <w:rFonts w:ascii="Calibri"/>
          <w:sz w:val="18"/>
        </w:rPr>
      </w:pPr>
    </w:p>
    <w:p>
      <w:pPr>
        <w:tabs>
          <w:tab w:pos="514" w:val="left" w:leader="none"/>
          <w:tab w:pos="4017" w:val="left" w:leader="none"/>
        </w:tabs>
        <w:spacing w:before="134"/>
        <w:ind w:left="0" w:right="427" w:firstLine="0"/>
        <w:jc w:val="center"/>
        <w:rPr>
          <w:rFonts w:ascii="Calibri"/>
          <w:b/>
          <w:sz w:val="19"/>
        </w:rPr>
      </w:pPr>
      <w:r>
        <w:rPr>
          <w:rFonts w:ascii="Times New Roman"/>
          <w:w w:val="99"/>
          <w:sz w:val="19"/>
          <w:u w:val="single"/>
        </w:rPr>
        <w:t> </w:t>
      </w:r>
      <w:r>
        <w:rPr>
          <w:rFonts w:ascii="Times New Roman"/>
          <w:sz w:val="19"/>
          <w:u w:val="single"/>
        </w:rPr>
        <w:tab/>
      </w:r>
      <w:r>
        <w:rPr>
          <w:rFonts w:ascii="Calibri"/>
          <w:b/>
          <w:sz w:val="19"/>
          <w:u w:val="single"/>
        </w:rPr>
        <w:t>Import</w:t>
      </w:r>
      <w:r>
        <w:rPr>
          <w:rFonts w:ascii="Calibri"/>
          <w:b/>
          <w:spacing w:val="-17"/>
          <w:sz w:val="19"/>
          <w:u w:val="single"/>
        </w:rPr>
        <w:t> </w:t>
      </w:r>
      <w:r>
        <w:rPr>
          <w:rFonts w:ascii="Calibri"/>
          <w:b/>
          <w:sz w:val="19"/>
          <w:u w:val="single"/>
        </w:rPr>
        <w:t>Shares</w:t>
        <w:tab/>
      </w:r>
    </w:p>
    <w:p>
      <w:pPr>
        <w:pStyle w:val="BodyText"/>
        <w:tabs>
          <w:tab w:pos="2650" w:val="left" w:leader="none"/>
        </w:tabs>
        <w:spacing w:before="69"/>
        <w:ind w:right="948"/>
        <w:jc w:val="center"/>
        <w:rPr>
          <w:rFonts w:ascii="Calibri"/>
        </w:rPr>
      </w:pPr>
      <w:r>
        <w:rPr>
          <w:rFonts w:ascii="Calibri"/>
        </w:rPr>
        <w:t>rUK</w:t>
      </w:r>
      <w:r>
        <w:rPr>
          <w:rFonts w:ascii="Calibri"/>
          <w:spacing w:val="-5"/>
        </w:rPr>
        <w:t> </w:t>
      </w:r>
      <w:r>
        <w:rPr>
          <w:rFonts w:ascii="Calibri"/>
        </w:rPr>
        <w:t>(from</w:t>
      </w:r>
      <w:r>
        <w:rPr>
          <w:rFonts w:ascii="Calibri"/>
          <w:spacing w:val="-6"/>
        </w:rPr>
        <w:t> </w:t>
      </w:r>
      <w:r>
        <w:rPr>
          <w:rFonts w:ascii="Calibri"/>
        </w:rPr>
        <w:t>Scotland)</w:t>
        <w:tab/>
        <w:t>8%</w:t>
      </w:r>
    </w:p>
    <w:p>
      <w:pPr>
        <w:pStyle w:val="BodyText"/>
        <w:tabs>
          <w:tab w:pos="2603" w:val="left" w:leader="none"/>
        </w:tabs>
        <w:spacing w:before="75"/>
        <w:ind w:right="899"/>
        <w:jc w:val="center"/>
        <w:rPr>
          <w:rFonts w:ascii="Calibri"/>
        </w:rPr>
      </w:pPr>
      <w:r>
        <w:rPr>
          <w:rFonts w:ascii="Calibri"/>
        </w:rPr>
        <w:t>Scotland</w:t>
      </w:r>
      <w:r>
        <w:rPr>
          <w:rFonts w:ascii="Calibri"/>
          <w:spacing w:val="-6"/>
        </w:rPr>
        <w:t> </w:t>
      </w:r>
      <w:r>
        <w:rPr>
          <w:rFonts w:ascii="Calibri"/>
        </w:rPr>
        <w:t>(from</w:t>
      </w:r>
      <w:r>
        <w:rPr>
          <w:rFonts w:ascii="Calibri"/>
          <w:spacing w:val="-5"/>
        </w:rPr>
        <w:t> </w:t>
      </w:r>
      <w:r>
        <w:rPr>
          <w:rFonts w:ascii="Calibri"/>
        </w:rPr>
        <w:t>rUK)</w:t>
        <w:tab/>
        <w:t>74%</w:t>
      </w:r>
    </w:p>
    <w:p>
      <w:pPr>
        <w:pStyle w:val="BodyText"/>
        <w:spacing w:before="10"/>
        <w:rPr>
          <w:rFonts w:ascii="Calibri"/>
          <w:sz w:val="26"/>
        </w:rPr>
      </w:pPr>
    </w:p>
    <w:p>
      <w:pPr>
        <w:spacing w:before="0"/>
        <w:ind w:left="226" w:right="0" w:firstLine="0"/>
        <w:jc w:val="left"/>
        <w:rPr>
          <w:sz w:val="16"/>
        </w:rPr>
      </w:pPr>
      <w:r>
        <w:rPr>
          <w:sz w:val="16"/>
        </w:rPr>
        <w:t>Sources: Bank calculations; ONS Quarterly National Accounts (2013Q3); Quarterly National Accounts Scotland (2013Q2)</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0"/>
        </w:rPr>
      </w:pPr>
    </w:p>
    <w:p>
      <w:pPr>
        <w:pStyle w:val="Heading1"/>
        <w:ind w:left="734"/>
      </w:pPr>
      <w:r>
        <w:rPr>
          <w:color w:val="0070C0"/>
        </w:rPr>
        <w:t>Chart 4: Cumulative change in MFI deposits from other euro-area countries (all sectors)</w:t>
      </w:r>
    </w:p>
    <w:p>
      <w:pPr>
        <w:pStyle w:val="BodyText"/>
        <w:rPr>
          <w:b/>
          <w:sz w:val="20"/>
        </w:rPr>
      </w:pPr>
    </w:p>
    <w:p>
      <w:pPr>
        <w:pStyle w:val="BodyText"/>
        <w:spacing w:before="9"/>
        <w:rPr>
          <w:b/>
          <w:sz w:val="20"/>
        </w:rPr>
      </w:pPr>
      <w:r>
        <w:rPr/>
        <w:pict>
          <v:group style="position:absolute;margin-left:200.580002pt;margin-top:13.923174pt;width:197.5pt;height:178.8pt;mso-position-horizontal-relative:page;mso-position-vertical-relative:paragraph;z-index:-251627520;mso-wrap-distance-left:0;mso-wrap-distance-right:0" coordorigin="4012,278" coordsize="3950,3576">
            <v:line style="position:absolute" from="4305,3524" to="7472,3524" stroked="true" strokeweight=".1pt" strokecolor="#000000">
              <v:stroke dashstyle="solid"/>
            </v:line>
            <v:line style="position:absolute" from="4305,949" to="4305,3570" stroked="true" strokeweight=".18001pt" strokecolor="#000000">
              <v:stroke dashstyle="solid"/>
            </v:line>
            <v:line style="position:absolute" from="4305,948" to="7472,948" stroked="true" strokeweight=".1pt" strokecolor="#000000">
              <v:stroke dashstyle="solid"/>
            </v:line>
            <v:line style="position:absolute" from="4307,3522" to="7470,3522" stroked="true" strokeweight=".12pt" strokecolor="#000000">
              <v:stroke dashstyle="solid"/>
            </v:line>
            <v:line style="position:absolute" from="7472,949" to="7472,3523" stroked="true" strokeweight=".18pt" strokecolor="#000000">
              <v:stroke dashstyle="solid"/>
            </v:line>
            <v:line style="position:absolute" from="4307,950" to="7470,950" stroked="true" strokeweight=".12pt" strokecolor="#000000">
              <v:stroke dashstyle="solid"/>
            </v:line>
            <v:rect style="position:absolute;left:7423;top:3520;width:48;height:4" filled="true" fillcolor="#000000" stroked="false">
              <v:fill type="solid"/>
            </v:rect>
            <v:rect style="position:absolute;left:7423;top:3198;width:48;height:5" filled="true" fillcolor="#000000" stroked="false">
              <v:fill type="solid"/>
            </v:rect>
            <v:rect style="position:absolute;left:7423;top:2876;width:48;height:5" filled="true" fillcolor="#000000" stroked="false">
              <v:fill type="solid"/>
            </v:rect>
            <v:rect style="position:absolute;left:7423;top:2554;width:48;height:5" filled="true" fillcolor="#000000" stroked="false">
              <v:fill type="solid"/>
            </v:rect>
            <v:rect style="position:absolute;left:7423;top:2233;width:48;height:5" filled="true" fillcolor="#000000" stroked="false">
              <v:fill type="solid"/>
            </v:rect>
            <v:rect style="position:absolute;left:7423;top:1911;width:48;height:5" filled="true" fillcolor="#000000" stroked="false">
              <v:fill type="solid"/>
            </v:rect>
            <v:rect style="position:absolute;left:7423;top:1591;width:48;height:5" filled="true" fillcolor="#000000" stroked="false">
              <v:fill type="solid"/>
            </v:rect>
            <v:rect style="position:absolute;left:7423;top:1269;width:48;height:4" filled="true" fillcolor="#000000" stroked="false">
              <v:fill type="solid"/>
            </v:rect>
            <v:rect style="position:absolute;left:7423;top:948;width:48;height:4" filled="true" fillcolor="#000000" stroked="false">
              <v:fill type="solid"/>
            </v:rect>
            <v:line style="position:absolute" from="4304,3523" to="7471,3523" stroked="true" strokeweight=".17999pt" strokecolor="#000000">
              <v:stroke dashstyle="solid"/>
            </v:line>
            <v:rect style="position:absolute;left:5127;top:3522;width:5;height:48" filled="true" fillcolor="#000000" stroked="false">
              <v:fill type="solid"/>
            </v:rect>
            <v:rect style="position:absolute;left:5953;top:3522;width:5;height:48" filled="true" fillcolor="#000000" stroked="false">
              <v:fill type="solid"/>
            </v:rect>
            <v:rect style="position:absolute;left:6782;top:3522;width:4;height:48" filled="true" fillcolor="#000000" stroked="false">
              <v:fill type="solid"/>
            </v:rect>
            <v:shape style="position:absolute;left:4304;top:1100;width:3182;height:2217" type="#_x0000_t75" stroked="false">
              <v:imagedata r:id="rId21" o:title=""/>
            </v:shape>
            <v:line style="position:absolute" from="4304,1915" to="7473,1915" stroked="true" strokeweight=".1pt" strokecolor="#000000">
              <v:stroke dashstyle="solid"/>
            </v:line>
            <v:line style="position:absolute" from="4305,1913" to="7472,1913" stroked="true" strokeweight=".1pt" strokecolor="#000000">
              <v:stroke dashstyle="solid"/>
            </v:line>
            <v:line style="position:absolute" from="4156,391" to="4554,391" stroked="true" strokeweight="1.86pt" strokecolor="#165788">
              <v:stroke dashstyle="solid"/>
            </v:line>
            <v:line style="position:absolute" from="5353,391" to="5753,391" stroked="true" strokeweight="1.86pt" strokecolor="#a31a7e">
              <v:stroke dashstyle="solid"/>
            </v:line>
            <v:line style="position:absolute" from="6551,391" to="6949,391" stroked="true" strokeweight="1.86pt" strokecolor="#f0ab00">
              <v:stroke dashstyle="solid"/>
            </v:line>
            <v:line style="position:absolute" from="4156,609" to="4554,609" stroked="true" strokeweight="1.86pt" strokecolor="#7ab800">
              <v:stroke dashstyle="solid"/>
            </v:line>
            <v:line style="position:absolute" from="5353,609" to="5753,609" stroked="true" strokeweight="1.86pt" strokecolor="#8091de">
              <v:stroke dashstyle="solid"/>
            </v:line>
            <v:line style="position:absolute" from="6551,609" to="6949,609" stroked="true" strokeweight="1.86pt" strokecolor="#d63147">
              <v:stroke dashstyle="solid"/>
            </v:line>
            <v:shape style="position:absolute;left:4011;top:278;width:3950;height:3576" coordorigin="4012,278" coordsize="3950,3576" path="m7961,278l4012,278,4012,3853,4013,3854,7960,3854,7961,3853,7961,3852,4016,3852,4014,3850,4016,3850,4016,282,4014,282,4016,281,7961,281,7961,278xm4016,3850l4014,3850,4016,3852,4016,3850xm7956,3850l4016,3850,4016,3852,7956,3852,7956,3850xm7956,281l7956,3852,7958,3850,7961,3850,7961,282,7958,282,7956,281xm7961,3850l7958,3850,7956,3852,7961,3852,7961,3850xm4016,281l4014,282,4016,282,4016,281xm7956,281l4016,281,4016,282,7956,282,7956,281xm7961,281l7956,281,7958,282,7961,282,7961,281xe" filled="true" fillcolor="#ffffff" stroked="false">
              <v:path arrowok="t"/>
              <v:fill type="solid"/>
            </v:shape>
            <v:shape style="position:absolute;left:4574;top:295;width:615;height:399" type="#_x0000_t202" filled="false" stroked="false">
              <v:textbox inset="0,0,0,0">
                <w:txbxContent>
                  <w:p>
                    <w:pPr>
                      <w:spacing w:line="179" w:lineRule="exact" w:before="0"/>
                      <w:ind w:left="0" w:right="0" w:firstLine="0"/>
                      <w:jc w:val="left"/>
                      <w:rPr>
                        <w:sz w:val="16"/>
                      </w:rPr>
                    </w:pPr>
                    <w:r>
                      <w:rPr>
                        <w:sz w:val="16"/>
                      </w:rPr>
                      <w:t>Italy</w:t>
                    </w:r>
                  </w:p>
                  <w:p>
                    <w:pPr>
                      <w:spacing w:before="35"/>
                      <w:ind w:left="0" w:right="0" w:firstLine="0"/>
                      <w:jc w:val="left"/>
                      <w:rPr>
                        <w:sz w:val="16"/>
                      </w:rPr>
                    </w:pPr>
                    <w:r>
                      <w:rPr>
                        <w:sz w:val="16"/>
                      </w:rPr>
                      <w:t>Portugal</w:t>
                    </w:r>
                  </w:p>
                </w:txbxContent>
              </v:textbox>
              <w10:wrap type="none"/>
            </v:shape>
            <v:shape style="position:absolute;left:5772;top:295;width:509;height:399" type="#_x0000_t202" filled="false" stroked="false">
              <v:textbox inset="0,0,0,0">
                <w:txbxContent>
                  <w:p>
                    <w:pPr>
                      <w:spacing w:line="179" w:lineRule="exact" w:before="0"/>
                      <w:ind w:left="0" w:right="0" w:firstLine="0"/>
                      <w:jc w:val="left"/>
                      <w:rPr>
                        <w:sz w:val="16"/>
                      </w:rPr>
                    </w:pPr>
                    <w:r>
                      <w:rPr>
                        <w:sz w:val="16"/>
                      </w:rPr>
                      <w:t>Spain</w:t>
                    </w:r>
                  </w:p>
                  <w:p>
                    <w:pPr>
                      <w:spacing w:before="35"/>
                      <w:ind w:left="0" w:right="0" w:firstLine="0"/>
                      <w:jc w:val="left"/>
                      <w:rPr>
                        <w:sz w:val="16"/>
                      </w:rPr>
                    </w:pPr>
                    <w:r>
                      <w:rPr>
                        <w:sz w:val="16"/>
                      </w:rPr>
                      <w:t>Ireland</w:t>
                    </w:r>
                  </w:p>
                </w:txbxContent>
              </v:textbox>
              <w10:wrap type="none"/>
            </v:shape>
            <v:shape style="position:absolute;left:6969;top:295;width:545;height:399" type="#_x0000_t202" filled="false" stroked="false">
              <v:textbox inset="0,0,0,0">
                <w:txbxContent>
                  <w:p>
                    <w:pPr>
                      <w:spacing w:line="179" w:lineRule="exact" w:before="0"/>
                      <w:ind w:left="0" w:right="0" w:firstLine="0"/>
                      <w:jc w:val="left"/>
                      <w:rPr>
                        <w:sz w:val="16"/>
                      </w:rPr>
                    </w:pPr>
                    <w:r>
                      <w:rPr>
                        <w:sz w:val="16"/>
                      </w:rPr>
                      <w:t>Greece</w:t>
                    </w:r>
                  </w:p>
                  <w:p>
                    <w:pPr>
                      <w:spacing w:before="35"/>
                      <w:ind w:left="0" w:right="0" w:firstLine="0"/>
                      <w:jc w:val="left"/>
                      <w:rPr>
                        <w:sz w:val="16"/>
                      </w:rPr>
                    </w:pPr>
                    <w:r>
                      <w:rPr>
                        <w:sz w:val="16"/>
                      </w:rPr>
                      <w:t>Cyprus</w:t>
                    </w:r>
                  </w:p>
                </w:txbxContent>
              </v:textbox>
              <w10:wrap type="none"/>
            </v:shape>
            <v:shape style="position:absolute;left:4750;top:762;width:3199;height:2845" type="#_x0000_t202" filled="false" stroked="false">
              <v:textbox inset="0,0,0,0">
                <w:txbxContent>
                  <w:p>
                    <w:pPr>
                      <w:spacing w:line="230" w:lineRule="auto" w:before="0"/>
                      <w:ind w:left="0" w:right="0" w:firstLine="0"/>
                      <w:jc w:val="left"/>
                      <w:rPr>
                        <w:sz w:val="16"/>
                      </w:rPr>
                    </w:pPr>
                    <w:r>
                      <w:rPr>
                        <w:sz w:val="16"/>
                      </w:rPr>
                      <w:t>Cumulative change since January 2010</w:t>
                    </w:r>
                    <w:r>
                      <w:rPr>
                        <w:spacing w:val="-9"/>
                        <w:sz w:val="16"/>
                      </w:rPr>
                      <w:t> </w:t>
                    </w:r>
                    <w:r>
                      <w:rPr>
                        <w:position w:val="-8"/>
                        <w:sz w:val="16"/>
                      </w:rPr>
                      <w:t>60</w:t>
                    </w:r>
                  </w:p>
                  <w:p>
                    <w:pPr>
                      <w:spacing w:before="140"/>
                      <w:ind w:left="0" w:right="158" w:firstLine="0"/>
                      <w:jc w:val="right"/>
                      <w:rPr>
                        <w:sz w:val="16"/>
                      </w:rPr>
                    </w:pPr>
                    <w:r>
                      <w:rPr>
                        <w:spacing w:val="-1"/>
                        <w:sz w:val="16"/>
                      </w:rPr>
                      <w:t>40</w:t>
                    </w:r>
                  </w:p>
                  <w:p>
                    <w:pPr>
                      <w:spacing w:before="138"/>
                      <w:ind w:left="0" w:right="158" w:firstLine="0"/>
                      <w:jc w:val="right"/>
                      <w:rPr>
                        <w:sz w:val="16"/>
                      </w:rPr>
                    </w:pPr>
                    <w:r>
                      <w:rPr>
                        <w:spacing w:val="-1"/>
                        <w:sz w:val="16"/>
                      </w:rPr>
                      <w:t>20</w:t>
                    </w:r>
                  </w:p>
                  <w:p>
                    <w:pPr>
                      <w:spacing w:before="138"/>
                      <w:ind w:left="0" w:right="249" w:firstLine="0"/>
                      <w:jc w:val="right"/>
                      <w:rPr>
                        <w:sz w:val="16"/>
                      </w:rPr>
                    </w:pPr>
                    <w:r>
                      <w:rPr>
                        <w:w w:val="100"/>
                        <w:sz w:val="16"/>
                      </w:rPr>
                      <w:t>0</w:t>
                    </w:r>
                  </w:p>
                  <w:p>
                    <w:pPr>
                      <w:spacing w:before="137"/>
                      <w:ind w:left="0" w:right="106" w:firstLine="0"/>
                      <w:jc w:val="right"/>
                      <w:rPr>
                        <w:sz w:val="16"/>
                      </w:rPr>
                    </w:pPr>
                    <w:r>
                      <w:rPr>
                        <w:spacing w:val="-1"/>
                        <w:sz w:val="16"/>
                      </w:rPr>
                      <w:t>-20</w:t>
                    </w:r>
                  </w:p>
                  <w:p>
                    <w:pPr>
                      <w:spacing w:before="138"/>
                      <w:ind w:left="0" w:right="106" w:firstLine="0"/>
                      <w:jc w:val="right"/>
                      <w:rPr>
                        <w:sz w:val="16"/>
                      </w:rPr>
                    </w:pPr>
                    <w:r>
                      <w:rPr>
                        <w:spacing w:val="-1"/>
                        <w:sz w:val="16"/>
                      </w:rPr>
                      <w:t>-40</w:t>
                    </w:r>
                  </w:p>
                  <w:p>
                    <w:pPr>
                      <w:spacing w:before="137"/>
                      <w:ind w:left="0" w:right="106" w:firstLine="0"/>
                      <w:jc w:val="right"/>
                      <w:rPr>
                        <w:sz w:val="16"/>
                      </w:rPr>
                    </w:pPr>
                    <w:r>
                      <w:rPr>
                        <w:spacing w:val="-1"/>
                        <w:sz w:val="16"/>
                      </w:rPr>
                      <w:t>-60</w:t>
                    </w:r>
                  </w:p>
                  <w:p>
                    <w:pPr>
                      <w:spacing w:before="138"/>
                      <w:ind w:left="0" w:right="106" w:firstLine="0"/>
                      <w:jc w:val="right"/>
                      <w:rPr>
                        <w:sz w:val="16"/>
                      </w:rPr>
                    </w:pPr>
                    <w:r>
                      <w:rPr>
                        <w:spacing w:val="-1"/>
                        <w:sz w:val="16"/>
                      </w:rPr>
                      <w:t>-80</w:t>
                    </w:r>
                  </w:p>
                  <w:p>
                    <w:pPr>
                      <w:spacing w:before="138"/>
                      <w:ind w:left="0" w:right="18" w:firstLine="0"/>
                      <w:jc w:val="right"/>
                      <w:rPr>
                        <w:sz w:val="16"/>
                      </w:rPr>
                    </w:pPr>
                    <w:r>
                      <w:rPr>
                        <w:sz w:val="16"/>
                      </w:rPr>
                      <w:t>-100</w:t>
                    </w:r>
                  </w:p>
                </w:txbxContent>
              </v:textbox>
              <w10:wrap type="none"/>
            </v:shape>
            <v:shape style="position:absolute;left:4126;top:3618;width:374;height:180" type="#_x0000_t202" filled="false" stroked="false">
              <v:textbox inset="0,0,0,0">
                <w:txbxContent>
                  <w:p>
                    <w:pPr>
                      <w:spacing w:line="179" w:lineRule="exact" w:before="0"/>
                      <w:ind w:left="0" w:right="0" w:firstLine="0"/>
                      <w:jc w:val="left"/>
                      <w:rPr>
                        <w:sz w:val="16"/>
                      </w:rPr>
                    </w:pPr>
                    <w:r>
                      <w:rPr>
                        <w:sz w:val="16"/>
                      </w:rPr>
                      <w:t>2010</w:t>
                    </w:r>
                  </w:p>
                </w:txbxContent>
              </v:textbox>
              <w10:wrap type="none"/>
            </v:shape>
            <v:shape style="position:absolute;left:4952;top:3618;width:374;height:180" type="#_x0000_t202" filled="false" stroked="false">
              <v:textbox inset="0,0,0,0">
                <w:txbxContent>
                  <w:p>
                    <w:pPr>
                      <w:spacing w:line="179" w:lineRule="exact" w:before="0"/>
                      <w:ind w:left="0" w:right="0" w:firstLine="0"/>
                      <w:jc w:val="left"/>
                      <w:rPr>
                        <w:sz w:val="16"/>
                      </w:rPr>
                    </w:pPr>
                    <w:r>
                      <w:rPr>
                        <w:sz w:val="16"/>
                      </w:rPr>
                      <w:t>2011</w:t>
                    </w:r>
                  </w:p>
                </w:txbxContent>
              </v:textbox>
              <w10:wrap type="none"/>
            </v:shape>
            <v:shape style="position:absolute;left:5777;top:3618;width:374;height:180" type="#_x0000_t202" filled="false" stroked="false">
              <v:textbox inset="0,0,0,0">
                <w:txbxContent>
                  <w:p>
                    <w:pPr>
                      <w:spacing w:line="179" w:lineRule="exact" w:before="0"/>
                      <w:ind w:left="0" w:right="0" w:firstLine="0"/>
                      <w:jc w:val="left"/>
                      <w:rPr>
                        <w:sz w:val="16"/>
                      </w:rPr>
                    </w:pPr>
                    <w:r>
                      <w:rPr>
                        <w:sz w:val="16"/>
                      </w:rPr>
                      <w:t>2012</w:t>
                    </w:r>
                  </w:p>
                </w:txbxContent>
              </v:textbox>
              <w10:wrap type="none"/>
            </v:shape>
            <v:shape style="position:absolute;left:6605;top:3618;width:374;height:180" type="#_x0000_t202" filled="false" stroked="false">
              <v:textbox inset="0,0,0,0">
                <w:txbxContent>
                  <w:p>
                    <w:pPr>
                      <w:spacing w:line="179" w:lineRule="exact" w:before="0"/>
                      <w:ind w:left="0" w:right="0" w:firstLine="0"/>
                      <w:jc w:val="left"/>
                      <w:rPr>
                        <w:sz w:val="16"/>
                      </w:rPr>
                    </w:pPr>
                    <w:r>
                      <w:rPr>
                        <w:sz w:val="16"/>
                      </w:rPr>
                      <w:t>2013</w:t>
                    </w:r>
                  </w:p>
                </w:txbxContent>
              </v:textbox>
              <w10:wrap type="none"/>
            </v:shape>
            <w10:wrap type="topAndBottom"/>
          </v:group>
        </w:pict>
      </w:r>
    </w:p>
    <w:p>
      <w:pPr>
        <w:pStyle w:val="BodyText"/>
        <w:rPr>
          <w:b/>
          <w:sz w:val="20"/>
        </w:rPr>
      </w:pPr>
    </w:p>
    <w:p>
      <w:pPr>
        <w:pStyle w:val="BodyText"/>
        <w:spacing w:before="4"/>
        <w:rPr>
          <w:b/>
          <w:sz w:val="20"/>
        </w:rPr>
      </w:pPr>
    </w:p>
    <w:p>
      <w:pPr>
        <w:spacing w:before="0"/>
        <w:ind w:left="226" w:right="0" w:firstLine="0"/>
        <w:jc w:val="left"/>
        <w:rPr>
          <w:sz w:val="16"/>
        </w:rPr>
      </w:pPr>
      <w:r>
        <w:rPr>
          <w:sz w:val="16"/>
        </w:rPr>
        <w:t>Sources: ECB and Bank calculations.</w:t>
      </w:r>
    </w:p>
    <w:p>
      <w:pPr>
        <w:spacing w:after="0"/>
        <w:jc w:val="left"/>
        <w:rPr>
          <w:sz w:val="16"/>
        </w:rPr>
        <w:sectPr>
          <w:pgSz w:w="12240" w:h="15840"/>
          <w:pgMar w:header="0" w:footer="1240" w:top="1500" w:bottom="1440" w:left="1360" w:right="1480"/>
        </w:sectPr>
      </w:pPr>
    </w:p>
    <w:p>
      <w:pPr>
        <w:pStyle w:val="Heading1"/>
        <w:spacing w:before="74"/>
        <w:ind w:left="850"/>
      </w:pPr>
      <w:r>
        <w:rPr>
          <w:color w:val="0070C0"/>
        </w:rPr>
        <w:t>Chart 5: Cost of default protection for euro area core and periphery banking systems</w:t>
      </w:r>
    </w:p>
    <w:p>
      <w:pPr>
        <w:pStyle w:val="BodyText"/>
        <w:spacing w:before="7"/>
        <w:rPr>
          <w:b/>
          <w:sz w:val="25"/>
        </w:rPr>
      </w:pPr>
    </w:p>
    <w:p>
      <w:pPr>
        <w:tabs>
          <w:tab w:pos="4865" w:val="left" w:leader="none"/>
          <w:tab w:pos="5668" w:val="left" w:leader="none"/>
        </w:tabs>
        <w:spacing w:line="172" w:lineRule="auto" w:before="133"/>
        <w:ind w:left="6387" w:right="2742" w:hanging="2975"/>
        <w:jc w:val="left"/>
        <w:rPr>
          <w:sz w:val="16"/>
        </w:rPr>
      </w:pPr>
      <w:r>
        <w:rPr/>
        <w:pict>
          <v:group style="position:absolute;margin-left:212.699997pt;margin-top:21.072809pt;width:170.2pt;height:135.550pt;mso-position-horizontal-relative:page;mso-position-vertical-relative:paragraph;z-index:-253322240" coordorigin="4254,421" coordsize="3404,2711">
            <v:shape style="position:absolute;left:4254;top:421;width:3358;height:2711" coordorigin="4254,421" coordsize="3358,2711" path="m7609,421l4256,421,4254,424,4254,3130,4256,3132,7609,3132,7612,3130,4259,3130,4256,3127,4259,3127,4259,426,4256,426,4259,424,7612,424,7609,421xm4259,3127l4256,3127,4259,3130,4259,3127xm7607,3127l4259,3127,4259,3130,7607,3130,7607,3127xm7607,424l7607,3130,7609,3127,7612,3127,7612,426,7609,426,7607,424xm7612,3127l7609,3127,7607,3130,7612,3130,7612,3127xm4259,424l4256,426,4259,426,4259,424xm7607,424l4259,424,4259,426,7607,426,7607,424xm7612,424l7607,424,7609,426,7612,426,7612,424xe" filled="true" fillcolor="#000000" stroked="false">
              <v:path arrowok="t"/>
              <v:fill type="solid"/>
            </v:shape>
            <v:line style="position:absolute" from="7609,424" to="7609,3130" stroked="true" strokeweight=".23999pt" strokecolor="#000000">
              <v:stroke dashstyle="solid"/>
            </v:line>
            <v:shape style="position:absolute;left:7609;top:421;width:48;height:2711" coordorigin="7609,421" coordsize="48,2711" path="m7657,3127l7609,3127,7609,3132,7657,3132,7657,3127m7657,2790l7609,2790,7609,2794,7657,2794,7657,2790m7657,2451l7609,2451,7609,2455,7657,2455,7657,2451m7657,2112l7609,2112,7609,2117,7657,2117,7657,2112m7657,1774l7609,1774,7609,1779,7657,1779,7657,1774m7657,1435l7609,1435,7609,1440,7657,1440,7657,1435m7657,1097l7609,1097,7609,1102,7657,1102,7657,1097m7657,759l7609,759,7609,763,7657,763,7657,759m7657,421l7609,421,7609,425,7657,425,7657,421e" filled="true" fillcolor="#000000" stroked="false">
              <v:path arrowok="t"/>
              <v:fill type="solid"/>
            </v:shape>
            <v:line style="position:absolute" from="4256,3130" to="7609,3130" stroked="true" strokeweight=".24005pt" strokecolor="#000000">
              <v:stroke dashstyle="solid"/>
            </v:line>
            <v:shape style="position:absolute;left:4254;top:3081;width:2750;height:48" coordorigin="4254,3082" coordsize="2750,48" path="m4259,3082l4254,3082,4254,3130,4259,3130,4259,3082m4944,3082l4939,3082,4939,3130,4944,3130,4944,3082m5629,3082l5624,3082,5624,3130,5629,3130,5629,3082m6317,3082l6312,3082,6312,3130,6317,3130,6317,3082m7003,3082l6998,3082,6998,3130,7003,3130,7003,3082e" filled="true" fillcolor="#000000" stroked="false">
              <v:path arrowok="t"/>
              <v:fill type="solid"/>
            </v:shape>
            <v:shape style="position:absolute;left:4256;top:770;width:3363;height:2110" type="#_x0000_t75" stroked="false">
              <v:imagedata r:id="rId22" o:title=""/>
            </v:shape>
            <w10:wrap type="none"/>
          </v:group>
        </w:pict>
      </w:r>
      <w:r>
        <w:rPr/>
        <w:pict>
          <v:line style="position:absolute;mso-position-horizontal-relative:page;mso-position-vertical-relative:paragraph;z-index:251699200" from="218.160004pt,14.56281pt" to="237.180004pt,14.56281pt" stroked="true" strokeweight=".9pt" strokecolor="#165788">
            <v:stroke dashstyle="solid"/>
            <w10:wrap type="none"/>
          </v:line>
        </w:pict>
      </w:r>
      <w:r>
        <w:rPr/>
        <w:pict>
          <v:line style="position:absolute;mso-position-horizontal-relative:page;mso-position-vertical-relative:paragraph;z-index:-253320192" from="290.820007pt,14.56281pt" to="309.780007pt,14.56281pt" stroked="true" strokeweight=".9pt" strokecolor="#993366">
            <v:stroke dashstyle="solid"/>
            <w10:wrap type="none"/>
          </v:line>
        </w:pict>
      </w:r>
      <w:r>
        <w:rPr>
          <w:sz w:val="16"/>
        </w:rPr>
        <w:t>Periphery</w:t>
        <w:tab/>
        <w:t>Core</w:t>
        <w:tab/>
      </w:r>
      <w:r>
        <w:rPr>
          <w:position w:val="10"/>
          <w:sz w:val="16"/>
        </w:rPr>
        <w:t>Basis points </w:t>
      </w:r>
      <w:r>
        <w:rPr>
          <w:sz w:val="16"/>
        </w:rPr>
        <w:t>800</w:t>
      </w:r>
    </w:p>
    <w:p>
      <w:pPr>
        <w:pStyle w:val="BodyText"/>
        <w:spacing w:before="3"/>
        <w:rPr>
          <w:sz w:val="14"/>
        </w:rPr>
      </w:pPr>
    </w:p>
    <w:p>
      <w:pPr>
        <w:spacing w:before="0"/>
        <w:ind w:left="6387" w:right="0" w:firstLine="0"/>
        <w:jc w:val="left"/>
        <w:rPr>
          <w:sz w:val="16"/>
        </w:rPr>
      </w:pPr>
      <w:r>
        <w:rPr>
          <w:sz w:val="16"/>
        </w:rPr>
        <w:t>700</w:t>
      </w:r>
    </w:p>
    <w:p>
      <w:pPr>
        <w:spacing w:before="154"/>
        <w:ind w:left="6387" w:right="0" w:firstLine="0"/>
        <w:jc w:val="left"/>
        <w:rPr>
          <w:sz w:val="16"/>
        </w:rPr>
      </w:pPr>
      <w:r>
        <w:rPr>
          <w:sz w:val="16"/>
        </w:rPr>
        <w:t>600</w:t>
      </w:r>
    </w:p>
    <w:p>
      <w:pPr>
        <w:spacing w:before="155"/>
        <w:ind w:left="6387" w:right="0" w:firstLine="0"/>
        <w:jc w:val="left"/>
        <w:rPr>
          <w:sz w:val="16"/>
        </w:rPr>
      </w:pPr>
      <w:r>
        <w:rPr>
          <w:sz w:val="16"/>
        </w:rPr>
        <w:t>500</w:t>
      </w:r>
    </w:p>
    <w:p>
      <w:pPr>
        <w:spacing w:before="154"/>
        <w:ind w:left="6387" w:right="0" w:firstLine="0"/>
        <w:jc w:val="left"/>
        <w:rPr>
          <w:sz w:val="16"/>
        </w:rPr>
      </w:pPr>
      <w:r>
        <w:rPr>
          <w:sz w:val="16"/>
        </w:rPr>
        <w:t>400</w:t>
      </w:r>
    </w:p>
    <w:p>
      <w:pPr>
        <w:spacing w:before="155"/>
        <w:ind w:left="6387" w:right="0" w:firstLine="0"/>
        <w:jc w:val="left"/>
        <w:rPr>
          <w:sz w:val="16"/>
        </w:rPr>
      </w:pPr>
      <w:r>
        <w:rPr>
          <w:sz w:val="16"/>
        </w:rPr>
        <w:t>300</w:t>
      </w:r>
    </w:p>
    <w:p>
      <w:pPr>
        <w:spacing w:before="154"/>
        <w:ind w:left="6387" w:right="0" w:firstLine="0"/>
        <w:jc w:val="left"/>
        <w:rPr>
          <w:sz w:val="16"/>
        </w:rPr>
      </w:pPr>
      <w:r>
        <w:rPr>
          <w:sz w:val="16"/>
        </w:rPr>
        <w:t>200</w:t>
      </w:r>
    </w:p>
    <w:p>
      <w:pPr>
        <w:spacing w:before="154"/>
        <w:ind w:left="6387" w:right="0" w:firstLine="0"/>
        <w:jc w:val="left"/>
        <w:rPr>
          <w:sz w:val="16"/>
        </w:rPr>
      </w:pPr>
      <w:r>
        <w:rPr>
          <w:sz w:val="16"/>
        </w:rPr>
        <w:t>100</w:t>
      </w:r>
    </w:p>
    <w:p>
      <w:pPr>
        <w:spacing w:before="155"/>
        <w:ind w:left="6387" w:right="0" w:firstLine="0"/>
        <w:jc w:val="left"/>
        <w:rPr>
          <w:sz w:val="16"/>
        </w:rPr>
      </w:pPr>
      <w:r>
        <w:rPr>
          <w:w w:val="100"/>
          <w:sz w:val="16"/>
        </w:rPr>
        <w:t>0</w:t>
      </w:r>
    </w:p>
    <w:p>
      <w:pPr>
        <w:tabs>
          <w:tab w:pos="3403" w:val="left" w:leader="none"/>
          <w:tab w:pos="4088" w:val="left" w:leader="none"/>
          <w:tab w:pos="4776" w:val="left" w:leader="none"/>
          <w:tab w:pos="5462" w:val="left" w:leader="none"/>
        </w:tabs>
        <w:spacing w:before="7"/>
        <w:ind w:left="2718" w:right="0" w:firstLine="0"/>
        <w:jc w:val="left"/>
        <w:rPr>
          <w:sz w:val="16"/>
        </w:rPr>
      </w:pPr>
      <w:r>
        <w:rPr>
          <w:sz w:val="16"/>
        </w:rPr>
        <w:t>2009</w:t>
        <w:tab/>
        <w:t>2010</w:t>
        <w:tab/>
        <w:t>2011</w:t>
        <w:tab/>
        <w:t>2012</w:t>
        <w:tab/>
        <w:t>2013</w:t>
      </w:r>
    </w:p>
    <w:p>
      <w:pPr>
        <w:pStyle w:val="BodyText"/>
        <w:spacing w:before="9"/>
        <w:rPr>
          <w:sz w:val="10"/>
        </w:rPr>
      </w:pPr>
    </w:p>
    <w:p>
      <w:pPr>
        <w:spacing w:before="95"/>
        <w:ind w:left="226" w:right="0" w:firstLine="0"/>
        <w:jc w:val="left"/>
        <w:rPr>
          <w:sz w:val="16"/>
        </w:rPr>
      </w:pPr>
      <w:r>
        <w:rPr>
          <w:sz w:val="16"/>
        </w:rPr>
        <w:t>Sources: Markit Group Limited, SNL Financial,Thomson Reuters Datastream and Bank calculations.</w:t>
      </w:r>
    </w:p>
    <w:p>
      <w:pPr>
        <w:pStyle w:val="BodyText"/>
        <w:spacing w:before="10"/>
        <w:rPr>
          <w:sz w:val="15"/>
        </w:rPr>
      </w:pPr>
    </w:p>
    <w:p>
      <w:pPr>
        <w:spacing w:before="1"/>
        <w:ind w:left="226" w:right="680" w:firstLine="0"/>
        <w:jc w:val="left"/>
        <w:rPr>
          <w:sz w:val="16"/>
        </w:rPr>
      </w:pPr>
      <w:r>
        <w:rPr>
          <w:sz w:val="16"/>
        </w:rPr>
        <w:t>Notes: Asset-weighted five-year senior CDS premia for major banks in each country. 'Periphery' covers Greece, Ireland, Italy, Portugal and Spain. 'Core' covers Austria, Belgium, France, Germany and the Netherlands.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
        <w:rPr>
          <w:sz w:val="21"/>
        </w:rPr>
      </w:pPr>
    </w:p>
    <w:p>
      <w:pPr>
        <w:pStyle w:val="Heading1"/>
        <w:ind w:left="949" w:right="793"/>
        <w:jc w:val="center"/>
      </w:pPr>
      <w:r>
        <w:rPr>
          <w:color w:val="0070C0"/>
        </w:rPr>
        <w:t>Chart 6: Real economy lending growth – core/periphery divergence</w:t>
      </w:r>
    </w:p>
    <w:p>
      <w:pPr>
        <w:pStyle w:val="BodyText"/>
        <w:spacing w:before="4"/>
        <w:rPr>
          <w:b/>
          <w:sz w:val="24"/>
        </w:rPr>
      </w:pPr>
      <w:r>
        <w:rPr/>
        <w:pict>
          <v:group style="position:absolute;margin-left:207.240005pt;margin-top:15.989658pt;width:197.5pt;height:178.8pt;mso-position-horizontal-relative:page;mso-position-vertical-relative:paragraph;z-index:-251619328;mso-wrap-distance-left:0;mso-wrap-distance-right:0" coordorigin="4145,320" coordsize="3950,3576">
            <v:shape style="position:absolute;left:4431;top:811;width:3269;height:2691" coordorigin="4432,812" coordsize="3269,2691" path="m7694,812l4439,812,4434,814,4432,819,4432,3495,4434,3500,4439,3502,7694,3502,7699,3500,7700,3495,4445,3495,4439,3489,4445,3489,4445,825,4439,825,4445,819,7700,819,7699,814,7694,812xm4445,3489l4439,3489,4445,3495,4445,3489xm7687,3489l4445,3489,4445,3495,7687,3495,7687,3489xm7687,819l7687,3495,7694,3489,7700,3489,7700,825,7694,825,7687,819xm7700,3489l7694,3489,7687,3495,7700,3495,7700,3489xm4445,819l4439,825,4445,825,4445,819xm7687,819l4445,819,4445,825,7687,825,7687,819xm7700,819l7687,819,7694,825,7700,825,7700,819xe" filled="true" fillcolor="#000000" stroked="false">
              <v:path arrowok="t"/>
              <v:fill type="solid"/>
            </v:shape>
            <v:line style="position:absolute" from="7694,819" to="7694,3495" stroked="true" strokeweight=".23999pt" strokecolor="#000000">
              <v:stroke dashstyle="solid"/>
            </v:line>
            <v:rect style="position:absolute;left:7645;top:3492;width:50;height:5" filled="true" fillcolor="#000000" stroked="false">
              <v:fill type="solid"/>
            </v:rect>
            <v:rect style="position:absolute;left:7645;top:2823;width:50;height:5" filled="true" fillcolor="#000000" stroked="false">
              <v:fill type="solid"/>
            </v:rect>
            <v:rect style="position:absolute;left:7645;top:2154;width:50;height:5" filled="true" fillcolor="#000000" stroked="false">
              <v:fill type="solid"/>
            </v:rect>
            <v:rect style="position:absolute;left:7645;top:1486;width:50;height:4" filled="true" fillcolor="#000000" stroked="false">
              <v:fill type="solid"/>
            </v:rect>
            <v:rect style="position:absolute;left:7645;top:816;width:50;height:4" filled="true" fillcolor="#000000" stroked="false">
              <v:fill type="solid"/>
            </v:rect>
            <v:line style="position:absolute" from="4439,3495" to="7694,3495" stroked="true" strokeweight=".24001pt" strokecolor="#000000">
              <v:stroke dashstyle="solid"/>
            </v:line>
            <v:rect style="position:absolute;left:4436;top:3495;width:4;height:50" filled="true" fillcolor="#000000" stroked="false">
              <v:fill type="solid"/>
            </v:rect>
            <v:rect style="position:absolute;left:5143;top:3495;width:4;height:50" filled="true" fillcolor="#000000" stroked="false">
              <v:fill type="solid"/>
            </v:rect>
            <v:rect style="position:absolute;left:5850;top:3495;width:5;height:50" filled="true" fillcolor="#000000" stroked="false">
              <v:fill type="solid"/>
            </v:rect>
            <v:rect style="position:absolute;left:6556;top:3495;width:5;height:50" filled="true" fillcolor="#000000" stroked="false">
              <v:fill type="solid"/>
            </v:rect>
            <v:rect style="position:absolute;left:7264;top:3495;width:5;height:50" filled="true" fillcolor="#000000" stroked="false">
              <v:fill type="solid"/>
            </v:rect>
            <v:shape style="position:absolute;left:4437;top:832;width:3272;height:2480" type="#_x0000_t75" stroked="false">
              <v:imagedata r:id="rId23" o:title=""/>
            </v:shape>
            <v:line style="position:absolute" from="4438,2826" to="7696,2826" stroked="true" strokeweight=".1pt" strokecolor="#000000">
              <v:stroke dashstyle="solid"/>
            </v:line>
            <v:line style="position:absolute" from="4438,2824" to="7695,2824" stroked="true" strokeweight=".1pt" strokecolor="#000000">
              <v:stroke dashstyle="solid"/>
            </v:line>
            <v:line style="position:absolute" from="4386,432" to="4784,432" stroked="true" strokeweight="1.86pt" strokecolor="#165788">
              <v:stroke dashstyle="solid"/>
            </v:line>
            <v:line style="position:absolute" from="4386,652" to="4784,652" stroked="true" strokeweight="1.86pt" strokecolor="#a31a7e">
              <v:stroke dashstyle="solid"/>
            </v:line>
            <v:shape style="position:absolute;left:4144;top:319;width:3950;height:3576" coordorigin="4145,320" coordsize="3950,3576" path="m8093,320l4146,320,4145,321,4145,3895,4146,3896,8093,3896,8094,3895,8094,3893,4150,3893,4147,3891,4150,3891,4150,325,4147,325,4150,322,8094,322,8094,321,8093,320xm4150,3891l4147,3891,4150,3893,4150,3891xm8089,3891l4150,3891,4150,3893,8089,3893,8089,3891xm8089,322l8089,3893,8092,3891,8094,3891,8094,325,8092,325,8089,322xm8094,3891l8092,3891,8089,3893,8094,3893,8094,3891xm4150,322l4147,325,4150,325,4150,322xm8089,322l4150,322,4150,325,8089,325,8089,322xm8094,322l8089,322,8092,325,8094,325,8094,322xe" filled="true" fillcolor="#ffffff" stroked="false">
              <v:path arrowok="t"/>
              <v:fill type="solid"/>
            </v:shape>
            <v:shape style="position:absolute;left:4804;top:336;width:704;height:400" type="#_x0000_t202" filled="false" stroked="false">
              <v:textbox inset="0,0,0,0">
                <w:txbxContent>
                  <w:p>
                    <w:pPr>
                      <w:spacing w:line="179" w:lineRule="exact" w:before="0"/>
                      <w:ind w:left="0" w:right="0" w:firstLine="0"/>
                      <w:jc w:val="left"/>
                      <w:rPr>
                        <w:sz w:val="16"/>
                      </w:rPr>
                    </w:pPr>
                    <w:r>
                      <w:rPr>
                        <w:sz w:val="16"/>
                      </w:rPr>
                      <w:t>Core</w:t>
                    </w:r>
                  </w:p>
                  <w:p>
                    <w:pPr>
                      <w:spacing w:before="37"/>
                      <w:ind w:left="0" w:right="0" w:firstLine="0"/>
                      <w:jc w:val="left"/>
                      <w:rPr>
                        <w:sz w:val="16"/>
                      </w:rPr>
                    </w:pPr>
                    <w:r>
                      <w:rPr>
                        <w:sz w:val="16"/>
                      </w:rPr>
                      <w:t>Periphery</w:t>
                    </w:r>
                  </w:p>
                </w:txbxContent>
              </v:textbox>
              <w10:wrap type="none"/>
            </v:shape>
            <v:shape style="position:absolute;left:6499;top:395;width:1532;height:509" type="#_x0000_t202" filled="false" stroked="false">
              <v:textbox inset="0,0,0,0">
                <w:txbxContent>
                  <w:p>
                    <w:pPr>
                      <w:spacing w:line="240" w:lineRule="auto" w:before="0"/>
                      <w:ind w:left="294" w:right="134" w:hanging="294"/>
                      <w:jc w:val="left"/>
                      <w:rPr>
                        <w:sz w:val="15"/>
                      </w:rPr>
                    </w:pPr>
                    <w:r>
                      <w:rPr>
                        <w:sz w:val="15"/>
                      </w:rPr>
                      <w:t>Percentage changes on a year earlier</w:t>
                    </w:r>
                  </w:p>
                  <w:p>
                    <w:pPr>
                      <w:spacing w:line="168" w:lineRule="exact" w:before="0"/>
                      <w:ind w:left="1332" w:right="0" w:firstLine="0"/>
                      <w:jc w:val="left"/>
                      <w:rPr>
                        <w:sz w:val="16"/>
                      </w:rPr>
                    </w:pPr>
                    <w:r>
                      <w:rPr>
                        <w:sz w:val="16"/>
                      </w:rPr>
                      <w:t>30</w:t>
                    </w:r>
                  </w:p>
                </w:txbxContent>
              </v:textbox>
              <w10:wrap type="none"/>
            </v:shape>
            <v:shape style="position:absolute;left:7831;top:1392;width:200;height:180" type="#_x0000_t202" filled="false" stroked="false">
              <v:textbox inset="0,0,0,0">
                <w:txbxContent>
                  <w:p>
                    <w:pPr>
                      <w:spacing w:line="179" w:lineRule="exact" w:before="0"/>
                      <w:ind w:left="0" w:right="0" w:firstLine="0"/>
                      <w:jc w:val="left"/>
                      <w:rPr>
                        <w:sz w:val="16"/>
                      </w:rPr>
                    </w:pPr>
                    <w:r>
                      <w:rPr>
                        <w:sz w:val="16"/>
                      </w:rPr>
                      <w:t>20</w:t>
                    </w:r>
                  </w:p>
                </w:txbxContent>
              </v:textbox>
              <w10:wrap type="none"/>
            </v:shape>
            <v:shape style="position:absolute;left:7831;top:2062;width:200;height:180" type="#_x0000_t202" filled="false" stroked="false">
              <v:textbox inset="0,0,0,0">
                <w:txbxContent>
                  <w:p>
                    <w:pPr>
                      <w:spacing w:line="179" w:lineRule="exact" w:before="0"/>
                      <w:ind w:left="0" w:right="0" w:firstLine="0"/>
                      <w:jc w:val="left"/>
                      <w:rPr>
                        <w:sz w:val="16"/>
                      </w:rPr>
                    </w:pPr>
                    <w:r>
                      <w:rPr>
                        <w:sz w:val="16"/>
                      </w:rPr>
                      <w:t>10</w:t>
                    </w:r>
                  </w:p>
                </w:txbxContent>
              </v:textbox>
              <w10:wrap type="none"/>
            </v:shape>
            <v:shape style="position:absolute;left:7831;top:2731;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7831;top:3401;width:252;height:180" type="#_x0000_t202" filled="false" stroked="false">
              <v:textbox inset="0,0,0,0">
                <w:txbxContent>
                  <w:p>
                    <w:pPr>
                      <w:spacing w:line="179" w:lineRule="exact" w:before="0"/>
                      <w:ind w:left="0" w:right="0" w:firstLine="0"/>
                      <w:jc w:val="left"/>
                      <w:rPr>
                        <w:sz w:val="16"/>
                      </w:rPr>
                    </w:pPr>
                    <w:r>
                      <w:rPr>
                        <w:sz w:val="16"/>
                      </w:rPr>
                      <w:t>-10</w:t>
                    </w:r>
                  </w:p>
                </w:txbxContent>
              </v:textbox>
              <w10:wrap type="none"/>
            </v:shape>
            <v:shape style="position:absolute;left:4259;top:3591;width:3204;height:180" type="#_x0000_t202" filled="false" stroked="false">
              <v:textbox inset="0,0,0,0">
                <w:txbxContent>
                  <w:p>
                    <w:pPr>
                      <w:tabs>
                        <w:tab w:pos="706" w:val="left" w:leader="none"/>
                        <w:tab w:pos="1414" w:val="left" w:leader="none"/>
                        <w:tab w:pos="2121" w:val="left" w:leader="none"/>
                        <w:tab w:pos="2829" w:val="left" w:leader="none"/>
                      </w:tabs>
                      <w:spacing w:line="179" w:lineRule="exact" w:before="0"/>
                      <w:ind w:left="0" w:right="0" w:firstLine="0"/>
                      <w:jc w:val="left"/>
                      <w:rPr>
                        <w:sz w:val="16"/>
                      </w:rPr>
                    </w:pPr>
                    <w:r>
                      <w:rPr>
                        <w:sz w:val="16"/>
                      </w:rPr>
                      <w:t>2004</w:t>
                      <w:tab/>
                      <w:t>2006</w:t>
                      <w:tab/>
                      <w:t>2008</w:t>
                      <w:tab/>
                      <w:t>2010</w:t>
                      <w:tab/>
                      <w:t>2012</w:t>
                    </w:r>
                  </w:p>
                </w:txbxContent>
              </v:textbox>
              <w10:wrap type="none"/>
            </v:shape>
            <w10:wrap type="topAndBottom"/>
          </v:group>
        </w:pict>
      </w:r>
    </w:p>
    <w:p>
      <w:pPr>
        <w:pStyle w:val="BodyText"/>
        <w:rPr>
          <w:b/>
          <w:sz w:val="20"/>
        </w:rPr>
      </w:pPr>
    </w:p>
    <w:p>
      <w:pPr>
        <w:spacing w:before="177"/>
        <w:ind w:left="226" w:right="0" w:firstLine="0"/>
        <w:jc w:val="left"/>
        <w:rPr>
          <w:sz w:val="16"/>
        </w:rPr>
      </w:pPr>
      <w:r>
        <w:rPr>
          <w:sz w:val="16"/>
        </w:rPr>
        <w:t>Sources: ECB and Bank calculations.</w:t>
      </w:r>
    </w:p>
    <w:p>
      <w:pPr>
        <w:pStyle w:val="BodyText"/>
        <w:spacing w:before="1"/>
        <w:rPr>
          <w:sz w:val="16"/>
        </w:rPr>
      </w:pPr>
    </w:p>
    <w:p>
      <w:pPr>
        <w:spacing w:before="0"/>
        <w:ind w:left="226" w:right="177" w:firstLine="0"/>
        <w:jc w:val="left"/>
        <w:rPr>
          <w:sz w:val="16"/>
        </w:rPr>
      </w:pPr>
      <w:r>
        <w:rPr>
          <w:sz w:val="16"/>
        </w:rPr>
        <w:t>Notes: Periphery includes Greece, Ireland, Portugal and Spain. Core includes Austria, Finland, France, Germany, Luxemburg and the Netherlands. Lending to non-MFIs excluding general government (adjusted for sales and securitisation). Weighted using 2012 GDP weights.</w:t>
      </w:r>
    </w:p>
    <w:p>
      <w:pPr>
        <w:spacing w:after="0"/>
        <w:jc w:val="left"/>
        <w:rPr>
          <w:sz w:val="16"/>
        </w:rPr>
        <w:sectPr>
          <w:pgSz w:w="12240" w:h="15840"/>
          <w:pgMar w:header="0" w:footer="1240" w:top="1380" w:bottom="1440" w:left="1360" w:right="1480"/>
        </w:sectPr>
      </w:pPr>
    </w:p>
    <w:p>
      <w:pPr>
        <w:pStyle w:val="Heading1"/>
        <w:spacing w:before="70"/>
        <w:ind w:left="996"/>
      </w:pPr>
      <w:r>
        <w:rPr>
          <w:color w:val="0070C0"/>
        </w:rPr>
        <w:t>Chart 7: Euro area non-financial corporations loan rates – core/periphery divergence</w:t>
      </w:r>
    </w:p>
    <w:p>
      <w:pPr>
        <w:pStyle w:val="BodyText"/>
        <w:spacing w:before="5"/>
        <w:rPr>
          <w:b/>
          <w:sz w:val="15"/>
        </w:rPr>
      </w:pPr>
      <w:r>
        <w:rPr/>
        <w:pict>
          <v:group style="position:absolute;margin-left:207.960007pt;margin-top:10.855927pt;width:196.1pt;height:178.8pt;mso-position-horizontal-relative:page;mso-position-vertical-relative:paragraph;z-index:-251607040;mso-wrap-distance-left:0;mso-wrap-distance-right:0" coordorigin="4159,217" coordsize="3922,3576">
            <v:shape style="position:absolute;left:4444;top:829;width:3350;height:2666" coordorigin="4445,829" coordsize="3350,2666" path="m7787,829l4452,829,4447,832,4445,836,4445,3487,4447,3492,4452,3494,7787,3494,7792,3492,7794,3487,4458,3487,4452,3480,4458,3480,4458,844,4452,844,4458,836,7794,836,7792,832,7787,829xm4458,3480l4452,3480,4458,3487,4458,3480xm7780,3480l4458,3480,4458,3487,7780,3487,7780,3480xm7780,836l7780,3487,7787,3480,7794,3480,7794,844,7787,844,7780,836xm7794,3480l7787,3480,7780,3487,7794,3487,7794,3480xm4458,836l4452,844,4458,844,4458,836xm7780,836l4458,836,4458,844,7780,844,7780,836xm7794,836l7780,836,7787,844,7794,844,7794,836xe" filled="true" fillcolor="#000000" stroked="false">
              <v:path arrowok="t"/>
              <v:fill type="solid"/>
            </v:shape>
            <v:line style="position:absolute" from="7787,836" to="7787,3487" stroked="true" strokeweight=".3pt" strokecolor="#000000">
              <v:stroke dashstyle="solid"/>
            </v:line>
            <v:rect style="position:absolute;left:7738;top:3484;width:48;height:5" filled="true" fillcolor="#000000" stroked="false">
              <v:fill type="solid"/>
            </v:rect>
            <v:rect style="position:absolute;left:7738;top:2822;width:48;height:5" filled="true" fillcolor="#000000" stroked="false">
              <v:fill type="solid"/>
            </v:rect>
            <v:rect style="position:absolute;left:7738;top:2159;width:48;height:4" filled="true" fillcolor="#000000" stroked="false">
              <v:fill type="solid"/>
            </v:rect>
            <v:rect style="position:absolute;left:7738;top:1496;width:48;height:5" filled="true" fillcolor="#000000" stroked="false">
              <v:fill type="solid"/>
            </v:rect>
            <v:rect style="position:absolute;left:7738;top:833;width:48;height:5" filled="true" fillcolor="#000000" stroked="false">
              <v:fill type="solid"/>
            </v:rect>
            <v:line style="position:absolute" from="4452,3487" to="7787,3487" stroked="true" strokeweight=".23999pt" strokecolor="#000000">
              <v:stroke dashstyle="solid"/>
            </v:line>
            <v:rect style="position:absolute;left:4449;top:3487;width:5;height:47" filled="true" fillcolor="#000000" stroked="false">
              <v:fill type="solid"/>
            </v:rect>
            <v:rect style="position:absolute;left:5060;top:3487;width:5;height:47" filled="true" fillcolor="#000000" stroked="false">
              <v:fill type="solid"/>
            </v:rect>
            <v:rect style="position:absolute;left:5672;top:3487;width:5;height:47" filled="true" fillcolor="#000000" stroked="false">
              <v:fill type="solid"/>
            </v:rect>
            <v:rect style="position:absolute;left:6284;top:3487;width:4;height:47" filled="true" fillcolor="#000000" stroked="false">
              <v:fill type="solid"/>
            </v:rect>
            <v:rect style="position:absolute;left:6895;top:3487;width:4;height:47" filled="true" fillcolor="#000000" stroked="false">
              <v:fill type="solid"/>
            </v:rect>
            <v:rect style="position:absolute;left:7507;top:3487;width:4;height:47" filled="true" fillcolor="#000000" stroked="false">
              <v:fill type="solid"/>
            </v:rect>
            <v:shape style="position:absolute;left:4450;top:1538;width:3351;height:1271" type="#_x0000_t75" stroked="false">
              <v:imagedata r:id="rId24" o:title=""/>
            </v:shape>
            <v:line style="position:absolute" from="4490,317" to="4889,317" stroked="true" strokeweight="1.86pt" strokecolor="#165788">
              <v:stroke dashstyle="solid"/>
            </v:line>
            <v:line style="position:absolute" from="4490,514" to="4889,514" stroked="true" strokeweight="1.86pt" strokecolor="#a31a7e">
              <v:stroke dashstyle="solid"/>
            </v:line>
            <v:line style="position:absolute" from="4490,711" to="4889,711" stroked="true" strokeweight="1.86pt" strokecolor="#f0ab00">
              <v:stroke dashstyle="solid"/>
            </v:line>
            <v:shape style="position:absolute;left:4159;top:217;width:3922;height:3576" coordorigin="4159,217" coordsize="3922,3576" path="m8081,217l4160,217,4159,218,4159,3792,4160,3793,8081,3793,8081,3791,4164,3791,4162,3788,4164,3788,4164,222,4162,222,4164,220,8081,220,8081,217xm4164,3788l4162,3788,4164,3791,4164,3788xm8077,3788l4164,3788,4164,3791,8077,3791,8077,3788xm8077,220l8077,3791,8078,3788,8081,3788,8081,222,8078,222,8077,220xm8081,3788l8078,3788,8077,3791,8081,3791,8081,3788xm4164,220l4162,222,4164,222,4164,220xm8077,220l4164,220,4164,222,8077,222,8077,220xm8081,220l8077,220,8078,222,8081,222,8081,220xe" filled="true" fillcolor="#ffffff" stroked="false">
              <v:path arrowok="t"/>
              <v:fill type="solid"/>
            </v:shape>
            <v:shape style="position:absolute;left:4909;top:227;width:704;height:568" type="#_x0000_t202" filled="false" stroked="false">
              <v:textbox inset="0,0,0,0">
                <w:txbxContent>
                  <w:p>
                    <w:pPr>
                      <w:spacing w:line="254" w:lineRule="auto" w:before="0"/>
                      <w:ind w:left="0" w:right="-1" w:firstLine="0"/>
                      <w:jc w:val="left"/>
                      <w:rPr>
                        <w:sz w:val="16"/>
                      </w:rPr>
                    </w:pPr>
                    <w:r>
                      <w:rPr>
                        <w:sz w:val="16"/>
                      </w:rPr>
                      <w:t>€A Periphery Core</w:t>
                    </w:r>
                  </w:p>
                </w:txbxContent>
              </v:textbox>
              <w10:wrap type="none"/>
            </v:shape>
            <v:shape style="position:absolute;left:6199;top:628;width:1602;height:180" type="#_x0000_t202" filled="false" stroked="false">
              <v:textbox inset="0,0,0,0">
                <w:txbxContent>
                  <w:p>
                    <w:pPr>
                      <w:spacing w:line="179" w:lineRule="exact" w:before="0"/>
                      <w:ind w:left="0" w:right="0" w:firstLine="0"/>
                      <w:jc w:val="left"/>
                      <w:rPr>
                        <w:sz w:val="16"/>
                      </w:rPr>
                    </w:pPr>
                    <w:r>
                      <w:rPr>
                        <w:sz w:val="16"/>
                      </w:rPr>
                      <w:t>Interest Rate, per cent</w:t>
                    </w:r>
                  </w:p>
                </w:txbxContent>
              </v:textbox>
              <w10:wrap type="none"/>
            </v:shape>
            <v:shape style="position:absolute;left:7926;top:741;width:110;height:180" type="#_x0000_t202" filled="false" stroked="false">
              <v:textbox inset="0,0,0,0">
                <w:txbxContent>
                  <w:p>
                    <w:pPr>
                      <w:spacing w:line="179" w:lineRule="exact" w:before="0"/>
                      <w:ind w:left="0" w:right="0" w:firstLine="0"/>
                      <w:jc w:val="left"/>
                      <w:rPr>
                        <w:sz w:val="16"/>
                      </w:rPr>
                    </w:pPr>
                    <w:r>
                      <w:rPr>
                        <w:w w:val="100"/>
                        <w:sz w:val="16"/>
                      </w:rPr>
                      <w:t>8</w:t>
                    </w:r>
                  </w:p>
                </w:txbxContent>
              </v:textbox>
              <w10:wrap type="none"/>
            </v:shape>
            <v:shape style="position:absolute;left:7926;top:1403;width:110;height:180" type="#_x0000_t202" filled="false" stroked="false">
              <v:textbox inset="0,0,0,0">
                <w:txbxContent>
                  <w:p>
                    <w:pPr>
                      <w:spacing w:line="179" w:lineRule="exact" w:before="0"/>
                      <w:ind w:left="0" w:right="0" w:firstLine="0"/>
                      <w:jc w:val="left"/>
                      <w:rPr>
                        <w:sz w:val="16"/>
                      </w:rPr>
                    </w:pPr>
                    <w:r>
                      <w:rPr>
                        <w:w w:val="100"/>
                        <w:sz w:val="16"/>
                      </w:rPr>
                      <w:t>6</w:t>
                    </w:r>
                  </w:p>
                </w:txbxContent>
              </v:textbox>
              <w10:wrap type="none"/>
            </v:shape>
            <v:shape style="position:absolute;left:7926;top:2067;width:110;height:180" type="#_x0000_t202" filled="false" stroked="false">
              <v:textbox inset="0,0,0,0">
                <w:txbxContent>
                  <w:p>
                    <w:pPr>
                      <w:spacing w:line="179" w:lineRule="exact" w:before="0"/>
                      <w:ind w:left="0" w:right="0" w:firstLine="0"/>
                      <w:jc w:val="left"/>
                      <w:rPr>
                        <w:sz w:val="16"/>
                      </w:rPr>
                    </w:pPr>
                    <w:r>
                      <w:rPr>
                        <w:w w:val="100"/>
                        <w:sz w:val="16"/>
                      </w:rPr>
                      <w:t>4</w:t>
                    </w:r>
                  </w:p>
                </w:txbxContent>
              </v:textbox>
              <w10:wrap type="none"/>
            </v:shape>
            <v:shape style="position:absolute;left:7926;top:2729;width:110;height:180" type="#_x0000_t202" filled="false" stroked="false">
              <v:textbox inset="0,0,0,0">
                <w:txbxContent>
                  <w:p>
                    <w:pPr>
                      <w:spacing w:line="179" w:lineRule="exact" w:before="0"/>
                      <w:ind w:left="0" w:right="0" w:firstLine="0"/>
                      <w:jc w:val="left"/>
                      <w:rPr>
                        <w:sz w:val="16"/>
                      </w:rPr>
                    </w:pPr>
                    <w:r>
                      <w:rPr>
                        <w:w w:val="100"/>
                        <w:sz w:val="16"/>
                      </w:rPr>
                      <w:t>2</w:t>
                    </w:r>
                  </w:p>
                </w:txbxContent>
              </v:textbox>
              <w10:wrap type="none"/>
            </v:shape>
            <v:shape style="position:absolute;left:7926;top:3392;width:110;height:180" type="#_x0000_t202" filled="false" stroked="false">
              <v:textbox inset="0,0,0,0">
                <w:txbxContent>
                  <w:p>
                    <w:pPr>
                      <w:spacing w:line="179" w:lineRule="exact" w:before="0"/>
                      <w:ind w:left="0" w:right="0" w:firstLine="0"/>
                      <w:jc w:val="left"/>
                      <w:rPr>
                        <w:sz w:val="16"/>
                      </w:rPr>
                    </w:pPr>
                    <w:r>
                      <w:rPr>
                        <w:w w:val="100"/>
                        <w:sz w:val="16"/>
                      </w:rPr>
                      <w:t>0</w:t>
                    </w:r>
                  </w:p>
                </w:txbxContent>
              </v:textbox>
              <w10:wrap type="none"/>
            </v:shape>
            <v:shape style="position:absolute;left:4274;top:3583;width:3433;height:180" type="#_x0000_t202" filled="false" stroked="false">
              <v:textbox inset="0,0,0,0">
                <w:txbxContent>
                  <w:p>
                    <w:pPr>
                      <w:tabs>
                        <w:tab w:pos="611" w:val="left" w:leader="none"/>
                        <w:tab w:pos="1222" w:val="left" w:leader="none"/>
                        <w:tab w:pos="1834" w:val="left" w:leader="none"/>
                        <w:tab w:pos="2445" w:val="left" w:leader="none"/>
                        <w:tab w:pos="3056" w:val="left" w:leader="none"/>
                      </w:tabs>
                      <w:spacing w:line="179" w:lineRule="exact" w:before="0"/>
                      <w:ind w:left="0" w:right="0" w:firstLine="0"/>
                      <w:jc w:val="left"/>
                      <w:rPr>
                        <w:sz w:val="16"/>
                      </w:rPr>
                    </w:pPr>
                    <w:r>
                      <w:rPr>
                        <w:sz w:val="16"/>
                      </w:rPr>
                      <w:t>2003</w:t>
                      <w:tab/>
                      <w:t>2005</w:t>
                      <w:tab/>
                      <w:t>2007</w:t>
                      <w:tab/>
                      <w:t>2009</w:t>
                      <w:tab/>
                      <w:t>2011</w:t>
                      <w:tab/>
                      <w:t>2013</w:t>
                    </w:r>
                  </w:p>
                </w:txbxContent>
              </v:textbox>
              <w10:wrap type="none"/>
            </v:shape>
            <w10:wrap type="topAndBottom"/>
          </v:group>
        </w:pict>
      </w:r>
    </w:p>
    <w:p>
      <w:pPr>
        <w:pStyle w:val="BodyText"/>
        <w:spacing w:before="2"/>
        <w:rPr>
          <w:b/>
          <w:sz w:val="23"/>
        </w:rPr>
      </w:pPr>
    </w:p>
    <w:p>
      <w:pPr>
        <w:spacing w:before="1"/>
        <w:ind w:left="226" w:right="0" w:firstLine="0"/>
        <w:jc w:val="left"/>
        <w:rPr>
          <w:sz w:val="16"/>
        </w:rPr>
      </w:pPr>
      <w:r>
        <w:rPr>
          <w:sz w:val="16"/>
        </w:rPr>
        <w:t>Sources: ECB and Bank calculations.</w:t>
      </w:r>
    </w:p>
    <w:p>
      <w:pPr>
        <w:pStyle w:val="BodyText"/>
        <w:spacing w:before="9"/>
        <w:rPr>
          <w:sz w:val="18"/>
        </w:rPr>
      </w:pPr>
    </w:p>
    <w:p>
      <w:pPr>
        <w:spacing w:before="0"/>
        <w:ind w:left="226" w:right="1137" w:firstLine="0"/>
        <w:jc w:val="left"/>
        <w:rPr>
          <w:sz w:val="16"/>
        </w:rPr>
      </w:pPr>
      <w:r>
        <w:rPr>
          <w:sz w:val="16"/>
        </w:rPr>
        <w:t>Notes: Average interest rate on new lending to NFCs (excluding revolving loans and overdrafts, convenience and extended credit card debt). Core: Austria, Belgium, Germany, Finland, France and Netherlands. Periphery: Italy, Portugal, Spain and Ireland. Weighted using shares in 2012 nominal GDP.</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Heading1"/>
        <w:spacing w:before="148"/>
        <w:ind w:left="2317"/>
      </w:pPr>
      <w:r>
        <w:rPr>
          <w:color w:val="0070C0"/>
        </w:rPr>
        <w:t>Chart 8: Euro area core/periphery output growth</w:t>
      </w:r>
    </w:p>
    <w:p>
      <w:pPr>
        <w:pStyle w:val="BodyText"/>
        <w:spacing w:before="5"/>
        <w:rPr>
          <w:b/>
          <w:sz w:val="24"/>
        </w:rPr>
      </w:pPr>
      <w:r>
        <w:rPr/>
        <w:pict>
          <v:group style="position:absolute;margin-left:197.699997pt;margin-top:16.010448pt;width:186.15pt;height:178.8pt;mso-position-horizontal-relative:page;mso-position-vertical-relative:paragraph;z-index:-251602944;mso-wrap-distance-left:0;mso-wrap-distance-right:0" coordorigin="3954,320" coordsize="3723,3576">
            <v:shape style="position:absolute;left:4239;top:848;width:3134;height:2748" coordorigin="4240,848" coordsize="3134,2748" path="m7366,848l4247,848,4242,851,4240,855,4240,3590,4242,3595,4247,3596,7366,3596,7370,3595,7373,3590,4253,3590,4247,3583,4253,3583,4253,863,4247,863,4253,855,7373,855,7370,851,7366,848xm4253,3583l4247,3583,4253,3590,4253,3583xm7358,3583l4253,3583,4253,3590,7358,3590,7358,3583xm7358,855l7358,3590,7366,3583,7373,3583,7373,863,7366,863,7358,855xm7373,3583l7366,3583,7358,3590,7373,3590,7373,3583xm4253,855l4247,863,4253,863,4253,855xm7358,855l4253,855,4253,863,7358,863,7358,855xm7373,855l7358,855,7366,863,7373,863,7373,855xe" filled="true" fillcolor="#000000" stroked="false">
              <v:path arrowok="t"/>
              <v:fill type="solid"/>
            </v:shape>
            <v:line style="position:absolute" from="7366,855" to="7366,3590" stroked="true" strokeweight=".23999pt" strokecolor="#000000">
              <v:stroke dashstyle="solid"/>
            </v:line>
            <v:rect style="position:absolute;left:7317;top:3587;width:48;height:4" filled="true" fillcolor="#000000" stroked="false">
              <v:fill type="solid"/>
            </v:rect>
            <v:rect style="position:absolute;left:7317;top:3196;width:48;height:5" filled="true" fillcolor="#000000" stroked="false">
              <v:fill type="solid"/>
            </v:rect>
            <v:rect style="position:absolute;left:7317;top:2806;width:48;height:4" filled="true" fillcolor="#000000" stroked="false">
              <v:fill type="solid"/>
            </v:rect>
            <v:rect style="position:absolute;left:7317;top:2415;width:48;height:5" filled="true" fillcolor="#000000" stroked="false">
              <v:fill type="solid"/>
            </v:rect>
            <v:rect style="position:absolute;left:7317;top:2025;width:48;height:4" filled="true" fillcolor="#000000" stroked="false">
              <v:fill type="solid"/>
            </v:rect>
            <v:rect style="position:absolute;left:7317;top:1634;width:48;height:5" filled="true" fillcolor="#000000" stroked="false">
              <v:fill type="solid"/>
            </v:rect>
            <v:rect style="position:absolute;left:7317;top:1244;width:48;height:4" filled="true" fillcolor="#000000" stroked="false">
              <v:fill type="solid"/>
            </v:rect>
            <v:rect style="position:absolute;left:7317;top:853;width:48;height:5" filled="true" fillcolor="#000000" stroked="false">
              <v:fill type="solid"/>
            </v:rect>
            <v:line style="position:absolute" from="4247,3590" to="7366,3590" stroked="true" strokeweight=".18001pt" strokecolor="#000000">
              <v:stroke dashstyle="solid"/>
            </v:line>
            <v:rect style="position:absolute;left:4244;top:3590;width:4;height:47" filled="true" fillcolor="#000000" stroked="false">
              <v:fill type="solid"/>
            </v:rect>
            <v:rect style="position:absolute;left:4646;top:3590;width:4;height:47" filled="true" fillcolor="#000000" stroked="false">
              <v:fill type="solid"/>
            </v:rect>
            <v:rect style="position:absolute;left:5048;top:3590;width:5;height:47" filled="true" fillcolor="#000000" stroked="false">
              <v:fill type="solid"/>
            </v:rect>
            <v:rect style="position:absolute;left:5450;top:3590;width:5;height:47" filled="true" fillcolor="#000000" stroked="false">
              <v:fill type="solid"/>
            </v:rect>
            <v:rect style="position:absolute;left:5853;top:3590;width:5;height:47" filled="true" fillcolor="#000000" stroked="false">
              <v:fill type="solid"/>
            </v:rect>
            <v:rect style="position:absolute;left:6255;top:3590;width:5;height:47" filled="true" fillcolor="#000000" stroked="false">
              <v:fill type="solid"/>
            </v:rect>
            <v:rect style="position:absolute;left:6658;top:3590;width:5;height:47" filled="true" fillcolor="#000000" stroked="false">
              <v:fill type="solid"/>
            </v:rect>
            <v:rect style="position:absolute;left:7062;top:3590;width:5;height:47" filled="true" fillcolor="#000000" stroked="false">
              <v:fill type="solid"/>
            </v:rect>
            <v:shape style="position:absolute;left:4245;top:1095;width:3135;height:2042" type="#_x0000_t75" stroked="false">
              <v:imagedata r:id="rId25" o:title=""/>
            </v:shape>
            <v:line style="position:absolute" from="4246,2028" to="7367,2028" stroked="true" strokeweight=".1pt" strokecolor="#000000">
              <v:stroke dashstyle="solid"/>
            </v:line>
            <v:line style="position:absolute" from="4246,2026" to="7367,2026" stroked="true" strokeweight=".1pt" strokecolor="#000000">
              <v:stroke dashstyle="solid"/>
            </v:line>
            <v:line style="position:absolute" from="4259,441" to="4657,441" stroked="true" strokeweight="1.86pt" strokecolor="#165788">
              <v:stroke dashstyle="solid"/>
            </v:line>
            <v:line style="position:absolute" from="4259,680" to="4657,680" stroked="true" strokeweight="1.86pt" strokecolor="#a31a7e">
              <v:stroke dashstyle="solid"/>
            </v:line>
            <v:shape style="position:absolute;left:3954;top:320;width:3723;height:3576" coordorigin="3954,320" coordsize="3723,3576" path="m7675,320l3955,320,3954,321,3954,3895,3955,3896,7675,3896,7676,3895,7676,3894,3959,3894,3956,3891,3959,3891,3959,325,3956,325,3959,323,7676,323,7676,321,7675,320xm3959,3891l3956,3891,3959,3894,3959,3891xm7672,3891l3959,3891,3959,3894,7672,3894,7672,3891xm7672,323l7672,3894,7674,3891,7676,3891,7676,325,7674,325,7672,323xm7676,3891l7674,3891,7672,3894,7676,3894,7676,3891xm3959,323l3956,325,3959,325,3959,323xm7672,323l3959,323,3959,325,7672,325,7672,323xm7676,323l7672,323,7674,325,7676,325,7676,323xe" filled="true" fillcolor="#ffffff" stroked="false">
              <v:path arrowok="t"/>
              <v:fill type="solid"/>
            </v:shape>
            <v:shape style="position:absolute;left:4677;top:346;width:705;height:420" type="#_x0000_t202" filled="false" stroked="false">
              <v:textbox inset="0,0,0,0">
                <w:txbxContent>
                  <w:p>
                    <w:pPr>
                      <w:spacing w:line="179" w:lineRule="exact" w:before="0"/>
                      <w:ind w:left="0" w:right="0" w:firstLine="0"/>
                      <w:jc w:val="left"/>
                      <w:rPr>
                        <w:sz w:val="16"/>
                      </w:rPr>
                    </w:pPr>
                    <w:r>
                      <w:rPr>
                        <w:sz w:val="16"/>
                      </w:rPr>
                      <w:t>Periphery</w:t>
                    </w:r>
                  </w:p>
                  <w:p>
                    <w:pPr>
                      <w:spacing w:before="56"/>
                      <w:ind w:left="0" w:right="0" w:firstLine="0"/>
                      <w:jc w:val="left"/>
                      <w:rPr>
                        <w:sz w:val="16"/>
                      </w:rPr>
                    </w:pPr>
                    <w:r>
                      <w:rPr>
                        <w:sz w:val="16"/>
                      </w:rPr>
                      <w:t>Core</w:t>
                    </w:r>
                  </w:p>
                </w:txbxContent>
              </v:textbox>
              <w10:wrap type="none"/>
            </v:shape>
            <v:shape style="position:absolute;left:6069;top:394;width:1596;height:3280" type="#_x0000_t202" filled="false" stroked="false">
              <v:textbox inset="0,0,0,0">
                <w:txbxContent>
                  <w:p>
                    <w:pPr>
                      <w:spacing w:line="240" w:lineRule="auto" w:before="0"/>
                      <w:ind w:left="311" w:right="124" w:hanging="312"/>
                      <w:jc w:val="right"/>
                      <w:rPr>
                        <w:sz w:val="16"/>
                      </w:rPr>
                    </w:pPr>
                    <w:r>
                      <w:rPr>
                        <w:sz w:val="16"/>
                      </w:rPr>
                      <w:t>Percentage changes</w:t>
                    </w:r>
                    <w:r>
                      <w:rPr>
                        <w:w w:val="100"/>
                        <w:sz w:val="16"/>
                      </w:rPr>
                      <w:t> </w:t>
                    </w:r>
                    <w:r>
                      <w:rPr>
                        <w:sz w:val="16"/>
                      </w:rPr>
                      <w:t>on a year earlier</w:t>
                    </w:r>
                  </w:p>
                  <w:p>
                    <w:pPr>
                      <w:spacing w:line="183" w:lineRule="exact" w:before="0"/>
                      <w:ind w:left="0" w:right="70" w:firstLine="0"/>
                      <w:jc w:val="right"/>
                      <w:rPr>
                        <w:sz w:val="16"/>
                      </w:rPr>
                    </w:pPr>
                    <w:r>
                      <w:rPr>
                        <w:w w:val="100"/>
                        <w:sz w:val="16"/>
                      </w:rPr>
                      <w:t>6</w:t>
                    </w:r>
                  </w:p>
                  <w:p>
                    <w:pPr>
                      <w:spacing w:line="240" w:lineRule="auto" w:before="6"/>
                      <w:rPr>
                        <w:sz w:val="17"/>
                      </w:rPr>
                    </w:pPr>
                  </w:p>
                  <w:p>
                    <w:pPr>
                      <w:spacing w:before="0"/>
                      <w:ind w:left="0" w:right="70" w:firstLine="0"/>
                      <w:jc w:val="right"/>
                      <w:rPr>
                        <w:sz w:val="16"/>
                      </w:rPr>
                    </w:pPr>
                    <w:r>
                      <w:rPr>
                        <w:w w:val="100"/>
                        <w:sz w:val="16"/>
                      </w:rPr>
                      <w:t>4</w:t>
                    </w:r>
                  </w:p>
                  <w:p>
                    <w:pPr>
                      <w:spacing w:line="240" w:lineRule="auto" w:before="11"/>
                      <w:rPr>
                        <w:sz w:val="17"/>
                      </w:rPr>
                    </w:pPr>
                  </w:p>
                  <w:p>
                    <w:pPr>
                      <w:spacing w:before="0"/>
                      <w:ind w:left="0" w:right="70" w:firstLine="0"/>
                      <w:jc w:val="right"/>
                      <w:rPr>
                        <w:sz w:val="16"/>
                      </w:rPr>
                    </w:pPr>
                    <w:r>
                      <w:rPr>
                        <w:w w:val="100"/>
                        <w:sz w:val="16"/>
                      </w:rPr>
                      <w:t>2</w:t>
                    </w:r>
                  </w:p>
                  <w:p>
                    <w:pPr>
                      <w:spacing w:line="240" w:lineRule="auto" w:before="10"/>
                      <w:rPr>
                        <w:sz w:val="17"/>
                      </w:rPr>
                    </w:pPr>
                  </w:p>
                  <w:p>
                    <w:pPr>
                      <w:spacing w:before="1"/>
                      <w:ind w:left="0" w:right="70" w:firstLine="0"/>
                      <w:jc w:val="right"/>
                      <w:rPr>
                        <w:sz w:val="16"/>
                      </w:rPr>
                    </w:pPr>
                    <w:r>
                      <w:rPr>
                        <w:w w:val="100"/>
                        <w:sz w:val="16"/>
                      </w:rPr>
                      <w:t>0</w:t>
                    </w:r>
                  </w:p>
                  <w:p>
                    <w:pPr>
                      <w:spacing w:line="240" w:lineRule="auto" w:before="0"/>
                      <w:rPr>
                        <w:sz w:val="18"/>
                      </w:rPr>
                    </w:pPr>
                  </w:p>
                  <w:p>
                    <w:pPr>
                      <w:spacing w:before="0"/>
                      <w:ind w:left="0" w:right="18" w:firstLine="0"/>
                      <w:jc w:val="right"/>
                      <w:rPr>
                        <w:sz w:val="16"/>
                      </w:rPr>
                    </w:pPr>
                    <w:r>
                      <w:rPr>
                        <w:spacing w:val="-1"/>
                        <w:sz w:val="16"/>
                      </w:rPr>
                      <w:t>-2</w:t>
                    </w:r>
                  </w:p>
                  <w:p>
                    <w:pPr>
                      <w:spacing w:line="240" w:lineRule="auto" w:before="10"/>
                      <w:rPr>
                        <w:sz w:val="17"/>
                      </w:rPr>
                    </w:pPr>
                  </w:p>
                  <w:p>
                    <w:pPr>
                      <w:spacing w:before="0"/>
                      <w:ind w:left="0" w:right="18" w:firstLine="0"/>
                      <w:jc w:val="right"/>
                      <w:rPr>
                        <w:sz w:val="16"/>
                      </w:rPr>
                    </w:pPr>
                    <w:r>
                      <w:rPr>
                        <w:spacing w:val="-1"/>
                        <w:sz w:val="16"/>
                      </w:rPr>
                      <w:t>-4</w:t>
                    </w:r>
                  </w:p>
                  <w:p>
                    <w:pPr>
                      <w:spacing w:line="240" w:lineRule="auto" w:before="0"/>
                      <w:rPr>
                        <w:sz w:val="18"/>
                      </w:rPr>
                    </w:pPr>
                  </w:p>
                  <w:p>
                    <w:pPr>
                      <w:spacing w:before="1"/>
                      <w:ind w:left="0" w:right="18" w:firstLine="0"/>
                      <w:jc w:val="right"/>
                      <w:rPr>
                        <w:sz w:val="16"/>
                      </w:rPr>
                    </w:pPr>
                    <w:r>
                      <w:rPr>
                        <w:spacing w:val="-1"/>
                        <w:sz w:val="16"/>
                      </w:rPr>
                      <w:t>-6</w:t>
                    </w:r>
                  </w:p>
                  <w:p>
                    <w:pPr>
                      <w:spacing w:line="240" w:lineRule="auto" w:before="10"/>
                      <w:rPr>
                        <w:sz w:val="17"/>
                      </w:rPr>
                    </w:pPr>
                  </w:p>
                  <w:p>
                    <w:pPr>
                      <w:spacing w:before="0"/>
                      <w:ind w:left="0" w:right="18" w:firstLine="0"/>
                      <w:jc w:val="right"/>
                      <w:rPr>
                        <w:sz w:val="16"/>
                      </w:rPr>
                    </w:pPr>
                    <w:r>
                      <w:rPr>
                        <w:spacing w:val="-1"/>
                        <w:sz w:val="16"/>
                      </w:rPr>
                      <w:t>-8</w:t>
                    </w:r>
                  </w:p>
                </w:txbxContent>
              </v:textbox>
              <w10:wrap type="none"/>
            </v:shape>
            <v:shape style="position:absolute;left:4067;top:3686;width:3194;height:180" type="#_x0000_t202" filled="false" stroked="false">
              <v:textbox inset="0,0,0,0">
                <w:txbxContent>
                  <w:p>
                    <w:pPr>
                      <w:spacing w:line="179" w:lineRule="exact" w:before="0"/>
                      <w:ind w:left="0" w:right="0" w:firstLine="0"/>
                      <w:jc w:val="left"/>
                      <w:rPr>
                        <w:sz w:val="16"/>
                      </w:rPr>
                    </w:pPr>
                    <w:r>
                      <w:rPr>
                        <w:sz w:val="16"/>
                      </w:rPr>
                      <w:t>1998 2000 2002 2004 2006 2008 2010 2012</w:t>
                    </w:r>
                  </w:p>
                </w:txbxContent>
              </v:textbox>
              <w10:wrap type="none"/>
            </v:shape>
            <w10:wrap type="topAndBottom"/>
          </v:group>
        </w:pict>
      </w:r>
    </w:p>
    <w:p>
      <w:pPr>
        <w:pStyle w:val="BodyText"/>
        <w:spacing w:before="5"/>
        <w:rPr>
          <w:b/>
          <w:sz w:val="28"/>
        </w:rPr>
      </w:pPr>
    </w:p>
    <w:p>
      <w:pPr>
        <w:spacing w:before="0"/>
        <w:ind w:left="226" w:right="0" w:firstLine="0"/>
        <w:jc w:val="left"/>
        <w:rPr>
          <w:sz w:val="16"/>
        </w:rPr>
      </w:pPr>
      <w:r>
        <w:rPr>
          <w:sz w:val="16"/>
        </w:rPr>
        <w:t>Sources: Eurostat and Bank calculations.</w:t>
      </w:r>
    </w:p>
    <w:p>
      <w:pPr>
        <w:pStyle w:val="BodyText"/>
        <w:rPr>
          <w:sz w:val="16"/>
        </w:rPr>
      </w:pPr>
    </w:p>
    <w:p>
      <w:pPr>
        <w:spacing w:before="0"/>
        <w:ind w:left="226" w:right="724" w:firstLine="0"/>
        <w:jc w:val="left"/>
        <w:rPr>
          <w:sz w:val="16"/>
        </w:rPr>
      </w:pPr>
      <w:r>
        <w:rPr>
          <w:sz w:val="16"/>
        </w:rPr>
        <w:t>Notes: Based on data for Vulnerable Euro Area Periphery economies (VEAPS) (Ireland, Portugal, Spain, Greece, Italy) and core (all other EA countries excluding Malta). Data up to 2013Q3.</w:t>
      </w:r>
    </w:p>
    <w:p>
      <w:pPr>
        <w:spacing w:after="0"/>
        <w:jc w:val="left"/>
        <w:rPr>
          <w:sz w:val="16"/>
        </w:rPr>
        <w:sectPr>
          <w:pgSz w:w="12240" w:h="15840"/>
          <w:pgMar w:header="0" w:footer="1240" w:top="1280" w:bottom="1440" w:left="1360" w:right="1480"/>
        </w:sectPr>
      </w:pPr>
    </w:p>
    <w:p>
      <w:pPr>
        <w:pStyle w:val="Heading1"/>
        <w:spacing w:before="70"/>
        <w:ind w:left="1838"/>
      </w:pPr>
      <w:r>
        <w:rPr>
          <w:color w:val="0070C0"/>
        </w:rPr>
        <w:t>Chart 9: Scottish mortgage loans as a share of the UK total</w:t>
      </w:r>
    </w:p>
    <w:p>
      <w:pPr>
        <w:pStyle w:val="BodyText"/>
        <w:spacing w:before="7"/>
        <w:rPr>
          <w:b/>
          <w:sz w:val="16"/>
        </w:rPr>
      </w:pPr>
    </w:p>
    <w:p>
      <w:pPr>
        <w:pStyle w:val="BodyText"/>
        <w:spacing w:before="92"/>
        <w:ind w:right="2471"/>
        <w:jc w:val="right"/>
      </w:pPr>
      <w:r>
        <w:rPr/>
        <w:pict>
          <v:group style="position:absolute;margin-left:212.039993pt;margin-top:10.209770pt;width:178.2pt;height:151.8pt;mso-position-horizontal-relative:page;mso-position-vertical-relative:paragraph;z-index:251714560" coordorigin="4241,204" coordsize="3564,3036">
            <v:shape style="position:absolute;left:4245;top:209;width:3506;height:2978" coordorigin="4246,209" coordsize="3506,2978" path="m7748,209l4248,209,4246,211,4246,3184,4248,3186,7748,3186,7751,3184,4249,3184,4248,3181,4249,3181,4249,214,4248,214,4249,211,7751,211,7748,209xm4249,3181l4248,3181,4249,3184,4249,3181xm7746,3181l4249,3181,4249,3184,7746,3184,7746,3181xm7746,211l7746,3184,7748,3181,7751,3181,7751,214,7748,214,7746,211xm7751,3181l7748,3181,7746,3184,7751,3184,7751,3181xm4249,211l4248,214,4249,214,4249,211xm7746,211l4249,211,4249,214,7746,214,7746,211xm7751,211l7746,211,7748,214,7751,214,7751,211xe" filled="true" fillcolor="#000000" stroked="false">
              <v:path arrowok="t"/>
              <v:fill type="solid"/>
            </v:shape>
            <v:line style="position:absolute" from="7748,211" to="7748,3184" stroked="true" strokeweight=".72pt" strokecolor="#000000">
              <v:stroke dashstyle="solid"/>
            </v:line>
            <v:shape style="position:absolute;left:7748;top:204;width:57;height:2986" coordorigin="7748,204" coordsize="57,2986" path="m7805,3177l7748,3177,7748,3190,7805,3190,7805,3177m7805,2681l7748,2681,7748,2694,7805,2694,7805,2681m7805,2185l7748,2185,7748,2199,7805,2199,7805,2185m7805,1690l7748,1690,7748,1703,7805,1703,7805,1690m7805,1194l7748,1194,7748,1207,7805,1207,7805,1194m7805,699l7748,699,7748,712,7805,712,7805,699m7805,204l7748,204,7748,217,7805,217,7805,204e" filled="true" fillcolor="#000000" stroked="false">
              <v:path arrowok="t"/>
              <v:fill type="solid"/>
            </v:shape>
            <v:line style="position:absolute" from="4248,3183" to="7748,3183" stroked="true" strokeweight=".66003pt" strokecolor="#000000">
              <v:stroke dashstyle="solid"/>
            </v:line>
            <v:shape style="position:absolute;left:4240;top:3183;width:3308;height:57" coordorigin="4241,3184" coordsize="3308,57" path="m4254,3184l4241,3184,4241,3240,4254,3240,4254,3184m4667,3184l4652,3184,4652,3240,4667,3240,4667,3184m5078,3184l5065,3184,5065,3240,5078,3240,5078,3184m5490,3184l5477,3184,5477,3240,5490,3240,5490,3184m5902,3184l5887,3184,5887,3240,5902,3240,5902,3184m6313,3184l6300,3184,6300,3240,6313,3240,6313,3184m6726,3184l6712,3184,6712,3240,6726,3240,6726,3184m7136,3184l7123,3184,7123,3240,7136,3240,7136,3184m7548,3184l7535,3184,7535,3240,7548,3240,7548,3184e" filled="true" fillcolor="#000000" stroked="false">
              <v:path arrowok="t"/>
              <v:fill type="solid"/>
            </v:shape>
            <v:shape style="position:absolute;left:4329;top:696;width:3434;height:440" coordorigin="4330,696" coordsize="3434,440" path="m4955,991l5057,1127,5060,1133,5068,1135,5075,1134,5081,1134,5087,1129,5089,1122,5093,1110,5054,1110,5066,1077,5004,994,4960,994,4955,991xm7015,979l7115,1107,7120,1111,7126,1114,7133,1114,7139,1113,7145,1108,7147,1102,7152,1089,7112,1089,7124,1057,7064,981,7022,981,7015,979xm5066,1077l5054,1110,5087,1105,5066,1077xm5177,792l5171,792,5161,797,5159,801,5156,805,5066,1077,5087,1105,5054,1110,5093,1110,5186,837,5167,829,5192,817,5240,817,5180,795,5177,792xm7519,1041l7432,1041,7438,1043,7437,1043,7534,1089,7543,1093,7554,1090,7559,1081,7568,1063,7525,1063,7533,1048,7524,1043,7438,1043,7437,1043,7524,1043,7519,1041xm7124,1057l7112,1089,7145,1084,7124,1057xm7240,797l7232,797,7225,798,7219,803,7216,809,7124,1057,7145,1084,7112,1089,7152,1089,7236,862,7217,825,7250,822,7258,822,7250,808,7247,801,7240,797xm4585,891l4541,891,4565,898,4550,906,4644,1062,4646,1067,4652,1071,4666,1071,4672,1067,4675,1062,4687,1043,4675,1043,4644,1042,4659,1017,4660,1017,4585,891xm7533,1048l7525,1063,7549,1055,7533,1048xm7649,853l7643,853,7637,855,7631,858,7628,864,7533,1048,7549,1055,7525,1063,7568,1063,7647,907,7630,885,7661,881,7676,881,7660,861,7655,856,7649,853xm4660,1017l4644,1042,4675,1043,4660,1017xm4759,868l4751,871,4746,879,4660,1017,4660,1017,4675,1043,4687,1043,4771,910,4757,906,4778,898,4861,898,4759,868xm7432,1041l7437,1043,7438,1043,7432,1041xm7258,822l7250,822,7236,862,7320,1026,7322,1032,7328,1036,7336,1037,7437,1043,7432,1041,7519,1041,7452,1009,7352,1009,7337,1000,7348,1000,7258,822xm7676,881l7661,881,7647,907,7734,1017,7740,1024,7752,1026,7760,1019,7763,1017,7763,993,7676,881xm4556,861l4548,865,4444,919,4342,987,4332,993,4330,1005,4342,1021,4352,1024,4362,1018,4464,951,4550,906,4541,891,4585,891,4573,871,4567,863,4556,861xm6442,810l6425,810,6410,830,6498,939,6502,942,6605,1015,6611,1019,6617,1020,6623,1018,6698,985,6626,985,6608,983,6618,979,6528,915,6527,915,6523,911,6524,911,6442,810xm7337,1000l7352,1009,7348,1000,7337,1000xm7348,1000l7352,1009,7452,1009,7447,1007,7445,1006,7440,1006,7348,1000xm7348,1000l7337,1000,7348,1000,7348,1000xm4954,989l4955,991,4960,994,4954,989xm5001,989l4954,989,4960,994,5004,994,5001,989xm4855,934l4955,991,4954,989,5001,989,4984,966,4982,964,4978,961,4932,935,4860,935,4855,934xm6618,979l6608,983,6626,985,6618,979xm6705,941l6618,979,6626,985,6698,985,6726,973,6730,972,6733,969,6734,965,6745,947,6702,947,6705,941xm6027,742l5982,742,6010,745,5994,759,6086,888,6086,889,6089,892,6192,976,6197,979,6203,982,6209,979,6316,953,6319,951,6322,947,6216,947,6199,943,6209,941,6117,867,6116,867,6113,863,6114,863,6027,742xm7012,975l7015,979,7022,981,7012,975xm7059,975l7012,975,7022,981,7064,981,7059,975xm6851,790l6838,790,6822,816,6908,949,6911,953,6916,957,6920,958,7015,979,7012,975,7059,975,7042,952,7039,948,7036,946,7031,945,6964,929,6940,929,6929,921,6934,921,6851,790xm6209,941l6199,943,6216,947,6209,941xm6295,920l6209,941,6216,947,6322,947,6339,924,6292,924,6295,920xm6712,939l6705,941,6702,947,6712,939xm6750,939l6712,939,6702,947,6745,947,6750,939xm6828,761l6815,761,6809,765,6805,771,6705,941,6712,939,6750,939,6822,816,6805,790,6851,790,6838,769,6834,765,6828,761xm4861,898l4778,898,4771,910,4860,935,4932,935,4874,901,4873,900,4870,900,4861,898xm6929,921l6940,929,6935,922,6929,921xm6935,922l6940,929,6964,929,6935,922xm6302,918l6295,920,6292,924,6302,918xm6343,918l6302,918,6292,924,6339,924,6343,918xm6934,921l6929,921,6935,922,6934,921xm6415,780l6403,780,6398,784,6395,787,6295,920,6302,918,6343,918,6410,830,6395,811,6425,810,6442,810,6424,787,6420,783,6415,780xm6523,911l6527,915,6525,912,6523,911xm6525,912l6527,915,6528,915,6525,912xm6524,911l6523,911,6525,912,6524,911xm4778,898l4757,906,4771,910,4778,898xm7661,881l7630,885,7647,907,7661,881xm4541,891l4550,906,4565,898,4541,891xm5417,781l5366,781,5392,783,5378,794,5470,894,5477,901,5488,903,5527,869,5497,869,5472,868,5485,856,5417,781xm5240,817l5192,817,5186,837,5270,869,5276,871,5284,870,5288,865,5324,837,5266,837,5273,830,5240,817xm5485,856l5472,868,5497,869,5485,856xm5587,773l5580,774,5574,779,5485,856,5497,869,5527,869,5589,815,5579,810,5598,808,5660,808,5594,777,5587,773xm6113,863l6116,867,6115,865,6113,863xm6115,865l6116,867,6117,867,6115,865xm6114,863l6113,863,6115,865,6114,863xm5660,808l5598,808,5589,815,5681,859,5689,864,5699,862,5704,855,5722,832,5675,832,5685,820,5660,808xm7250,822l7217,825,7236,862,7250,822xm5829,726l5807,726,5793,743,5881,834,5888,841,5899,843,5906,835,5937,809,5908,809,5882,808,5896,796,5829,726xm5273,830l5266,837,5284,834,5273,830xm5376,748l5368,754,5273,830,5284,834,5266,837,5324,837,5378,794,5366,781,5417,781,5394,756,5387,749,5376,748xm5192,817l5167,829,5186,837,5192,817xm5685,820l5675,832,5698,826,5685,820xm5796,696l5785,696,5780,699,5777,703,5685,820,5698,826,5675,832,5722,832,5793,743,5778,727,5807,726,5829,726,5806,701,5802,697,5796,696xm6425,810l6395,811,6410,830,6425,810xm6838,790l6805,790,6822,816,6838,790xm5598,808l5579,810,5589,815,5598,808xm5896,796l5882,808,5908,809,5896,796xm5994,712l5989,714,5984,718,5896,796,5908,809,5937,809,5994,759,5982,742,6027,742,6012,720,6010,717,6005,713,6000,713,5994,712xm5366,781l5378,794,5392,783,5366,781xm5982,742l5994,759,6010,745,5982,742xm5807,726l5778,727,5793,743,5807,726xe" filled="true" fillcolor="#165788" stroked="false">
              <v:path arrowok="t"/>
              <v:fill type="solid"/>
            </v:shape>
            <w10:wrap type="none"/>
          </v:group>
        </w:pict>
      </w:r>
      <w:r>
        <w:rPr>
          <w:spacing w:val="-1"/>
          <w:w w:val="95"/>
        </w:rPr>
        <w:t>12%</w:t>
      </w:r>
    </w:p>
    <w:p>
      <w:pPr>
        <w:pStyle w:val="BodyText"/>
        <w:spacing w:before="1"/>
        <w:rPr>
          <w:sz w:val="16"/>
        </w:rPr>
      </w:pPr>
    </w:p>
    <w:p>
      <w:pPr>
        <w:pStyle w:val="BodyText"/>
        <w:spacing w:before="93"/>
        <w:ind w:right="2471"/>
        <w:jc w:val="right"/>
      </w:pPr>
      <w:r>
        <w:rPr>
          <w:spacing w:val="-1"/>
          <w:w w:val="95"/>
        </w:rPr>
        <w:t>10%</w:t>
      </w:r>
    </w:p>
    <w:p>
      <w:pPr>
        <w:pStyle w:val="BodyText"/>
        <w:rPr>
          <w:sz w:val="16"/>
        </w:rPr>
      </w:pPr>
    </w:p>
    <w:p>
      <w:pPr>
        <w:pStyle w:val="BodyText"/>
        <w:spacing w:before="93"/>
        <w:ind w:right="2573"/>
        <w:jc w:val="right"/>
      </w:pPr>
      <w:r>
        <w:rPr>
          <w:w w:val="95"/>
        </w:rPr>
        <w:t>8%</w:t>
      </w:r>
    </w:p>
    <w:p>
      <w:pPr>
        <w:pStyle w:val="BodyText"/>
        <w:rPr>
          <w:sz w:val="16"/>
        </w:rPr>
      </w:pPr>
    </w:p>
    <w:p>
      <w:pPr>
        <w:pStyle w:val="BodyText"/>
        <w:spacing w:before="93"/>
        <w:ind w:right="2573"/>
        <w:jc w:val="right"/>
      </w:pPr>
      <w:r>
        <w:rPr>
          <w:w w:val="95"/>
        </w:rPr>
        <w:t>6%</w:t>
      </w:r>
    </w:p>
    <w:p>
      <w:pPr>
        <w:pStyle w:val="BodyText"/>
        <w:rPr>
          <w:sz w:val="16"/>
        </w:rPr>
      </w:pPr>
    </w:p>
    <w:p>
      <w:pPr>
        <w:pStyle w:val="BodyText"/>
        <w:spacing w:before="93"/>
        <w:ind w:right="2573"/>
        <w:jc w:val="right"/>
      </w:pPr>
      <w:r>
        <w:rPr>
          <w:w w:val="95"/>
        </w:rPr>
        <w:t>4%</w:t>
      </w:r>
    </w:p>
    <w:p>
      <w:pPr>
        <w:pStyle w:val="BodyText"/>
        <w:rPr>
          <w:sz w:val="16"/>
        </w:rPr>
      </w:pPr>
    </w:p>
    <w:p>
      <w:pPr>
        <w:pStyle w:val="BodyText"/>
        <w:spacing w:before="93"/>
        <w:ind w:right="2573"/>
        <w:jc w:val="right"/>
      </w:pPr>
      <w:r>
        <w:rPr>
          <w:w w:val="95"/>
        </w:rPr>
        <w:t>2%</w:t>
      </w:r>
    </w:p>
    <w:p>
      <w:pPr>
        <w:pStyle w:val="BodyText"/>
        <w:spacing w:before="1"/>
        <w:rPr>
          <w:sz w:val="16"/>
        </w:rPr>
      </w:pPr>
    </w:p>
    <w:p>
      <w:pPr>
        <w:pStyle w:val="BodyText"/>
        <w:spacing w:before="92"/>
        <w:ind w:left="4767" w:right="793"/>
        <w:jc w:val="center"/>
      </w:pPr>
      <w:r>
        <w:rPr/>
        <w:t>0%</w:t>
      </w:r>
    </w:p>
    <w:p>
      <w:pPr>
        <w:pStyle w:val="BodyText"/>
        <w:tabs>
          <w:tab w:pos="822" w:val="left" w:leader="none"/>
          <w:tab w:pos="1647" w:val="left" w:leader="none"/>
          <w:tab w:pos="2470" w:val="left" w:leader="none"/>
          <w:tab w:pos="3293" w:val="left" w:leader="none"/>
        </w:tabs>
        <w:spacing w:before="6"/>
        <w:ind w:right="326"/>
        <w:jc w:val="center"/>
      </w:pPr>
      <w:r>
        <w:rPr/>
        <w:t>2005</w:t>
        <w:tab/>
        <w:t>2007</w:t>
        <w:tab/>
        <w:t>2009</w:t>
        <w:tab/>
        <w:t>2011</w:t>
        <w:tab/>
        <w:t>2013</w:t>
      </w:r>
    </w:p>
    <w:p>
      <w:pPr>
        <w:pStyle w:val="BodyText"/>
        <w:spacing w:before="4"/>
        <w:rPr>
          <w:sz w:val="15"/>
        </w:rPr>
      </w:pPr>
    </w:p>
    <w:p>
      <w:pPr>
        <w:spacing w:before="95"/>
        <w:ind w:left="226" w:right="0" w:firstLine="0"/>
        <w:jc w:val="left"/>
        <w:rPr>
          <w:sz w:val="16"/>
        </w:rPr>
      </w:pPr>
      <w:r>
        <w:rPr>
          <w:sz w:val="16"/>
        </w:rPr>
        <w:t>Source CML.</w:t>
      </w:r>
    </w:p>
    <w:p>
      <w:pPr>
        <w:pStyle w:val="BodyText"/>
        <w:spacing w:before="1"/>
        <w:rPr>
          <w:sz w:val="16"/>
        </w:rPr>
      </w:pPr>
    </w:p>
    <w:p>
      <w:pPr>
        <w:spacing w:before="0"/>
        <w:ind w:left="226" w:right="0" w:firstLine="0"/>
        <w:jc w:val="left"/>
        <w:rPr>
          <w:sz w:val="16"/>
        </w:rPr>
      </w:pPr>
      <w:r>
        <w:rPr>
          <w:sz w:val="16"/>
        </w:rPr>
        <w:t>Note: Number of Scottish regulated mortgage loans as a share of the UK total.</w:t>
      </w:r>
    </w:p>
    <w:p>
      <w:pPr>
        <w:pStyle w:val="BodyText"/>
        <w:rPr>
          <w:sz w:val="18"/>
        </w:rPr>
      </w:pPr>
    </w:p>
    <w:p>
      <w:pPr>
        <w:pStyle w:val="BodyText"/>
        <w:rPr>
          <w:sz w:val="18"/>
        </w:rPr>
      </w:pPr>
    </w:p>
    <w:p>
      <w:pPr>
        <w:pStyle w:val="BodyText"/>
        <w:rPr>
          <w:sz w:val="18"/>
        </w:rPr>
      </w:pPr>
    </w:p>
    <w:p>
      <w:pPr>
        <w:pStyle w:val="BodyText"/>
        <w:spacing w:before="5"/>
        <w:rPr>
          <w:sz w:val="21"/>
        </w:rPr>
      </w:pPr>
    </w:p>
    <w:p>
      <w:pPr>
        <w:pStyle w:val="Heading1"/>
        <w:ind w:left="913" w:right="793"/>
        <w:jc w:val="center"/>
      </w:pPr>
      <w:r>
        <w:rPr>
          <w:color w:val="0070C0"/>
        </w:rPr>
        <w:t>Table 4: Banking sector size as multiple of GDP</w:t>
      </w:r>
      <w:r>
        <w:rPr>
          <w:color w:val="0070C0"/>
          <w:vertAlign w:val="superscript"/>
        </w:rPr>
        <w:t>(a)</w:t>
      </w:r>
    </w:p>
    <w:p>
      <w:pPr>
        <w:pStyle w:val="BodyText"/>
        <w:rPr>
          <w:b/>
          <w:sz w:val="24"/>
        </w:rPr>
      </w:pPr>
    </w:p>
    <w:p>
      <w:pPr>
        <w:pStyle w:val="BodyText"/>
        <w:spacing w:before="2"/>
        <w:rPr>
          <w:b/>
          <w:sz w:val="22"/>
        </w:rPr>
      </w:pPr>
    </w:p>
    <w:p>
      <w:pPr>
        <w:tabs>
          <w:tab w:pos="1267" w:val="left" w:leader="none"/>
          <w:tab w:pos="2769" w:val="left" w:leader="none"/>
        </w:tabs>
        <w:spacing w:before="0"/>
        <w:ind w:left="121" w:right="0" w:firstLine="0"/>
        <w:jc w:val="center"/>
        <w:rPr>
          <w:b/>
          <w:sz w:val="16"/>
        </w:rPr>
      </w:pPr>
      <w:r>
        <w:rPr>
          <w:b/>
          <w:w w:val="100"/>
          <w:sz w:val="16"/>
          <w:u w:val="single"/>
        </w:rPr>
        <w:t> </w:t>
      </w:r>
      <w:r>
        <w:rPr>
          <w:b/>
          <w:sz w:val="16"/>
          <w:u w:val="single"/>
        </w:rPr>
        <w:tab/>
        <w:t>2012</w:t>
        <w:tab/>
      </w:r>
    </w:p>
    <w:p>
      <w:pPr>
        <w:tabs>
          <w:tab w:pos="2566" w:val="right" w:leader="none"/>
        </w:tabs>
        <w:spacing w:before="109"/>
        <w:ind w:left="121" w:right="0" w:firstLine="0"/>
        <w:jc w:val="center"/>
        <w:rPr>
          <w:sz w:val="16"/>
        </w:rPr>
      </w:pPr>
      <w:r>
        <w:rPr>
          <w:sz w:val="16"/>
        </w:rPr>
        <w:t>Scotland</w:t>
        <w:tab/>
        <w:t>12.5</w:t>
      </w:r>
    </w:p>
    <w:p>
      <w:pPr>
        <w:tabs>
          <w:tab w:pos="2388" w:val="right" w:leader="none"/>
        </w:tabs>
        <w:spacing w:before="98"/>
        <w:ind w:left="32" w:right="0" w:firstLine="0"/>
        <w:jc w:val="center"/>
        <w:rPr>
          <w:sz w:val="16"/>
        </w:rPr>
      </w:pPr>
      <w:r>
        <w:rPr>
          <w:sz w:val="16"/>
        </w:rPr>
        <w:t>rUK</w:t>
        <w:tab/>
        <w:t>4.3</w:t>
      </w:r>
    </w:p>
    <w:p>
      <w:pPr>
        <w:tabs>
          <w:tab w:pos="1267" w:val="left" w:leader="none"/>
          <w:tab w:pos="2769" w:val="left" w:leader="none"/>
        </w:tabs>
        <w:spacing w:before="379"/>
        <w:ind w:left="121" w:right="0" w:firstLine="0"/>
        <w:jc w:val="center"/>
        <w:rPr>
          <w:b/>
          <w:sz w:val="16"/>
        </w:rPr>
      </w:pPr>
      <w:r>
        <w:rPr>
          <w:b/>
          <w:w w:val="100"/>
          <w:sz w:val="16"/>
          <w:u w:val="single"/>
        </w:rPr>
        <w:t> </w:t>
      </w:r>
      <w:r>
        <w:rPr>
          <w:b/>
          <w:sz w:val="16"/>
          <w:u w:val="single"/>
        </w:rPr>
        <w:tab/>
        <w:t>2007</w:t>
        <w:tab/>
      </w:r>
    </w:p>
    <w:p>
      <w:pPr>
        <w:pStyle w:val="BodyText"/>
        <w:spacing w:before="10"/>
        <w:rPr>
          <w:b/>
          <w:sz w:val="9"/>
        </w:rPr>
      </w:pPr>
    </w:p>
    <w:tbl>
      <w:tblPr>
        <w:tblW w:w="0" w:type="auto"/>
        <w:jc w:val="left"/>
        <w:tblInd w:w="3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1017"/>
      </w:tblGrid>
      <w:tr>
        <w:trPr>
          <w:trHeight w:val="218" w:hRule="atLeast"/>
        </w:trPr>
        <w:tc>
          <w:tcPr>
            <w:tcW w:w="1438" w:type="dxa"/>
          </w:tcPr>
          <w:p>
            <w:pPr>
              <w:pStyle w:val="TableParagraph"/>
              <w:spacing w:line="179" w:lineRule="exact" w:before="0"/>
              <w:ind w:left="50"/>
              <w:jc w:val="left"/>
              <w:rPr>
                <w:sz w:val="16"/>
              </w:rPr>
            </w:pPr>
            <w:r>
              <w:rPr>
                <w:sz w:val="16"/>
              </w:rPr>
              <w:t>Ireland</w:t>
            </w:r>
          </w:p>
        </w:tc>
        <w:tc>
          <w:tcPr>
            <w:tcW w:w="1017" w:type="dxa"/>
          </w:tcPr>
          <w:p>
            <w:pPr>
              <w:pStyle w:val="TableParagraph"/>
              <w:spacing w:line="179" w:lineRule="exact" w:before="0"/>
              <w:ind w:left="0" w:right="47"/>
              <w:jc w:val="right"/>
              <w:rPr>
                <w:sz w:val="16"/>
              </w:rPr>
            </w:pPr>
            <w:r>
              <w:rPr>
                <w:sz w:val="16"/>
              </w:rPr>
              <w:t>7.1</w:t>
            </w:r>
          </w:p>
        </w:tc>
      </w:tr>
      <w:tr>
        <w:trPr>
          <w:trHeight w:val="294" w:hRule="atLeast"/>
        </w:trPr>
        <w:tc>
          <w:tcPr>
            <w:tcW w:w="1438" w:type="dxa"/>
          </w:tcPr>
          <w:p>
            <w:pPr>
              <w:pStyle w:val="TableParagraph"/>
              <w:spacing w:before="58"/>
              <w:ind w:left="50"/>
              <w:jc w:val="left"/>
              <w:rPr>
                <w:sz w:val="16"/>
              </w:rPr>
            </w:pPr>
            <w:r>
              <w:rPr>
                <w:sz w:val="16"/>
              </w:rPr>
              <w:t>Iceland</w:t>
            </w:r>
            <w:r>
              <w:rPr>
                <w:sz w:val="16"/>
                <w:vertAlign w:val="superscript"/>
              </w:rPr>
              <w:t>(b)</w:t>
            </w:r>
          </w:p>
        </w:tc>
        <w:tc>
          <w:tcPr>
            <w:tcW w:w="1017" w:type="dxa"/>
          </w:tcPr>
          <w:p>
            <w:pPr>
              <w:pStyle w:val="TableParagraph"/>
              <w:spacing w:before="58"/>
              <w:ind w:left="0" w:right="47"/>
              <w:jc w:val="right"/>
              <w:rPr>
                <w:sz w:val="16"/>
              </w:rPr>
            </w:pPr>
            <w:r>
              <w:rPr>
                <w:sz w:val="16"/>
              </w:rPr>
              <w:t>7.4</w:t>
            </w:r>
          </w:p>
        </w:tc>
      </w:tr>
      <w:tr>
        <w:trPr>
          <w:trHeight w:val="282" w:hRule="atLeast"/>
        </w:trPr>
        <w:tc>
          <w:tcPr>
            <w:tcW w:w="1438" w:type="dxa"/>
          </w:tcPr>
          <w:p>
            <w:pPr>
              <w:pStyle w:val="TableParagraph"/>
              <w:spacing w:before="47"/>
              <w:ind w:left="50"/>
              <w:jc w:val="left"/>
              <w:rPr>
                <w:sz w:val="16"/>
              </w:rPr>
            </w:pPr>
            <w:r>
              <w:rPr>
                <w:sz w:val="16"/>
              </w:rPr>
              <w:t>Cyprus</w:t>
            </w:r>
          </w:p>
        </w:tc>
        <w:tc>
          <w:tcPr>
            <w:tcW w:w="1017" w:type="dxa"/>
          </w:tcPr>
          <w:p>
            <w:pPr>
              <w:pStyle w:val="TableParagraph"/>
              <w:spacing w:before="47"/>
              <w:ind w:left="0" w:right="47"/>
              <w:jc w:val="right"/>
              <w:rPr>
                <w:sz w:val="16"/>
              </w:rPr>
            </w:pPr>
            <w:r>
              <w:rPr>
                <w:sz w:val="16"/>
              </w:rPr>
              <w:t>6.6</w:t>
            </w:r>
          </w:p>
        </w:tc>
      </w:tr>
      <w:tr>
        <w:trPr>
          <w:trHeight w:val="230" w:hRule="atLeast"/>
        </w:trPr>
        <w:tc>
          <w:tcPr>
            <w:tcW w:w="1438" w:type="dxa"/>
          </w:tcPr>
          <w:p>
            <w:pPr>
              <w:pStyle w:val="TableParagraph"/>
              <w:spacing w:line="164" w:lineRule="exact" w:before="46"/>
              <w:ind w:left="50"/>
              <w:jc w:val="left"/>
              <w:rPr>
                <w:sz w:val="16"/>
              </w:rPr>
            </w:pPr>
            <w:r>
              <w:rPr>
                <w:sz w:val="16"/>
              </w:rPr>
              <w:t>Spain</w:t>
            </w:r>
          </w:p>
        </w:tc>
        <w:tc>
          <w:tcPr>
            <w:tcW w:w="1017" w:type="dxa"/>
          </w:tcPr>
          <w:p>
            <w:pPr>
              <w:pStyle w:val="TableParagraph"/>
              <w:spacing w:line="164" w:lineRule="exact" w:before="46"/>
              <w:ind w:left="0" w:right="47"/>
              <w:jc w:val="right"/>
              <w:rPr>
                <w:sz w:val="16"/>
              </w:rPr>
            </w:pPr>
            <w:r>
              <w:rPr>
                <w:sz w:val="16"/>
              </w:rPr>
              <w:t>3.2</w:t>
            </w:r>
          </w:p>
        </w:tc>
      </w:tr>
    </w:tbl>
    <w:p>
      <w:pPr>
        <w:tabs>
          <w:tab w:pos="2166" w:val="left" w:leader="none"/>
        </w:tabs>
        <w:spacing w:before="98"/>
        <w:ind w:left="32" w:right="0" w:firstLine="0"/>
        <w:jc w:val="center"/>
        <w:rPr>
          <w:sz w:val="16"/>
        </w:rPr>
      </w:pPr>
      <w:r>
        <w:rPr>
          <w:sz w:val="16"/>
        </w:rPr>
        <w:t>UK</w:t>
      </w:r>
      <w:r>
        <w:rPr>
          <w:sz w:val="16"/>
          <w:vertAlign w:val="superscript"/>
        </w:rPr>
        <w:t>(c)</w:t>
      </w:r>
      <w:r>
        <w:rPr>
          <w:position w:val="8"/>
          <w:sz w:val="16"/>
          <w:vertAlign w:val="baseline"/>
        </w:rPr>
        <w:tab/>
      </w:r>
      <w:r>
        <w:rPr>
          <w:sz w:val="16"/>
          <w:vertAlign w:val="baseline"/>
        </w:rPr>
        <w:t>5.1</w:t>
      </w:r>
    </w:p>
    <w:p>
      <w:pPr>
        <w:tabs>
          <w:tab w:pos="2388" w:val="right" w:leader="none"/>
        </w:tabs>
        <w:spacing w:before="98"/>
        <w:ind w:left="32" w:right="0" w:firstLine="0"/>
        <w:jc w:val="center"/>
        <w:rPr>
          <w:sz w:val="16"/>
        </w:rPr>
      </w:pPr>
      <w:r>
        <w:rPr>
          <w:sz w:val="16"/>
        </w:rPr>
        <w:t>US</w:t>
      </w:r>
      <w:r>
        <w:rPr>
          <w:sz w:val="16"/>
          <w:vertAlign w:val="superscript"/>
        </w:rPr>
        <w:t>(d)</w:t>
      </w:r>
      <w:r>
        <w:rPr>
          <w:position w:val="8"/>
          <w:sz w:val="16"/>
          <w:vertAlign w:val="baseline"/>
        </w:rPr>
        <w:tab/>
      </w:r>
      <w:r>
        <w:rPr>
          <w:sz w:val="16"/>
          <w:vertAlign w:val="baseline"/>
        </w:rPr>
        <w:t>1.2</w:t>
      </w:r>
    </w:p>
    <w:p>
      <w:pPr>
        <w:pStyle w:val="BodyText"/>
        <w:spacing w:before="8"/>
        <w:rPr>
          <w:sz w:val="20"/>
        </w:rPr>
      </w:pPr>
    </w:p>
    <w:p>
      <w:pPr>
        <w:spacing w:before="0"/>
        <w:ind w:left="226" w:right="0" w:firstLine="0"/>
        <w:jc w:val="left"/>
        <w:rPr>
          <w:sz w:val="16"/>
        </w:rPr>
      </w:pPr>
      <w:r>
        <w:rPr>
          <w:sz w:val="16"/>
        </w:rPr>
        <w:t>Sources: Bank of England, ECB, Central Bank of Iceland, Datastream, Federal Reserve and Bank of England calculations.</w:t>
      </w:r>
    </w:p>
    <w:p>
      <w:pPr>
        <w:pStyle w:val="BodyText"/>
        <w:rPr>
          <w:sz w:val="16"/>
        </w:rPr>
      </w:pPr>
    </w:p>
    <w:p>
      <w:pPr>
        <w:pStyle w:val="ListParagraph"/>
        <w:numPr>
          <w:ilvl w:val="0"/>
          <w:numId w:val="3"/>
        </w:numPr>
        <w:tabs>
          <w:tab w:pos="468" w:val="left" w:leader="none"/>
        </w:tabs>
        <w:spacing w:line="240" w:lineRule="auto" w:before="1" w:after="0"/>
        <w:ind w:left="226" w:right="326" w:firstLine="0"/>
        <w:jc w:val="left"/>
        <w:rPr>
          <w:sz w:val="16"/>
        </w:rPr>
      </w:pPr>
      <w:r>
        <w:rPr>
          <w:sz w:val="16"/>
        </w:rPr>
        <w:t>Banking</w:t>
      </w:r>
      <w:r>
        <w:rPr>
          <w:spacing w:val="-3"/>
          <w:sz w:val="16"/>
        </w:rPr>
        <w:t> </w:t>
      </w:r>
      <w:r>
        <w:rPr>
          <w:sz w:val="16"/>
        </w:rPr>
        <w:t>assets</w:t>
      </w:r>
      <w:r>
        <w:rPr>
          <w:spacing w:val="-5"/>
          <w:sz w:val="16"/>
        </w:rPr>
        <w:t> </w:t>
      </w:r>
      <w:r>
        <w:rPr>
          <w:sz w:val="16"/>
        </w:rPr>
        <w:t>of</w:t>
      </w:r>
      <w:r>
        <w:rPr>
          <w:spacing w:val="-4"/>
          <w:sz w:val="16"/>
        </w:rPr>
        <w:t> </w:t>
      </w:r>
      <w:r>
        <w:rPr>
          <w:sz w:val="16"/>
        </w:rPr>
        <w:t>euro</w:t>
      </w:r>
      <w:r>
        <w:rPr>
          <w:spacing w:val="-3"/>
          <w:sz w:val="16"/>
        </w:rPr>
        <w:t> </w:t>
      </w:r>
      <w:r>
        <w:rPr>
          <w:sz w:val="16"/>
        </w:rPr>
        <w:t>area</w:t>
      </w:r>
      <w:r>
        <w:rPr>
          <w:spacing w:val="-3"/>
          <w:sz w:val="16"/>
        </w:rPr>
        <w:t> </w:t>
      </w:r>
      <w:r>
        <w:rPr>
          <w:sz w:val="16"/>
        </w:rPr>
        <w:t>countries</w:t>
      </w:r>
      <w:r>
        <w:rPr>
          <w:spacing w:val="-3"/>
          <w:sz w:val="16"/>
        </w:rPr>
        <w:t> </w:t>
      </w:r>
      <w:r>
        <w:rPr>
          <w:sz w:val="16"/>
        </w:rPr>
        <w:t>are</w:t>
      </w:r>
      <w:r>
        <w:rPr>
          <w:spacing w:val="-2"/>
          <w:sz w:val="16"/>
        </w:rPr>
        <w:t> </w:t>
      </w:r>
      <w:r>
        <w:rPr>
          <w:sz w:val="16"/>
        </w:rPr>
        <w:t>recorded</w:t>
      </w:r>
      <w:r>
        <w:rPr>
          <w:spacing w:val="-3"/>
          <w:sz w:val="16"/>
        </w:rPr>
        <w:t> </w:t>
      </w:r>
      <w:r>
        <w:rPr>
          <w:sz w:val="16"/>
        </w:rPr>
        <w:t>in</w:t>
      </w:r>
      <w:r>
        <w:rPr>
          <w:spacing w:val="-2"/>
          <w:sz w:val="16"/>
        </w:rPr>
        <w:t> </w:t>
      </w:r>
      <w:r>
        <w:rPr>
          <w:sz w:val="16"/>
        </w:rPr>
        <w:t>the</w:t>
      </w:r>
      <w:r>
        <w:rPr>
          <w:spacing w:val="-1"/>
          <w:sz w:val="16"/>
        </w:rPr>
        <w:t> </w:t>
      </w:r>
      <w:r>
        <w:rPr>
          <w:sz w:val="16"/>
        </w:rPr>
        <w:t>country</w:t>
      </w:r>
      <w:r>
        <w:rPr>
          <w:spacing w:val="-3"/>
          <w:sz w:val="16"/>
        </w:rPr>
        <w:t> </w:t>
      </w:r>
      <w:r>
        <w:rPr>
          <w:sz w:val="16"/>
        </w:rPr>
        <w:t>where</w:t>
      </w:r>
      <w:r>
        <w:rPr>
          <w:spacing w:val="-2"/>
          <w:sz w:val="16"/>
        </w:rPr>
        <w:t> </w:t>
      </w:r>
      <w:r>
        <w:rPr>
          <w:sz w:val="16"/>
        </w:rPr>
        <w:t>the</w:t>
      </w:r>
      <w:r>
        <w:rPr>
          <w:spacing w:val="-3"/>
          <w:sz w:val="16"/>
        </w:rPr>
        <w:t> </w:t>
      </w:r>
      <w:r>
        <w:rPr>
          <w:sz w:val="16"/>
        </w:rPr>
        <w:t>parent</w:t>
      </w:r>
      <w:r>
        <w:rPr>
          <w:spacing w:val="-4"/>
          <w:sz w:val="16"/>
        </w:rPr>
        <w:t> </w:t>
      </w:r>
      <w:r>
        <w:rPr>
          <w:sz w:val="16"/>
        </w:rPr>
        <w:t>entity</w:t>
      </w:r>
      <w:r>
        <w:rPr>
          <w:spacing w:val="-4"/>
          <w:sz w:val="16"/>
        </w:rPr>
        <w:t> </w:t>
      </w:r>
      <w:r>
        <w:rPr>
          <w:sz w:val="16"/>
        </w:rPr>
        <w:t>is</w:t>
      </w:r>
      <w:r>
        <w:rPr>
          <w:spacing w:val="-3"/>
          <w:sz w:val="16"/>
        </w:rPr>
        <w:t> </w:t>
      </w:r>
      <w:r>
        <w:rPr>
          <w:sz w:val="16"/>
        </w:rPr>
        <w:t>domiciled</w:t>
      </w:r>
      <w:r>
        <w:rPr>
          <w:spacing w:val="-3"/>
          <w:sz w:val="16"/>
        </w:rPr>
        <w:t> </w:t>
      </w:r>
      <w:r>
        <w:rPr>
          <w:sz w:val="16"/>
        </w:rPr>
        <w:t>and</w:t>
      </w:r>
      <w:r>
        <w:rPr>
          <w:spacing w:val="-4"/>
          <w:sz w:val="16"/>
        </w:rPr>
        <w:t> </w:t>
      </w:r>
      <w:r>
        <w:rPr>
          <w:sz w:val="16"/>
        </w:rPr>
        <w:t>includes</w:t>
      </w:r>
      <w:r>
        <w:rPr>
          <w:spacing w:val="-2"/>
          <w:sz w:val="16"/>
        </w:rPr>
        <w:t> </w:t>
      </w:r>
      <w:r>
        <w:rPr>
          <w:sz w:val="16"/>
        </w:rPr>
        <w:t>all</w:t>
      </w:r>
      <w:r>
        <w:rPr>
          <w:spacing w:val="-2"/>
          <w:sz w:val="16"/>
        </w:rPr>
        <w:t> </w:t>
      </w:r>
      <w:r>
        <w:rPr>
          <w:sz w:val="16"/>
        </w:rPr>
        <w:t>EU assets. Assets reflect gross derivative</w:t>
      </w:r>
      <w:r>
        <w:rPr>
          <w:spacing w:val="-7"/>
          <w:sz w:val="16"/>
        </w:rPr>
        <w:t> </w:t>
      </w:r>
      <w:r>
        <w:rPr>
          <w:sz w:val="16"/>
        </w:rPr>
        <w:t>positions.</w:t>
      </w:r>
    </w:p>
    <w:p>
      <w:pPr>
        <w:pStyle w:val="ListParagraph"/>
        <w:numPr>
          <w:ilvl w:val="0"/>
          <w:numId w:val="3"/>
        </w:numPr>
        <w:tabs>
          <w:tab w:pos="468" w:val="left" w:leader="none"/>
        </w:tabs>
        <w:spacing w:line="183" w:lineRule="exact" w:before="0" w:after="0"/>
        <w:ind w:left="467" w:right="0" w:hanging="242"/>
        <w:jc w:val="left"/>
        <w:rPr>
          <w:sz w:val="16"/>
        </w:rPr>
      </w:pPr>
      <w:r>
        <w:rPr>
          <w:sz w:val="16"/>
        </w:rPr>
        <w:t>Iceland data reflects net derivative positions and includes resident banks’ domestic and foreign</w:t>
      </w:r>
      <w:r>
        <w:rPr>
          <w:spacing w:val="-26"/>
          <w:sz w:val="16"/>
        </w:rPr>
        <w:t> </w:t>
      </w:r>
      <w:r>
        <w:rPr>
          <w:sz w:val="16"/>
        </w:rPr>
        <w:t>assets.</w:t>
      </w:r>
    </w:p>
    <w:p>
      <w:pPr>
        <w:pStyle w:val="ListParagraph"/>
        <w:numPr>
          <w:ilvl w:val="0"/>
          <w:numId w:val="3"/>
        </w:numPr>
        <w:tabs>
          <w:tab w:pos="503" w:val="left" w:leader="none"/>
        </w:tabs>
        <w:spacing w:line="240" w:lineRule="auto" w:before="0" w:after="0"/>
        <w:ind w:left="226" w:right="139" w:firstLine="0"/>
        <w:jc w:val="left"/>
        <w:rPr>
          <w:sz w:val="16"/>
        </w:rPr>
      </w:pPr>
      <w:r>
        <w:rPr>
          <w:sz w:val="16"/>
        </w:rPr>
        <w:t>2012 UK data taken from the HMT’s 'Scotland analysis: Financial services and banking', for methodology see</w:t>
      </w:r>
      <w:r>
        <w:rPr>
          <w:color w:val="0000FF"/>
          <w:sz w:val="16"/>
          <w:u w:val="single" w:color="0000FF"/>
        </w:rPr>
        <w:t> </w:t>
      </w:r>
      <w:r>
        <w:rPr>
          <w:color w:val="0000FF"/>
          <w:spacing w:val="-1"/>
          <w:sz w:val="16"/>
          <w:u w:val="single" w:color="0000FF"/>
        </w:rPr>
        <w:t>https://</w:t>
      </w:r>
      <w:hyperlink r:id="rId26">
        <w:r>
          <w:rPr>
            <w:color w:val="0000FF"/>
            <w:spacing w:val="-1"/>
            <w:sz w:val="16"/>
            <w:u w:val="single" w:color="0000FF"/>
          </w:rPr>
          <w:t>www.gov.uk/government/uploads/system/uploads/attachment_data/file/206166/banking_assets_vs_gdp_explanation.pdf</w:t>
        </w:r>
        <w:r>
          <w:rPr>
            <w:spacing w:val="-1"/>
            <w:sz w:val="16"/>
          </w:rPr>
          <w:t>.</w:t>
        </w:r>
      </w:hyperlink>
      <w:r>
        <w:rPr>
          <w:spacing w:val="-1"/>
          <w:sz w:val="16"/>
        </w:rPr>
        <w:t> </w:t>
      </w:r>
      <w:r>
        <w:rPr>
          <w:sz w:val="16"/>
        </w:rPr>
        <w:t>2007 UK data use the same</w:t>
      </w:r>
      <w:r>
        <w:rPr>
          <w:spacing w:val="-6"/>
          <w:sz w:val="16"/>
        </w:rPr>
        <w:t> </w:t>
      </w:r>
      <w:r>
        <w:rPr>
          <w:sz w:val="16"/>
        </w:rPr>
        <w:t>methodology.</w:t>
      </w:r>
    </w:p>
    <w:p>
      <w:pPr>
        <w:pStyle w:val="ListParagraph"/>
        <w:numPr>
          <w:ilvl w:val="0"/>
          <w:numId w:val="3"/>
        </w:numPr>
        <w:tabs>
          <w:tab w:pos="511" w:val="left" w:leader="none"/>
        </w:tabs>
        <w:spacing w:line="240" w:lineRule="auto" w:before="0" w:after="0"/>
        <w:ind w:left="226" w:right="237" w:firstLine="0"/>
        <w:jc w:val="left"/>
        <w:rPr>
          <w:sz w:val="16"/>
        </w:rPr>
      </w:pPr>
      <w:r>
        <w:rPr>
          <w:sz w:val="16"/>
        </w:rPr>
        <w:t>US data is based on US GAAP accounting principles. 2007 US data is break-adjusted by Bank of England staff to include assets</w:t>
      </w:r>
      <w:r>
        <w:rPr>
          <w:spacing w:val="-2"/>
          <w:sz w:val="16"/>
        </w:rPr>
        <w:t> </w:t>
      </w:r>
      <w:r>
        <w:rPr>
          <w:sz w:val="16"/>
        </w:rPr>
        <w:t>of</w:t>
      </w:r>
      <w:r>
        <w:rPr>
          <w:spacing w:val="-4"/>
          <w:sz w:val="16"/>
        </w:rPr>
        <w:t> </w:t>
      </w:r>
      <w:r>
        <w:rPr>
          <w:sz w:val="16"/>
        </w:rPr>
        <w:t>several</w:t>
      </w:r>
      <w:r>
        <w:rPr>
          <w:spacing w:val="-2"/>
          <w:sz w:val="16"/>
        </w:rPr>
        <w:t> </w:t>
      </w:r>
      <w:r>
        <w:rPr>
          <w:sz w:val="16"/>
        </w:rPr>
        <w:t>large</w:t>
      </w:r>
      <w:r>
        <w:rPr>
          <w:spacing w:val="-3"/>
          <w:sz w:val="16"/>
        </w:rPr>
        <w:t> </w:t>
      </w:r>
      <w:r>
        <w:rPr>
          <w:sz w:val="16"/>
        </w:rPr>
        <w:t>bank</w:t>
      </w:r>
      <w:r>
        <w:rPr>
          <w:spacing w:val="-5"/>
          <w:sz w:val="16"/>
        </w:rPr>
        <w:t> </w:t>
      </w:r>
      <w:r>
        <w:rPr>
          <w:sz w:val="16"/>
        </w:rPr>
        <w:t>holding</w:t>
      </w:r>
      <w:r>
        <w:rPr>
          <w:spacing w:val="-3"/>
          <w:sz w:val="16"/>
        </w:rPr>
        <w:t> </w:t>
      </w:r>
      <w:r>
        <w:rPr>
          <w:sz w:val="16"/>
        </w:rPr>
        <w:t>companies</w:t>
      </w:r>
      <w:r>
        <w:rPr>
          <w:spacing w:val="-2"/>
          <w:sz w:val="16"/>
        </w:rPr>
        <w:t> </w:t>
      </w:r>
      <w:r>
        <w:rPr>
          <w:sz w:val="16"/>
        </w:rPr>
        <w:t>(BHCs)</w:t>
      </w:r>
      <w:r>
        <w:rPr>
          <w:spacing w:val="-3"/>
          <w:sz w:val="16"/>
        </w:rPr>
        <w:t> </w:t>
      </w:r>
      <w:r>
        <w:rPr>
          <w:sz w:val="16"/>
        </w:rPr>
        <w:t>that</w:t>
      </w:r>
      <w:r>
        <w:rPr>
          <w:spacing w:val="-5"/>
          <w:sz w:val="16"/>
        </w:rPr>
        <w:t> </w:t>
      </w:r>
      <w:r>
        <w:rPr>
          <w:sz w:val="16"/>
        </w:rPr>
        <w:t>became</w:t>
      </w:r>
      <w:r>
        <w:rPr>
          <w:spacing w:val="-3"/>
          <w:sz w:val="16"/>
        </w:rPr>
        <w:t> </w:t>
      </w:r>
      <w:r>
        <w:rPr>
          <w:sz w:val="16"/>
        </w:rPr>
        <w:t>BHCs</w:t>
      </w:r>
      <w:r>
        <w:rPr>
          <w:spacing w:val="-2"/>
          <w:sz w:val="16"/>
        </w:rPr>
        <w:t> </w:t>
      </w:r>
      <w:r>
        <w:rPr>
          <w:sz w:val="16"/>
        </w:rPr>
        <w:t>in</w:t>
      </w:r>
      <w:r>
        <w:rPr>
          <w:spacing w:val="-3"/>
          <w:sz w:val="16"/>
        </w:rPr>
        <w:t> </w:t>
      </w:r>
      <w:r>
        <w:rPr>
          <w:sz w:val="16"/>
        </w:rPr>
        <w:t>2009,</w:t>
      </w:r>
      <w:r>
        <w:rPr>
          <w:spacing w:val="-2"/>
          <w:sz w:val="16"/>
        </w:rPr>
        <w:t> </w:t>
      </w:r>
      <w:r>
        <w:rPr>
          <w:sz w:val="16"/>
        </w:rPr>
        <w:t>and</w:t>
      </w:r>
      <w:r>
        <w:rPr>
          <w:spacing w:val="-3"/>
          <w:sz w:val="16"/>
        </w:rPr>
        <w:t> </w:t>
      </w:r>
      <w:r>
        <w:rPr>
          <w:sz w:val="16"/>
        </w:rPr>
        <w:t>so</w:t>
      </w:r>
      <w:r>
        <w:rPr>
          <w:spacing w:val="-2"/>
          <w:sz w:val="16"/>
        </w:rPr>
        <w:t> </w:t>
      </w:r>
      <w:r>
        <w:rPr>
          <w:sz w:val="16"/>
        </w:rPr>
        <w:t>were</w:t>
      </w:r>
      <w:r>
        <w:rPr>
          <w:spacing w:val="-3"/>
          <w:sz w:val="16"/>
        </w:rPr>
        <w:t> </w:t>
      </w:r>
      <w:r>
        <w:rPr>
          <w:sz w:val="16"/>
        </w:rPr>
        <w:t>previously</w:t>
      </w:r>
      <w:r>
        <w:rPr>
          <w:spacing w:val="-5"/>
          <w:sz w:val="16"/>
        </w:rPr>
        <w:t> </w:t>
      </w:r>
      <w:r>
        <w:rPr>
          <w:sz w:val="16"/>
        </w:rPr>
        <w:t>excluded</w:t>
      </w:r>
      <w:r>
        <w:rPr>
          <w:spacing w:val="-2"/>
          <w:sz w:val="16"/>
        </w:rPr>
        <w:t> </w:t>
      </w:r>
      <w:r>
        <w:rPr>
          <w:sz w:val="16"/>
        </w:rPr>
        <w:t>from</w:t>
      </w:r>
      <w:r>
        <w:rPr>
          <w:spacing w:val="-1"/>
          <w:sz w:val="16"/>
        </w:rPr>
        <w:t> </w:t>
      </w:r>
      <w:r>
        <w:rPr>
          <w:sz w:val="16"/>
        </w:rPr>
        <w:t>the data.</w:t>
      </w:r>
    </w:p>
    <w:p>
      <w:pPr>
        <w:spacing w:after="0" w:line="240" w:lineRule="auto"/>
        <w:jc w:val="left"/>
        <w:rPr>
          <w:sz w:val="16"/>
        </w:rPr>
        <w:sectPr>
          <w:pgSz w:w="12240" w:h="15840"/>
          <w:pgMar w:header="0" w:footer="1240" w:top="1280" w:bottom="1440" w:left="1360" w:right="1480"/>
        </w:sectPr>
      </w:pPr>
    </w:p>
    <w:p>
      <w:pPr>
        <w:pStyle w:val="Heading1"/>
        <w:spacing w:before="70"/>
        <w:ind w:left="914" w:right="793"/>
        <w:jc w:val="center"/>
      </w:pPr>
      <w:r>
        <w:rPr>
          <w:color w:val="0070C0"/>
        </w:rPr>
        <w:t>Table 5: General and central government expenditure as % GDP</w:t>
      </w:r>
    </w:p>
    <w:p>
      <w:pPr>
        <w:pStyle w:val="BodyText"/>
        <w:rPr>
          <w:b/>
          <w:sz w:val="20"/>
        </w:rPr>
      </w:pPr>
    </w:p>
    <w:p>
      <w:pPr>
        <w:pStyle w:val="BodyText"/>
        <w:spacing w:before="1"/>
        <w:rPr>
          <w:b/>
          <w:sz w:val="18"/>
        </w:rPr>
      </w:pPr>
    </w:p>
    <w:tbl>
      <w:tblPr>
        <w:tblW w:w="0" w:type="auto"/>
        <w:jc w:val="left"/>
        <w:tblInd w:w="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2820"/>
        <w:gridCol w:w="2785"/>
      </w:tblGrid>
      <w:tr>
        <w:trPr>
          <w:trHeight w:val="164" w:hRule="atLeast"/>
        </w:trPr>
        <w:tc>
          <w:tcPr>
            <w:tcW w:w="1965" w:type="dxa"/>
            <w:vMerge w:val="restart"/>
            <w:tcBorders>
              <w:bottom w:val="single" w:sz="4" w:space="0" w:color="000000"/>
            </w:tcBorders>
          </w:tcPr>
          <w:p>
            <w:pPr>
              <w:pStyle w:val="TableParagraph"/>
              <w:spacing w:before="0"/>
              <w:ind w:left="0"/>
              <w:jc w:val="left"/>
              <w:rPr>
                <w:rFonts w:ascii="Times New Roman"/>
                <w:sz w:val="16"/>
              </w:rPr>
            </w:pPr>
          </w:p>
        </w:tc>
        <w:tc>
          <w:tcPr>
            <w:tcW w:w="2820" w:type="dxa"/>
          </w:tcPr>
          <w:p>
            <w:pPr>
              <w:pStyle w:val="TableParagraph"/>
              <w:spacing w:line="145" w:lineRule="exact" w:before="0"/>
              <w:ind w:right="106"/>
              <w:rPr>
                <w:sz w:val="16"/>
              </w:rPr>
            </w:pPr>
            <w:r>
              <w:rPr>
                <w:sz w:val="16"/>
              </w:rPr>
              <w:t>General government expenditure,</w:t>
            </w:r>
          </w:p>
        </w:tc>
        <w:tc>
          <w:tcPr>
            <w:tcW w:w="2785" w:type="dxa"/>
          </w:tcPr>
          <w:p>
            <w:pPr>
              <w:pStyle w:val="TableParagraph"/>
              <w:spacing w:line="145" w:lineRule="exact" w:before="0"/>
              <w:ind w:left="108" w:right="120"/>
              <w:rPr>
                <w:sz w:val="16"/>
              </w:rPr>
            </w:pPr>
            <w:r>
              <w:rPr>
                <w:sz w:val="16"/>
              </w:rPr>
              <w:t>Central government expenditure, %</w:t>
            </w:r>
          </w:p>
        </w:tc>
      </w:tr>
      <w:tr>
        <w:trPr>
          <w:trHeight w:val="215" w:hRule="atLeast"/>
        </w:trPr>
        <w:tc>
          <w:tcPr>
            <w:tcW w:w="1965" w:type="dxa"/>
            <w:vMerge/>
            <w:tcBorders>
              <w:top w:val="nil"/>
              <w:bottom w:val="single" w:sz="4" w:space="0" w:color="000000"/>
            </w:tcBorders>
          </w:tcPr>
          <w:p>
            <w:pPr>
              <w:rPr>
                <w:sz w:val="2"/>
                <w:szCs w:val="2"/>
              </w:rPr>
            </w:pPr>
          </w:p>
        </w:tc>
        <w:tc>
          <w:tcPr>
            <w:tcW w:w="2820" w:type="dxa"/>
            <w:tcBorders>
              <w:bottom w:val="single" w:sz="4" w:space="0" w:color="000000"/>
            </w:tcBorders>
          </w:tcPr>
          <w:p>
            <w:pPr>
              <w:pStyle w:val="TableParagraph"/>
              <w:spacing w:line="127" w:lineRule="auto" w:before="18"/>
              <w:ind w:right="105"/>
              <w:rPr>
                <w:sz w:val="10"/>
              </w:rPr>
            </w:pPr>
            <w:r>
              <w:rPr>
                <w:position w:val="-7"/>
                <w:sz w:val="16"/>
              </w:rPr>
              <w:t>% of GDP</w:t>
            </w:r>
            <w:r>
              <w:rPr>
                <w:sz w:val="10"/>
              </w:rPr>
              <w:t>(a)(b)</w:t>
            </w:r>
          </w:p>
        </w:tc>
        <w:tc>
          <w:tcPr>
            <w:tcW w:w="2785" w:type="dxa"/>
            <w:tcBorders>
              <w:bottom w:val="single" w:sz="4" w:space="0" w:color="000000"/>
            </w:tcBorders>
          </w:tcPr>
          <w:p>
            <w:pPr>
              <w:pStyle w:val="TableParagraph"/>
              <w:spacing w:line="127" w:lineRule="auto" w:before="18"/>
              <w:ind w:left="108" w:right="120"/>
              <w:rPr>
                <w:sz w:val="10"/>
              </w:rPr>
            </w:pPr>
            <w:r>
              <w:rPr>
                <w:position w:val="-7"/>
                <w:sz w:val="16"/>
              </w:rPr>
              <w:t>of GDP</w:t>
            </w:r>
            <w:r>
              <w:rPr>
                <w:sz w:val="10"/>
              </w:rPr>
              <w:t>(a)(b)</w:t>
            </w:r>
          </w:p>
        </w:tc>
      </w:tr>
      <w:tr>
        <w:trPr>
          <w:trHeight w:val="213" w:hRule="atLeast"/>
        </w:trPr>
        <w:tc>
          <w:tcPr>
            <w:tcW w:w="1965" w:type="dxa"/>
            <w:tcBorders>
              <w:top w:val="single" w:sz="4" w:space="0" w:color="000000"/>
            </w:tcBorders>
          </w:tcPr>
          <w:p>
            <w:pPr>
              <w:pStyle w:val="TableParagraph"/>
              <w:spacing w:line="183" w:lineRule="exact" w:before="0"/>
              <w:ind w:left="488" w:right="288"/>
              <w:rPr>
                <w:sz w:val="16"/>
              </w:rPr>
            </w:pPr>
            <w:r>
              <w:rPr>
                <w:sz w:val="16"/>
              </w:rPr>
              <w:t>Australia</w:t>
            </w:r>
          </w:p>
        </w:tc>
        <w:tc>
          <w:tcPr>
            <w:tcW w:w="2820" w:type="dxa"/>
            <w:tcBorders>
              <w:top w:val="single" w:sz="4" w:space="0" w:color="000000"/>
            </w:tcBorders>
          </w:tcPr>
          <w:p>
            <w:pPr>
              <w:pStyle w:val="TableParagraph"/>
              <w:spacing w:line="183" w:lineRule="exact" w:before="0"/>
              <w:ind w:right="105"/>
              <w:rPr>
                <w:sz w:val="16"/>
              </w:rPr>
            </w:pPr>
            <w:r>
              <w:rPr>
                <w:sz w:val="16"/>
              </w:rPr>
              <w:t>36</w:t>
            </w:r>
          </w:p>
        </w:tc>
        <w:tc>
          <w:tcPr>
            <w:tcW w:w="2785" w:type="dxa"/>
            <w:tcBorders>
              <w:top w:val="single" w:sz="4" w:space="0" w:color="000000"/>
            </w:tcBorders>
          </w:tcPr>
          <w:p>
            <w:pPr>
              <w:pStyle w:val="TableParagraph"/>
              <w:spacing w:line="183" w:lineRule="exact" w:before="0"/>
              <w:ind w:left="108" w:right="120"/>
              <w:rPr>
                <w:sz w:val="16"/>
              </w:rPr>
            </w:pPr>
            <w:r>
              <w:rPr>
                <w:sz w:val="16"/>
              </w:rPr>
              <w:t>26</w:t>
            </w:r>
          </w:p>
        </w:tc>
      </w:tr>
      <w:tr>
        <w:trPr>
          <w:trHeight w:val="239" w:hRule="atLeast"/>
        </w:trPr>
        <w:tc>
          <w:tcPr>
            <w:tcW w:w="1965" w:type="dxa"/>
          </w:tcPr>
          <w:p>
            <w:pPr>
              <w:pStyle w:val="TableParagraph"/>
              <w:ind w:left="488" w:right="288"/>
              <w:rPr>
                <w:sz w:val="16"/>
              </w:rPr>
            </w:pPr>
            <w:r>
              <w:rPr>
                <w:sz w:val="16"/>
              </w:rPr>
              <w:t>Austria</w:t>
            </w:r>
          </w:p>
        </w:tc>
        <w:tc>
          <w:tcPr>
            <w:tcW w:w="2820" w:type="dxa"/>
          </w:tcPr>
          <w:p>
            <w:pPr>
              <w:pStyle w:val="TableParagraph"/>
              <w:ind w:right="105"/>
              <w:rPr>
                <w:sz w:val="16"/>
              </w:rPr>
            </w:pPr>
            <w:r>
              <w:rPr>
                <w:sz w:val="16"/>
              </w:rPr>
              <w:t>53</w:t>
            </w:r>
          </w:p>
        </w:tc>
        <w:tc>
          <w:tcPr>
            <w:tcW w:w="2785" w:type="dxa"/>
          </w:tcPr>
          <w:p>
            <w:pPr>
              <w:pStyle w:val="TableParagraph"/>
              <w:ind w:left="108" w:right="120"/>
              <w:rPr>
                <w:sz w:val="16"/>
              </w:rPr>
            </w:pPr>
            <w:r>
              <w:rPr>
                <w:sz w:val="16"/>
              </w:rPr>
              <w:t>27</w:t>
            </w:r>
          </w:p>
        </w:tc>
      </w:tr>
      <w:tr>
        <w:trPr>
          <w:trHeight w:val="239" w:hRule="atLeast"/>
        </w:trPr>
        <w:tc>
          <w:tcPr>
            <w:tcW w:w="1965" w:type="dxa"/>
          </w:tcPr>
          <w:p>
            <w:pPr>
              <w:pStyle w:val="TableParagraph"/>
              <w:ind w:left="488" w:right="288"/>
              <w:rPr>
                <w:sz w:val="16"/>
              </w:rPr>
            </w:pPr>
            <w:r>
              <w:rPr>
                <w:sz w:val="16"/>
              </w:rPr>
              <w:t>Belgium</w:t>
            </w:r>
          </w:p>
        </w:tc>
        <w:tc>
          <w:tcPr>
            <w:tcW w:w="2820" w:type="dxa"/>
          </w:tcPr>
          <w:p>
            <w:pPr>
              <w:pStyle w:val="TableParagraph"/>
              <w:ind w:right="105"/>
              <w:rPr>
                <w:sz w:val="16"/>
              </w:rPr>
            </w:pPr>
            <w:r>
              <w:rPr>
                <w:sz w:val="16"/>
              </w:rPr>
              <w:t>53</w:t>
            </w:r>
          </w:p>
        </w:tc>
        <w:tc>
          <w:tcPr>
            <w:tcW w:w="2785" w:type="dxa"/>
          </w:tcPr>
          <w:p>
            <w:pPr>
              <w:pStyle w:val="TableParagraph"/>
              <w:ind w:left="108" w:right="120"/>
              <w:rPr>
                <w:sz w:val="16"/>
              </w:rPr>
            </w:pPr>
            <w:r>
              <w:rPr>
                <w:sz w:val="16"/>
              </w:rPr>
              <w:t>30</w:t>
            </w:r>
          </w:p>
        </w:tc>
      </w:tr>
      <w:tr>
        <w:trPr>
          <w:trHeight w:val="239" w:hRule="atLeast"/>
        </w:trPr>
        <w:tc>
          <w:tcPr>
            <w:tcW w:w="1965" w:type="dxa"/>
          </w:tcPr>
          <w:p>
            <w:pPr>
              <w:pStyle w:val="TableParagraph"/>
              <w:ind w:left="488" w:right="288"/>
              <w:rPr>
                <w:sz w:val="16"/>
              </w:rPr>
            </w:pPr>
            <w:r>
              <w:rPr>
                <w:sz w:val="16"/>
              </w:rPr>
              <w:t>Canada</w:t>
            </w:r>
          </w:p>
        </w:tc>
        <w:tc>
          <w:tcPr>
            <w:tcW w:w="2820" w:type="dxa"/>
          </w:tcPr>
          <w:p>
            <w:pPr>
              <w:pStyle w:val="TableParagraph"/>
              <w:ind w:right="106"/>
              <w:rPr>
                <w:sz w:val="16"/>
              </w:rPr>
            </w:pPr>
            <w:r>
              <w:rPr>
                <w:sz w:val="16"/>
              </w:rPr>
              <w:t>44</w:t>
            </w:r>
          </w:p>
        </w:tc>
        <w:tc>
          <w:tcPr>
            <w:tcW w:w="2785" w:type="dxa"/>
          </w:tcPr>
          <w:p>
            <w:pPr>
              <w:pStyle w:val="TableParagraph"/>
              <w:ind w:left="108" w:right="120"/>
              <w:rPr>
                <w:sz w:val="16"/>
              </w:rPr>
            </w:pPr>
            <w:r>
              <w:rPr>
                <w:sz w:val="16"/>
              </w:rPr>
              <w:t>17</w:t>
            </w:r>
          </w:p>
        </w:tc>
      </w:tr>
      <w:tr>
        <w:trPr>
          <w:trHeight w:val="239" w:hRule="atLeast"/>
        </w:trPr>
        <w:tc>
          <w:tcPr>
            <w:tcW w:w="1965" w:type="dxa"/>
          </w:tcPr>
          <w:p>
            <w:pPr>
              <w:pStyle w:val="TableParagraph"/>
              <w:spacing w:before="26"/>
              <w:ind w:left="488" w:right="287"/>
              <w:rPr>
                <w:sz w:val="16"/>
              </w:rPr>
            </w:pPr>
            <w:r>
              <w:rPr>
                <w:sz w:val="16"/>
              </w:rPr>
              <w:t>Czech Republic</w:t>
            </w:r>
          </w:p>
        </w:tc>
        <w:tc>
          <w:tcPr>
            <w:tcW w:w="2820" w:type="dxa"/>
          </w:tcPr>
          <w:p>
            <w:pPr>
              <w:pStyle w:val="TableParagraph"/>
              <w:spacing w:before="26"/>
              <w:ind w:right="105"/>
              <w:rPr>
                <w:sz w:val="16"/>
              </w:rPr>
            </w:pPr>
            <w:r>
              <w:rPr>
                <w:sz w:val="16"/>
              </w:rPr>
              <w:t>44</w:t>
            </w:r>
          </w:p>
        </w:tc>
        <w:tc>
          <w:tcPr>
            <w:tcW w:w="2785" w:type="dxa"/>
          </w:tcPr>
          <w:p>
            <w:pPr>
              <w:pStyle w:val="TableParagraph"/>
              <w:spacing w:before="26"/>
              <w:ind w:left="108" w:right="120"/>
              <w:rPr>
                <w:sz w:val="16"/>
              </w:rPr>
            </w:pPr>
            <w:r>
              <w:rPr>
                <w:sz w:val="16"/>
              </w:rPr>
              <w:t>30</w:t>
            </w:r>
          </w:p>
        </w:tc>
      </w:tr>
      <w:tr>
        <w:trPr>
          <w:trHeight w:val="239" w:hRule="atLeast"/>
        </w:trPr>
        <w:tc>
          <w:tcPr>
            <w:tcW w:w="1965" w:type="dxa"/>
          </w:tcPr>
          <w:p>
            <w:pPr>
              <w:pStyle w:val="TableParagraph"/>
              <w:ind w:left="488" w:right="287"/>
              <w:rPr>
                <w:sz w:val="16"/>
              </w:rPr>
            </w:pPr>
            <w:r>
              <w:rPr>
                <w:sz w:val="16"/>
              </w:rPr>
              <w:t>Denmark</w:t>
            </w:r>
          </w:p>
        </w:tc>
        <w:tc>
          <w:tcPr>
            <w:tcW w:w="2820" w:type="dxa"/>
          </w:tcPr>
          <w:p>
            <w:pPr>
              <w:pStyle w:val="TableParagraph"/>
              <w:ind w:right="106"/>
              <w:rPr>
                <w:sz w:val="16"/>
              </w:rPr>
            </w:pPr>
            <w:r>
              <w:rPr>
                <w:sz w:val="16"/>
              </w:rPr>
              <w:t>58</w:t>
            </w:r>
          </w:p>
        </w:tc>
        <w:tc>
          <w:tcPr>
            <w:tcW w:w="2785" w:type="dxa"/>
          </w:tcPr>
          <w:p>
            <w:pPr>
              <w:pStyle w:val="TableParagraph"/>
              <w:ind w:left="108" w:right="120"/>
              <w:rPr>
                <w:sz w:val="16"/>
              </w:rPr>
            </w:pPr>
            <w:r>
              <w:rPr>
                <w:sz w:val="16"/>
              </w:rPr>
              <w:t>42</w:t>
            </w:r>
          </w:p>
        </w:tc>
      </w:tr>
      <w:tr>
        <w:trPr>
          <w:trHeight w:val="239" w:hRule="atLeast"/>
        </w:trPr>
        <w:tc>
          <w:tcPr>
            <w:tcW w:w="1965" w:type="dxa"/>
          </w:tcPr>
          <w:p>
            <w:pPr>
              <w:pStyle w:val="TableParagraph"/>
              <w:spacing w:before="26"/>
              <w:ind w:left="488" w:right="288"/>
              <w:rPr>
                <w:sz w:val="16"/>
              </w:rPr>
            </w:pPr>
            <w:r>
              <w:rPr>
                <w:sz w:val="16"/>
              </w:rPr>
              <w:t>Estonia</w:t>
            </w:r>
          </w:p>
        </w:tc>
        <w:tc>
          <w:tcPr>
            <w:tcW w:w="2820" w:type="dxa"/>
          </w:tcPr>
          <w:p>
            <w:pPr>
              <w:pStyle w:val="TableParagraph"/>
              <w:spacing w:before="26"/>
              <w:ind w:right="105"/>
              <w:rPr>
                <w:sz w:val="16"/>
              </w:rPr>
            </w:pPr>
            <w:r>
              <w:rPr>
                <w:sz w:val="16"/>
              </w:rPr>
              <w:t>40</w:t>
            </w:r>
          </w:p>
        </w:tc>
        <w:tc>
          <w:tcPr>
            <w:tcW w:w="2785" w:type="dxa"/>
          </w:tcPr>
          <w:p>
            <w:pPr>
              <w:pStyle w:val="TableParagraph"/>
              <w:spacing w:before="26"/>
              <w:ind w:left="108" w:right="120"/>
              <w:rPr>
                <w:sz w:val="16"/>
              </w:rPr>
            </w:pPr>
            <w:r>
              <w:rPr>
                <w:sz w:val="16"/>
              </w:rPr>
              <w:t>30</w:t>
            </w:r>
          </w:p>
        </w:tc>
      </w:tr>
      <w:tr>
        <w:trPr>
          <w:trHeight w:val="239" w:hRule="atLeast"/>
        </w:trPr>
        <w:tc>
          <w:tcPr>
            <w:tcW w:w="1965" w:type="dxa"/>
          </w:tcPr>
          <w:p>
            <w:pPr>
              <w:pStyle w:val="TableParagraph"/>
              <w:ind w:left="488" w:right="288"/>
              <w:rPr>
                <w:sz w:val="16"/>
              </w:rPr>
            </w:pPr>
            <w:r>
              <w:rPr>
                <w:sz w:val="16"/>
              </w:rPr>
              <w:t>Finland</w:t>
            </w:r>
          </w:p>
        </w:tc>
        <w:tc>
          <w:tcPr>
            <w:tcW w:w="2820" w:type="dxa"/>
          </w:tcPr>
          <w:p>
            <w:pPr>
              <w:pStyle w:val="TableParagraph"/>
              <w:ind w:right="106"/>
              <w:rPr>
                <w:sz w:val="16"/>
              </w:rPr>
            </w:pPr>
            <w:r>
              <w:rPr>
                <w:sz w:val="16"/>
              </w:rPr>
              <w:t>56</w:t>
            </w:r>
          </w:p>
        </w:tc>
        <w:tc>
          <w:tcPr>
            <w:tcW w:w="2785" w:type="dxa"/>
          </w:tcPr>
          <w:p>
            <w:pPr>
              <w:pStyle w:val="TableParagraph"/>
              <w:ind w:left="108" w:right="120"/>
              <w:rPr>
                <w:sz w:val="16"/>
              </w:rPr>
            </w:pPr>
            <w:r>
              <w:rPr>
                <w:sz w:val="16"/>
              </w:rPr>
              <w:t>28</w:t>
            </w:r>
          </w:p>
        </w:tc>
      </w:tr>
      <w:tr>
        <w:trPr>
          <w:trHeight w:val="239" w:hRule="atLeast"/>
        </w:trPr>
        <w:tc>
          <w:tcPr>
            <w:tcW w:w="1965" w:type="dxa"/>
          </w:tcPr>
          <w:p>
            <w:pPr>
              <w:pStyle w:val="TableParagraph"/>
              <w:spacing w:before="26"/>
              <w:ind w:left="488" w:right="288"/>
              <w:rPr>
                <w:sz w:val="16"/>
              </w:rPr>
            </w:pPr>
            <w:r>
              <w:rPr>
                <w:sz w:val="16"/>
              </w:rPr>
              <w:t>France</w:t>
            </w:r>
          </w:p>
        </w:tc>
        <w:tc>
          <w:tcPr>
            <w:tcW w:w="2820" w:type="dxa"/>
          </w:tcPr>
          <w:p>
            <w:pPr>
              <w:pStyle w:val="TableParagraph"/>
              <w:spacing w:before="26"/>
              <w:ind w:right="105"/>
              <w:rPr>
                <w:sz w:val="16"/>
              </w:rPr>
            </w:pPr>
            <w:r>
              <w:rPr>
                <w:sz w:val="16"/>
              </w:rPr>
              <w:t>57</w:t>
            </w:r>
          </w:p>
        </w:tc>
        <w:tc>
          <w:tcPr>
            <w:tcW w:w="2785" w:type="dxa"/>
          </w:tcPr>
          <w:p>
            <w:pPr>
              <w:pStyle w:val="TableParagraph"/>
              <w:spacing w:before="26"/>
              <w:ind w:left="108" w:right="120"/>
              <w:rPr>
                <w:sz w:val="16"/>
              </w:rPr>
            </w:pPr>
            <w:r>
              <w:rPr>
                <w:sz w:val="16"/>
              </w:rPr>
              <w:t>24</w:t>
            </w:r>
          </w:p>
        </w:tc>
      </w:tr>
      <w:tr>
        <w:trPr>
          <w:trHeight w:val="239" w:hRule="atLeast"/>
        </w:trPr>
        <w:tc>
          <w:tcPr>
            <w:tcW w:w="1965" w:type="dxa"/>
          </w:tcPr>
          <w:p>
            <w:pPr>
              <w:pStyle w:val="TableParagraph"/>
              <w:ind w:left="488" w:right="286"/>
              <w:rPr>
                <w:sz w:val="16"/>
              </w:rPr>
            </w:pPr>
            <w:r>
              <w:rPr>
                <w:sz w:val="16"/>
              </w:rPr>
              <w:t>Germany</w:t>
            </w:r>
          </w:p>
        </w:tc>
        <w:tc>
          <w:tcPr>
            <w:tcW w:w="2820" w:type="dxa"/>
          </w:tcPr>
          <w:p>
            <w:pPr>
              <w:pStyle w:val="TableParagraph"/>
              <w:ind w:right="105"/>
              <w:rPr>
                <w:sz w:val="16"/>
              </w:rPr>
            </w:pPr>
            <w:r>
              <w:rPr>
                <w:sz w:val="16"/>
              </w:rPr>
              <w:t>48</w:t>
            </w:r>
          </w:p>
        </w:tc>
        <w:tc>
          <w:tcPr>
            <w:tcW w:w="2785" w:type="dxa"/>
          </w:tcPr>
          <w:p>
            <w:pPr>
              <w:pStyle w:val="TableParagraph"/>
              <w:ind w:left="108" w:right="120"/>
              <w:rPr>
                <w:sz w:val="16"/>
              </w:rPr>
            </w:pPr>
            <w:r>
              <w:rPr>
                <w:sz w:val="16"/>
              </w:rPr>
              <w:t>16</w:t>
            </w:r>
          </w:p>
        </w:tc>
      </w:tr>
      <w:tr>
        <w:trPr>
          <w:trHeight w:val="239" w:hRule="atLeast"/>
        </w:trPr>
        <w:tc>
          <w:tcPr>
            <w:tcW w:w="1965" w:type="dxa"/>
          </w:tcPr>
          <w:p>
            <w:pPr>
              <w:pStyle w:val="TableParagraph"/>
              <w:ind w:left="488" w:right="288"/>
              <w:rPr>
                <w:sz w:val="16"/>
              </w:rPr>
            </w:pPr>
            <w:r>
              <w:rPr>
                <w:sz w:val="16"/>
              </w:rPr>
              <w:t>Greece</w:t>
            </w:r>
          </w:p>
        </w:tc>
        <w:tc>
          <w:tcPr>
            <w:tcW w:w="2820" w:type="dxa"/>
          </w:tcPr>
          <w:p>
            <w:pPr>
              <w:pStyle w:val="TableParagraph"/>
              <w:ind w:right="105"/>
              <w:rPr>
                <w:sz w:val="16"/>
              </w:rPr>
            </w:pPr>
            <w:r>
              <w:rPr>
                <w:sz w:val="16"/>
              </w:rPr>
              <w:t>51</w:t>
            </w:r>
          </w:p>
        </w:tc>
        <w:tc>
          <w:tcPr>
            <w:tcW w:w="2785" w:type="dxa"/>
          </w:tcPr>
          <w:p>
            <w:pPr>
              <w:pStyle w:val="TableParagraph"/>
              <w:ind w:left="108" w:right="120"/>
              <w:rPr>
                <w:sz w:val="16"/>
              </w:rPr>
            </w:pPr>
            <w:r>
              <w:rPr>
                <w:sz w:val="16"/>
              </w:rPr>
              <w:t>40</w:t>
            </w:r>
          </w:p>
        </w:tc>
      </w:tr>
      <w:tr>
        <w:trPr>
          <w:trHeight w:val="239" w:hRule="atLeast"/>
        </w:trPr>
        <w:tc>
          <w:tcPr>
            <w:tcW w:w="1965" w:type="dxa"/>
          </w:tcPr>
          <w:p>
            <w:pPr>
              <w:pStyle w:val="TableParagraph"/>
              <w:ind w:left="488" w:right="285"/>
              <w:rPr>
                <w:sz w:val="16"/>
              </w:rPr>
            </w:pPr>
            <w:r>
              <w:rPr>
                <w:sz w:val="16"/>
              </w:rPr>
              <w:t>Hungary</w:t>
            </w:r>
          </w:p>
        </w:tc>
        <w:tc>
          <w:tcPr>
            <w:tcW w:w="2820" w:type="dxa"/>
          </w:tcPr>
          <w:p>
            <w:pPr>
              <w:pStyle w:val="TableParagraph"/>
              <w:ind w:right="106"/>
              <w:rPr>
                <w:sz w:val="16"/>
              </w:rPr>
            </w:pPr>
            <w:r>
              <w:rPr>
                <w:sz w:val="16"/>
              </w:rPr>
              <w:t>50</w:t>
            </w:r>
          </w:p>
        </w:tc>
        <w:tc>
          <w:tcPr>
            <w:tcW w:w="2785" w:type="dxa"/>
          </w:tcPr>
          <w:p>
            <w:pPr>
              <w:pStyle w:val="TableParagraph"/>
              <w:ind w:left="108" w:right="120"/>
              <w:rPr>
                <w:sz w:val="16"/>
              </w:rPr>
            </w:pPr>
            <w:r>
              <w:rPr>
                <w:sz w:val="16"/>
              </w:rPr>
              <w:t>33</w:t>
            </w:r>
          </w:p>
        </w:tc>
      </w:tr>
      <w:tr>
        <w:trPr>
          <w:trHeight w:val="239" w:hRule="atLeast"/>
        </w:trPr>
        <w:tc>
          <w:tcPr>
            <w:tcW w:w="1965" w:type="dxa"/>
          </w:tcPr>
          <w:p>
            <w:pPr>
              <w:pStyle w:val="TableParagraph"/>
              <w:ind w:left="488" w:right="289"/>
              <w:rPr>
                <w:sz w:val="16"/>
              </w:rPr>
            </w:pPr>
            <w:r>
              <w:rPr>
                <w:sz w:val="16"/>
              </w:rPr>
              <w:t>Iceland</w:t>
            </w:r>
          </w:p>
        </w:tc>
        <w:tc>
          <w:tcPr>
            <w:tcW w:w="2820" w:type="dxa"/>
          </w:tcPr>
          <w:p>
            <w:pPr>
              <w:pStyle w:val="TableParagraph"/>
              <w:ind w:right="106"/>
              <w:rPr>
                <w:sz w:val="16"/>
              </w:rPr>
            </w:pPr>
            <w:r>
              <w:rPr>
                <w:sz w:val="16"/>
              </w:rPr>
              <w:t>52</w:t>
            </w:r>
          </w:p>
        </w:tc>
        <w:tc>
          <w:tcPr>
            <w:tcW w:w="2785" w:type="dxa"/>
          </w:tcPr>
          <w:p>
            <w:pPr>
              <w:pStyle w:val="TableParagraph"/>
              <w:ind w:left="108" w:right="120"/>
              <w:rPr>
                <w:sz w:val="16"/>
              </w:rPr>
            </w:pPr>
            <w:r>
              <w:rPr>
                <w:sz w:val="16"/>
              </w:rPr>
              <w:t>40</w:t>
            </w:r>
          </w:p>
        </w:tc>
      </w:tr>
      <w:tr>
        <w:trPr>
          <w:trHeight w:val="239" w:hRule="atLeast"/>
        </w:trPr>
        <w:tc>
          <w:tcPr>
            <w:tcW w:w="1965" w:type="dxa"/>
          </w:tcPr>
          <w:p>
            <w:pPr>
              <w:pStyle w:val="TableParagraph"/>
              <w:ind w:left="488" w:right="286"/>
              <w:rPr>
                <w:sz w:val="16"/>
              </w:rPr>
            </w:pPr>
            <w:r>
              <w:rPr>
                <w:sz w:val="16"/>
              </w:rPr>
              <w:t>Ireland</w:t>
            </w:r>
          </w:p>
        </w:tc>
        <w:tc>
          <w:tcPr>
            <w:tcW w:w="2820" w:type="dxa"/>
          </w:tcPr>
          <w:p>
            <w:pPr>
              <w:pStyle w:val="TableParagraph"/>
              <w:ind w:right="106"/>
              <w:rPr>
                <w:sz w:val="16"/>
              </w:rPr>
            </w:pPr>
            <w:r>
              <w:rPr>
                <w:sz w:val="16"/>
              </w:rPr>
              <w:t>65</w:t>
            </w:r>
          </w:p>
        </w:tc>
        <w:tc>
          <w:tcPr>
            <w:tcW w:w="2785" w:type="dxa"/>
          </w:tcPr>
          <w:p>
            <w:pPr>
              <w:pStyle w:val="TableParagraph"/>
              <w:ind w:left="108" w:right="120"/>
              <w:rPr>
                <w:sz w:val="16"/>
              </w:rPr>
            </w:pPr>
            <w:r>
              <w:rPr>
                <w:sz w:val="16"/>
              </w:rPr>
              <w:t>58</w:t>
            </w:r>
          </w:p>
        </w:tc>
      </w:tr>
      <w:tr>
        <w:trPr>
          <w:trHeight w:val="239" w:hRule="atLeast"/>
        </w:trPr>
        <w:tc>
          <w:tcPr>
            <w:tcW w:w="1965" w:type="dxa"/>
          </w:tcPr>
          <w:p>
            <w:pPr>
              <w:pStyle w:val="TableParagraph"/>
              <w:ind w:left="488" w:right="289"/>
              <w:rPr>
                <w:sz w:val="16"/>
              </w:rPr>
            </w:pPr>
            <w:r>
              <w:rPr>
                <w:sz w:val="16"/>
              </w:rPr>
              <w:t>Israel</w:t>
            </w:r>
          </w:p>
        </w:tc>
        <w:tc>
          <w:tcPr>
            <w:tcW w:w="2820" w:type="dxa"/>
          </w:tcPr>
          <w:p>
            <w:pPr>
              <w:pStyle w:val="TableParagraph"/>
              <w:ind w:right="106"/>
              <w:rPr>
                <w:sz w:val="16"/>
              </w:rPr>
            </w:pPr>
            <w:r>
              <w:rPr>
                <w:sz w:val="16"/>
              </w:rPr>
              <w:t>45</w:t>
            </w:r>
          </w:p>
        </w:tc>
        <w:tc>
          <w:tcPr>
            <w:tcW w:w="2785" w:type="dxa"/>
          </w:tcPr>
          <w:p>
            <w:pPr>
              <w:pStyle w:val="TableParagraph"/>
              <w:ind w:left="108" w:right="120"/>
              <w:rPr>
                <w:sz w:val="16"/>
              </w:rPr>
            </w:pPr>
            <w:r>
              <w:rPr>
                <w:sz w:val="16"/>
              </w:rPr>
              <w:t>39</w:t>
            </w:r>
          </w:p>
        </w:tc>
      </w:tr>
      <w:tr>
        <w:trPr>
          <w:trHeight w:val="239" w:hRule="atLeast"/>
        </w:trPr>
        <w:tc>
          <w:tcPr>
            <w:tcW w:w="1965" w:type="dxa"/>
          </w:tcPr>
          <w:p>
            <w:pPr>
              <w:pStyle w:val="TableParagraph"/>
              <w:ind w:left="488" w:right="289"/>
              <w:rPr>
                <w:sz w:val="16"/>
              </w:rPr>
            </w:pPr>
            <w:r>
              <w:rPr>
                <w:sz w:val="16"/>
              </w:rPr>
              <w:t>Italy</w:t>
            </w:r>
          </w:p>
        </w:tc>
        <w:tc>
          <w:tcPr>
            <w:tcW w:w="2820" w:type="dxa"/>
          </w:tcPr>
          <w:p>
            <w:pPr>
              <w:pStyle w:val="TableParagraph"/>
              <w:ind w:right="106"/>
              <w:rPr>
                <w:sz w:val="16"/>
              </w:rPr>
            </w:pPr>
            <w:r>
              <w:rPr>
                <w:sz w:val="16"/>
              </w:rPr>
              <w:t>50</w:t>
            </w:r>
          </w:p>
        </w:tc>
        <w:tc>
          <w:tcPr>
            <w:tcW w:w="2785" w:type="dxa"/>
          </w:tcPr>
          <w:p>
            <w:pPr>
              <w:pStyle w:val="TableParagraph"/>
              <w:ind w:left="108" w:right="120"/>
              <w:rPr>
                <w:sz w:val="16"/>
              </w:rPr>
            </w:pPr>
            <w:r>
              <w:rPr>
                <w:sz w:val="16"/>
              </w:rPr>
              <w:t>29</w:t>
            </w:r>
          </w:p>
        </w:tc>
      </w:tr>
      <w:tr>
        <w:trPr>
          <w:trHeight w:val="239" w:hRule="atLeast"/>
        </w:trPr>
        <w:tc>
          <w:tcPr>
            <w:tcW w:w="1965" w:type="dxa"/>
          </w:tcPr>
          <w:p>
            <w:pPr>
              <w:pStyle w:val="TableParagraph"/>
              <w:ind w:left="488" w:right="288"/>
              <w:rPr>
                <w:sz w:val="16"/>
              </w:rPr>
            </w:pPr>
            <w:r>
              <w:rPr>
                <w:sz w:val="16"/>
              </w:rPr>
              <w:t>Japan</w:t>
            </w:r>
          </w:p>
        </w:tc>
        <w:tc>
          <w:tcPr>
            <w:tcW w:w="2820" w:type="dxa"/>
          </w:tcPr>
          <w:p>
            <w:pPr>
              <w:pStyle w:val="TableParagraph"/>
              <w:ind w:right="105"/>
              <w:rPr>
                <w:sz w:val="16"/>
              </w:rPr>
            </w:pPr>
            <w:r>
              <w:rPr>
                <w:sz w:val="16"/>
              </w:rPr>
              <w:t>41</w:t>
            </w:r>
          </w:p>
        </w:tc>
        <w:tc>
          <w:tcPr>
            <w:tcW w:w="2785" w:type="dxa"/>
          </w:tcPr>
          <w:p>
            <w:pPr>
              <w:pStyle w:val="TableParagraph"/>
              <w:ind w:left="108" w:right="120"/>
              <w:rPr>
                <w:sz w:val="16"/>
              </w:rPr>
            </w:pPr>
            <w:r>
              <w:rPr>
                <w:sz w:val="16"/>
              </w:rPr>
              <w:t>18</w:t>
            </w:r>
          </w:p>
        </w:tc>
      </w:tr>
      <w:tr>
        <w:trPr>
          <w:trHeight w:val="239" w:hRule="atLeast"/>
        </w:trPr>
        <w:tc>
          <w:tcPr>
            <w:tcW w:w="1965" w:type="dxa"/>
          </w:tcPr>
          <w:p>
            <w:pPr>
              <w:pStyle w:val="TableParagraph"/>
              <w:ind w:left="487" w:right="289"/>
              <w:rPr>
                <w:sz w:val="16"/>
              </w:rPr>
            </w:pPr>
            <w:r>
              <w:rPr>
                <w:sz w:val="16"/>
              </w:rPr>
              <w:t>Korea</w:t>
            </w:r>
          </w:p>
        </w:tc>
        <w:tc>
          <w:tcPr>
            <w:tcW w:w="2820" w:type="dxa"/>
          </w:tcPr>
          <w:p>
            <w:pPr>
              <w:pStyle w:val="TableParagraph"/>
              <w:ind w:right="105"/>
              <w:rPr>
                <w:sz w:val="16"/>
              </w:rPr>
            </w:pPr>
            <w:r>
              <w:rPr>
                <w:sz w:val="16"/>
              </w:rPr>
              <w:t>30</w:t>
            </w:r>
          </w:p>
        </w:tc>
        <w:tc>
          <w:tcPr>
            <w:tcW w:w="2785" w:type="dxa"/>
          </w:tcPr>
          <w:p>
            <w:pPr>
              <w:pStyle w:val="TableParagraph"/>
              <w:ind w:left="108" w:right="120"/>
              <w:rPr>
                <w:sz w:val="16"/>
              </w:rPr>
            </w:pPr>
            <w:r>
              <w:rPr>
                <w:sz w:val="16"/>
              </w:rPr>
              <w:t>20</w:t>
            </w:r>
          </w:p>
        </w:tc>
      </w:tr>
      <w:tr>
        <w:trPr>
          <w:trHeight w:val="239" w:hRule="atLeast"/>
        </w:trPr>
        <w:tc>
          <w:tcPr>
            <w:tcW w:w="1965" w:type="dxa"/>
          </w:tcPr>
          <w:p>
            <w:pPr>
              <w:pStyle w:val="TableParagraph"/>
              <w:spacing w:before="26"/>
              <w:ind w:left="487" w:right="289"/>
              <w:rPr>
                <w:sz w:val="16"/>
              </w:rPr>
            </w:pPr>
            <w:r>
              <w:rPr>
                <w:sz w:val="16"/>
              </w:rPr>
              <w:t>Luxembourg</w:t>
            </w:r>
          </w:p>
        </w:tc>
        <w:tc>
          <w:tcPr>
            <w:tcW w:w="2820" w:type="dxa"/>
          </w:tcPr>
          <w:p>
            <w:pPr>
              <w:pStyle w:val="TableParagraph"/>
              <w:spacing w:before="26"/>
              <w:ind w:right="105"/>
              <w:rPr>
                <w:sz w:val="16"/>
              </w:rPr>
            </w:pPr>
            <w:r>
              <w:rPr>
                <w:sz w:val="16"/>
              </w:rPr>
              <w:t>44</w:t>
            </w:r>
          </w:p>
        </w:tc>
        <w:tc>
          <w:tcPr>
            <w:tcW w:w="2785" w:type="dxa"/>
          </w:tcPr>
          <w:p>
            <w:pPr>
              <w:pStyle w:val="TableParagraph"/>
              <w:spacing w:before="26"/>
              <w:ind w:left="108" w:right="120"/>
              <w:rPr>
                <w:sz w:val="16"/>
              </w:rPr>
            </w:pPr>
            <w:r>
              <w:rPr>
                <w:sz w:val="16"/>
              </w:rPr>
              <w:t>31</w:t>
            </w:r>
          </w:p>
        </w:tc>
      </w:tr>
      <w:tr>
        <w:trPr>
          <w:trHeight w:val="239" w:hRule="atLeast"/>
        </w:trPr>
        <w:tc>
          <w:tcPr>
            <w:tcW w:w="1965" w:type="dxa"/>
          </w:tcPr>
          <w:p>
            <w:pPr>
              <w:pStyle w:val="TableParagraph"/>
              <w:ind w:left="488" w:right="288"/>
              <w:rPr>
                <w:sz w:val="16"/>
              </w:rPr>
            </w:pPr>
            <w:r>
              <w:rPr>
                <w:sz w:val="16"/>
              </w:rPr>
              <w:t>Mexico</w:t>
            </w:r>
          </w:p>
        </w:tc>
        <w:tc>
          <w:tcPr>
            <w:tcW w:w="2820" w:type="dxa"/>
          </w:tcPr>
          <w:p>
            <w:pPr>
              <w:pStyle w:val="TableParagraph"/>
              <w:ind w:right="105"/>
              <w:rPr>
                <w:sz w:val="16"/>
              </w:rPr>
            </w:pPr>
            <w:r>
              <w:rPr>
                <w:sz w:val="16"/>
              </w:rPr>
              <w:t>23</w:t>
            </w:r>
          </w:p>
        </w:tc>
        <w:tc>
          <w:tcPr>
            <w:tcW w:w="2785" w:type="dxa"/>
          </w:tcPr>
          <w:p>
            <w:pPr>
              <w:pStyle w:val="TableParagraph"/>
              <w:ind w:left="108" w:right="119"/>
              <w:rPr>
                <w:sz w:val="16"/>
              </w:rPr>
            </w:pPr>
            <w:r>
              <w:rPr>
                <w:sz w:val="16"/>
              </w:rPr>
              <w:t>19</w:t>
            </w:r>
          </w:p>
        </w:tc>
      </w:tr>
      <w:tr>
        <w:trPr>
          <w:trHeight w:val="239" w:hRule="atLeast"/>
        </w:trPr>
        <w:tc>
          <w:tcPr>
            <w:tcW w:w="1965" w:type="dxa"/>
          </w:tcPr>
          <w:p>
            <w:pPr>
              <w:pStyle w:val="TableParagraph"/>
              <w:spacing w:before="26"/>
              <w:ind w:left="487" w:right="289"/>
              <w:rPr>
                <w:sz w:val="16"/>
              </w:rPr>
            </w:pPr>
            <w:r>
              <w:rPr>
                <w:sz w:val="16"/>
              </w:rPr>
              <w:t>Netherlands</w:t>
            </w:r>
          </w:p>
        </w:tc>
        <w:tc>
          <w:tcPr>
            <w:tcW w:w="2820" w:type="dxa"/>
          </w:tcPr>
          <w:p>
            <w:pPr>
              <w:pStyle w:val="TableParagraph"/>
              <w:spacing w:before="26"/>
              <w:ind w:right="105"/>
              <w:rPr>
                <w:sz w:val="16"/>
              </w:rPr>
            </w:pPr>
            <w:r>
              <w:rPr>
                <w:sz w:val="16"/>
              </w:rPr>
              <w:t>51</w:t>
            </w:r>
          </w:p>
        </w:tc>
        <w:tc>
          <w:tcPr>
            <w:tcW w:w="2785" w:type="dxa"/>
          </w:tcPr>
          <w:p>
            <w:pPr>
              <w:pStyle w:val="TableParagraph"/>
              <w:spacing w:before="26"/>
              <w:ind w:left="108" w:right="120"/>
              <w:rPr>
                <w:sz w:val="16"/>
              </w:rPr>
            </w:pPr>
            <w:r>
              <w:rPr>
                <w:sz w:val="16"/>
              </w:rPr>
              <w:t>31</w:t>
            </w:r>
          </w:p>
        </w:tc>
      </w:tr>
      <w:tr>
        <w:trPr>
          <w:trHeight w:val="239" w:hRule="atLeast"/>
        </w:trPr>
        <w:tc>
          <w:tcPr>
            <w:tcW w:w="1965" w:type="dxa"/>
          </w:tcPr>
          <w:p>
            <w:pPr>
              <w:pStyle w:val="TableParagraph"/>
              <w:ind w:left="488" w:right="288"/>
              <w:rPr>
                <w:sz w:val="16"/>
              </w:rPr>
            </w:pPr>
            <w:r>
              <w:rPr>
                <w:sz w:val="16"/>
              </w:rPr>
              <w:t>Norway</w:t>
            </w:r>
          </w:p>
        </w:tc>
        <w:tc>
          <w:tcPr>
            <w:tcW w:w="2820" w:type="dxa"/>
          </w:tcPr>
          <w:p>
            <w:pPr>
              <w:pStyle w:val="TableParagraph"/>
              <w:ind w:right="105"/>
              <w:rPr>
                <w:sz w:val="16"/>
              </w:rPr>
            </w:pPr>
            <w:r>
              <w:rPr>
                <w:sz w:val="16"/>
              </w:rPr>
              <w:t>45</w:t>
            </w:r>
          </w:p>
        </w:tc>
        <w:tc>
          <w:tcPr>
            <w:tcW w:w="2785" w:type="dxa"/>
          </w:tcPr>
          <w:p>
            <w:pPr>
              <w:pStyle w:val="TableParagraph"/>
              <w:ind w:left="108" w:right="120"/>
              <w:rPr>
                <w:sz w:val="16"/>
              </w:rPr>
            </w:pPr>
            <w:r>
              <w:rPr>
                <w:sz w:val="16"/>
              </w:rPr>
              <w:t>36</w:t>
            </w:r>
          </w:p>
        </w:tc>
      </w:tr>
      <w:tr>
        <w:trPr>
          <w:trHeight w:val="239" w:hRule="atLeast"/>
        </w:trPr>
        <w:tc>
          <w:tcPr>
            <w:tcW w:w="1965" w:type="dxa"/>
          </w:tcPr>
          <w:p>
            <w:pPr>
              <w:pStyle w:val="TableParagraph"/>
              <w:spacing w:before="26"/>
              <w:ind w:left="488" w:right="288"/>
              <w:rPr>
                <w:sz w:val="16"/>
              </w:rPr>
            </w:pPr>
            <w:r>
              <w:rPr>
                <w:sz w:val="16"/>
              </w:rPr>
              <w:t>Poland</w:t>
            </w:r>
          </w:p>
        </w:tc>
        <w:tc>
          <w:tcPr>
            <w:tcW w:w="2820" w:type="dxa"/>
          </w:tcPr>
          <w:p>
            <w:pPr>
              <w:pStyle w:val="TableParagraph"/>
              <w:spacing w:before="26"/>
              <w:ind w:right="106"/>
              <w:rPr>
                <w:sz w:val="16"/>
              </w:rPr>
            </w:pPr>
            <w:r>
              <w:rPr>
                <w:sz w:val="16"/>
              </w:rPr>
              <w:t>45</w:t>
            </w:r>
          </w:p>
        </w:tc>
        <w:tc>
          <w:tcPr>
            <w:tcW w:w="2785" w:type="dxa"/>
          </w:tcPr>
          <w:p>
            <w:pPr>
              <w:pStyle w:val="TableParagraph"/>
              <w:spacing w:before="26"/>
              <w:ind w:left="107" w:right="120"/>
              <w:rPr>
                <w:sz w:val="16"/>
              </w:rPr>
            </w:pPr>
            <w:r>
              <w:rPr>
                <w:sz w:val="16"/>
              </w:rPr>
              <w:t>27</w:t>
            </w:r>
          </w:p>
        </w:tc>
      </w:tr>
      <w:tr>
        <w:trPr>
          <w:trHeight w:val="239" w:hRule="atLeast"/>
        </w:trPr>
        <w:tc>
          <w:tcPr>
            <w:tcW w:w="1965" w:type="dxa"/>
          </w:tcPr>
          <w:p>
            <w:pPr>
              <w:pStyle w:val="TableParagraph"/>
              <w:ind w:left="487" w:right="289"/>
              <w:rPr>
                <w:sz w:val="16"/>
              </w:rPr>
            </w:pPr>
            <w:r>
              <w:rPr>
                <w:sz w:val="16"/>
              </w:rPr>
              <w:t>Portugal</w:t>
            </w:r>
          </w:p>
        </w:tc>
        <w:tc>
          <w:tcPr>
            <w:tcW w:w="2820" w:type="dxa"/>
          </w:tcPr>
          <w:p>
            <w:pPr>
              <w:pStyle w:val="TableParagraph"/>
              <w:ind w:right="105"/>
              <w:rPr>
                <w:sz w:val="16"/>
              </w:rPr>
            </w:pPr>
            <w:r>
              <w:rPr>
                <w:sz w:val="16"/>
              </w:rPr>
              <w:t>51</w:t>
            </w:r>
          </w:p>
        </w:tc>
        <w:tc>
          <w:tcPr>
            <w:tcW w:w="2785" w:type="dxa"/>
          </w:tcPr>
          <w:p>
            <w:pPr>
              <w:pStyle w:val="TableParagraph"/>
              <w:ind w:left="108" w:right="120"/>
              <w:rPr>
                <w:sz w:val="16"/>
              </w:rPr>
            </w:pPr>
            <w:r>
              <w:rPr>
                <w:sz w:val="16"/>
              </w:rPr>
              <w:t>39</w:t>
            </w:r>
          </w:p>
        </w:tc>
      </w:tr>
      <w:tr>
        <w:trPr>
          <w:trHeight w:val="239" w:hRule="atLeast"/>
        </w:trPr>
        <w:tc>
          <w:tcPr>
            <w:tcW w:w="1965" w:type="dxa"/>
          </w:tcPr>
          <w:p>
            <w:pPr>
              <w:pStyle w:val="TableParagraph"/>
              <w:ind w:left="488" w:right="289"/>
              <w:rPr>
                <w:sz w:val="16"/>
              </w:rPr>
            </w:pPr>
            <w:r>
              <w:rPr>
                <w:sz w:val="16"/>
              </w:rPr>
              <w:t>Slovak Republic</w:t>
            </w:r>
          </w:p>
        </w:tc>
        <w:tc>
          <w:tcPr>
            <w:tcW w:w="2820" w:type="dxa"/>
          </w:tcPr>
          <w:p>
            <w:pPr>
              <w:pStyle w:val="TableParagraph"/>
              <w:ind w:left="289" w:right="106"/>
              <w:rPr>
                <w:sz w:val="16"/>
              </w:rPr>
            </w:pPr>
            <w:r>
              <w:rPr>
                <w:sz w:val="16"/>
              </w:rPr>
              <w:t>40</w:t>
            </w:r>
          </w:p>
        </w:tc>
        <w:tc>
          <w:tcPr>
            <w:tcW w:w="2785" w:type="dxa"/>
          </w:tcPr>
          <w:p>
            <w:pPr>
              <w:pStyle w:val="TableParagraph"/>
              <w:ind w:left="106" w:right="120"/>
              <w:rPr>
                <w:sz w:val="16"/>
              </w:rPr>
            </w:pPr>
            <w:r>
              <w:rPr>
                <w:sz w:val="16"/>
              </w:rPr>
              <w:t>23</w:t>
            </w:r>
          </w:p>
        </w:tc>
      </w:tr>
      <w:tr>
        <w:trPr>
          <w:trHeight w:val="239" w:hRule="atLeast"/>
        </w:trPr>
        <w:tc>
          <w:tcPr>
            <w:tcW w:w="1965" w:type="dxa"/>
          </w:tcPr>
          <w:p>
            <w:pPr>
              <w:pStyle w:val="TableParagraph"/>
              <w:ind w:left="488" w:right="287"/>
              <w:rPr>
                <w:sz w:val="16"/>
              </w:rPr>
            </w:pPr>
            <w:r>
              <w:rPr>
                <w:sz w:val="16"/>
              </w:rPr>
              <w:t>Slovenia</w:t>
            </w:r>
          </w:p>
        </w:tc>
        <w:tc>
          <w:tcPr>
            <w:tcW w:w="2820" w:type="dxa"/>
          </w:tcPr>
          <w:p>
            <w:pPr>
              <w:pStyle w:val="TableParagraph"/>
              <w:ind w:right="105"/>
              <w:rPr>
                <w:sz w:val="16"/>
              </w:rPr>
            </w:pPr>
            <w:r>
              <w:rPr>
                <w:sz w:val="16"/>
              </w:rPr>
              <w:t>49</w:t>
            </w:r>
          </w:p>
        </w:tc>
        <w:tc>
          <w:tcPr>
            <w:tcW w:w="2785" w:type="dxa"/>
          </w:tcPr>
          <w:p>
            <w:pPr>
              <w:pStyle w:val="TableParagraph"/>
              <w:ind w:left="108" w:right="120"/>
              <w:rPr>
                <w:sz w:val="16"/>
              </w:rPr>
            </w:pPr>
            <w:r>
              <w:rPr>
                <w:sz w:val="16"/>
              </w:rPr>
              <w:t>31</w:t>
            </w:r>
          </w:p>
        </w:tc>
      </w:tr>
      <w:tr>
        <w:trPr>
          <w:trHeight w:val="239" w:hRule="atLeast"/>
        </w:trPr>
        <w:tc>
          <w:tcPr>
            <w:tcW w:w="1965" w:type="dxa"/>
          </w:tcPr>
          <w:p>
            <w:pPr>
              <w:pStyle w:val="TableParagraph"/>
              <w:ind w:left="488" w:right="287"/>
              <w:rPr>
                <w:sz w:val="16"/>
              </w:rPr>
            </w:pPr>
            <w:r>
              <w:rPr>
                <w:sz w:val="16"/>
              </w:rPr>
              <w:t>Spain</w:t>
            </w:r>
          </w:p>
        </w:tc>
        <w:tc>
          <w:tcPr>
            <w:tcW w:w="2820" w:type="dxa"/>
          </w:tcPr>
          <w:p>
            <w:pPr>
              <w:pStyle w:val="TableParagraph"/>
              <w:ind w:right="104"/>
              <w:rPr>
                <w:sz w:val="16"/>
              </w:rPr>
            </w:pPr>
            <w:r>
              <w:rPr>
                <w:sz w:val="16"/>
              </w:rPr>
              <w:t>46</w:t>
            </w:r>
          </w:p>
        </w:tc>
        <w:tc>
          <w:tcPr>
            <w:tcW w:w="2785" w:type="dxa"/>
          </w:tcPr>
          <w:p>
            <w:pPr>
              <w:pStyle w:val="TableParagraph"/>
              <w:ind w:left="108" w:right="119"/>
              <w:rPr>
                <w:sz w:val="16"/>
              </w:rPr>
            </w:pPr>
            <w:r>
              <w:rPr>
                <w:sz w:val="16"/>
              </w:rPr>
              <w:t>19</w:t>
            </w:r>
          </w:p>
        </w:tc>
      </w:tr>
      <w:tr>
        <w:trPr>
          <w:trHeight w:val="239" w:hRule="atLeast"/>
        </w:trPr>
        <w:tc>
          <w:tcPr>
            <w:tcW w:w="1965" w:type="dxa"/>
          </w:tcPr>
          <w:p>
            <w:pPr>
              <w:pStyle w:val="TableParagraph"/>
              <w:ind w:left="487" w:right="289"/>
              <w:rPr>
                <w:sz w:val="16"/>
              </w:rPr>
            </w:pPr>
            <w:r>
              <w:rPr>
                <w:sz w:val="16"/>
              </w:rPr>
              <w:t>Sweden</w:t>
            </w:r>
          </w:p>
        </w:tc>
        <w:tc>
          <w:tcPr>
            <w:tcW w:w="2820" w:type="dxa"/>
          </w:tcPr>
          <w:p>
            <w:pPr>
              <w:pStyle w:val="TableParagraph"/>
              <w:ind w:right="106"/>
              <w:rPr>
                <w:sz w:val="16"/>
              </w:rPr>
            </w:pPr>
            <w:r>
              <w:rPr>
                <w:sz w:val="16"/>
              </w:rPr>
              <w:t>52</w:t>
            </w:r>
          </w:p>
        </w:tc>
        <w:tc>
          <w:tcPr>
            <w:tcW w:w="2785" w:type="dxa"/>
          </w:tcPr>
          <w:p>
            <w:pPr>
              <w:pStyle w:val="TableParagraph"/>
              <w:ind w:left="108" w:right="120"/>
              <w:rPr>
                <w:sz w:val="16"/>
              </w:rPr>
            </w:pPr>
            <w:r>
              <w:rPr>
                <w:sz w:val="16"/>
              </w:rPr>
              <w:t>30</w:t>
            </w:r>
          </w:p>
        </w:tc>
      </w:tr>
      <w:tr>
        <w:trPr>
          <w:trHeight w:val="239" w:hRule="atLeast"/>
        </w:trPr>
        <w:tc>
          <w:tcPr>
            <w:tcW w:w="1965" w:type="dxa"/>
          </w:tcPr>
          <w:p>
            <w:pPr>
              <w:pStyle w:val="TableParagraph"/>
              <w:ind w:left="488" w:right="289"/>
              <w:rPr>
                <w:sz w:val="16"/>
              </w:rPr>
            </w:pPr>
            <w:r>
              <w:rPr>
                <w:sz w:val="16"/>
              </w:rPr>
              <w:t>Switzerland</w:t>
            </w:r>
          </w:p>
        </w:tc>
        <w:tc>
          <w:tcPr>
            <w:tcW w:w="2820" w:type="dxa"/>
          </w:tcPr>
          <w:p>
            <w:pPr>
              <w:pStyle w:val="TableParagraph"/>
              <w:ind w:left="289" w:right="106"/>
              <w:rPr>
                <w:sz w:val="16"/>
              </w:rPr>
            </w:pPr>
            <w:r>
              <w:rPr>
                <w:sz w:val="16"/>
              </w:rPr>
              <w:t>34</w:t>
            </w:r>
          </w:p>
        </w:tc>
        <w:tc>
          <w:tcPr>
            <w:tcW w:w="2785" w:type="dxa"/>
          </w:tcPr>
          <w:p>
            <w:pPr>
              <w:pStyle w:val="TableParagraph"/>
              <w:ind w:left="107" w:right="120"/>
              <w:rPr>
                <w:sz w:val="16"/>
              </w:rPr>
            </w:pPr>
            <w:r>
              <w:rPr>
                <w:sz w:val="16"/>
              </w:rPr>
              <w:t>11</w:t>
            </w:r>
          </w:p>
        </w:tc>
      </w:tr>
      <w:tr>
        <w:trPr>
          <w:trHeight w:val="239" w:hRule="atLeast"/>
        </w:trPr>
        <w:tc>
          <w:tcPr>
            <w:tcW w:w="1965" w:type="dxa"/>
          </w:tcPr>
          <w:p>
            <w:pPr>
              <w:pStyle w:val="TableParagraph"/>
              <w:ind w:left="488" w:right="286"/>
              <w:rPr>
                <w:sz w:val="16"/>
              </w:rPr>
            </w:pPr>
            <w:r>
              <w:rPr>
                <w:sz w:val="16"/>
              </w:rPr>
              <w:t>Turkey</w:t>
            </w:r>
          </w:p>
        </w:tc>
        <w:tc>
          <w:tcPr>
            <w:tcW w:w="2820" w:type="dxa"/>
          </w:tcPr>
          <w:p>
            <w:pPr>
              <w:pStyle w:val="TableParagraph"/>
              <w:ind w:right="105"/>
              <w:rPr>
                <w:sz w:val="16"/>
              </w:rPr>
            </w:pPr>
            <w:r>
              <w:rPr>
                <w:sz w:val="16"/>
              </w:rPr>
              <w:t>40</w:t>
            </w:r>
          </w:p>
        </w:tc>
        <w:tc>
          <w:tcPr>
            <w:tcW w:w="2785" w:type="dxa"/>
          </w:tcPr>
          <w:p>
            <w:pPr>
              <w:pStyle w:val="TableParagraph"/>
              <w:ind w:left="108" w:right="119"/>
              <w:rPr>
                <w:sz w:val="16"/>
              </w:rPr>
            </w:pPr>
            <w:r>
              <w:rPr>
                <w:sz w:val="16"/>
              </w:rPr>
              <w:t>29</w:t>
            </w:r>
          </w:p>
        </w:tc>
      </w:tr>
      <w:tr>
        <w:trPr>
          <w:trHeight w:val="239" w:hRule="atLeast"/>
        </w:trPr>
        <w:tc>
          <w:tcPr>
            <w:tcW w:w="1965" w:type="dxa"/>
          </w:tcPr>
          <w:p>
            <w:pPr>
              <w:pStyle w:val="TableParagraph"/>
              <w:ind w:left="488" w:right="288"/>
              <w:rPr>
                <w:sz w:val="16"/>
              </w:rPr>
            </w:pPr>
            <w:r>
              <w:rPr>
                <w:sz w:val="16"/>
              </w:rPr>
              <w:t>United Kingdom</w:t>
            </w:r>
          </w:p>
        </w:tc>
        <w:tc>
          <w:tcPr>
            <w:tcW w:w="2820" w:type="dxa"/>
          </w:tcPr>
          <w:p>
            <w:pPr>
              <w:pStyle w:val="TableParagraph"/>
              <w:ind w:left="289" w:right="106"/>
              <w:rPr>
                <w:sz w:val="16"/>
              </w:rPr>
            </w:pPr>
            <w:r>
              <w:rPr>
                <w:sz w:val="16"/>
              </w:rPr>
              <w:t>50</w:t>
            </w:r>
          </w:p>
        </w:tc>
        <w:tc>
          <w:tcPr>
            <w:tcW w:w="2785" w:type="dxa"/>
          </w:tcPr>
          <w:p>
            <w:pPr>
              <w:pStyle w:val="TableParagraph"/>
              <w:ind w:left="107" w:right="120"/>
              <w:rPr>
                <w:sz w:val="16"/>
              </w:rPr>
            </w:pPr>
            <w:r>
              <w:rPr>
                <w:sz w:val="16"/>
              </w:rPr>
              <w:t>46</w:t>
            </w:r>
          </w:p>
        </w:tc>
      </w:tr>
      <w:tr>
        <w:trPr>
          <w:trHeight w:val="208" w:hRule="atLeast"/>
        </w:trPr>
        <w:tc>
          <w:tcPr>
            <w:tcW w:w="1965" w:type="dxa"/>
          </w:tcPr>
          <w:p>
            <w:pPr>
              <w:pStyle w:val="TableParagraph"/>
              <w:spacing w:line="164" w:lineRule="exact"/>
              <w:ind w:left="488" w:right="288"/>
              <w:rPr>
                <w:sz w:val="16"/>
              </w:rPr>
            </w:pPr>
            <w:r>
              <w:rPr>
                <w:sz w:val="16"/>
              </w:rPr>
              <w:t>United States</w:t>
            </w:r>
          </w:p>
        </w:tc>
        <w:tc>
          <w:tcPr>
            <w:tcW w:w="2820" w:type="dxa"/>
          </w:tcPr>
          <w:p>
            <w:pPr>
              <w:pStyle w:val="TableParagraph"/>
              <w:spacing w:line="164" w:lineRule="exact"/>
              <w:ind w:right="106"/>
              <w:rPr>
                <w:sz w:val="16"/>
              </w:rPr>
            </w:pPr>
            <w:r>
              <w:rPr>
                <w:sz w:val="16"/>
              </w:rPr>
              <w:t>43</w:t>
            </w:r>
          </w:p>
        </w:tc>
        <w:tc>
          <w:tcPr>
            <w:tcW w:w="2785" w:type="dxa"/>
          </w:tcPr>
          <w:p>
            <w:pPr>
              <w:pStyle w:val="TableParagraph"/>
              <w:spacing w:line="164" w:lineRule="exact"/>
              <w:ind w:left="108" w:right="120"/>
              <w:rPr>
                <w:sz w:val="16"/>
              </w:rPr>
            </w:pPr>
            <w:r>
              <w:rPr>
                <w:sz w:val="16"/>
              </w:rPr>
              <w:t>26</w:t>
            </w:r>
          </w:p>
        </w:tc>
      </w:tr>
    </w:tbl>
    <w:p>
      <w:pPr>
        <w:pStyle w:val="BodyText"/>
        <w:spacing w:before="5"/>
        <w:rPr>
          <w:b/>
          <w:sz w:val="15"/>
        </w:rPr>
      </w:pPr>
    </w:p>
    <w:p>
      <w:pPr>
        <w:spacing w:before="95"/>
        <w:ind w:left="226" w:right="0" w:firstLine="0"/>
        <w:jc w:val="left"/>
        <w:rPr>
          <w:sz w:val="16"/>
        </w:rPr>
      </w:pPr>
      <w:r>
        <w:rPr>
          <w:sz w:val="16"/>
        </w:rPr>
        <w:t>Source: OECD</w:t>
      </w:r>
    </w:p>
    <w:p>
      <w:pPr>
        <w:pStyle w:val="BodyText"/>
        <w:rPr>
          <w:sz w:val="16"/>
        </w:rPr>
      </w:pPr>
    </w:p>
    <w:p>
      <w:pPr>
        <w:spacing w:before="0"/>
        <w:ind w:left="226" w:right="0" w:firstLine="0"/>
        <w:jc w:val="left"/>
        <w:rPr>
          <w:sz w:val="16"/>
        </w:rPr>
      </w:pPr>
      <w:r>
        <w:rPr>
          <w:sz w:val="16"/>
        </w:rPr>
        <w:t>Notes: Table shows ratios of nominal government expenditure to nominal GDP for 2010.</w:t>
      </w:r>
    </w:p>
    <w:sectPr>
      <w:pgSz w:w="12240" w:h="15840"/>
      <w:pgMar w:header="0" w:footer="1240" w:top="128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6217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336115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951pt;width:439.6pt;height:12.55pt;mso-position-horizontal-relative:page;mso-position-vertical-relative:page;z-index:-25336012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5910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5808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3777pt;width:439.6pt;height:12.55pt;mso-position-horizontal-relative:page;mso-position-vertical-relative:page;z-index:-2533570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5603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5500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5398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680481pt;margin-top:726.183777pt;width:439.6pt;height:12.55pt;mso-position-horizontal-relative:page;mso-position-vertical-relative:page;z-index:-2533529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5193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50912"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4988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3777pt;width:439.6pt;height:12.55pt;mso-position-horizontal-relative:page;mso-position-vertical-relative:page;z-index:-2533488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4784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4681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4579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3777pt;width:439.6pt;height:12.55pt;mso-position-horizontal-relative:page;mso-position-vertical-relative:page;z-index:-2533447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4374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42720"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4169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680481pt;margin-top:726.183777pt;width:439.6pt;height:12.55pt;mso-position-horizontal-relative:page;mso-position-vertical-relative:page;z-index:-2533406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3964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3862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333760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6.680481pt;margin-top:726.183777pt;width:439.6pt;height:12.55pt;mso-position-horizontal-relative:page;mso-position-vertical-relative:page;z-index:-2533365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3555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3452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3335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3777pt;width:439.6pt;height:12.55pt;mso-position-horizontal-relative:page;mso-position-vertical-relative:page;z-index:-2533324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33145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33043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3294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33283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32736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4" w:hanging="340"/>
      </w:pPr>
      <w:rPr>
        <w:rFonts w:hint="default" w:ascii="Symbol" w:hAnsi="Symbol" w:eastAsia="Symbol" w:cs="Symbol"/>
        <w:w w:val="99"/>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abstractNum w:abstractNumId="2">
    <w:multiLevelType w:val="hybridMultilevel"/>
    <w:lvl w:ilvl="0">
      <w:start w:val="1"/>
      <w:numFmt w:val="lowerLetter"/>
      <w:lvlText w:val="(%1)"/>
      <w:lvlJc w:val="left"/>
      <w:pPr>
        <w:ind w:left="226" w:hanging="242"/>
        <w:jc w:val="left"/>
      </w:pPr>
      <w:rPr>
        <w:rFonts w:hint="default" w:ascii="Arial" w:hAnsi="Arial" w:eastAsia="Arial" w:cs="Arial"/>
        <w:spacing w:val="-1"/>
        <w:w w:val="100"/>
        <w:sz w:val="16"/>
        <w:szCs w:val="16"/>
      </w:rPr>
    </w:lvl>
    <w:lvl w:ilvl="1">
      <w:start w:val="0"/>
      <w:numFmt w:val="bullet"/>
      <w:lvlText w:val="•"/>
      <w:lvlJc w:val="left"/>
      <w:pPr>
        <w:ind w:left="1138" w:hanging="242"/>
      </w:pPr>
      <w:rPr>
        <w:rFonts w:hint="default"/>
      </w:rPr>
    </w:lvl>
    <w:lvl w:ilvl="2">
      <w:start w:val="0"/>
      <w:numFmt w:val="bullet"/>
      <w:lvlText w:val="•"/>
      <w:lvlJc w:val="left"/>
      <w:pPr>
        <w:ind w:left="2056" w:hanging="242"/>
      </w:pPr>
      <w:rPr>
        <w:rFonts w:hint="default"/>
      </w:rPr>
    </w:lvl>
    <w:lvl w:ilvl="3">
      <w:start w:val="0"/>
      <w:numFmt w:val="bullet"/>
      <w:lvlText w:val="•"/>
      <w:lvlJc w:val="left"/>
      <w:pPr>
        <w:ind w:left="2974" w:hanging="242"/>
      </w:pPr>
      <w:rPr>
        <w:rFonts w:hint="default"/>
      </w:rPr>
    </w:lvl>
    <w:lvl w:ilvl="4">
      <w:start w:val="0"/>
      <w:numFmt w:val="bullet"/>
      <w:lvlText w:val="•"/>
      <w:lvlJc w:val="left"/>
      <w:pPr>
        <w:ind w:left="3892" w:hanging="242"/>
      </w:pPr>
      <w:rPr>
        <w:rFonts w:hint="default"/>
      </w:rPr>
    </w:lvl>
    <w:lvl w:ilvl="5">
      <w:start w:val="0"/>
      <w:numFmt w:val="bullet"/>
      <w:lvlText w:val="•"/>
      <w:lvlJc w:val="left"/>
      <w:pPr>
        <w:ind w:left="4810" w:hanging="242"/>
      </w:pPr>
      <w:rPr>
        <w:rFonts w:hint="default"/>
      </w:rPr>
    </w:lvl>
    <w:lvl w:ilvl="6">
      <w:start w:val="0"/>
      <w:numFmt w:val="bullet"/>
      <w:lvlText w:val="•"/>
      <w:lvlJc w:val="left"/>
      <w:pPr>
        <w:ind w:left="5728" w:hanging="242"/>
      </w:pPr>
      <w:rPr>
        <w:rFonts w:hint="default"/>
      </w:rPr>
    </w:lvl>
    <w:lvl w:ilvl="7">
      <w:start w:val="0"/>
      <w:numFmt w:val="bullet"/>
      <w:lvlText w:val="•"/>
      <w:lvlJc w:val="left"/>
      <w:pPr>
        <w:ind w:left="6646" w:hanging="242"/>
      </w:pPr>
      <w:rPr>
        <w:rFonts w:hint="default"/>
      </w:rPr>
    </w:lvl>
    <w:lvl w:ilvl="8">
      <w:start w:val="0"/>
      <w:numFmt w:val="bullet"/>
      <w:lvlText w:val="•"/>
      <w:lvlJc w:val="left"/>
      <w:pPr>
        <w:ind w:left="7564" w:hanging="242"/>
      </w:pPr>
      <w:rPr>
        <w:rFonts w:hint="default"/>
      </w:rPr>
    </w:lvl>
  </w:abstractNum>
  <w:abstractNum w:abstractNumId="1">
    <w:multiLevelType w:val="hybridMultilevel"/>
    <w:lvl w:ilvl="0">
      <w:start w:val="1"/>
      <w:numFmt w:val="lowerLetter"/>
      <w:lvlText w:val="(%1)"/>
      <w:lvlJc w:val="left"/>
      <w:pPr>
        <w:ind w:left="226" w:hanging="240"/>
        <w:jc w:val="left"/>
      </w:pPr>
      <w:rPr>
        <w:rFonts w:hint="default" w:ascii="Arial" w:hAnsi="Arial" w:eastAsia="Arial" w:cs="Arial"/>
        <w:w w:val="100"/>
        <w:sz w:val="16"/>
        <w:szCs w:val="16"/>
      </w:rPr>
    </w:lvl>
    <w:lvl w:ilvl="1">
      <w:start w:val="0"/>
      <w:numFmt w:val="bullet"/>
      <w:lvlText w:val="•"/>
      <w:lvlJc w:val="left"/>
      <w:pPr>
        <w:ind w:left="1138" w:hanging="240"/>
      </w:pPr>
      <w:rPr>
        <w:rFonts w:hint="default"/>
      </w:rPr>
    </w:lvl>
    <w:lvl w:ilvl="2">
      <w:start w:val="0"/>
      <w:numFmt w:val="bullet"/>
      <w:lvlText w:val="•"/>
      <w:lvlJc w:val="left"/>
      <w:pPr>
        <w:ind w:left="2056" w:hanging="240"/>
      </w:pPr>
      <w:rPr>
        <w:rFonts w:hint="default"/>
      </w:rPr>
    </w:lvl>
    <w:lvl w:ilvl="3">
      <w:start w:val="0"/>
      <w:numFmt w:val="bullet"/>
      <w:lvlText w:val="•"/>
      <w:lvlJc w:val="left"/>
      <w:pPr>
        <w:ind w:left="2974" w:hanging="240"/>
      </w:pPr>
      <w:rPr>
        <w:rFonts w:hint="default"/>
      </w:rPr>
    </w:lvl>
    <w:lvl w:ilvl="4">
      <w:start w:val="0"/>
      <w:numFmt w:val="bullet"/>
      <w:lvlText w:val="•"/>
      <w:lvlJc w:val="left"/>
      <w:pPr>
        <w:ind w:left="3892" w:hanging="240"/>
      </w:pPr>
      <w:rPr>
        <w:rFonts w:hint="default"/>
      </w:rPr>
    </w:lvl>
    <w:lvl w:ilvl="5">
      <w:start w:val="0"/>
      <w:numFmt w:val="bullet"/>
      <w:lvlText w:val="•"/>
      <w:lvlJc w:val="left"/>
      <w:pPr>
        <w:ind w:left="4810" w:hanging="240"/>
      </w:pPr>
      <w:rPr>
        <w:rFonts w:hint="default"/>
      </w:rPr>
    </w:lvl>
    <w:lvl w:ilvl="6">
      <w:start w:val="0"/>
      <w:numFmt w:val="bullet"/>
      <w:lvlText w:val="•"/>
      <w:lvlJc w:val="left"/>
      <w:pPr>
        <w:ind w:left="5728" w:hanging="240"/>
      </w:pPr>
      <w:rPr>
        <w:rFonts w:hint="default"/>
      </w:rPr>
    </w:lvl>
    <w:lvl w:ilvl="7">
      <w:start w:val="0"/>
      <w:numFmt w:val="bullet"/>
      <w:lvlText w:val="•"/>
      <w:lvlJc w:val="left"/>
      <w:pPr>
        <w:ind w:left="6646" w:hanging="240"/>
      </w:pPr>
      <w:rPr>
        <w:rFonts w:hint="default"/>
      </w:rPr>
    </w:lvl>
    <w:lvl w:ilvl="8">
      <w:start w:val="0"/>
      <w:numFmt w:val="bullet"/>
      <w:lvlText w:val="•"/>
      <w:lvlJc w:val="left"/>
      <w:pPr>
        <w:ind w:left="7564" w:hanging="240"/>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ind w:left="226"/>
    </w:pPr>
    <w:rPr>
      <w:rFonts w:ascii="Arial" w:hAnsi="Arial" w:eastAsia="Arial" w:cs="Arial"/>
    </w:rPr>
  </w:style>
  <w:style w:styleId="TableParagraph" w:type="paragraph">
    <w:name w:val="Table Paragraph"/>
    <w:basedOn w:val="Normal"/>
    <w:uiPriority w:val="1"/>
    <w:qFormat/>
    <w:pPr>
      <w:spacing w:before="25"/>
      <w:ind w:left="290"/>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yperlink" Target="http://www.consilium.europa.eu/uedocs/cms_Data/docs/pressdata/en/ec/134069.pdf" TargetMode="External"/><Relationship Id="rId16" Type="http://schemas.openxmlformats.org/officeDocument/2006/relationships/hyperlink" Target="http://www.bankofcanada.ca/wp-content/uploads/2013/05/remarks-210513.pdf" TargetMode="External"/><Relationship Id="rId17" Type="http://schemas.openxmlformats.org/officeDocument/2006/relationships/hyperlink" Target="http://budgetresponsibility.org.uk/pubs/Working-paper-No3.pdf" TargetMode="Externa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hyperlink" Target="http://www.gov.uk/government/uploads/system/uploads/attachment_data/file/206166/banking_assets_vs_gdp_explanation.pdf" TargetMode="External"/><Relationship Id="rId2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The economics of currency unions - speech by Mark Carney</dc:title>
  <dcterms:created xsi:type="dcterms:W3CDTF">2020-06-02T17:53:48Z</dcterms:created>
  <dcterms:modified xsi:type="dcterms:W3CDTF">2020-06-02T17:53:48Z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2014-01-31T00:00:00Z</vt:filetime>
  </property>
  <property fmtid="{D5CDD505-2E9C-101B-9397-08002B2CF9AE}" pid="3" name="Creator">
    <vt:lpwstr>PScript5.dll Version 5.2.2</vt:lpwstr>
  </property>
  <property fmtid="{D5CDD505-2E9C-101B-9397-08002B2CF9AE}" pid="4" name="LastSaved">
    <vt:filetime>2020-06-02T00:00:00Z</vt:filetime>
  </property>
</Properties>
</file>