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pStyle w:val="BodyText"/>
        <w:spacing w:before="2"/>
        <w:rPr>
          <w:rFonts w:ascii="Times New Roman"/>
          <w:sz w:val="25"/>
        </w:rPr>
      </w:pPr>
    </w:p>
    <w:p>
      <w:pPr>
        <w:spacing w:before="89"/>
        <w:ind w:left="233" w:right="2081" w:firstLine="0"/>
        <w:jc w:val="left"/>
        <w:rPr>
          <w:b/>
          <w:sz w:val="32"/>
        </w:rPr>
      </w:pPr>
      <w:r>
        <w:rPr>
          <w:b/>
          <w:color w:val="6A709F"/>
          <w:sz w:val="32"/>
        </w:rPr>
        <w:t>Mensch tracht, und Gott lacht: Giving guidance on future monetary policy</w:t>
      </w:r>
    </w:p>
    <w:p>
      <w:pPr>
        <w:pStyle w:val="BodyText"/>
        <w:spacing w:before="1"/>
        <w:rPr>
          <w:b/>
          <w:sz w:val="48"/>
        </w:rPr>
      </w:pPr>
    </w:p>
    <w:p>
      <w:pPr>
        <w:pStyle w:val="Heading2"/>
      </w:pPr>
      <w:r>
        <w:rPr/>
        <w:t>Speech given by</w:t>
      </w:r>
    </w:p>
    <w:p>
      <w:pPr>
        <w:spacing w:before="140"/>
        <w:ind w:left="233" w:right="0" w:firstLine="0"/>
        <w:jc w:val="left"/>
        <w:rPr>
          <w:sz w:val="24"/>
        </w:rPr>
      </w:pPr>
      <w:r>
        <w:rPr>
          <w:sz w:val="24"/>
        </w:rPr>
        <w:t>David Miles, Monetary Policy Committee, Bank of England</w:t>
      </w:r>
    </w:p>
    <w:p>
      <w:pPr>
        <w:pStyle w:val="BodyText"/>
        <w:rPr>
          <w:sz w:val="26"/>
        </w:rPr>
      </w:pPr>
    </w:p>
    <w:p>
      <w:pPr>
        <w:pStyle w:val="BodyText"/>
        <w:rPr>
          <w:sz w:val="26"/>
        </w:rPr>
      </w:pPr>
    </w:p>
    <w:p>
      <w:pPr>
        <w:pStyle w:val="BodyText"/>
        <w:spacing w:before="10"/>
        <w:rPr>
          <w:sz w:val="31"/>
        </w:rPr>
      </w:pPr>
    </w:p>
    <w:p>
      <w:pPr>
        <w:spacing w:line="360" w:lineRule="auto" w:before="1"/>
        <w:ind w:left="233" w:right="6954" w:firstLine="0"/>
        <w:jc w:val="left"/>
        <w:rPr>
          <w:sz w:val="24"/>
        </w:rPr>
      </w:pPr>
      <w:r>
        <w:rPr>
          <w:sz w:val="24"/>
        </w:rPr>
        <w:t>At the London School of Economics 30 September 2014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4"/>
        </w:rPr>
      </w:pPr>
    </w:p>
    <w:p>
      <w:pPr>
        <w:pStyle w:val="BodyText"/>
        <w:spacing w:before="93"/>
        <w:ind w:left="233" w:right="1792"/>
      </w:pPr>
      <w:r>
        <w:rPr/>
        <w:t>I would like to thank Rodrigo Guimaraes, Jochen Schanz, Charlotte Adams and Chuan Du for excellent research assistance, and others for helpful comments. The views expressed are my own and do not necessarily reflect those of the Bank of England or other members of the Monetary Policy Committee.</w:t>
      </w:r>
    </w:p>
    <w:p>
      <w:pPr>
        <w:spacing w:after="0"/>
        <w:sectPr>
          <w:footerReference w:type="default" r:id="rId5"/>
          <w:type w:val="continuous"/>
          <w:pgSz w:w="11910" w:h="16840"/>
          <w:pgMar w:footer="1338" w:top="1180" w:bottom="1520" w:left="900" w:right="0"/>
        </w:sectPr>
      </w:pPr>
    </w:p>
    <w:p>
      <w:pPr>
        <w:pStyle w:val="Heading3"/>
        <w:numPr>
          <w:ilvl w:val="0"/>
          <w:numId w:val="1"/>
        </w:numPr>
        <w:tabs>
          <w:tab w:pos="594" w:val="left" w:leader="none"/>
        </w:tabs>
        <w:spacing w:line="240" w:lineRule="auto" w:before="76" w:after="0"/>
        <w:ind w:left="593" w:right="0" w:hanging="361"/>
        <w:jc w:val="left"/>
      </w:pPr>
      <w:r>
        <w:rPr/>
        <w:t>Introduction</w:t>
      </w:r>
    </w:p>
    <w:p>
      <w:pPr>
        <w:pStyle w:val="BodyText"/>
        <w:rPr>
          <w:b/>
          <w:sz w:val="22"/>
        </w:rPr>
      </w:pPr>
    </w:p>
    <w:p>
      <w:pPr>
        <w:pStyle w:val="BodyText"/>
        <w:spacing w:before="2"/>
        <w:rPr>
          <w:b/>
          <w:sz w:val="18"/>
        </w:rPr>
      </w:pPr>
    </w:p>
    <w:p>
      <w:pPr>
        <w:pStyle w:val="BodyText"/>
        <w:spacing w:line="360" w:lineRule="auto"/>
        <w:ind w:left="233" w:right="1248"/>
      </w:pPr>
      <w:r>
        <w:rPr/>
        <w:t>“Mensch tracht, und Gott lacht" is a Yiddish proverb – men plan and God laughs. Woody Allen puts the same thought this way: “If you want to make God laugh tell him about your plans”.</w:t>
      </w:r>
      <w:r>
        <w:rPr>
          <w:vertAlign w:val="superscript"/>
        </w:rPr>
        <w:t>1</w:t>
      </w:r>
      <w:r>
        <w:rPr>
          <w:vertAlign w:val="baseline"/>
        </w:rPr>
        <w:t> Some people might see these as a fitting epitaph for forward guidance on monetary policy. The Bank of England has certainly faced a good deal of criticism for the guidance that it has recently been giving, as has the Federal Reserve in the US. In both cases the nature of the guidance has evolved, though I think it is rather harsh to assume that God has been laughing at how things have gone; anyway it is hard to know. Yet there is a real question here that is worth thinking about and it is this: </w:t>
      </w:r>
      <w:r>
        <w:rPr>
          <w:spacing w:val="2"/>
          <w:vertAlign w:val="baseline"/>
        </w:rPr>
        <w:t>What </w:t>
      </w:r>
      <w:r>
        <w:rPr>
          <w:vertAlign w:val="baseline"/>
        </w:rPr>
        <w:t>is the most useful way for a central bank to provide information about the way in which it will set monetary</w:t>
      </w:r>
      <w:r>
        <w:rPr>
          <w:spacing w:val="-8"/>
          <w:vertAlign w:val="baseline"/>
        </w:rPr>
        <w:t> </w:t>
      </w:r>
      <w:r>
        <w:rPr>
          <w:vertAlign w:val="baseline"/>
        </w:rPr>
        <w:t>policy?</w:t>
      </w:r>
    </w:p>
    <w:p>
      <w:pPr>
        <w:pStyle w:val="BodyText"/>
        <w:rPr>
          <w:sz w:val="30"/>
        </w:rPr>
      </w:pPr>
    </w:p>
    <w:p>
      <w:pPr>
        <w:pStyle w:val="BodyText"/>
        <w:spacing w:line="360" w:lineRule="auto" w:before="1"/>
        <w:ind w:left="233" w:right="1168"/>
      </w:pPr>
      <w:r>
        <w:rPr/>
        <w:t>Consider a spectrum of choices a central bank might face about what it says about its future policies</w:t>
      </w:r>
      <w:r>
        <w:rPr>
          <w:vertAlign w:val="superscript"/>
        </w:rPr>
        <w:t>2</w:t>
      </w:r>
      <w:r>
        <w:rPr>
          <w:vertAlign w:val="baseline"/>
        </w:rPr>
        <w:t>: at one end of the spectrum (the minimalist end, which we might call the Montagu Norman side</w:t>
      </w:r>
      <w:r>
        <w:rPr>
          <w:vertAlign w:val="superscript"/>
        </w:rPr>
        <w:t>3</w:t>
      </w:r>
      <w:r>
        <w:rPr>
          <w:vertAlign w:val="baseline"/>
        </w:rPr>
        <w:t>) is just a statement that the central bank will continue to do what it sees as most appropriate over time.  In the absence of a more precise statement about what constitutes “appropriate” this is probably about as vague as one can imagine. At the other end of the spectrum is an explicit commitment that policy will be set in a specific way</w:t>
      </w:r>
      <w:r>
        <w:rPr>
          <w:spacing w:val="-30"/>
          <w:vertAlign w:val="baseline"/>
        </w:rPr>
        <w:t> </w:t>
      </w:r>
      <w:r>
        <w:rPr>
          <w:vertAlign w:val="baseline"/>
        </w:rPr>
        <w:t>at each point into the future – not just a rule that might be followed but a commitment to a particular policy setting. If we think of policy as being about  the level of an interest rate set by the central bank (Bank Rate for the Bank of England) this second extreme end of the spectrum means a promise to set the interest rate along a specific path into the future. Between these two are a great many intermediate points: nearer the vague end – though meaningfully different from it – is an explicit statement of the goal of policy (e.g. an inflation target) but with little indication of how the central bank sees the link between its policy instrument and that goal or about what the current economic outlook is.  Somewhere in the middle of the spectrum would be a fairly precise statement of the aim of policy (the targets) along with an assessment of the state of the economy and a (probabilistic) assessment of how the economy might evolve for a particular (fixed and perhaps arbitrary) setting of the policy instruments. Further along again might be an assessment of how the policy set by the central bank might evolve for different outcomes of some of the main forces driving the economy. That would tell you something about the central bank’s reaction function and also its assessment of the nature of the economic environment and how it might</w:t>
      </w:r>
      <w:r>
        <w:rPr>
          <w:spacing w:val="-6"/>
          <w:vertAlign w:val="baseline"/>
        </w:rPr>
        <w:t> </w:t>
      </w:r>
      <w:r>
        <w:rPr>
          <w:vertAlign w:val="baseline"/>
        </w:rPr>
        <w:t>evolve.</w:t>
      </w:r>
    </w:p>
    <w:p>
      <w:pPr>
        <w:pStyle w:val="BodyText"/>
        <w:rPr>
          <w:sz w:val="30"/>
        </w:rPr>
      </w:pPr>
    </w:p>
    <w:p>
      <w:pPr>
        <w:pStyle w:val="BodyText"/>
        <w:spacing w:line="357" w:lineRule="auto" w:before="1"/>
        <w:ind w:left="233" w:right="1248"/>
      </w:pPr>
      <w:r>
        <w:rPr/>
        <w:t>Forward guidance can mean many things. I think it is helpful to think about forward guidance as being a choice about which point to settle on along the spectrum I have described.</w:t>
      </w:r>
    </w:p>
    <w:p>
      <w:pPr>
        <w:pStyle w:val="BodyText"/>
        <w:spacing w:before="3"/>
        <w:rPr>
          <w:sz w:val="30"/>
        </w:rPr>
      </w:pPr>
    </w:p>
    <w:p>
      <w:pPr>
        <w:pStyle w:val="BodyText"/>
        <w:spacing w:before="1"/>
        <w:ind w:left="233"/>
      </w:pPr>
      <w:r>
        <w:rPr/>
        <w:t>That is the question I want to address today.</w:t>
      </w:r>
    </w:p>
    <w:p>
      <w:pPr>
        <w:pStyle w:val="BodyText"/>
      </w:pPr>
    </w:p>
    <w:p>
      <w:pPr>
        <w:pStyle w:val="BodyText"/>
      </w:pPr>
    </w:p>
    <w:p>
      <w:pPr>
        <w:pStyle w:val="BodyText"/>
      </w:pPr>
    </w:p>
    <w:p>
      <w:pPr>
        <w:pStyle w:val="BodyText"/>
        <w:spacing w:before="3"/>
        <w:rPr>
          <w:sz w:val="17"/>
        </w:rPr>
      </w:pPr>
      <w:r>
        <w:rPr/>
        <w:pict>
          <v:shape style="position:absolute;margin-left:56.664001pt;margin-top:12.132236pt;width:144.050pt;height:.1pt;mso-position-horizontal-relative:page;mso-position-vertical-relative:paragraph;z-index:-251657216;mso-wrap-distance-left:0;mso-wrap-distance-right:0" coordorigin="1133,243" coordsize="2881,0" path="m1133,243l4014,243e" filled="false" stroked="true" strokeweight=".47998pt" strokecolor="#000000">
            <v:path arrowok="t"/>
            <v:stroke dashstyle="solid"/>
            <w10:wrap type="topAndBottom"/>
          </v:shape>
        </w:pict>
      </w:r>
    </w:p>
    <w:p>
      <w:pPr>
        <w:spacing w:line="225" w:lineRule="auto" w:before="39"/>
        <w:ind w:left="233" w:right="2039" w:firstLine="0"/>
        <w:jc w:val="left"/>
        <w:rPr>
          <w:sz w:val="16"/>
        </w:rPr>
      </w:pPr>
      <w:r>
        <w:rPr>
          <w:position w:val="8"/>
          <w:sz w:val="10"/>
        </w:rPr>
        <w:t>1 </w:t>
      </w:r>
      <w:r>
        <w:rPr>
          <w:sz w:val="16"/>
        </w:rPr>
        <w:t>Mike Tyson made a related - but different – point when he said “Everyone has a plan until they get punched in the mouth”. </w:t>
      </w:r>
      <w:r>
        <w:rPr>
          <w:position w:val="8"/>
          <w:sz w:val="10"/>
        </w:rPr>
        <w:t>2 </w:t>
      </w:r>
      <w:r>
        <w:rPr>
          <w:sz w:val="16"/>
        </w:rPr>
        <w:t>In talking about a spectrum I am talking somewhat loosely. A spectrum suggests that there is just one dimension in which communication about policy can be varied. In practice there is more than one dimension.</w:t>
      </w:r>
    </w:p>
    <w:p>
      <w:pPr>
        <w:spacing w:line="184" w:lineRule="exact" w:before="0"/>
        <w:ind w:left="233" w:right="0" w:firstLine="0"/>
        <w:jc w:val="left"/>
        <w:rPr>
          <w:sz w:val="16"/>
        </w:rPr>
      </w:pPr>
      <w:r>
        <w:rPr>
          <w:position w:val="8"/>
          <w:sz w:val="10"/>
        </w:rPr>
        <w:t>3 </w:t>
      </w:r>
      <w:r>
        <w:rPr>
          <w:sz w:val="16"/>
        </w:rPr>
        <w:t>In recognition of his reputed dictum “never apologise, never explain”</w:t>
      </w:r>
    </w:p>
    <w:p>
      <w:pPr>
        <w:spacing w:after="0" w:line="184" w:lineRule="exact"/>
        <w:jc w:val="left"/>
        <w:rPr>
          <w:sz w:val="16"/>
        </w:rPr>
        <w:sectPr>
          <w:footerReference w:type="default" r:id="rId7"/>
          <w:pgSz w:w="11910" w:h="16840"/>
          <w:pgMar w:footer="1338" w:header="0" w:top="1520" w:bottom="1520" w:left="900" w:right="0"/>
        </w:sectPr>
      </w:pPr>
    </w:p>
    <w:p>
      <w:pPr>
        <w:pStyle w:val="BodyText"/>
        <w:spacing w:before="79"/>
        <w:ind w:left="233"/>
      </w:pPr>
      <w:r>
        <w:rPr/>
        <w:t>Let me start by making two simple points.</w:t>
      </w:r>
    </w:p>
    <w:p>
      <w:pPr>
        <w:pStyle w:val="BodyText"/>
        <w:rPr>
          <w:sz w:val="22"/>
        </w:rPr>
      </w:pPr>
    </w:p>
    <w:p>
      <w:pPr>
        <w:pStyle w:val="BodyText"/>
        <w:spacing w:before="10"/>
        <w:rPr>
          <w:sz w:val="17"/>
        </w:rPr>
      </w:pPr>
    </w:p>
    <w:p>
      <w:pPr>
        <w:pStyle w:val="BodyText"/>
        <w:spacing w:line="360" w:lineRule="auto"/>
        <w:ind w:left="233" w:right="1138"/>
      </w:pPr>
      <w:r>
        <w:rPr/>
        <w:t>My first point is that on this issue there is not a lot of generally agreed upon and directly applicable economic theory to help. To a large extent this is because in many standard economic models this is really a</w:t>
      </w:r>
    </w:p>
    <w:p>
      <w:pPr>
        <w:pStyle w:val="BodyText"/>
        <w:spacing w:line="360" w:lineRule="auto" w:before="2"/>
        <w:ind w:left="233" w:right="1185"/>
      </w:pPr>
      <w:r>
        <w:rPr/>
        <w:t>non-question – it simply does not arise. Suppose we assume that everyone in an economy is completely rational, has unlimited computational powers, has the same information and understands the processes driving the economic outcomes. They all share a common understanding about the links between monetary policy and economic outcomes and they share common (but imperfect) information about where the economy is today and the sorts of shocks that will buffet it over time. (They do not know what those shocks will be but understand the risks). In this idealised world then so long as the central bank can credibly commit to pursue an explicit and completely specified objective</w:t>
      </w:r>
      <w:r>
        <w:rPr>
          <w:vertAlign w:val="superscript"/>
        </w:rPr>
        <w:t>4</w:t>
      </w:r>
      <w:r>
        <w:rPr>
          <w:vertAlign w:val="baseline"/>
        </w:rPr>
        <w:t> then there is not much more to be said. People outside the central bank will work out what the optimal policy the central bank will follow given how the economy seems to be evolving. They will form the same expectations about the course of future policy as the central bank itself because they share a common view about how the economy works and make the same assessment about the probabilities of different future outcomes.  All the central bank needs to do is say what its aims are. If these are precise and seen as something the central bank will pursue then people can figure out what it will do, depending on how the shocks that hit </w:t>
      </w:r>
      <w:r>
        <w:rPr>
          <w:spacing w:val="2"/>
          <w:vertAlign w:val="baseline"/>
        </w:rPr>
        <w:t>the </w:t>
      </w:r>
      <w:r>
        <w:rPr>
          <w:vertAlign w:val="baseline"/>
        </w:rPr>
        <w:t>economy play</w:t>
      </w:r>
      <w:r>
        <w:rPr>
          <w:spacing w:val="-21"/>
          <w:vertAlign w:val="baseline"/>
        </w:rPr>
        <w:t> </w:t>
      </w:r>
      <w:r>
        <w:rPr>
          <w:vertAlign w:val="baseline"/>
        </w:rPr>
        <w:t>out.</w:t>
      </w:r>
    </w:p>
    <w:p>
      <w:pPr>
        <w:pStyle w:val="BodyText"/>
        <w:spacing w:before="11"/>
        <w:rPr>
          <w:sz w:val="29"/>
        </w:rPr>
      </w:pPr>
    </w:p>
    <w:p>
      <w:pPr>
        <w:pStyle w:val="BodyText"/>
        <w:spacing w:line="360" w:lineRule="auto"/>
        <w:ind w:left="233" w:right="1159"/>
      </w:pPr>
      <w:r>
        <w:rPr/>
        <w:t>There are a few wrinkles to this. Under some circumstances optimal policy might be time inconsistent – that is a situation when the central bank plan which is optimal today is no longer optimal at some point in the future simply because of the (entirely predictable) passage of time and not because of some news. And it might be that such time-inconsistency could be more likely if interest rates are stuck at the zero lower bound. But time inconsistency is a slightly tangential issue</w:t>
      </w:r>
      <w:r>
        <w:rPr>
          <w:vertAlign w:val="superscript"/>
        </w:rPr>
        <w:t>5</w:t>
      </w:r>
      <w:r>
        <w:rPr>
          <w:vertAlign w:val="baseline"/>
        </w:rPr>
        <w:t>. The main point is that when everyone shares common information and understanding (and that is the default assumption in many economic models) the central bank just needs to say what its aims are, which must involve not only some medium term targets but also how it will trade-off deviations from the targets. In the idealised world of many economic models people can then just go figure out the rest. Giving guidance on future policy is generally irrelevant here</w:t>
      </w:r>
      <w:r>
        <w:rPr>
          <w:vertAlign w:val="superscript"/>
        </w:rPr>
        <w:t>6</w:t>
      </w:r>
      <w:r>
        <w:rPr>
          <w:vertAlign w:val="baseline"/>
        </w:rPr>
        <w:t>. So in terms of the spectrum of points described above there just isn’t one. When everyone has the same information – including about the objectives of the central bank – there is nothing else to talk about</w:t>
      </w:r>
      <w:r>
        <w:rPr>
          <w:vertAlign w:val="superscript"/>
        </w:rPr>
        <w:t>7</w:t>
      </w:r>
      <w:r>
        <w:rPr>
          <w:vertAlign w:val="baseline"/>
        </w:rPr>
        <w:t>.</w:t>
      </w:r>
    </w:p>
    <w:p>
      <w:pPr>
        <w:pStyle w:val="BodyText"/>
      </w:pPr>
    </w:p>
    <w:p>
      <w:pPr>
        <w:pStyle w:val="BodyText"/>
        <w:spacing w:before="3"/>
        <w:rPr>
          <w:sz w:val="21"/>
        </w:rPr>
      </w:pPr>
      <w:r>
        <w:rPr/>
        <w:pict>
          <v:shape style="position:absolute;margin-left:56.664001pt;margin-top:14.45334pt;width:144.050pt;height:.1pt;mso-position-horizontal-relative:page;mso-position-vertical-relative:paragraph;z-index:-251656192;mso-wrap-distance-left:0;mso-wrap-distance-right:0" coordorigin="1133,289" coordsize="2881,0" path="m1133,289l4014,289e" filled="false" stroked="true" strokeweight=".48004pt" strokecolor="#000000">
            <v:path arrowok="t"/>
            <v:stroke dashstyle="solid"/>
            <w10:wrap type="topAndBottom"/>
          </v:shape>
        </w:pict>
      </w:r>
    </w:p>
    <w:p>
      <w:pPr>
        <w:spacing w:before="30"/>
        <w:ind w:left="233" w:right="1138" w:firstLine="0"/>
        <w:jc w:val="left"/>
        <w:rPr>
          <w:sz w:val="16"/>
        </w:rPr>
      </w:pPr>
      <w:r>
        <w:rPr>
          <w:position w:val="8"/>
          <w:sz w:val="10"/>
        </w:rPr>
        <w:t>4 </w:t>
      </w:r>
      <w:r>
        <w:rPr>
          <w:sz w:val="16"/>
        </w:rPr>
        <w:t>An example of a specific objective would be to make as small as possible a weighted average of deviations of inflation and output from specified levels over some horizon stretching into the future. An objective that was just to hit a target “over the medium term” would be too vague to allow people to figure out what the central bank would do in various circumstances.</w:t>
      </w:r>
    </w:p>
    <w:p>
      <w:pPr>
        <w:spacing w:line="182" w:lineRule="exact" w:before="4"/>
        <w:ind w:left="233" w:right="1204" w:firstLine="0"/>
        <w:jc w:val="left"/>
        <w:rPr>
          <w:sz w:val="16"/>
        </w:rPr>
      </w:pPr>
      <w:r>
        <w:rPr>
          <w:position w:val="8"/>
          <w:sz w:val="10"/>
        </w:rPr>
        <w:t>5 </w:t>
      </w:r>
      <w:r>
        <w:rPr>
          <w:sz w:val="16"/>
        </w:rPr>
        <w:t>Woodford (2013) has an extensive discussion of the conditions under which the optimal monetary policy of a central bank might be time inconsistent. This depends upon the nature of the goals of the central bank which need to be precise enough to determine a policy</w:t>
      </w:r>
    </w:p>
    <w:p>
      <w:pPr>
        <w:spacing w:before="0"/>
        <w:ind w:left="233" w:right="1225" w:firstLine="0"/>
        <w:jc w:val="both"/>
        <w:rPr>
          <w:sz w:val="16"/>
        </w:rPr>
      </w:pPr>
      <w:r>
        <w:rPr>
          <w:sz w:val="16"/>
        </w:rPr>
        <w:t>path. The key condition is that “…the sequence of target criteria for different horizons are of the same form (i.e., if the target criterion is independent of the horizon)… then the forecast-targeting procedure will be inter-temporally consistent.” I believe that the way the MPC interprets its goals satisfies this condition.</w:t>
      </w:r>
    </w:p>
    <w:p>
      <w:pPr>
        <w:spacing w:line="182" w:lineRule="exact" w:before="4"/>
        <w:ind w:left="233" w:right="1138" w:firstLine="0"/>
        <w:jc w:val="both"/>
        <w:rPr>
          <w:sz w:val="16"/>
        </w:rPr>
      </w:pPr>
      <w:r>
        <w:rPr>
          <w:position w:val="8"/>
          <w:sz w:val="10"/>
        </w:rPr>
        <w:t>6 </w:t>
      </w:r>
      <w:r>
        <w:rPr>
          <w:sz w:val="16"/>
        </w:rPr>
        <w:t>Generally but not always. In cases where the central bank’s credibility over a future path of interest rates is in doubt, guidance could be seen as a commitment device, creating costs from deviating from a pre-announced plan which can help avoid inferior outcomes that can</w:t>
      </w:r>
    </w:p>
    <w:p>
      <w:pPr>
        <w:spacing w:before="0"/>
        <w:ind w:left="233" w:right="1179" w:firstLine="0"/>
        <w:jc w:val="left"/>
        <w:rPr>
          <w:sz w:val="16"/>
        </w:rPr>
      </w:pPr>
      <w:r>
        <w:rPr>
          <w:sz w:val="16"/>
        </w:rPr>
        <w:t>arise if optimal monetary policy is time inconsistent. I believe that the aims of the Bank of England make the time inconsistency problem unlikely to be very relevant (see footnote 5).</w:t>
      </w:r>
    </w:p>
    <w:p>
      <w:pPr>
        <w:spacing w:line="184" w:lineRule="exact" w:before="1"/>
        <w:ind w:left="233" w:right="1214" w:firstLine="0"/>
        <w:jc w:val="left"/>
        <w:rPr>
          <w:sz w:val="16"/>
        </w:rPr>
      </w:pPr>
      <w:r>
        <w:rPr>
          <w:position w:val="8"/>
          <w:sz w:val="10"/>
        </w:rPr>
        <w:t>7 </w:t>
      </w:r>
      <w:r>
        <w:rPr>
          <w:sz w:val="16"/>
        </w:rPr>
        <w:t>This may be rather too negative a conclusion to draw about the use of theories that assume common knowledge. Idealised models without information frictions might still have a message about guidance because they suggest that central banks should do all they can to remove information problems by being transparent about their objectives, about possible shocks and likely policy responses to them.</w:t>
      </w:r>
    </w:p>
    <w:p>
      <w:pPr>
        <w:spacing w:after="0" w:line="184" w:lineRule="exact"/>
        <w:jc w:val="left"/>
        <w:rPr>
          <w:sz w:val="16"/>
        </w:rPr>
        <w:sectPr>
          <w:footerReference w:type="default" r:id="rId8"/>
          <w:pgSz w:w="11910" w:h="16840"/>
          <w:pgMar w:footer="1338" w:header="0" w:top="1520" w:bottom="1520" w:left="900" w:right="0"/>
        </w:sectPr>
      </w:pPr>
    </w:p>
    <w:p>
      <w:pPr>
        <w:pStyle w:val="BodyText"/>
        <w:spacing w:line="360" w:lineRule="auto" w:before="79"/>
        <w:ind w:left="233" w:right="1160"/>
      </w:pPr>
      <w:r>
        <w:rPr/>
        <w:t>Of course this is very unrealistic – it requires common understanding between the central bank and</w:t>
      </w:r>
      <w:r>
        <w:rPr>
          <w:spacing w:val="-31"/>
        </w:rPr>
        <w:t> </w:t>
      </w:r>
      <w:r>
        <w:rPr/>
        <w:t>everyone else about the structure of the economy, the current state it is in and also perfect clarity about the precise objectives of the central bank (including how it sees trade-offs between objectives). So it is not a very good guide to the practical policy issue about what guidance the central bank should give.  Real world complexities – differences in information and the resources to interpret it; uncertainty about what the right model of the economy is; the possibility that information might be misinterpreted; different views amongst policy makers within the central banks – are just that:</w:t>
      </w:r>
      <w:r>
        <w:rPr>
          <w:spacing w:val="-8"/>
        </w:rPr>
        <w:t> </w:t>
      </w:r>
      <w:r>
        <w:rPr/>
        <w:t>real.</w:t>
      </w:r>
    </w:p>
    <w:p>
      <w:pPr>
        <w:pStyle w:val="BodyText"/>
        <w:spacing w:before="9"/>
        <w:rPr>
          <w:sz w:val="29"/>
        </w:rPr>
      </w:pPr>
    </w:p>
    <w:p>
      <w:pPr>
        <w:pStyle w:val="BodyText"/>
        <w:spacing w:line="360" w:lineRule="auto"/>
        <w:ind w:left="233" w:right="1138"/>
      </w:pPr>
      <w:r>
        <w:rPr/>
        <w:t>The second simple point I want to make is that much of the most vocal recent criticism of guidance given by central banks really reflects a seeming preference to take one of the extreme ends of my spectrum. And that extreme end is very unlikely to be a good place to be. So for example in the UK the Bank of England (and more specifically its Monetary Policy Committee) is very often criticised for “ flip-flopping”; for giving different signals about policy at different times; for seeming to change its mind on the right path for policy; in short for not providing certainty about policy. I think in many cases this boils down to the criticism that while the</w:t>
      </w:r>
    </w:p>
    <w:p>
      <w:pPr>
        <w:pStyle w:val="BodyText"/>
        <w:spacing w:line="360" w:lineRule="auto" w:before="2"/>
        <w:ind w:left="233" w:right="1206"/>
      </w:pPr>
      <w:r>
        <w:rPr/>
        <w:t>Bank of England now claims to be giving guidance on policy it is not saying what policy will be – it is not giving a specific path for interest rates, and not even saying when it is going to start raising rates. The criticism is also that what the MPC is saying seems to change over time so that the chances of interest rates moving along different paths seem to shift. So one frequently hears that the MPC’s message is confusing, and that it should communicate more clearly. One version of this criticism is that the Bank lacks transparency – a criticism that is open to many interpretations, one of which is that the Bank refuses to say what it is going to do to interest rates, even though it could.</w:t>
      </w:r>
    </w:p>
    <w:p>
      <w:pPr>
        <w:pStyle w:val="BodyText"/>
        <w:rPr>
          <w:sz w:val="30"/>
        </w:rPr>
      </w:pPr>
    </w:p>
    <w:p>
      <w:pPr>
        <w:pStyle w:val="BodyText"/>
        <w:spacing w:line="360" w:lineRule="auto"/>
        <w:ind w:left="233" w:right="1138"/>
      </w:pPr>
      <w:r>
        <w:rPr/>
        <w:t>I do not take this criticism lightly. The Bank is accountable to the public, and it needs to clearly communicate the reasons behind its policy decisions. The MPC goes to some lengths to explain its thinking and decisions. The minutes of the MPC meetings are published two weeks after the interest rate decision; those minutes give a full account of the policy discussion, including differences of view. They show the votes of the individual members of the Committee. Committee members have to explain their decisions regularly to parliamentary committees. The evidence is transmitted live. And MPC members also speak to audiences throughout the country, explaining the MPC's policy decisions. These speeches are available on the Bank’s website.</w:t>
      </w:r>
    </w:p>
    <w:p>
      <w:pPr>
        <w:pStyle w:val="BodyText"/>
        <w:spacing w:before="11"/>
        <w:rPr>
          <w:sz w:val="29"/>
        </w:rPr>
      </w:pPr>
    </w:p>
    <w:p>
      <w:pPr>
        <w:pStyle w:val="BodyText"/>
        <w:spacing w:line="360" w:lineRule="auto"/>
        <w:ind w:left="233" w:right="1138"/>
      </w:pPr>
      <w:r>
        <w:rPr/>
        <w:t>In addition to the monthly MPC minutes, the Bank publishes its Inflation Report every quarter. This report gives an analysis of the UK economy and the factors influencing policy decisions. The Inflation Report also includes the MPC's latest forecasts for key economic variables, and shows the assumptions under which these forecasts were made. And the Bank publishes details of the main economic models that its staff use to help the Committee make its forecasts.</w:t>
      </w:r>
    </w:p>
    <w:p>
      <w:pPr>
        <w:pStyle w:val="BodyText"/>
        <w:spacing w:before="2"/>
        <w:rPr>
          <w:sz w:val="30"/>
        </w:rPr>
      </w:pPr>
    </w:p>
    <w:p>
      <w:pPr>
        <w:pStyle w:val="BodyText"/>
        <w:spacing w:line="360" w:lineRule="auto"/>
        <w:ind w:left="233" w:right="1163"/>
      </w:pPr>
      <w:r>
        <w:rPr/>
        <w:t>I do not think the criticism that the MPC does not give much information about how it sets policy really stacks up. Nonetheless a case can be made that the MPC should provide additional information – for example that</w:t>
      </w:r>
    </w:p>
    <w:p>
      <w:pPr>
        <w:spacing w:after="0" w:line="360" w:lineRule="auto"/>
        <w:sectPr>
          <w:footerReference w:type="default" r:id="rId9"/>
          <w:pgSz w:w="11910" w:h="16840"/>
          <w:pgMar w:footer="1338" w:header="0" w:top="1520" w:bottom="1520" w:left="900" w:right="0"/>
          <w:pgNumType w:start="4"/>
        </w:sectPr>
      </w:pPr>
    </w:p>
    <w:p>
      <w:pPr>
        <w:pStyle w:val="BodyText"/>
        <w:spacing w:line="360" w:lineRule="auto" w:before="119"/>
        <w:ind w:left="233" w:right="1248"/>
      </w:pPr>
      <w:r>
        <w:rPr/>
        <w:t>it should say more about its reaction function</w:t>
      </w:r>
      <w:r>
        <w:rPr>
          <w:vertAlign w:val="superscript"/>
        </w:rPr>
        <w:t>8</w:t>
      </w:r>
      <w:r>
        <w:rPr>
          <w:vertAlign w:val="baseline"/>
        </w:rPr>
        <w:t>. And indeed the forward guidance that the MPC has been giving is, in part, a response to that. But I think a great deal of the loudest criticism is not so much that the MPC doesn’t say much about how it sets policy, but rather that the MPC is providing less certainty than it could about interest rates.</w:t>
      </w:r>
    </w:p>
    <w:p>
      <w:pPr>
        <w:pStyle w:val="BodyText"/>
        <w:spacing w:before="10"/>
        <w:rPr>
          <w:sz w:val="29"/>
        </w:rPr>
      </w:pPr>
    </w:p>
    <w:p>
      <w:pPr>
        <w:pStyle w:val="BodyText"/>
        <w:spacing w:line="360" w:lineRule="auto"/>
        <w:ind w:left="233" w:right="1138"/>
      </w:pPr>
      <w:r>
        <w:rPr/>
        <w:t>And it is true that the MPC could commit to a certain path for future interest rates, and stick to it whatever economic circumstances materialise. Indeed the more uncertain the economic environment, the more valuable might people find it to have certainty about where interest rates are heading. Yet the greater the uncertainty the greater are the chances that the economic environment will turn out to be very different from what the MPC expected at the time they committed to an interest rate path. And this means that sticking to that path can be very costly. In many models sticking to a particular path for interest rates over a specific horizon can mean that at the end of that horizon interest rate may need to move dramatically to prevent serious instability in the economy. If the certainty about the path of rates for some near horizon comes at the cost of far higher uncertainty a bit down the road that hardly looks ideal.</w:t>
      </w:r>
    </w:p>
    <w:p>
      <w:pPr>
        <w:pStyle w:val="BodyText"/>
        <w:spacing w:before="2"/>
        <w:rPr>
          <w:sz w:val="30"/>
        </w:rPr>
      </w:pPr>
    </w:p>
    <w:p>
      <w:pPr>
        <w:pStyle w:val="BodyText"/>
        <w:spacing w:line="357" w:lineRule="auto"/>
        <w:ind w:left="233" w:right="1197"/>
      </w:pPr>
      <w:r>
        <w:rPr/>
        <w:t>To explore this issue of the effects of committing to a specific path for interest rates I will use a simple model of the economy which accounts for uncertainty and explores how that should affect monetary policy.</w:t>
      </w:r>
    </w:p>
    <w:p>
      <w:pPr>
        <w:pStyle w:val="BodyText"/>
        <w:spacing w:before="1"/>
        <w:rPr>
          <w:sz w:val="30"/>
        </w:rPr>
      </w:pPr>
    </w:p>
    <w:p>
      <w:pPr>
        <w:pStyle w:val="Heading3"/>
        <w:numPr>
          <w:ilvl w:val="0"/>
          <w:numId w:val="1"/>
        </w:numPr>
        <w:tabs>
          <w:tab w:pos="594" w:val="left" w:leader="none"/>
        </w:tabs>
        <w:spacing w:line="240" w:lineRule="auto" w:before="1" w:after="0"/>
        <w:ind w:left="593" w:right="0" w:hanging="361"/>
        <w:jc w:val="left"/>
      </w:pPr>
      <w:r>
        <w:rPr/>
        <w:t>A model of monetary policy under</w:t>
      </w:r>
      <w:r>
        <w:rPr>
          <w:spacing w:val="-10"/>
        </w:rPr>
        <w:t> </w:t>
      </w:r>
      <w:r>
        <w:rPr/>
        <w:t>uncertainty</w:t>
      </w:r>
    </w:p>
    <w:p>
      <w:pPr>
        <w:pStyle w:val="BodyText"/>
        <w:rPr>
          <w:b/>
          <w:sz w:val="22"/>
        </w:rPr>
      </w:pPr>
    </w:p>
    <w:p>
      <w:pPr>
        <w:pStyle w:val="BodyText"/>
        <w:spacing w:before="1"/>
        <w:rPr>
          <w:b/>
          <w:sz w:val="18"/>
        </w:rPr>
      </w:pPr>
    </w:p>
    <w:p>
      <w:pPr>
        <w:pStyle w:val="BodyText"/>
        <w:spacing w:line="360" w:lineRule="auto"/>
        <w:ind w:left="233" w:right="1138"/>
      </w:pPr>
      <w:r>
        <w:rPr/>
        <w:t>I want to use a simple model of the economy which takes account of uncertainty about the economic environment and makes explicit assumptions about the aims of monetary policy. My aim is to assess how much of a difference it would make if the central bank fixed the path for policy over the next few years rather than making it conditional upon the way the economy actually pans out.</w:t>
      </w:r>
    </w:p>
    <w:p>
      <w:pPr>
        <w:pStyle w:val="BodyText"/>
        <w:spacing w:before="1"/>
        <w:rPr>
          <w:sz w:val="30"/>
        </w:rPr>
      </w:pPr>
    </w:p>
    <w:p>
      <w:pPr>
        <w:pStyle w:val="BodyText"/>
        <w:spacing w:line="360" w:lineRule="auto"/>
        <w:ind w:left="233" w:right="1138"/>
      </w:pPr>
      <w:r>
        <w:rPr/>
        <w:t>The model is reduced to the bare minimum (see the Annex for details). It has three parts, summarised in three equations, which describe the evolution of output, inflation and supply capacity. Demand and output are assumed to grow faster if interest rates, adjusted for inflation (i.e. real interest rates), are below average. This is a standard demand relation – sometimes called the IS equation. Inflation is assumed to rise when firms produce above their long-run level of supply – in other words there is a link between slack (or spare capacity) and inflation. Finally I assume that supply capacity (more specifically, productivity growth) may respond positively to output growth; this is a simple way of taking account of possible hysteresis effects.  I will assume that unless the central bank has committed to a specific path for interest rates it will vary them</w:t>
      </w:r>
      <w:r>
        <w:rPr>
          <w:spacing w:val="-32"/>
        </w:rPr>
        <w:t> </w:t>
      </w:r>
      <w:r>
        <w:rPr/>
        <w:t>as it learns about how inflation and output evolve. I assume that the way in which the interest </w:t>
      </w:r>
      <w:r>
        <w:rPr>
          <w:spacing w:val="2"/>
        </w:rPr>
        <w:t>rate </w:t>
      </w:r>
      <w:r>
        <w:rPr/>
        <w:t>responds to inflation and production will be chosen by the central bank optimally in order to achieve its goals (goals which are described below and set out explicitly in the</w:t>
      </w:r>
      <w:r>
        <w:rPr>
          <w:spacing w:val="-8"/>
        </w:rPr>
        <w:t> </w:t>
      </w:r>
      <w:r>
        <w:rPr/>
        <w:t>annex).</w:t>
      </w:r>
    </w:p>
    <w:p>
      <w:pPr>
        <w:pStyle w:val="BodyText"/>
      </w:pPr>
    </w:p>
    <w:p>
      <w:pPr>
        <w:pStyle w:val="BodyText"/>
        <w:spacing w:before="2"/>
        <w:rPr>
          <w:sz w:val="19"/>
        </w:rPr>
      </w:pPr>
      <w:r>
        <w:rPr/>
        <w:pict>
          <v:shape style="position:absolute;margin-left:56.664001pt;margin-top:13.268653pt;width:144.050pt;height:.1pt;mso-position-horizontal-relative:page;mso-position-vertical-relative:paragraph;z-index:-251655168;mso-wrap-distance-left:0;mso-wrap-distance-right:0" coordorigin="1133,265" coordsize="2881,0" path="m1133,265l4014,265e" filled="false" stroked="true" strokeweight=".47998pt" strokecolor="#000000">
            <v:path arrowok="t"/>
            <v:stroke dashstyle="solid"/>
            <w10:wrap type="topAndBottom"/>
          </v:shape>
        </w:pict>
      </w:r>
    </w:p>
    <w:p>
      <w:pPr>
        <w:spacing w:before="30"/>
        <w:ind w:left="233" w:right="1248" w:firstLine="0"/>
        <w:jc w:val="left"/>
        <w:rPr>
          <w:sz w:val="16"/>
        </w:rPr>
      </w:pPr>
      <w:r>
        <w:rPr>
          <w:position w:val="8"/>
          <w:sz w:val="10"/>
        </w:rPr>
        <w:t>8 </w:t>
      </w:r>
      <w:r>
        <w:rPr>
          <w:sz w:val="16"/>
        </w:rPr>
        <w:t>Though this assumes there is a single, simple reaction function for a Committee of 9 members each of whom is responsible for their own decisions.</w:t>
      </w:r>
    </w:p>
    <w:p>
      <w:pPr>
        <w:spacing w:after="0"/>
        <w:jc w:val="left"/>
        <w:rPr>
          <w:sz w:val="16"/>
        </w:rPr>
        <w:sectPr>
          <w:footerReference w:type="default" r:id="rId10"/>
          <w:pgSz w:w="11910" w:h="16840"/>
          <w:pgMar w:footer="1338" w:header="0" w:top="1480" w:bottom="1520" w:left="900" w:right="0"/>
          <w:pgNumType w:start="5"/>
        </w:sectPr>
      </w:pPr>
    </w:p>
    <w:p>
      <w:pPr>
        <w:pStyle w:val="BodyText"/>
        <w:spacing w:line="360" w:lineRule="auto" w:before="79"/>
        <w:ind w:left="233" w:right="1208"/>
      </w:pPr>
      <w:r>
        <w:rPr/>
        <w:t>This simple model allows me to incorporate a number of uncertainties that I think are particularly relevant for the UK right now. The first is uncertainty about the degree of spare capacity in the economy. The second is about the impact of monetary policy: since interest rates have been at such exceptionally low levels for so long there is unusual uncertainty about how the return towards more usual levels will affect the economy.</w:t>
      </w:r>
    </w:p>
    <w:p>
      <w:pPr>
        <w:pStyle w:val="BodyText"/>
        <w:spacing w:line="360" w:lineRule="auto"/>
        <w:ind w:left="233" w:right="1204"/>
      </w:pPr>
      <w:r>
        <w:rPr/>
        <w:t>The third source of uncertainty is how fast the economy grows in the absence of monetary stimulus (i.e. at a neutral setting for policy). And the fourth source of uncertainty is about the extent to which productivity growth responds positively to output growth. I believe that uncertainty about these four factors – slack, the transmission mechanism of monetary policy, current momentum in the economy, and the endogeneity of productive potential – is substantial and economically significant.</w:t>
      </w:r>
    </w:p>
    <w:p>
      <w:pPr>
        <w:pStyle w:val="BodyText"/>
        <w:spacing w:before="10"/>
        <w:rPr>
          <w:sz w:val="29"/>
        </w:rPr>
      </w:pPr>
    </w:p>
    <w:p>
      <w:pPr>
        <w:pStyle w:val="BodyText"/>
        <w:spacing w:line="360" w:lineRule="auto"/>
        <w:ind w:left="233" w:right="1248"/>
      </w:pPr>
      <w:r>
        <w:rPr/>
        <w:t>I calibrate the model in a fairly crude way to reflect what I think is a plausible view of how these economic relationships operate, and of how large the associated uncertainties are. The appendix gives details.</w:t>
      </w:r>
    </w:p>
    <w:p>
      <w:pPr>
        <w:pStyle w:val="BodyText"/>
        <w:rPr>
          <w:sz w:val="30"/>
        </w:rPr>
      </w:pPr>
    </w:p>
    <w:p>
      <w:pPr>
        <w:pStyle w:val="BodyText"/>
        <w:spacing w:line="360" w:lineRule="auto" w:before="1"/>
        <w:ind w:left="233" w:right="1165"/>
      </w:pPr>
      <w:r>
        <w:rPr/>
        <w:t>I specify the aim of the central bank as being to try to keep inflation close to a target and output close to its estimate of the supply capacity of the economy. More specifically, I assume that </w:t>
      </w:r>
      <w:r>
        <w:rPr>
          <w:spacing w:val="3"/>
        </w:rPr>
        <w:t>the </w:t>
      </w:r>
      <w:r>
        <w:rPr/>
        <w:t>central bank sets policy to minimise the expected value of the weighted sum of squared deviations from the inflation target and from supply capacity over a horizon stretching many years into the future. (Again the annex gives details). </w:t>
      </w:r>
      <w:r>
        <w:rPr>
          <w:spacing w:val="5"/>
        </w:rPr>
        <w:t>We </w:t>
      </w:r>
      <w:r>
        <w:rPr/>
        <w:t>can then compute an optimal policy rule showing how the interest rate should respond to the (uncertain) evolution of actual inflation and output so as to best achieve the aims of policy. What we are doing here is finding that interest rate rule which best achieves the aims of policy and where the rule is chosen at the outset when there is uncertainty about the economic environment. Using this rule we can then show how policy would evolve for any specific realisation of the uncertain parameters which affect the path that inflation and output actually take. This yields a range of paths for output, inflation and interest rates; each path is the outcome for a specific constellation of the uncertain factors incorporated in the</w:t>
      </w:r>
      <w:r>
        <w:rPr>
          <w:spacing w:val="-7"/>
        </w:rPr>
        <w:t> </w:t>
      </w:r>
      <w:r>
        <w:rPr/>
        <w:t>model.</w:t>
      </w:r>
    </w:p>
    <w:p>
      <w:pPr>
        <w:pStyle w:val="BodyText"/>
        <w:rPr>
          <w:sz w:val="30"/>
        </w:rPr>
      </w:pPr>
    </w:p>
    <w:p>
      <w:pPr>
        <w:pStyle w:val="BodyText"/>
        <w:spacing w:line="360" w:lineRule="auto"/>
        <w:ind w:left="233" w:right="1151"/>
      </w:pPr>
      <w:r>
        <w:rPr/>
        <w:t>Figures 1-3 show the probabilities of paths for the output gap, output growth and inflation generated by the model over a period of 4 years (16 quarters) and where the central bank follows its optimally chosen policy rule. I assume we start from a position roughly like the UK today. The figures for growth and inflation are conceptually similar to the so-called fan charts showing the MPC’s best collective judgement about how output and inflation might evolve. (For comparison with figures 2 and 3 the fan charts 2b and 3b are those from the August 2014 Inflation Report). In producing those fan charts the MPC takes into account vastly more information than in the stylised model used here. An important difference is that the fan charts in the Inflation Report are constructed around a central forecast that is conditioned on a specific path for interest rates whereas the paths in figures 1 and 2a and 3a take account of how interest rates would themselves</w:t>
      </w:r>
      <w:r>
        <w:rPr>
          <w:spacing w:val="-34"/>
        </w:rPr>
        <w:t> </w:t>
      </w:r>
      <w:r>
        <w:rPr/>
        <w:t>vary over time. That is one reason why the uncertainty around the most likely path for inflation is very much lower in 3a, in which interest rates react to different inflation and output outcomes, than in chart 3b from the Inflation Report showing inflation outcomes based on assuming that interest rates evolve in line with market expectations at August</w:t>
      </w:r>
      <w:r>
        <w:rPr>
          <w:spacing w:val="-1"/>
        </w:rPr>
        <w:t> </w:t>
      </w:r>
      <w:r>
        <w:rPr/>
        <w:t>2014.</w:t>
      </w:r>
    </w:p>
    <w:p>
      <w:pPr>
        <w:spacing w:after="0" w:line="360" w:lineRule="auto"/>
        <w:sectPr>
          <w:pgSz w:w="11910" w:h="16840"/>
          <w:pgMar w:header="0" w:footer="1338" w:top="1520" w:bottom="1520" w:left="900" w:right="0"/>
        </w:sectPr>
      </w:pPr>
    </w:p>
    <w:p>
      <w:pPr>
        <w:spacing w:before="76"/>
        <w:ind w:left="233" w:right="0" w:firstLine="0"/>
        <w:jc w:val="left"/>
        <w:rPr>
          <w:sz w:val="20"/>
        </w:rPr>
      </w:pPr>
      <w:r>
        <w:rPr/>
        <w:pict>
          <v:group style="position:absolute;margin-left:56.325001pt;margin-top:20.884871pt;width:468.75pt;height:344.6pt;mso-position-horizontal-relative:page;mso-position-vertical-relative:paragraph;z-index:251680768" coordorigin="1127,418" coordsize="9375,6892">
            <v:shape style="position:absolute;left:1353;top:647;width:8110;height:6082" coordorigin="1354,648" coordsize="8110,6082" path="m1354,6729l9398,6729m1354,5714l9398,5714m1354,3688l9398,3688m1354,2673l9398,2673m1354,1660l9398,1660m1354,648l9398,648m9398,6729l9398,648m9398,6729l9463,6729m9398,5714l9463,5714m9398,4701l9463,4701m9398,3688l9463,3688m9398,2673l9463,2673m9398,1660l9463,1660m9398,648l9463,648m1354,4701l9398,4701m1354,4701l1354,4764m1855,4701l1855,4764m2359,4701l2359,4764m2861,4701l2861,4764m3365,4701l3365,4764m3866,4701l3866,4764m4370,4701l4370,4764m4872,4701l4872,4764m5376,4701l5376,4764m5878,4701l5878,4764m6382,4701l6382,4764m6883,4701l6883,4764m7387,4701l7387,4764m7891,4701l7891,4764m8393,4701l8393,4764m8897,4701l8897,4764m9398,4701l9398,4764e" filled="false" stroked="true" strokeweight=".72pt" strokecolor="#858585">
              <v:path arrowok="t"/>
              <v:stroke dashstyle="solid"/>
            </v:shape>
            <v:shape style="position:absolute;left:1604;top:4301;width:7544;height:2148" coordorigin="1604,4302" coordsize="7544,2148" path="m1604,4302l2106,4587,2610,5619,3114,6361,3616,6450,4120,6234,4621,6152,5125,6123,5627,6092,6131,6051,6632,6034,7136,6010,7638,5890,8142,5773,8644,5691,9148,5629e" filled="false" stroked="true" strokeweight="3.96pt" strokecolor="#497dba">
              <v:path arrowok="t"/>
              <v:stroke dashstyle="solid"/>
            </v:shape>
            <v:shape style="position:absolute;left:1604;top:2674;width:7544;height:2309" coordorigin="1604,2674" coordsize="7544,2309" path="m1604,2674l2106,3596,2610,4158,3114,4544,3616,4825,4120,4983,4621,4966,5125,4926,5627,4863,6131,4842,6632,4866,7136,4878,7638,4875,8142,4827,8644,4789,9148,4726e" filled="false" stroked="true" strokeweight="3.96pt" strokecolor="#bd4a47">
              <v:path arrowok="t"/>
              <v:stroke dashstyle="solid"/>
            </v:shape>
            <v:shape style="position:absolute;left:1604;top:1044;width:7544;height:3303" coordorigin="1604,1045" coordsize="7544,3303" path="m1604,1045l2106,2050,2610,2574,3114,2958,3616,3296,4120,3514,4621,3613,5125,3558,5627,3651,6131,3884,6632,4098,7136,4266,7638,4330,8142,4347,8644,4311,9148,4302e" filled="false" stroked="true" strokeweight="3.96pt" strokecolor="#97b853">
              <v:path arrowok="t"/>
              <v:stroke dashstyle="solid"/>
            </v:shape>
            <v:shape style="position:absolute;left:1604;top:2674;width:7544;height:2343" coordorigin="1604,2674" coordsize="7544,2343" path="m1604,2674l2106,3435,2610,4126,3114,4618,3616,4873,4120,4938,4621,4904,5125,4868,5627,4880,6131,4935,6632,4993,7136,5017,7638,4993,8142,4940,8644,4882,9148,4844e" filled="false" stroked="true" strokeweight="3.96pt" strokecolor="#7c5f9f">
              <v:path arrowok="t"/>
              <v:stroke dashstyle="solid"/>
            </v:shape>
            <v:line style="position:absolute" from="6268,1350" to="6652,1350" stroked="true" strokeweight="3.96pt" strokecolor="#497dba">
              <v:stroke dashstyle="solid"/>
            </v:line>
            <v:line style="position:absolute" from="6268,1851" to="6652,1851" stroked="true" strokeweight="3.96pt" strokecolor="#bd4a47">
              <v:stroke dashstyle="solid"/>
            </v:line>
            <v:line style="position:absolute" from="6268,2350" to="6652,2350" stroked="true" strokeweight="3.96pt" strokecolor="#97b853">
              <v:stroke dashstyle="solid"/>
            </v:line>
            <v:line style="position:absolute" from="6268,2852" to="6652,2852" stroked="true" strokeweight="3.96pt" strokecolor="#7c5f9f">
              <v:stroke dashstyle="solid"/>
            </v:line>
            <v:rect style="position:absolute;left:1134;top:425;width:9360;height:6877" filled="false" stroked="true" strokeweight=".75pt" strokecolor="#858585">
              <v:stroke dashstyle="solid"/>
            </v:rect>
            <v:shape style="position:absolute;left:4948;top:6808;width:880;height:240" type="#_x0000_t202" filled="false" stroked="false">
              <v:textbox inset="0,0,0,0">
                <w:txbxContent>
                  <w:p>
                    <w:pPr>
                      <w:spacing w:line="240" w:lineRule="exact" w:before="0"/>
                      <w:ind w:left="0" w:right="0" w:firstLine="0"/>
                      <w:jc w:val="left"/>
                      <w:rPr>
                        <w:rFonts w:ascii="Calibri"/>
                        <w:sz w:val="24"/>
                      </w:rPr>
                    </w:pPr>
                    <w:r>
                      <w:rPr>
                        <w:rFonts w:ascii="Calibri"/>
                        <w:sz w:val="24"/>
                      </w:rPr>
                      <w:t>Quarters</w:t>
                    </w:r>
                  </w:p>
                </w:txbxContent>
              </v:textbox>
              <w10:wrap type="none"/>
            </v:shape>
            <v:shape style="position:absolute;left:9587;top:6637;width:326;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9587;top:5623;width:326;height:200" type="#_x0000_t202" filled="false" stroked="false">
              <v:textbox inset="0,0,0,0">
                <w:txbxContent>
                  <w:p>
                    <w:pPr>
                      <w:spacing w:line="199" w:lineRule="exact" w:before="0"/>
                      <w:ind w:left="0" w:right="0" w:firstLine="0"/>
                      <w:jc w:val="left"/>
                      <w:rPr>
                        <w:rFonts w:ascii="Calibri"/>
                        <w:sz w:val="20"/>
                      </w:rPr>
                    </w:pPr>
                    <w:r>
                      <w:rPr>
                        <w:rFonts w:ascii="Calibri"/>
                        <w:sz w:val="20"/>
                      </w:rPr>
                      <w:t>-1%</w:t>
                    </w:r>
                  </w:p>
                </w:txbxContent>
              </v:textbox>
              <w10:wrap type="none"/>
            </v:shape>
            <v:shape style="position:absolute;left:5579;top:4869;width:3692;height:200" type="#_x0000_t202" filled="false" stroked="false">
              <v:textbox inset="0,0,0,0">
                <w:txbxContent>
                  <w:p>
                    <w:pPr>
                      <w:tabs>
                        <w:tab w:pos="452" w:val="left" w:leader="none"/>
                        <w:tab w:pos="955" w:val="left" w:leader="none"/>
                        <w:tab w:pos="1458" w:val="left" w:leader="none"/>
                        <w:tab w:pos="1960" w:val="left" w:leader="none"/>
                        <w:tab w:pos="2463" w:val="left" w:leader="none"/>
                        <w:tab w:pos="2966" w:val="left" w:leader="none"/>
                        <w:tab w:pos="3469" w:val="left" w:leader="none"/>
                      </w:tabs>
                      <w:spacing w:line="199" w:lineRule="exact" w:before="0"/>
                      <w:ind w:left="0" w:right="0" w:firstLine="0"/>
                      <w:jc w:val="left"/>
                      <w:rPr>
                        <w:rFonts w:ascii="Calibri"/>
                        <w:sz w:val="20"/>
                      </w:rPr>
                    </w:pPr>
                    <w:r>
                      <w:rPr>
                        <w:rFonts w:ascii="Calibri"/>
                        <w:sz w:val="20"/>
                      </w:rPr>
                      <w:t>9</w:t>
                      <w:tab/>
                      <w:t>10</w:t>
                      <w:tab/>
                      <w:t>11</w:t>
                      <w:tab/>
                      <w:t>12</w:t>
                      <w:tab/>
                      <w:t>13</w:t>
                      <w:tab/>
                      <w:t>14</w:t>
                      <w:tab/>
                      <w:t>15</w:t>
                      <w:tab/>
                      <w:t>16</w:t>
                    </w:r>
                  </w:p>
                </w:txbxContent>
              </v:textbox>
              <w10:wrap type="none"/>
            </v:shape>
            <v:shape style="position:absolute;left:5076;top:486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8</w:t>
                    </w:r>
                  </w:p>
                </w:txbxContent>
              </v:textbox>
              <w10:wrap type="none"/>
            </v:shape>
            <v:shape style="position:absolute;left:4573;top:486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7</w:t>
                    </w:r>
                  </w:p>
                </w:txbxContent>
              </v:textbox>
              <w10:wrap type="none"/>
            </v:shape>
            <v:shape style="position:absolute;left:4070;top:486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3566;top:486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5</w:t>
                    </w:r>
                  </w:p>
                </w:txbxContent>
              </v:textbox>
              <w10:wrap type="none"/>
            </v:shape>
            <v:shape style="position:absolute;left:3063;top:486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2560;top:486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3</w:t>
                    </w:r>
                  </w:p>
                </w:txbxContent>
              </v:textbox>
              <w10:wrap type="none"/>
            </v:shape>
            <v:shape style="position:absolute;left:2058;top:486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555;top:486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9587;top:4609;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0%</w:t>
                    </w:r>
                  </w:p>
                </w:txbxContent>
              </v:textbox>
              <w10:wrap type="none"/>
            </v:shape>
            <v:shape style="position:absolute;left:9587;top:3596;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1%</w:t>
                    </w:r>
                  </w:p>
                </w:txbxContent>
              </v:textbox>
              <w10:wrap type="none"/>
            </v:shape>
            <v:shape style="position:absolute;left:9587;top:2582;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9587;top:1568;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3%</w:t>
                    </w:r>
                  </w:p>
                </w:txbxContent>
              </v:textbox>
              <w10:wrap type="none"/>
            </v:shape>
            <v:shape style="position:absolute;left:6694;top:1220;width:1757;height:1784" type="#_x0000_t202" filled="false" stroked="false">
              <v:textbox inset="0,0,0,0">
                <w:txbxContent>
                  <w:p>
                    <w:pPr>
                      <w:spacing w:line="286" w:lineRule="exact" w:before="0"/>
                      <w:ind w:left="0" w:right="0" w:firstLine="0"/>
                      <w:jc w:val="left"/>
                      <w:rPr>
                        <w:rFonts w:ascii="Calibri"/>
                        <w:sz w:val="28"/>
                      </w:rPr>
                    </w:pPr>
                    <w:r>
                      <w:rPr>
                        <w:rFonts w:ascii="Calibri"/>
                        <w:sz w:val="28"/>
                      </w:rPr>
                      <w:t>10th Percentile</w:t>
                    </w:r>
                  </w:p>
                  <w:p>
                    <w:pPr>
                      <w:spacing w:before="159"/>
                      <w:ind w:left="0" w:right="0" w:firstLine="0"/>
                      <w:jc w:val="left"/>
                      <w:rPr>
                        <w:rFonts w:ascii="Calibri"/>
                        <w:sz w:val="28"/>
                      </w:rPr>
                    </w:pPr>
                    <w:r>
                      <w:rPr>
                        <w:rFonts w:ascii="Calibri"/>
                        <w:sz w:val="28"/>
                      </w:rPr>
                      <w:t>Median</w:t>
                    </w:r>
                  </w:p>
                  <w:p>
                    <w:pPr>
                      <w:spacing w:before="159"/>
                      <w:ind w:left="0" w:right="0" w:firstLine="0"/>
                      <w:jc w:val="left"/>
                      <w:rPr>
                        <w:rFonts w:ascii="Calibri"/>
                        <w:sz w:val="28"/>
                      </w:rPr>
                    </w:pPr>
                    <w:r>
                      <w:rPr>
                        <w:rFonts w:ascii="Calibri"/>
                        <w:sz w:val="28"/>
                      </w:rPr>
                      <w:t>90th Percentile</w:t>
                    </w:r>
                  </w:p>
                  <w:p>
                    <w:pPr>
                      <w:spacing w:line="337" w:lineRule="exact" w:before="159"/>
                      <w:ind w:left="0" w:right="0" w:firstLine="0"/>
                      <w:jc w:val="left"/>
                      <w:rPr>
                        <w:rFonts w:ascii="Calibri"/>
                        <w:sz w:val="28"/>
                      </w:rPr>
                    </w:pPr>
                    <w:r>
                      <w:rPr>
                        <w:rFonts w:ascii="Calibri"/>
                        <w:sz w:val="28"/>
                      </w:rPr>
                      <w:t>Mean</w:t>
                    </w:r>
                  </w:p>
                </w:txbxContent>
              </v:textbox>
              <w10:wrap type="none"/>
            </v:shape>
            <v:shape style="position:absolute;left:9587;top:554;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4%</w:t>
                    </w:r>
                  </w:p>
                </w:txbxContent>
              </v:textbox>
              <w10:wrap type="none"/>
            </v:shape>
            <w10:wrap type="none"/>
          </v:group>
        </w:pict>
      </w:r>
      <w:r>
        <w:rPr/>
        <w:pict>
          <v:shape style="position:absolute;margin-left:499.059998pt;margin-top:154.265854pt;width:14pt;height:60.6pt;mso-position-horizontal-relative:page;mso-position-vertical-relative:paragraph;z-index:251689984" type="#_x0000_t202" filled="false" stroked="false">
            <v:textbox inset="0,0,0,0" style="layout-flow:vertical;mso-layout-flow-alt:bottom-to-top">
              <w:txbxContent>
                <w:p>
                  <w:pPr>
                    <w:spacing w:line="264" w:lineRule="exact" w:before="0"/>
                    <w:ind w:left="20" w:right="0" w:firstLine="0"/>
                    <w:jc w:val="left"/>
                    <w:rPr>
                      <w:rFonts w:ascii="Calibri"/>
                      <w:sz w:val="24"/>
                    </w:rPr>
                  </w:pPr>
                  <w:r>
                    <w:rPr>
                      <w:rFonts w:ascii="Calibri"/>
                      <w:sz w:val="24"/>
                    </w:rPr>
                    <w:t>OUtput Gap</w:t>
                  </w:r>
                </w:p>
              </w:txbxContent>
            </v:textbox>
            <w10:wrap type="none"/>
          </v:shape>
        </w:pict>
      </w:r>
      <w:r>
        <w:rPr>
          <w:b/>
          <w:sz w:val="20"/>
        </w:rPr>
        <w:t>Figure 1</w:t>
      </w:r>
      <w:r>
        <w:rPr>
          <w:sz w:val="20"/>
        </w:rPr>
        <w:t>: Output gap, simulation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4"/>
        </w:rPr>
      </w:pPr>
    </w:p>
    <w:p>
      <w:pPr>
        <w:pStyle w:val="BodyText"/>
        <w:spacing w:before="1"/>
        <w:ind w:left="233"/>
      </w:pPr>
      <w:r>
        <w:rPr/>
        <w:pict>
          <v:group style="position:absolute;margin-left:56.325001pt;margin-top:17.094887pt;width:468.75pt;height:267.75pt;mso-position-horizontal-relative:page;mso-position-vertical-relative:paragraph;z-index:251687936" coordorigin="1127,342" coordsize="9375,5355">
            <v:shape style="position:absolute;left:1353;top:571;width:8069;height:4544" coordorigin="1354,572" coordsize="8069,4544" path="m1354,5115l9358,5115m1354,3980l9358,3980m1354,3411l9358,3411m1354,2842l9358,2842m1354,2276l9358,2276m1354,1707l9358,1707m1354,1138l9358,1138m1354,572l9358,572m9358,5115l9358,572m9358,5115l9422,5115m9358,4548l9422,4548m9358,3980l9422,3980m9358,3411l9422,3411m9358,2842l9422,2842m9358,2276l9422,2276m9358,1707l9422,1707m9358,1138l9422,1138m9358,572l9422,572m1354,4548l9358,4548m1354,4548l1354,4611m1853,4548l1853,4611m2354,4548l2354,4611m2854,4548l2854,4611m3355,4548l3355,4611m3854,4548l3854,4611m4356,4548l4356,4611m4855,4548l4855,4611m5357,4548l5357,4611m5856,4548l5856,4611m6355,4548l6355,4611m6857,4548l6857,4611m7356,4548l7356,4611m7858,4548l7858,4611m8357,4548l8357,4611m8858,4548l8858,4611m9358,4548l9358,4611e" filled="false" stroked="true" strokeweight=".72pt" strokecolor="#858585">
              <v:path arrowok="t"/>
              <v:stroke dashstyle="solid"/>
            </v:shape>
            <v:shape style="position:absolute;left:1602;top:3791;width:7508;height:879" coordorigin="1602,3791" coordsize="7508,879" path="m1602,3849l2104,3844,2603,3875,3104,3899,3604,3791,4105,4017,4604,4298,5106,4540,5605,4670,6107,4605,6606,4466,7108,4358,7607,4310,8108,4310,8608,4326,9109,4336e" filled="false" stroked="true" strokeweight="3.96pt" strokecolor="#497dba">
              <v:path arrowok="t"/>
              <v:stroke dashstyle="solid"/>
            </v:shape>
            <v:shape style="position:absolute;left:1602;top:2821;width:7508;height:1016" coordorigin="1602,2822" coordsize="7508,1016" path="m1602,3700l2104,3402,2603,3155,3104,2966,3604,2822,4105,3052,4604,3287,5106,3486,5605,3604,6107,3674,6606,3717,7108,3743,7607,3770,8108,3796,8608,3822,9109,3837e" filled="false" stroked="true" strokeweight="3.96pt" strokecolor="#bd4a47">
              <v:path arrowok="t"/>
              <v:stroke dashstyle="solid"/>
            </v:shape>
            <v:shape style="position:absolute;left:1602;top:1264;width:7508;height:2288" coordorigin="1602,1264" coordsize="7508,2288" path="m1602,3551l2104,2759,2603,2049,3104,1542,3604,1264,4105,1734,4604,2183,5106,2457,5605,2651,6107,2798,6606,2898,7108,2985,7607,3083,8108,3198,8608,3323,9109,3429e" filled="false" stroked="true" strokeweight="3.96pt" strokecolor="#97b853">
              <v:path arrowok="t"/>
              <v:stroke dashstyle="solid"/>
            </v:shape>
            <v:shape style="position:absolute;left:1602;top:2668;width:7508;height:1203" coordorigin="1602,2668" coordsize="7508,1203" path="m1602,3700l2104,3350,2603,3057,3104,2838,3604,2668,4105,2954,4604,3256,5106,3494,5605,3633,6107,3683,6606,3693,7108,3700,7607,3734,8108,3786,8608,3839,9109,3870e" filled="false" stroked="true" strokeweight="3.96pt" strokecolor="#7c5f9f">
              <v:path arrowok="t"/>
              <v:stroke dashstyle="solid"/>
            </v:shape>
            <v:line style="position:absolute" from="6834,1288" to="7218,1288" stroked="true" strokeweight="3.96pt" strokecolor="#497dba">
              <v:stroke dashstyle="solid"/>
            </v:line>
            <v:line style="position:absolute" from="6834,1559" to="7218,1559" stroked="true" strokeweight="3.96pt" strokecolor="#bd4a47">
              <v:stroke dashstyle="solid"/>
            </v:line>
            <v:line style="position:absolute" from="6834,1833" to="7218,1833" stroked="true" strokeweight="3.96pt" strokecolor="#97b853">
              <v:stroke dashstyle="solid"/>
            </v:line>
            <v:line style="position:absolute" from="6834,2104" to="7218,2104" stroked="true" strokeweight="3.96pt" strokecolor="#7c5f9f">
              <v:stroke dashstyle="solid"/>
            </v:line>
            <v:rect style="position:absolute;left:1134;top:349;width:9360;height:5340" filled="false" stroked="true" strokeweight=".75pt" strokecolor="#858585">
              <v:stroke dashstyle="solid"/>
            </v:rect>
            <v:shape style="position:absolute;left:4928;top:5196;width:880;height:240" type="#_x0000_t202" filled="false" stroked="false">
              <v:textbox inset="0,0,0,0">
                <w:txbxContent>
                  <w:p>
                    <w:pPr>
                      <w:spacing w:line="240" w:lineRule="exact" w:before="0"/>
                      <w:ind w:left="0" w:right="0" w:firstLine="0"/>
                      <w:jc w:val="left"/>
                      <w:rPr>
                        <w:rFonts w:ascii="Calibri"/>
                        <w:sz w:val="24"/>
                      </w:rPr>
                    </w:pPr>
                    <w:r>
                      <w:rPr>
                        <w:rFonts w:ascii="Calibri"/>
                        <w:sz w:val="24"/>
                      </w:rPr>
                      <w:t>Quarters</w:t>
                    </w:r>
                  </w:p>
                </w:txbxContent>
              </v:textbox>
              <w10:wrap type="none"/>
            </v:shape>
            <v:shape style="position:absolute;left:9547;top:5025;width:326;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1553;top:4717;width:7678;height:200" type="#_x0000_t202" filled="false" stroked="false">
              <v:textbox inset="0,0,0,0">
                <w:txbxContent>
                  <w:p>
                    <w:pPr>
                      <w:tabs>
                        <w:tab w:pos="500" w:val="left" w:leader="none"/>
                        <w:tab w:pos="1000" w:val="left" w:leader="none"/>
                        <w:tab w:pos="1501" w:val="left" w:leader="none"/>
                        <w:tab w:pos="2001" w:val="left" w:leader="none"/>
                        <w:tab w:pos="2502" w:val="left" w:leader="none"/>
                        <w:tab w:pos="3002" w:val="left" w:leader="none"/>
                        <w:tab w:pos="3503" w:val="left" w:leader="none"/>
                        <w:tab w:pos="4003" w:val="left" w:leader="none"/>
                        <w:tab w:pos="4453" w:val="left" w:leader="none"/>
                        <w:tab w:pos="4953" w:val="left" w:leader="none"/>
                        <w:tab w:pos="5454" w:val="left" w:leader="none"/>
                        <w:tab w:pos="5954" w:val="left" w:leader="none"/>
                        <w:tab w:pos="6455" w:val="left" w:leader="none"/>
                        <w:tab w:pos="6955" w:val="left" w:leader="none"/>
                        <w:tab w:pos="7456" w:val="left" w:leader="none"/>
                      </w:tabs>
                      <w:spacing w:line="199" w:lineRule="exact" w:before="0"/>
                      <w:ind w:left="0" w:right="0" w:firstLine="0"/>
                      <w:jc w:val="left"/>
                      <w:rPr>
                        <w:rFonts w:ascii="Calibri"/>
                        <w:sz w:val="20"/>
                      </w:rPr>
                    </w:pPr>
                    <w:r>
                      <w:rPr>
                        <w:rFonts w:ascii="Calibri"/>
                        <w:sz w:val="20"/>
                      </w:rPr>
                      <w:t>1</w:t>
                      <w:tab/>
                      <w:t>2</w:t>
                      <w:tab/>
                      <w:t>3</w:t>
                      <w:tab/>
                      <w:t>4</w:t>
                      <w:tab/>
                      <w:t>5</w:t>
                      <w:tab/>
                      <w:t>6</w:t>
                      <w:tab/>
                      <w:t>7</w:t>
                      <w:tab/>
                      <w:t>8</w:t>
                      <w:tab/>
                      <w:t>9</w:t>
                      <w:tab/>
                      <w:t>10</w:t>
                      <w:tab/>
                      <w:t>11</w:t>
                      <w:tab/>
                      <w:t>12</w:t>
                      <w:tab/>
                      <w:t>13</w:t>
                      <w:tab/>
                      <w:t>14</w:t>
                      <w:tab/>
                      <w:t>15</w:t>
                      <w:tab/>
                      <w:t>16</w:t>
                    </w:r>
                  </w:p>
                </w:txbxContent>
              </v:textbox>
              <w10:wrap type="none"/>
            </v:shape>
            <v:shape style="position:absolute;left:9547;top:1048;width:367;height:3608" type="#_x0000_t202" filled="false" stroked="false">
              <v:textbox inset="0,0,0,0">
                <w:txbxContent>
                  <w:p>
                    <w:pPr>
                      <w:spacing w:line="203" w:lineRule="exact" w:before="0"/>
                      <w:ind w:left="0" w:right="0" w:firstLine="0"/>
                      <w:jc w:val="left"/>
                      <w:rPr>
                        <w:rFonts w:ascii="Calibri"/>
                        <w:sz w:val="20"/>
                      </w:rPr>
                    </w:pPr>
                    <w:r>
                      <w:rPr>
                        <w:rFonts w:ascii="Calibri"/>
                        <w:sz w:val="20"/>
                      </w:rPr>
                      <w:t>12%</w:t>
                    </w:r>
                  </w:p>
                  <w:p>
                    <w:pPr>
                      <w:spacing w:line="240" w:lineRule="auto" w:before="6"/>
                      <w:rPr>
                        <w:rFonts w:ascii="Calibri"/>
                        <w:sz w:val="26"/>
                      </w:rPr>
                    </w:pPr>
                  </w:p>
                  <w:p>
                    <w:pPr>
                      <w:spacing w:before="0"/>
                      <w:ind w:left="0" w:right="0" w:firstLine="0"/>
                      <w:jc w:val="left"/>
                      <w:rPr>
                        <w:rFonts w:ascii="Calibri"/>
                        <w:sz w:val="20"/>
                      </w:rPr>
                    </w:pPr>
                    <w:r>
                      <w:rPr>
                        <w:rFonts w:ascii="Calibri"/>
                        <w:sz w:val="20"/>
                      </w:rPr>
                      <w:t>10%</w:t>
                    </w:r>
                  </w:p>
                  <w:p>
                    <w:pPr>
                      <w:spacing w:line="240" w:lineRule="auto" w:before="6"/>
                      <w:rPr>
                        <w:rFonts w:ascii="Calibri"/>
                        <w:sz w:val="26"/>
                      </w:rPr>
                    </w:pPr>
                  </w:p>
                  <w:p>
                    <w:pPr>
                      <w:spacing w:before="1"/>
                      <w:ind w:left="0" w:right="0" w:firstLine="0"/>
                      <w:jc w:val="left"/>
                      <w:rPr>
                        <w:rFonts w:ascii="Calibri"/>
                        <w:sz w:val="20"/>
                      </w:rPr>
                    </w:pPr>
                    <w:r>
                      <w:rPr>
                        <w:rFonts w:ascii="Calibri"/>
                        <w:sz w:val="20"/>
                      </w:rPr>
                      <w:t>8%</w:t>
                    </w:r>
                  </w:p>
                  <w:p>
                    <w:pPr>
                      <w:spacing w:line="240" w:lineRule="auto" w:before="6"/>
                      <w:rPr>
                        <w:rFonts w:ascii="Calibri"/>
                        <w:sz w:val="26"/>
                      </w:rPr>
                    </w:pPr>
                  </w:p>
                  <w:p>
                    <w:pPr>
                      <w:spacing w:before="1"/>
                      <w:ind w:left="0" w:right="0" w:firstLine="0"/>
                      <w:jc w:val="left"/>
                      <w:rPr>
                        <w:rFonts w:ascii="Calibri"/>
                        <w:sz w:val="20"/>
                      </w:rPr>
                    </w:pPr>
                    <w:r>
                      <w:rPr>
                        <w:rFonts w:ascii="Calibri"/>
                        <w:sz w:val="20"/>
                      </w:rPr>
                      <w:t>6%</w:t>
                    </w:r>
                  </w:p>
                  <w:p>
                    <w:pPr>
                      <w:spacing w:line="240" w:lineRule="auto" w:before="6"/>
                      <w:rPr>
                        <w:rFonts w:ascii="Calibri"/>
                        <w:sz w:val="26"/>
                      </w:rPr>
                    </w:pPr>
                  </w:p>
                  <w:p>
                    <w:pPr>
                      <w:spacing w:before="0"/>
                      <w:ind w:left="0" w:right="0" w:firstLine="0"/>
                      <w:jc w:val="left"/>
                      <w:rPr>
                        <w:rFonts w:ascii="Calibri"/>
                        <w:sz w:val="20"/>
                      </w:rPr>
                    </w:pPr>
                    <w:r>
                      <w:rPr>
                        <w:rFonts w:ascii="Calibri"/>
                        <w:sz w:val="20"/>
                      </w:rPr>
                      <w:t>4%</w:t>
                    </w:r>
                  </w:p>
                  <w:p>
                    <w:pPr>
                      <w:spacing w:line="240" w:lineRule="auto" w:before="6"/>
                      <w:rPr>
                        <w:rFonts w:ascii="Calibri"/>
                        <w:sz w:val="26"/>
                      </w:rPr>
                    </w:pPr>
                  </w:p>
                  <w:p>
                    <w:pPr>
                      <w:spacing w:before="1"/>
                      <w:ind w:left="0" w:right="0" w:firstLine="0"/>
                      <w:jc w:val="left"/>
                      <w:rPr>
                        <w:rFonts w:ascii="Calibri"/>
                        <w:sz w:val="20"/>
                      </w:rPr>
                    </w:pPr>
                    <w:r>
                      <w:rPr>
                        <w:rFonts w:ascii="Calibri"/>
                        <w:sz w:val="20"/>
                      </w:rPr>
                      <w:t>2%</w:t>
                    </w:r>
                  </w:p>
                  <w:p>
                    <w:pPr>
                      <w:spacing w:line="240" w:lineRule="auto" w:before="6"/>
                      <w:rPr>
                        <w:rFonts w:ascii="Calibri"/>
                        <w:sz w:val="26"/>
                      </w:rPr>
                    </w:pPr>
                  </w:p>
                  <w:p>
                    <w:pPr>
                      <w:spacing w:line="240" w:lineRule="exact" w:before="0"/>
                      <w:ind w:left="0" w:right="0" w:firstLine="0"/>
                      <w:jc w:val="left"/>
                      <w:rPr>
                        <w:rFonts w:ascii="Calibri"/>
                        <w:sz w:val="20"/>
                      </w:rPr>
                    </w:pPr>
                    <w:r>
                      <w:rPr>
                        <w:rFonts w:ascii="Calibri"/>
                        <w:sz w:val="20"/>
                      </w:rPr>
                      <w:t>0%</w:t>
                    </w:r>
                  </w:p>
                </w:txbxContent>
              </v:textbox>
              <w10:wrap type="none"/>
            </v:shape>
            <v:shape style="position:absolute;left:7260;top:1179;width:1507;height:1055" type="#_x0000_t202" filled="false" stroked="false">
              <v:textbox inset="0,0,0,0">
                <w:txbxContent>
                  <w:p>
                    <w:pPr>
                      <w:spacing w:line="234" w:lineRule="exact" w:before="0"/>
                      <w:ind w:left="0" w:right="0" w:firstLine="0"/>
                      <w:jc w:val="left"/>
                      <w:rPr>
                        <w:rFonts w:ascii="Calibri"/>
                        <w:sz w:val="24"/>
                      </w:rPr>
                    </w:pPr>
                    <w:r>
                      <w:rPr>
                        <w:rFonts w:ascii="Calibri"/>
                        <w:sz w:val="24"/>
                      </w:rPr>
                      <w:t>10th Percentile</w:t>
                    </w:r>
                  </w:p>
                  <w:p>
                    <w:pPr>
                      <w:spacing w:line="271" w:lineRule="exact" w:before="0"/>
                      <w:ind w:left="0" w:right="0" w:firstLine="0"/>
                      <w:jc w:val="left"/>
                      <w:rPr>
                        <w:rFonts w:ascii="Calibri"/>
                        <w:sz w:val="24"/>
                      </w:rPr>
                    </w:pPr>
                    <w:r>
                      <w:rPr>
                        <w:rFonts w:ascii="Calibri"/>
                        <w:sz w:val="24"/>
                      </w:rPr>
                      <w:t>Median</w:t>
                    </w:r>
                  </w:p>
                  <w:p>
                    <w:pPr>
                      <w:spacing w:line="223" w:lineRule="auto" w:before="5"/>
                      <w:ind w:left="0" w:right="-2" w:firstLine="0"/>
                      <w:jc w:val="left"/>
                      <w:rPr>
                        <w:rFonts w:ascii="Calibri"/>
                        <w:sz w:val="24"/>
                      </w:rPr>
                    </w:pPr>
                    <w:r>
                      <w:rPr>
                        <w:rFonts w:ascii="Calibri"/>
                        <w:sz w:val="24"/>
                      </w:rPr>
                      <w:t>90th Percentile Mean</w:t>
                    </w:r>
                  </w:p>
                </w:txbxContent>
              </v:textbox>
              <w10:wrap type="none"/>
            </v:shape>
            <v:shape style="position:absolute;left:9547;top:479;width:367;height:200" type="#_x0000_t202" filled="false" stroked="false">
              <v:textbox inset="0,0,0,0">
                <w:txbxContent>
                  <w:p>
                    <w:pPr>
                      <w:spacing w:line="199" w:lineRule="exact" w:before="0"/>
                      <w:ind w:left="0" w:right="0" w:firstLine="0"/>
                      <w:jc w:val="left"/>
                      <w:rPr>
                        <w:rFonts w:ascii="Calibri"/>
                        <w:sz w:val="20"/>
                      </w:rPr>
                    </w:pPr>
                    <w:r>
                      <w:rPr>
                        <w:rFonts w:ascii="Calibri"/>
                        <w:sz w:val="20"/>
                      </w:rPr>
                      <w:t>14%</w:t>
                    </w:r>
                  </w:p>
                </w:txbxContent>
              </v:textbox>
              <w10:wrap type="none"/>
            </v:shape>
            <w10:wrap type="none"/>
          </v:group>
        </w:pict>
      </w:r>
      <w:r>
        <w:rPr/>
        <w:pict>
          <v:shape style="position:absolute;margin-left:499.059998pt;margin-top:86.782852pt;width:14pt;height:111pt;mso-position-horizontal-relative:page;mso-position-vertical-relative:paragraph;z-index:251688960" type="#_x0000_t202" filled="false" stroked="false">
            <v:textbox inset="0,0,0,0" style="layout-flow:vertical;mso-layout-flow-alt:bottom-to-top">
              <w:txbxContent>
                <w:p>
                  <w:pPr>
                    <w:spacing w:line="264" w:lineRule="exact" w:before="0"/>
                    <w:ind w:left="20" w:right="0" w:firstLine="0"/>
                    <w:jc w:val="left"/>
                    <w:rPr>
                      <w:rFonts w:ascii="Calibri"/>
                      <w:sz w:val="24"/>
                    </w:rPr>
                  </w:pPr>
                  <w:r>
                    <w:rPr>
                      <w:rFonts w:ascii="Calibri"/>
                      <w:sz w:val="24"/>
                    </w:rPr>
                    <w:t>Output Growth (y-o-y)</w:t>
                  </w:r>
                </w:p>
              </w:txbxContent>
            </v:textbox>
            <w10:wrap type="none"/>
          </v:shape>
        </w:pict>
      </w:r>
      <w:r>
        <w:rPr>
          <w:b/>
        </w:rPr>
        <w:t>Figure 2a</w:t>
      </w:r>
      <w:r>
        <w:rPr/>
        <w:t>: Output growth (year on year) simulation</w:t>
      </w:r>
    </w:p>
    <w:p>
      <w:pPr>
        <w:spacing w:after="0"/>
        <w:sectPr>
          <w:pgSz w:w="11910" w:h="16840"/>
          <w:pgMar w:header="0" w:footer="1338" w:top="1520" w:bottom="1520" w:left="900" w:right="0"/>
        </w:sectPr>
      </w:pPr>
    </w:p>
    <w:p>
      <w:pPr>
        <w:pStyle w:val="BodyText"/>
        <w:spacing w:before="76"/>
        <w:ind w:left="233"/>
      </w:pPr>
      <w:r>
        <w:rPr>
          <w:b/>
        </w:rPr>
        <w:t>Figure 2b</w:t>
      </w:r>
      <w:r>
        <w:rPr/>
        <w:t>: GDP projection based on market interest rate expectations and £375 billion purchased assets</w:t>
      </w:r>
    </w:p>
    <w:p>
      <w:pPr>
        <w:pStyle w:val="BodyText"/>
        <w:rPr>
          <w:sz w:val="13"/>
        </w:rPr>
      </w:pPr>
    </w:p>
    <w:p>
      <w:pPr>
        <w:spacing w:before="94"/>
        <w:ind w:left="5470" w:right="0" w:firstLine="0"/>
        <w:jc w:val="left"/>
        <w:rPr>
          <w:sz w:val="18"/>
        </w:rPr>
      </w:pPr>
      <w:r>
        <w:rPr>
          <w:sz w:val="18"/>
        </w:rPr>
        <w:t>Percentage increases in output on a year earlier</w:t>
      </w:r>
    </w:p>
    <w:p>
      <w:pPr>
        <w:spacing w:before="80"/>
        <w:ind w:left="8809" w:right="0" w:firstLine="0"/>
        <w:jc w:val="left"/>
        <w:rPr>
          <w:sz w:val="18"/>
        </w:rPr>
      </w:pPr>
      <w:r>
        <w:rPr/>
        <w:pict>
          <v:group style="position:absolute;margin-left:74.519997pt;margin-top:9.201865pt;width:403.5pt;height:230.2pt;mso-position-horizontal-relative:page;mso-position-vertical-relative:paragraph;z-index:251694080" coordorigin="1490,184" coordsize="8070,4604">
            <v:shape style="position:absolute;left:1512;top:2743;width:8039;height:1712" coordorigin="1512,2743" coordsize="8039,1712" path="m3646,4010l3388,4010,3656,4212,3924,4455,4192,4409,4504,4409,4728,4260,4730,4256,3924,4256,3656,4017,3646,4010xm4504,4409l4192,4409,4460,4439,4504,4409xm2048,3162l1780,3363,1512,4095,1512,4266,1780,3537,2048,3339,2189,3339,2048,3162xm4192,4207l3924,4256,4730,4256,4744,4234,4460,4234,4192,4207xm6067,2743l5799,2848,5531,3061,5263,3497,4996,3629,4728,4051,4460,4234,4744,4234,4996,3842,5263,3713,5531,3281,5799,3072,6067,2971,6879,2971,6871,2967,6603,2863,6335,2795,6067,2743xm2189,3339l2048,3339,2316,3677,2584,3741,2852,4124,3120,4103,3388,4010,3646,4010,3551,3939,2852,3939,2584,3558,2316,3498,2189,3339xm3388,3818l3120,3914,2852,3939,3551,3939,3388,3818xm6879,2971l6067,2971,6335,3029,6603,3107,6871,3220,7139,3379,7407,3488,7675,3565,7943,3630,8211,3667,8479,3702,9015,3763,9551,3841,9551,3508,9015,3442,8211,3368,7943,3339,7675,3283,7407,3214,7139,3115,6879,2971xe" filled="true" fillcolor="#9cc7b6" stroked="false">
              <v:path arrowok="t"/>
              <v:fill type="solid"/>
            </v:shape>
            <v:shape style="position:absolute;left:1512;top:2743;width:8039;height:1712" coordorigin="1512,2743" coordsize="8039,1712" path="m1512,4095l1780,3363,2048,3162,2316,3498,2584,3558,2852,3939,3120,3914,3388,3818,3656,4017,3924,4256,4192,4207,4460,4234,4728,4051,4996,3629,5263,3497,5531,3061,5799,2848,6067,2743,6335,2795,6603,2863,6871,2967,7139,3115,7407,3214,7675,3283,7943,3339,8211,3368,8479,3394,8747,3418,9015,3442,9283,3475,9551,3508,9551,3841,9283,3802,9015,3763,8747,3732,8479,3702,8211,3667,7943,3630,7675,3565,7407,3488,7139,3379,6871,3220,6603,3107,6335,3029,6067,2971,5799,3072,5531,3281,5263,3713,4996,3842,4728,4260,4460,4439,4192,4409,3924,4455,3656,4212,3388,4010,3120,4103,2852,4124,2584,3741,2316,3677,2048,3339,1780,3537,1512,4266,1512,4095e" filled="false" stroked="true" strokeweight=".96pt" strokecolor="#9cc7b6">
              <v:path arrowok="t"/>
              <v:stroke dashstyle="solid"/>
            </v:shape>
            <v:shape style="position:absolute;left:1512;top:2589;width:8039;height:1667" coordorigin="1512,2590" coordsize="8039,1667" path="m3564,3818l3388,3818,3656,4017,3924,4256,4192,4207,4499,4207,4623,4122,3924,4122,3656,3885,3564,3818xm4499,4207l4192,4207,4460,4234,4499,4207xm4192,4071l3924,4122,4623,4122,4663,4095,4460,4095,4192,4071xm2048,3043l1780,3246,1512,3980,1512,4095,1780,3363,2048,3162,2144,3162,2048,3043xm6067,2590l5799,2697,5531,2913,5263,3351,4996,3486,4728,3910,4460,4095,4663,4095,4728,4051,4996,3629,5263,3497,5531,3061,5799,2848,6067,2743,6726,2743,6603,2699,6335,2637,6067,2590xm2144,3162l2048,3162,2316,3498,2584,3558,2852,3939,3120,3914,3388,3818,3564,3818,3558,3813,2852,3813,2584,3435,2316,3377,2144,3162xm3388,3688l3120,3787,2852,3813,3558,3813,3388,3688xm6726,2743l6067,2743,6335,2795,6603,2863,6871,2967,7139,3115,7407,3214,7675,3283,7943,3339,8211,3368,9015,3442,9551,3508,9551,3283,9015,3226,8211,3166,7943,3143,7675,3092,7407,3029,7139,2938,6871,2796,6726,2743xe" filled="true" fillcolor="#9cc7b6" stroked="false">
              <v:path arrowok="t"/>
              <v:fill type="solid"/>
            </v:shape>
            <v:shape style="position:absolute;left:1512;top:2589;width:8039;height:1667" coordorigin="1512,2590" coordsize="8039,1667" path="m1512,3980l1780,3246,2048,3043,2316,3377,2584,3435,2852,3813,3120,3787,3388,3688,3656,3885,3924,4122,4192,4071,4460,4095,4728,3910,4996,3486,5263,3351,5531,2913,5799,2697,6067,2590,6335,2637,6603,2699,6871,2796,7139,2938,7407,3029,7675,3092,7943,3143,8211,3166,8479,3186,8747,3205,9015,3226,9283,3255,9551,3283,9551,3508,9283,3475,9015,3442,8747,3418,8479,3394,8211,3368,7943,3339,7675,3283,7407,3214,7139,3115,6871,2967,6603,2863,6335,2795,6067,2743,5799,2848,5531,3061,5263,3497,4996,3629,4728,4051,4460,4234,4192,4207,3924,4256,3656,4017,3388,3818,3120,3914,2852,3939,2584,3558,2316,3498,2048,3162,1780,3363,1512,4095,1512,3980e" filled="false" stroked="true" strokeweight=".96pt" strokecolor="#9cc7b6">
              <v:path arrowok="t"/>
              <v:stroke dashstyle="solid"/>
            </v:shape>
            <v:shape style="position:absolute;left:1512;top:2467;width:8039;height:1655" coordorigin="1512,2468" coordsize="8039,1655" path="m3529,3688l3388,3688,3656,3885,3924,4122,4192,4071,4495,4071,4574,4016,3924,4016,3656,3780,3529,3688xm4495,4071l4192,4071,4460,4095,4495,4071xm4192,3962l3924,4016,4574,4016,4619,3985,4460,3985,4192,3962xm6067,2468l5799,2577,5531,2795,5263,3235,4996,3372,4728,3797,4460,3985,4619,3985,4728,3910,4996,3486,5263,3351,5531,2913,5799,2697,6067,2590,6665,2590,6603,2569,6335,2512,6067,2468xm2048,2949l1780,3154,1512,3889,1512,3980,1780,3246,2048,3043,2124,3043,2048,2949xm2124,3043l2048,3043,2316,3377,2584,3435,2852,3813,3120,3787,3318,3714,2852,3714,2584,3337,2316,3281,2124,3043xm3388,3585l3120,3686,2852,3714,3318,3714,3388,3688,3529,3688,3388,3585xm6665,2590l6067,2590,6335,2637,6603,2699,6871,2796,7139,2938,7407,3029,7675,3092,7943,3143,8211,3166,9015,3226,9551,3283,9551,3104,9015,3054,7943,2987,7675,2941,7407,2882,7139,2796,6871,2660,6665,2590xe" filled="true" fillcolor="#9cc7b6" stroked="false">
              <v:path arrowok="t"/>
              <v:fill type="solid"/>
            </v:shape>
            <v:shape style="position:absolute;left:1512;top:2467;width:8039;height:1655" coordorigin="1512,2468" coordsize="8039,1655" path="m1512,3889l1780,3154,2048,2949,2316,3281,2584,3337,2852,3714,3120,3686,3388,3585,3656,3780,3924,4016,4192,3962,4460,3985,4728,3797,4996,3372,5263,3235,5531,2795,5799,2577,6067,2468,6335,2512,6603,2569,6871,2660,7139,2796,7407,2882,7675,2941,7943,2987,8211,3005,8479,3021,8747,3037,9015,3054,9283,3079,9551,3104,9551,3283,9283,3255,9015,3226,8747,3205,8479,3186,8211,3166,7943,3143,7675,3092,7407,3029,7139,2938,6871,2796,6603,2699,6335,2637,6067,2590,5799,2697,5531,2913,5263,3351,4996,3486,4728,3910,4460,4095,4192,4071,3924,4122,3656,3885,3388,3688,3120,3787,2852,3813,2584,3435,2316,3377,2048,3043,1780,3246,1512,3980,1512,3889e" filled="false" stroked="true" strokeweight=".96pt" strokecolor="#9cc7b6">
              <v:path arrowok="t"/>
              <v:stroke dashstyle="solid"/>
            </v:shape>
            <v:shape style="position:absolute;left:1512;top:2362;width:8039;height:1653" coordorigin="1512,2363" coordsize="8039,1653" path="m3510,3585l3388,3585,3656,3780,3924,4016,4192,3962,4492,3962,4546,3924,3924,3924,3656,3690,3510,3585xm4492,3962l4192,3962,4460,3985,4492,3962xm4192,3869l3924,3924,4546,3924,4595,3890,4460,3890,4192,3869xm6067,2363l5799,2474,5531,2693,5263,3135,4996,3274,4728,3701,4460,3890,4595,3890,4728,3797,4996,3372,5263,3235,5531,2795,5799,2577,6067,2468,6637,2468,6603,2457,6335,2404,6067,2363xm2048,2868l1780,3074,1512,3810,1512,3889,1780,3154,2048,2949,2114,2949,2048,2868xm2114,2949l2048,2949,2316,3281,2584,3337,2852,3714,3120,3686,3273,3628,2852,3628,2584,3253,2316,3198,2114,2949xm3388,3497l3120,3599,2852,3628,3273,3628,3388,3585,3510,3585,3388,3497xm6637,2468l6067,2468,6335,2512,6603,2569,6871,2660,7139,2796,7407,2882,7675,2941,7943,2987,9015,3054,9551,3104,9551,2951,9015,2906,7943,2853,7675,2811,7407,2756,7139,2675,6871,2543,6637,2468xe" filled="true" fillcolor="#69af99" stroked="false">
              <v:path arrowok="t"/>
              <v:fill type="solid"/>
            </v:shape>
            <v:shape style="position:absolute;left:1512;top:2362;width:8039;height:1653" coordorigin="1512,2363" coordsize="8039,1653" path="m1512,3810l1780,3074,2048,2868,2316,3198,2584,3253,2852,3628,3120,3599,3388,3497,3656,3690,3924,3924,4192,3869,4460,3890,4728,3701,4996,3274,5263,3135,5531,2693,5799,2474,6067,2363,6335,2404,6603,2457,6871,2543,7139,2675,7407,2756,7675,2811,7943,2853,8211,2868,8479,2879,8747,2892,9015,2906,9283,2929,9551,2951,9551,3104,9283,3079,9015,3054,8747,3037,8479,3021,8211,3005,7943,2987,7675,2941,7407,2882,7139,2796,6871,2660,6603,2569,6335,2512,6067,2468,5799,2577,5531,2795,5263,3235,4996,3372,4728,3797,4460,3985,4192,3962,3924,4016,3656,3780,3388,3585,3120,3686,2852,3714,2584,3337,2316,3281,2048,2949,1780,3154,1512,3889,1512,3810e" filled="false" stroked="true" strokeweight=".96pt" strokecolor="#69af99">
              <v:path arrowok="t"/>
              <v:stroke dashstyle="solid"/>
            </v:shape>
            <v:shape style="position:absolute;left:1512;top:2268;width:8039;height:1656" coordorigin="1512,2269" coordsize="8039,1656" path="m3499,3497l3388,3497,3656,3690,3924,3924,4192,3869,4489,3869,4528,3842,3924,3842,3656,3610,3499,3497xm4489,3869l4192,3869,4460,3890,4489,3869xm4192,3786l3924,3842,4528,3842,4580,3805,4460,3805,4192,3786xm2048,2795l1780,3002,1512,3740,1512,3810,1780,3074,2048,2868,2107,2868,2048,2795xm6067,2269l5799,2382,5531,2603,5263,3046,4996,3186,4728,3615,4460,3805,4580,3805,4728,3701,4996,3274,5263,3135,5531,2693,5799,2474,6067,2363,6625,2363,6603,2356,6335,2308,6067,2269xm2107,2868l2048,2868,2316,3198,2584,3253,2852,3628,3120,3599,3243,3552,2852,3552,2584,3178,2316,3124,2107,2868xm3388,3418l3120,3521,2852,3552,3243,3552,3388,3497,3499,3497,3388,3418xm6625,2363l6067,2363,6335,2404,6603,2457,6871,2543,7139,2675,7407,2756,7675,2811,7943,2853,9015,2906,9551,2951,9551,2813,9015,2774,8479,2752,8211,2744,7943,2733,7675,2695,7407,2643,7139,2566,6871,2438,6625,2363xe" filled="true" fillcolor="#69af99" stroked="false">
              <v:path arrowok="t"/>
              <v:fill type="solid"/>
            </v:shape>
            <v:shape style="position:absolute;left:1512;top:2268;width:8039;height:1656" coordorigin="1512,2269" coordsize="8039,1656" path="m1512,3740l1780,3002,2048,2795,2316,3124,2584,3178,2852,3552,3120,3521,3388,3418,3656,3610,3924,3842,4192,3786,4460,3805,4728,3615,4996,3186,5263,3046,5531,2603,5799,2382,6067,2269,6335,2308,6603,2356,6871,2438,7139,2566,7407,2643,7675,2695,7943,2733,8211,2744,8479,2752,8747,2762,9015,2774,9283,2794,9551,2813,9551,2951,9283,2929,9015,2906,8747,2892,8479,2879,8211,2868,7943,2853,7675,2811,7407,2756,7139,2675,6871,2543,6603,2457,6335,2404,6067,2363,5799,2474,5531,2693,5263,3135,4996,3274,4728,3701,4460,3890,4192,3869,3924,3924,3656,3690,3388,3497,3120,3599,2852,3628,2584,3253,2316,3198,2048,2868,1780,3074,1512,3810,1512,3740e" filled="false" stroked="true" strokeweight=".96pt" strokecolor="#69af99">
              <v:path arrowok="t"/>
              <v:stroke dashstyle="solid"/>
            </v:shape>
            <v:shape style="position:absolute;left:1512;top:2181;width:8039;height:1661" coordorigin="1512,2182" coordsize="8039,1661" path="m3491,3418l3388,3418,3656,3610,3924,3842,4192,3786,4487,3786,4515,3766,3924,3766,3656,3535,3491,3418xm4487,3786l4192,3786,4460,3805,4487,3786xm4192,3709l3924,3766,4515,3766,4571,3727,4460,3727,4192,3709xm2048,2727l1780,2936,1512,3675,1512,3740,1780,3002,2048,2795,2103,2795,2048,2727xm6067,2182l5799,2296,5531,2518,5263,2963,4996,3105,4728,3535,4460,3727,4571,3727,4728,3615,4996,3186,5263,3046,5531,2603,5799,2382,6067,2269,6624,2269,6603,2263,6335,2218,6067,2182xm2103,2795l2048,2795,2316,3124,2584,3178,2852,3552,3120,3521,3223,3481,2852,3481,2584,3108,2316,3055,2103,2795xm3388,3344l3120,3448,2852,3481,3223,3481,3388,3418,3491,3418,3388,3344xm6624,2269l6067,2269,6335,2308,6603,2356,6871,2438,7139,2566,7407,2643,7675,2695,7943,2733,8211,2744,8479,2752,9015,2774,9551,2813,9551,2686,9015,2651,8479,2634,8211,2629,7943,2621,7675,2586,7407,2538,7139,2465,6871,2341,6624,2269xe" filled="true" fillcolor="#69af99" stroked="false">
              <v:path arrowok="t"/>
              <v:fill type="solid"/>
            </v:shape>
            <v:shape style="position:absolute;left:1512;top:2181;width:8039;height:1661" coordorigin="1512,2182" coordsize="8039,1661" path="m1512,3675l1780,2936,2048,2727,2316,3055,2584,3108,2852,3481,3120,3448,3388,3344,3656,3535,3924,3766,4192,3709,4460,3727,4728,3535,4996,3105,5263,2963,5531,2518,5799,2296,6067,2182,6335,2218,6603,2263,6871,2341,7139,2465,7407,2538,7675,2586,7943,2621,8211,2629,8479,2634,8747,2642,9015,2651,9283,2669,9551,2686,9551,2813,9283,2794,9015,2774,8747,2762,8479,2752,8211,2744,7943,2733,7675,2695,7407,2643,7139,2566,6871,2438,6603,2356,6335,2308,6067,2269,5799,2382,5531,2603,5263,3046,4996,3186,4728,3615,4460,3805,4192,3786,3924,3842,3656,3610,3388,3418,3120,3521,2852,3552,2584,3178,2316,3124,2048,2795,1780,3002,1512,3740,1512,3675e" filled="false" stroked="true" strokeweight=".96pt" strokecolor="#69af99">
              <v:path arrowok="t"/>
              <v:stroke dashstyle="solid"/>
            </v:shape>
            <v:shape style="position:absolute;left:1512;top:2099;width:8039;height:1667" coordorigin="1512,2099" coordsize="8039,1667" path="m3486,3344l3388,3344,3656,3535,3924,3766,4192,3709,4485,3709,4505,3694,3924,3694,3656,3464,3486,3344xm4485,3709l4192,3709,4460,3727,4485,3709xm4192,3635l3924,3694,4505,3694,4564,3652,4460,3652,4192,3635xm2048,2663l1780,2873,1512,3613,1512,3675,1780,2936,2048,2727,2101,2727,2048,2663xm6067,2099l5799,2215,5531,2438,5263,2885,4996,3028,4728,3459,4460,3652,4564,3652,4728,3535,4996,3105,5263,2963,5531,2518,5799,2296,6067,2182,6630,2182,6603,2174,6335,2134,6067,2099xm2101,2727l2048,2727,2316,3055,2584,3108,2852,3481,3120,3448,3210,3413,2852,3413,2584,3042,2316,2990,2101,2727xm3388,3274l3120,3380,2852,3413,3210,3413,3388,3344,3486,3344,3388,3274xm6630,2182l6067,2182,6335,2218,6603,2263,6871,2341,7139,2465,7407,2538,7675,2586,7943,2621,8211,2629,8479,2634,9015,2651,9551,2686,9551,2564,9015,2535,8479,2522,8211,2520,7943,2516,7675,2484,7407,2439,7139,2369,6871,2249,6630,2182xe" filled="true" fillcolor="#00926d" stroked="false">
              <v:path arrowok="t"/>
              <v:fill type="solid"/>
            </v:shape>
            <v:shape style="position:absolute;left:1512;top:2099;width:8039;height:1667" coordorigin="1512,2099" coordsize="8039,1667" path="m1512,3613l1780,2873,2048,2663,2316,2990,2584,3042,2852,3413,3120,3380,3388,3274,3656,3464,3924,3694,4192,3635,4460,3652,4728,3459,4996,3028,5263,2885,5531,2438,5799,2215,6067,2099,6335,2134,6603,2174,6871,2249,7139,2369,7407,2439,7675,2484,7943,2516,8211,2520,8479,2522,8747,2528,9015,2535,9283,2550,9551,2564,9551,2686,9283,2669,9015,2651,8747,2642,8479,2634,8211,2629,7943,2621,7675,2586,7407,2538,7139,2465,6871,2341,6603,2263,6335,2218,6067,2182,5799,2296,5531,2518,5263,2963,4996,3105,4728,3535,4460,3727,4192,3709,3924,3766,3656,3535,3388,3344,3120,3448,2852,3481,2584,3108,2316,3055,2048,2727,1780,2936,1512,3675,1512,3613e" filled="false" stroked="true" strokeweight=".96pt" strokecolor="#00926d">
              <v:path arrowok="t"/>
              <v:stroke dashstyle="solid"/>
            </v:shape>
            <v:shape style="position:absolute;left:1512;top:2019;width:8039;height:1675" coordorigin="1512,2019" coordsize="8039,1675" path="m3484,3274l3388,3274,3656,3464,3924,3694,4192,3635,4483,3635,4498,3624,3924,3624,3656,3395,3484,3274xm4483,3635l4192,3635,4460,3652,4483,3635xm4192,3564l3924,3624,4498,3624,4560,3580,4460,3580,4192,3564xm2048,2601l1780,2812,1512,3553,1512,3613,1780,2873,2048,2663,2099,2663,2048,2601xm6067,2019l5799,2136,5531,2361,5263,2809,4996,2953,4728,3385,4460,3580,4560,3580,4728,3459,4996,3028,5263,2885,5531,2438,5799,2215,6067,2099,6642,2099,6603,2089,6335,2051,6067,2019xm2099,2663l2048,2663,2316,2990,2584,3042,2852,3413,3120,3380,3201,3348,2852,3348,2584,2977,2316,2927,2099,2663xm3388,3207l3120,3313,2852,3348,3201,3348,3388,3274,3484,3274,3388,3207xm6642,2099l6067,2099,6335,2134,6603,2174,6871,2249,7139,2369,7407,2439,7675,2484,7943,2516,8211,2520,8479,2522,9015,2535,9551,2564,9551,2447,9015,2422,8605,2415,8211,2415,7943,2414,7675,2385,7407,2343,7139,2277,6871,2160,6642,2099xm8479,2414l8211,2415,8605,2415,8479,2414xe" filled="true" fillcolor="#00926d" stroked="false">
              <v:path arrowok="t"/>
              <v:fill type="solid"/>
            </v:shape>
            <v:shape style="position:absolute;left:1512;top:2019;width:8039;height:1675" coordorigin="1512,2019" coordsize="8039,1675" path="m1512,3553l1780,2812,2048,2601,2316,2927,2584,2977,2852,3348,3120,3313,3388,3207,3656,3395,3924,3624,4192,3564,4460,3580,4728,3385,4996,2953,5263,2809,5531,2361,5799,2136,6067,2019,6335,2051,6603,2089,6871,2160,7139,2277,7407,2343,7675,2385,7943,2414,8211,2415,8479,2414,8747,2417,9015,2422,9283,2435,9551,2447,9551,2564,9283,2550,9015,2535,8747,2528,8479,2522,8211,2520,7943,2516,7675,2484,7407,2439,7139,2369,6871,2249,6603,2174,6335,2134,6067,2099,5799,2215,5531,2438,5263,2885,4996,3028,4728,3459,4460,3652,4192,3635,3924,3694,3656,3464,3388,3274,3120,3380,2852,3413,2584,3042,2316,2990,2048,2663,1780,2873,1512,3613,1512,3553e" filled="false" stroked="true" strokeweight=".96pt" strokecolor="#00926d">
              <v:path arrowok="t"/>
              <v:stroke dashstyle="solid"/>
            </v:shape>
            <v:shape style="position:absolute;left:1512;top:1861;width:8039;height:1763" coordorigin="1512,1862" coordsize="8039,1763" path="m3579,3207l3388,3207,3656,3395,3924,3624,4192,3564,4481,3564,4588,3487,3924,3487,3656,3260,3579,3207xm4481,3564l4192,3564,4460,3580,4481,3564xm2048,2479l1780,2692,1512,3435,1512,3553,1780,2812,2048,2601,2149,2601,2048,2479xm4192,3424l3924,3487,4588,3487,4656,3438,4460,3438,4192,3424xm6067,1862l5799,1981,5531,2209,5263,2659,4996,2806,4728,3241,4460,3438,4656,3438,4728,3385,4996,2953,5263,2809,5531,2361,5799,2136,6067,2019,6941,2019,6871,1990,6603,1923,6335,1890,6067,1862xm2149,2601l2048,2601,2316,2927,2584,2977,2852,3348,3120,3313,3356,3220,2852,3220,2584,2851,2316,2803,2149,2601xm3388,3074l3120,3183,2852,3220,3356,3220,3388,3207,3579,3207,3388,3074xm9551,2414l8479,2414,9015,2422,9551,2447,9551,2414xm6941,2019l6067,2019,6335,2051,6603,2089,6871,2160,7139,2277,7407,2343,7675,2385,7943,2414,8211,2415,9551,2414,9551,2237,9235,2227,7943,2227,7675,2202,7407,2163,7139,2102,6941,2019xm8747,2220l8479,2220,8211,2226,7943,2227,9235,2227,9015,2220,8747,2220xe" filled="true" fillcolor="#00926d" stroked="false">
              <v:path arrowok="t"/>
              <v:fill type="solid"/>
            </v:shape>
            <v:shape style="position:absolute;left:1512;top:1861;width:8039;height:1763" coordorigin="1512,1862" coordsize="8039,1763" path="m1512,3435l1780,2692,2048,2479,2316,2803,2584,2851,2852,3220,3120,3183,3388,3074,3656,3260,3924,3487,4192,3424,4460,3438,4728,3241,4996,2806,5263,2659,5531,2209,5799,1981,6067,1862,6335,1890,6603,1923,6871,1990,7139,2102,7407,2163,7675,2202,7943,2227,8211,2226,8479,2220,8747,2220,9015,2220,9283,2229,9551,2237,9551,2447,9283,2435,9015,2422,8747,2417,8479,2414,8211,2415,7943,2414,7675,2385,7407,2343,7139,2277,6871,2160,6603,2089,6335,2051,6067,2019,5799,2136,5531,2361,5263,2809,4996,2953,4728,3385,4460,3580,4192,3564,3924,3624,3656,3395,3388,3207,3120,3313,2852,3348,2584,2977,2316,2927,2048,2601,1780,2812,1512,3553,1512,3435e" filled="false" stroked="true" strokeweight=".96pt" strokecolor="#00926d">
              <v:path arrowok="t"/>
              <v:stroke dashstyle="solid"/>
            </v:shape>
            <v:shape style="position:absolute;left:1512;top:1781;width:8039;height:1705" coordorigin="1512,1782" coordsize="8039,1705" path="m3485,3074l3388,3074,3656,3260,3924,3487,4192,3424,4478,3424,4488,3417,3924,3417,3656,3191,3485,3074xm4478,3424l4192,3424,4460,3438,4478,3424xm2048,2417l1780,2631,1512,3375,1512,3435,1780,2692,2048,2479,2099,2479,2048,2417xm4192,3353l3924,3417,4488,3417,4558,3365,4460,3365,4192,3353xm6067,1782l5799,1903,5531,2132,5263,2583,4996,2731,4728,3167,4460,3365,4558,3365,4728,3241,4996,2806,5263,2659,5531,2209,5799,1981,6067,1862,6692,1862,6603,1840,6335,1808,6067,1782xm2099,2479l2048,2479,2316,2803,2584,2851,2852,3220,3120,3183,3190,3154,2852,3154,2584,2787,2316,2740,2099,2479xm3388,3007l3120,3117,2852,3154,3190,3154,3388,3074,3485,3074,3388,3007xm9551,2220l8747,2220,9015,2220,9551,2237,9551,2220xm6692,1862l6067,1862,6335,1890,6603,1923,6871,1990,7139,2102,7407,2163,7675,2202,7943,2227,8211,2226,8479,2220,9551,2220,9551,2141,7943,2141,7675,2116,7407,2077,7139,2017,6871,1906,6692,1862xm9015,2128l8479,2132,8211,2138,7943,2141,9551,2141,9551,2140,9015,2128xe" filled="true" fillcolor="#00926d" stroked="false">
              <v:path arrowok="t"/>
              <v:fill type="solid"/>
            </v:shape>
            <v:shape style="position:absolute;left:1512;top:1781;width:8039;height:1705" coordorigin="1512,1782" coordsize="8039,1705" path="m1512,3375l1780,2631,2048,2417,2316,2740,2584,2787,2852,3154,3120,3117,3388,3007,3656,3191,3924,3417,4192,3353,4460,3365,4728,3167,4996,2731,5263,2583,5531,2132,5799,1903,6067,1782,6335,1808,6603,1840,6871,1906,7139,2017,7407,2077,7675,2116,7943,2141,8211,2138,8479,2132,8747,2129,9015,2128,9283,2134,9551,2140,9551,2237,9283,2229,9015,2220,8747,2220,8479,2220,8211,2226,7943,2227,7675,2202,7407,2163,7139,2102,6871,1990,6603,1923,6335,1890,6067,1862,5799,1981,5531,2209,5263,2659,4996,2806,4728,3241,4460,3438,4192,3424,3924,3487,3656,3260,3388,3074,3120,3183,2852,3220,2584,2851,2316,2803,2048,2479,1780,2692,1512,3435,1512,3375e" filled="false" stroked="true" strokeweight=".96pt" strokecolor="#00926d">
              <v:path arrowok="t"/>
              <v:stroke dashstyle="solid"/>
            </v:shape>
            <v:shape style="position:absolute;left:1512;top:1698;width:8039;height:1718" coordorigin="1512,1699" coordsize="8039,1718" path="m3490,3007l3388,3007,3656,3191,3924,3417,4192,3353,4476,3353,4488,3345,3924,3345,3656,3120,3490,3007xm2048,2353l1780,2568,1512,3313,1512,3375,1780,2631,2048,2417,2101,2417,2048,2353xm4476,3353l4192,3353,4460,3365,4476,3353xm4192,3280l3924,3345,4488,3345,4561,3291,4460,3291,4192,3280xm6067,1699l5799,1821,5531,2052,5263,2504,4996,2654,4728,3091,4460,3291,4561,3291,4728,3167,4996,2731,5263,2583,5531,2132,5799,1903,6067,1782,6718,1782,6603,1754,6335,1723,6067,1699xm2101,2417l2048,2417,2316,2740,2584,2787,2852,3154,3120,3117,3192,3087,2852,3087,2584,2721,2316,2675,2101,2417xm3388,2937l3120,3048,2852,3087,3192,3087,3388,3007,3490,3007,3388,2937xm6718,1782l6067,1782,6335,1808,6603,1840,6871,1906,7139,2017,7407,2077,7675,2116,7943,2141,8211,2138,8479,2132,9551,2128,9551,2051,7943,2051,7675,2026,7407,1988,7139,1929,6871,1819,6718,1782xm9551,2128l9015,2128,9551,2140,9551,2128xm9015,2032l8211,2048,7943,2051,9551,2051,9551,2040,9015,2032xe" filled="true" fillcolor="#00926d" stroked="false">
              <v:path arrowok="t"/>
              <v:fill type="solid"/>
            </v:shape>
            <v:shape style="position:absolute;left:1512;top:1698;width:8039;height:1718" coordorigin="1512,1699" coordsize="8039,1718" path="m1512,3313l1780,2568,2048,2353,2316,2675,2584,2721,2852,3087,3120,3048,3388,2937,3656,3120,3924,3345,4192,3280,4460,3291,4728,3091,4996,2654,5263,2504,5531,2052,5799,1821,6067,1699,6335,1723,6603,1754,6871,1819,7139,1929,7407,1988,7675,2026,7943,2051,8211,2048,8479,2042,8747,2036,9015,2032,9283,2037,9551,2040,9551,2140,9283,2134,9015,2128,8747,2129,8479,2132,8211,2138,7943,2141,7675,2116,7407,2077,7139,2017,6871,1906,6603,1840,6335,1808,6067,1782,5799,1903,5531,2132,5263,2583,4996,2731,4728,3167,4460,3365,4192,3353,3924,3417,3656,3191,3388,3007,3120,3117,2852,3154,2584,2787,2316,2740,2048,2417,1780,2631,1512,3375,1512,3313e" filled="false" stroked="true" strokeweight=".96pt" strokecolor="#00926d">
              <v:path arrowok="t"/>
              <v:stroke dashstyle="solid"/>
            </v:shape>
            <v:shape style="position:absolute;left:1512;top:1611;width:8039;height:1733" coordorigin="1512,1612" coordsize="8039,1733" path="m3496,2937l3388,2937,3656,3120,3924,3345,4192,3280,4474,3280,4489,3269,3924,3269,3656,3046,3496,2937xm2048,2286l1780,2501,1512,3248,1512,3313,1780,2568,2048,2353,2104,2353,2048,2286xm4474,3280l4192,3280,4460,3291,4474,3280xm4192,3203l3924,3269,4489,3269,4565,3212,4460,3212,4192,3203xm6067,1612l5799,1736,5531,1967,5263,2422,4996,2572,4728,3011,4460,3212,4565,3212,4728,3091,4996,2654,5263,2504,5531,2052,5799,1821,6067,1699,6751,1699,6603,1663,6335,1633,6067,1612xm2104,2353l2048,2353,2316,2675,2584,2721,2852,3087,3120,3048,3197,3016,2852,3016,2584,2651,2316,2606,2104,2353xm3388,2863l3120,2976,2852,3016,3197,3016,3388,2937,3496,2937,3388,2863xm6751,1699l6067,1699,6335,1723,6603,1754,6871,1819,7139,1929,7407,1988,7675,2026,7943,2051,8211,2048,9015,2032,9551,2032,9551,1956,7943,1956,7675,1932,7407,1895,7139,1836,6871,1727,6751,1699xm9551,2032l9015,2032,9551,2040,9551,2032xm9015,1932l8211,1953,7943,1956,9551,1956,9551,1935,9015,1932xe" filled="true" fillcolor="#69af99" stroked="false">
              <v:path arrowok="t"/>
              <v:fill type="solid"/>
            </v:shape>
            <v:shape style="position:absolute;left:1512;top:1611;width:8039;height:1733" coordorigin="1512,1612" coordsize="8039,1733" path="m1512,3248l1780,2501,2048,2286,2316,2606,2584,2651,2852,3016,3120,2976,3388,2863,3656,3046,3924,3269,4192,3203,4460,3212,4728,3011,4996,2572,5263,2422,5531,1967,5799,1736,6067,1612,6335,1633,6603,1663,6871,1727,7139,1836,7407,1895,7675,1932,7943,1956,8211,1953,8479,1946,8747,1938,9015,1932,9283,1934,9551,1935,9551,2040,9283,2037,9015,2032,8747,2036,8479,2042,8211,2048,7943,2051,7675,2026,7407,1988,7139,1929,6871,1819,6603,1754,6335,1723,6067,1699,5799,1821,5531,2052,5263,2504,4996,2654,4728,3091,4460,3291,4192,3280,3924,3345,3656,3120,3388,2937,3120,3048,2852,3087,2584,2721,2316,2675,2048,2353,1780,2568,1512,3313,1512,3248e" filled="false" stroked="true" strokeweight=".96pt" strokecolor="#69af99">
              <v:path arrowok="t"/>
              <v:stroke dashstyle="solid"/>
            </v:shape>
            <v:shape style="position:absolute;left:1512;top:1517;width:8039;height:1751" coordorigin="1512,1518" coordsize="8039,1751" path="m3505,2863l3388,2863,3656,3046,3924,3269,4192,3203,4472,3203,4494,3186,3924,3186,3656,2965,3505,2863xm2048,2213l1780,2430,1512,3177,1512,3248,1780,2501,2048,2286,2109,2286,2048,2213xm4472,3203l4192,3203,4460,3212,4472,3203xm4192,3119l3924,3186,4494,3186,4573,3127,4460,3127,4192,3119xm6067,1518l5799,1643,5531,1877,5263,2332,4996,2484,4728,2925,4460,3127,4573,3127,4728,3011,4996,2572,5263,2422,5531,1967,5799,1736,6067,1612,6800,1612,6603,1566,6335,1537,6067,1518xm2109,2286l2048,2286,2316,2606,2584,2651,2852,3016,3120,2976,3207,2939,2852,2939,2584,2576,2316,2532,2109,2286xm3388,2784l3120,2898,2852,2939,3207,2939,3388,2863,3505,2863,3388,2784xm6800,1612l6067,1612,6335,1633,6603,1663,6871,1727,7139,1836,7407,1895,7675,1932,7943,1956,8211,1953,9015,1932,9551,1932,9551,1854,7943,1854,7675,1830,7407,1793,7139,1737,6871,1629,6800,1612xm9551,1932l9015,1932,9551,1935,9551,1932xm9551,1821l9015,1823,8211,1850,7943,1854,9551,1854,9551,1821xe" filled="true" fillcolor="#69af99" stroked="false">
              <v:path arrowok="t"/>
              <v:fill type="solid"/>
            </v:shape>
            <v:shape style="position:absolute;left:1512;top:1517;width:8039;height:1751" coordorigin="1512,1518" coordsize="8039,1751" path="m1512,3177l1780,2430,2048,2213,2316,2532,2584,2576,2852,2939,3120,2898,3388,2784,3656,2965,3924,3186,4192,3119,4460,3127,4728,2925,4996,2484,5263,2332,5531,1877,5799,1643,6067,1518,6335,1537,6603,1566,6871,1629,7139,1737,7407,1793,7675,1830,7943,1854,8211,1850,8479,1842,8747,1832,9015,1823,9283,1823,9551,1821,9551,1935,9283,1934,9015,1932,8747,1938,8479,1946,8211,1953,7943,1956,7675,1932,7407,1895,7139,1836,6871,1727,6603,1663,6335,1633,6067,1612,5799,1736,5531,1967,5263,2422,4996,2572,4728,3011,4460,3212,4192,3203,3924,3269,3656,3046,3388,2863,3120,2976,2852,3016,2584,2651,2316,2606,2048,2286,1780,2501,1512,3248,1512,3177e" filled="false" stroked="true" strokeweight=".96pt" strokecolor="#69af99">
              <v:path arrowok="t"/>
              <v:stroke dashstyle="solid"/>
            </v:shape>
            <v:shape style="position:absolute;left:1512;top:1413;width:8039;height:1774" coordorigin="1512,1413" coordsize="8039,1774" path="m3520,2784l3388,2784,3656,2965,3924,3186,4192,3119,4470,3119,4502,3095,3924,3095,3656,2875,3520,2784xm2048,2132l1780,2350,1512,3099,1512,3177,1780,2430,2048,2213,2116,2213,2048,2132xm4470,3119l4192,3119,4460,3127,4470,3119xm4192,3026l3924,3095,4502,3095,4585,3033,4460,3033,4192,3026xm6067,1413l5799,1540,5531,1775,5263,2233,4996,2387,4728,2829,4460,3033,4585,3033,4728,2925,4996,2484,5263,2332,5531,1877,5799,1643,6067,1518,6867,1518,6603,1457,6335,1429,6067,1413xm2116,2213l2048,2213,2316,2532,2584,2576,2852,2939,3120,2898,3223,2854,2852,2854,2584,2492,2316,2450,2116,2213xm3388,2696l3120,2811,2852,2854,3223,2854,3388,2784,3520,2784,3388,2696xm6867,1518l6067,1518,6335,1537,6603,1566,6871,1629,7139,1737,7407,1793,7675,1830,7943,1854,8211,1850,9015,1823,9551,1821,9551,1740,7943,1740,7675,1717,7407,1681,7139,1625,6871,1519,6867,1518xm9551,1695l9015,1702,8479,1727,8211,1736,7943,1740,9551,1740,9551,1695xe" filled="true" fillcolor="#69af99" stroked="false">
              <v:path arrowok="t"/>
              <v:fill type="solid"/>
            </v:shape>
            <v:shape style="position:absolute;left:1512;top:1413;width:8039;height:1774" coordorigin="1512,1413" coordsize="8039,1774" path="m1512,3099l1780,2350,2048,2132,2316,2450,2584,2492,2852,2854,3120,2811,3388,2696,3656,2875,3924,3095,4192,3026,4460,3033,4728,2829,4996,2387,5263,2233,5531,1775,5799,1540,6067,1413,6335,1429,6603,1457,6871,1519,7139,1625,7407,1681,7675,1717,7943,1740,8211,1736,8479,1727,8747,1714,9015,1702,9283,1699,9551,1695,9551,1821,9283,1823,9015,1823,8747,1832,8479,1842,8211,1850,7943,1854,7675,1830,7407,1793,7139,1737,6871,1629,6603,1566,6335,1537,6067,1518,5799,1643,5531,1877,5263,2332,4996,2484,4728,2925,4460,3127,4192,3119,3924,3186,3656,2965,3388,2784,3120,2898,2852,2939,2584,2576,2316,2532,2048,2213,1780,2430,1512,3177,1512,3099e" filled="false" stroked="true" strokeweight=".96pt" strokecolor="#69af99">
              <v:path arrowok="t"/>
              <v:stroke dashstyle="solid"/>
            </v:shape>
            <v:shape style="position:absolute;left:1512;top:1291;width:8039;height:1808" coordorigin="1512,1291" coordsize="8039,1808" path="m2048,2037l1780,2257,1512,3007,1512,3099,1780,2350,2048,2132,2128,2132,2048,2037xm3543,2696l3388,2696,3656,2875,3924,3095,4192,3026,4468,3026,4517,2989,3924,2989,3656,2770,3543,2696xm4468,3026l4192,3026,4460,3033,4468,3026xm4192,2918l3924,2989,4517,2989,4605,2922,4460,2922,4192,2918xm6067,1291l5799,1420,5531,1657,5263,2117,4996,2273,4728,2717,4460,2922,4605,2922,4728,2829,4996,2387,5263,2233,5531,1775,5799,1540,6067,1413,6928,1413,6871,1391,6603,1330,6335,1304,6067,1291xm2128,2132l2048,2132,2316,2450,2584,2492,2852,2854,3120,2811,3251,2754,2852,2754,2584,2394,2316,2353,2128,2132xm3388,2593l3120,2710,2852,2754,3251,2754,3388,2696,3543,2696,3388,2593xm6928,1413l6067,1413,6335,1429,6603,1457,6871,1519,7139,1625,7407,1681,7675,1717,7943,1740,8211,1736,8479,1727,9015,1702,9551,1695,9551,1608,7943,1608,7675,1585,7407,1550,7139,1496,6928,1413xm9551,1547l9015,1562,8479,1593,8211,1602,7943,1608,9551,1608,9551,1547xe" filled="true" fillcolor="#9cc7b6" stroked="false">
              <v:path arrowok="t"/>
              <v:fill type="solid"/>
            </v:shape>
            <v:shape style="position:absolute;left:1512;top:1291;width:8039;height:1808" coordorigin="1512,1291" coordsize="8039,1808" path="m1512,3007l1780,2257,2048,2037,2316,2353,2584,2394,2852,2754,3120,2710,3388,2593,3656,2770,3924,2989,4192,2918,4460,2922,4728,2717,4996,2273,5263,2117,5531,1657,5799,1420,6067,1291,6335,1304,6603,1330,6871,1391,7139,1496,7407,1550,7675,1585,7943,1608,8211,1602,8479,1593,8747,1577,9015,1562,9283,1555,9551,1547,9551,1695,9283,1699,9015,1702,8747,1714,8479,1727,8211,1736,7943,1740,7675,1717,7407,1681,7139,1625,6871,1519,6603,1457,6335,1429,6067,1413,5799,1540,5531,1775,5263,2233,4996,2387,4728,2829,4460,3033,4192,3026,3924,3095,3656,2875,3388,2696,3120,2811,2852,2854,2584,2492,2316,2450,2048,2132,1780,2350,1512,3099,1512,3007e" filled="false" stroked="true" strokeweight=".96pt" strokecolor="#9cc7b6">
              <v:path arrowok="t"/>
              <v:stroke dashstyle="solid"/>
            </v:shape>
            <v:shape style="position:absolute;left:1512;top:1137;width:8039;height:1870" coordorigin="1512,1137" coordsize="8039,1870" path="m2048,1918l1780,2140,1512,2892,1512,3007,1780,2257,2048,2037,2149,2037,2048,1918xm3585,2593l3388,2593,3656,2770,3924,2989,4192,2918,4465,2918,4548,2855,3924,2855,3656,2639,3585,2593xm4465,2918l4192,2918,4460,2922,4465,2918xm4192,2781l3924,2855,4548,2855,4640,2784,4460,2784,4192,2781xm6067,1137l5799,1269,5531,1509,5263,1971,4996,2129,4728,2576,4460,2784,4640,2784,4728,2717,4996,2273,5263,2117,5531,1657,5799,1420,6067,1291,7031,1291,6871,1229,6603,1171,6335,1146,6067,1137xm2149,2037l2048,2037,2316,2353,2584,2394,2852,2754,3120,2710,3304,2629,2852,2629,2584,2271,2316,2232,2149,2037xm3388,2463l3120,2582,2852,2629,3304,2629,3388,2593,3585,2593,3388,2463xm7031,1291l6067,1291,6335,1304,6603,1330,6871,1391,7139,1496,7407,1550,7675,1585,7943,1608,8211,1602,8479,1593,9015,1562,9551,1547,9551,1441,7943,1441,7675,1419,7407,1384,7139,1332,7031,1291xm9551,1361l9015,1384,8479,1424,8211,1434,7943,1441,9551,1441,9551,1361xe" filled="true" fillcolor="#9cc7b6" stroked="false">
              <v:path arrowok="t"/>
              <v:fill type="solid"/>
            </v:shape>
            <v:shape style="position:absolute;left:1512;top:1137;width:8039;height:1870" coordorigin="1512,1137" coordsize="8039,1870" path="m1512,2892l1780,2140,2048,1918,2316,2232,2584,2271,2852,2629,3120,2582,3388,2463,3656,2639,3924,2855,4192,2781,4460,2784,4728,2576,4996,2129,5263,1971,5531,1509,5799,1269,6067,1137,6335,1146,6603,1171,6871,1229,7139,1332,7407,1384,7675,1419,7943,1441,8211,1434,8479,1424,8747,1404,9015,1384,9283,1373,9551,1361,9551,1547,9283,1555,9015,1562,8747,1577,8479,1593,8211,1602,7943,1608,7675,1585,7407,1550,7139,1496,6871,1391,6603,1330,6335,1304,6067,1291,5799,1420,5531,1657,5263,2117,4996,2273,4728,2717,4460,2922,4192,2918,3924,2989,3656,2770,3388,2593,3120,2710,2852,2754,2584,2394,2316,2353,2048,2037,1780,2257,1512,3007,1512,2892e" filled="false" stroked="true" strokeweight=".96pt" strokecolor="#9cc7b6">
              <v:path arrowok="t"/>
              <v:stroke dashstyle="solid"/>
            </v:shape>
            <v:shape style="position:absolute;left:1512;top:909;width:8039;height:1983" coordorigin="1512,910" coordsize="8039,1983" path="m2048,1742l1780,1967,1512,2722,1512,2892,1780,2140,2048,1918,2200,1918,2048,1742xm3681,2463l3388,2463,3656,2639,3924,2855,4192,2781,4462,2781,4624,2656,3924,2656,3681,2463xm4462,2781l4192,2781,4460,2784,4462,2781xm6067,910l5799,1045,5531,1289,5263,1754,4996,1916,4728,2367,4460,2578,4192,2579,3924,2656,4624,2656,4728,2576,4996,2129,5263,1971,5531,1509,5799,1269,6067,1137,7396,1137,7139,1091,6871,990,6603,935,6335,912,6067,910xm2200,1918l2048,1918,2316,2232,2584,2271,2852,2629,3120,2582,3388,2463,3681,2463,3656,2444,2852,2444,2584,2088,2316,2053,2200,1918xm3388,2271l3120,2393,2852,2444,3656,2444,3656,2443,3388,2271xm7396,1137l6067,1137,6335,1146,6603,1171,6871,1229,7139,1332,7407,1384,7675,1419,7943,1441,8211,1434,8479,1424,9015,1384,9551,1361,9551,1193,7943,1193,7675,1173,7407,1139,7396,1137xm9551,1086l9015,1122,8479,1174,8211,1186,7943,1193,9551,1193,9551,1086xe" filled="true" fillcolor="#9cc7b6" stroked="false">
              <v:path arrowok="t"/>
              <v:fill type="solid"/>
            </v:shape>
            <v:shape style="position:absolute;left:1512;top:909;width:8039;height:1983" coordorigin="1512,910" coordsize="8039,1983" path="m1512,2722l1780,1967,2048,1742,2316,2053,2584,2088,2852,2444,3120,2393,3388,2271,3656,2443,3924,2656,4192,2579,4460,2578,4728,2367,4996,1916,5263,1754,5531,1289,5799,1045,6067,910,6335,912,6603,935,6871,990,7139,1091,7407,1139,7675,1173,7943,1193,8211,1186,8479,1174,8747,1147,9015,1122,9283,1104,9551,1086,9551,1361,9283,1373,9015,1384,8747,1404,8479,1424,8211,1434,7943,1441,7675,1419,7407,1384,7139,1332,6871,1229,6603,1171,6335,1146,6067,1137,5799,1269,5531,1509,5263,1971,4996,2129,4728,2576,4460,2784,4192,2781,3924,2855,3656,2639,3388,2463,3120,2582,2852,2629,2584,2271,2316,2232,2048,1918,1780,2140,1512,2892,1512,2722e" filled="false" stroked="true" strokeweight=".96pt" strokecolor="#9cc7b6">
              <v:path arrowok="t"/>
              <v:stroke dashstyle="solid"/>
            </v:shape>
            <v:shape style="position:absolute;left:1512;top:191;width:8040;height:4589" coordorigin="1512,191" coordsize="8040,4589" path="m1512,4780l1512,191m1512,4780l1574,4780m1512,4269l1574,4269m1512,3760l1574,3760m1512,3249l1574,3249m1512,2740l1574,2740m1512,2229l1574,2229m1512,1720l1574,1720m1512,1211l1574,1211m1512,700l1574,700m1512,191l1574,191m1512,191l9552,191m9552,4780l9552,191m9497,4780l9552,4780m9497,4269l9552,4269m9497,3760l9552,3760m9497,3249l9552,3249m9497,2740l9552,2740m9497,2229l9552,2229m9497,1720l9552,1720m9497,1211l9552,1211m9497,700l9552,700m9497,191l9552,191m1512,4780l9552,4780m1512,4739l1512,4780m1781,4739l1781,4780m2047,4739l2047,4780m2316,4739l2316,4780m2585,4739l2585,4780m2851,4739l2851,4780m3120,4739l3120,4780m3389,4739l3389,4780m3655,4739l3655,4780m3924,4739l3924,4780m4193,4739l4193,4780m4459,4739l4459,4780m4728,4739l4728,4780m4994,4739l4994,4780m5263,4739l5263,4780m5532,4739l5532,4780m5798,4739l5798,4780m6067,4739l6067,4780m6336,4739l6336,4780m6602,4739l6602,4780m6871,4739l6871,4780m7140,4739l7140,4780m7406,4739l7406,4780m7675,4739l7675,4780m7944,4739l7944,4780m8210,4739l8210,4780m8479,4739l8479,4780m8748,4739l8748,4780m9014,4739l9014,4780m9283,4739l9283,4780m9552,4739l9552,4780m1512,4725l1512,4780m2585,4725l2585,4780m3655,4725l3655,4780m4728,4725l4728,4780m5798,4725l5798,4780m6871,4725l6871,4780m7944,4725l7944,4780m9014,4725l9014,4780e" filled="false" stroked="true" strokeweight=".72pt" strokecolor="#858585">
              <v:path arrowok="t"/>
              <v:stroke dashstyle="solid"/>
            </v:shape>
            <v:shape style="position:absolute;left:6067;top:188;width:2;height:4589" coordorigin="6067,189" coordsize="0,4589" path="m6067,4778l6067,3760,6067,189e" filled="false" stroked="true" strokeweight=".96pt" strokecolor="#000000">
              <v:path arrowok="t"/>
              <v:stroke dashstyle="shortdash"/>
            </v:shape>
            <v:line style="position:absolute" from="1510,3760" to="9554,3760" stroked="true" strokeweight=".24pt" strokecolor="#000000">
              <v:stroke dashstyle="solid"/>
            </v:line>
            <v:shape style="position:absolute;left:1512;top:1940;width:8040;height:1616" coordorigin="1512,1941" coordsize="8040,1616" path="m1512,3494l1781,2752,2047,2541,2316,2865,2585,2915,2851,3285,3120,3249,3389,3141,3655,3328,3924,3556,4193,3494,4459,3508,4728,3314,4994,2879,5263,2733,5532,2284,5798,2058,6067,1941,6336,1970,6602,2006,6871,2073,7140,2186,7406,2248,7675,2286,7944,2313,8210,2310,8479,2308,8748,2308,9014,2310,9283,2322,9552,2332e" filled="false" stroked="true" strokeweight=".24pt" strokecolor="#00926d">
              <v:path arrowok="t"/>
              <v:stroke dashstyle="solid"/>
            </v:shape>
            <v:shape style="position:absolute;left:1512;top:2166;width:4556;height:1546" coordorigin="1512,2166" coordsize="4556,1546" path="m1512,3494l1781,2752,2047,2541,2316,2865,2585,2896,2851,3369,3120,3270,3389,3222,3655,3465,3924,3712,4193,3621,4459,3676,4728,3407,4994,2862,5263,2834,5532,2382,5798,2234,6067,2166e" filled="false" stroked="true" strokeweight="2.16pt" strokecolor="#000000">
              <v:path arrowok="t"/>
              <v:stroke dashstyle="solid"/>
            </v:shape>
            <v:shape style="position:absolute;left:2880;top:393;width:6652;height:3973" coordorigin="2880,394" coordsize="6652,3973" path="m3250,3443l3243,3401,3229,3310,3135,3407,3178,3420,2880,4357,2909,4367,3207,3429,3250,3443m7190,439l6254,439,6254,394,6134,454,6254,514,6254,469,7190,469,7190,439m9531,454l9501,439,9411,394,9411,439,8405,439,8405,469,9411,469,9411,514,9501,469,9531,454e" filled="true" fillcolor="#000000" stroked="false">
              <v:path arrowok="t"/>
              <v:fill type="solid"/>
            </v:shape>
            <v:shape style="position:absolute;left:2588;top:322;width:2427;height:202" type="#_x0000_t202" filled="false" stroked="false">
              <v:textbox inset="0,0,0,0">
                <w:txbxContent>
                  <w:p>
                    <w:pPr>
                      <w:spacing w:line="201" w:lineRule="exact" w:before="0"/>
                      <w:ind w:left="0" w:right="0" w:firstLine="0"/>
                      <w:jc w:val="left"/>
                      <w:rPr>
                        <w:sz w:val="18"/>
                      </w:rPr>
                    </w:pPr>
                    <w:r>
                      <w:rPr>
                        <w:sz w:val="18"/>
                      </w:rPr>
                      <w:t>Bank estimates of past growth</w:t>
                    </w:r>
                  </w:p>
                </w:txbxContent>
              </v:textbox>
              <w10:wrap type="none"/>
            </v:shape>
            <v:shape style="position:absolute;left:7423;top:369;width:825;height:202" type="#_x0000_t202" filled="false" stroked="false">
              <v:textbox inset="0,0,0,0">
                <w:txbxContent>
                  <w:p>
                    <w:pPr>
                      <w:spacing w:line="201" w:lineRule="exact" w:before="0"/>
                      <w:ind w:left="0" w:right="0" w:firstLine="0"/>
                      <w:jc w:val="left"/>
                      <w:rPr>
                        <w:sz w:val="18"/>
                      </w:rPr>
                    </w:pPr>
                    <w:r>
                      <w:rPr>
                        <w:sz w:val="18"/>
                      </w:rPr>
                      <w:t>Projection</w:t>
                    </w:r>
                  </w:p>
                </w:txbxContent>
              </v:textbox>
              <w10:wrap type="none"/>
            </v:shape>
            <v:shape style="position:absolute;left:2405;top:4398;width:831;height:202" type="#_x0000_t202" filled="false" stroked="false">
              <v:textbox inset="0,0,0,0">
                <w:txbxContent>
                  <w:p>
                    <w:pPr>
                      <w:spacing w:line="201" w:lineRule="exact" w:before="0"/>
                      <w:ind w:left="0" w:right="0" w:firstLine="0"/>
                      <w:jc w:val="left"/>
                      <w:rPr>
                        <w:b/>
                        <w:sz w:val="18"/>
                      </w:rPr>
                    </w:pPr>
                    <w:r>
                      <w:rPr>
                        <w:b/>
                        <w:sz w:val="18"/>
                      </w:rPr>
                      <w:t>ONS data</w:t>
                    </w:r>
                  </w:p>
                </w:txbxContent>
              </v:textbox>
              <w10:wrap type="none"/>
            </v:shape>
            <w10:wrap type="none"/>
          </v:group>
        </w:pict>
      </w:r>
      <w:r>
        <w:rPr>
          <w:w w:val="99"/>
          <w:sz w:val="18"/>
        </w:rPr>
        <w:t>7</w:t>
      </w:r>
    </w:p>
    <w:p>
      <w:pPr>
        <w:pStyle w:val="BodyText"/>
        <w:spacing w:before="2"/>
        <w:rPr>
          <w:sz w:val="18"/>
        </w:rPr>
      </w:pPr>
    </w:p>
    <w:p>
      <w:pPr>
        <w:spacing w:before="94"/>
        <w:ind w:left="0" w:right="2095" w:firstLine="0"/>
        <w:jc w:val="right"/>
        <w:rPr>
          <w:sz w:val="18"/>
        </w:rPr>
      </w:pPr>
      <w:r>
        <w:rPr>
          <w:w w:val="99"/>
          <w:sz w:val="18"/>
        </w:rPr>
        <w:t>6</w:t>
      </w:r>
    </w:p>
    <w:p>
      <w:pPr>
        <w:pStyle w:val="BodyText"/>
        <w:spacing w:before="2"/>
        <w:rPr>
          <w:sz w:val="18"/>
        </w:rPr>
      </w:pPr>
    </w:p>
    <w:p>
      <w:pPr>
        <w:spacing w:before="94"/>
        <w:ind w:left="0" w:right="2095" w:firstLine="0"/>
        <w:jc w:val="right"/>
        <w:rPr>
          <w:sz w:val="18"/>
        </w:rPr>
      </w:pPr>
      <w:r>
        <w:rPr>
          <w:w w:val="99"/>
          <w:sz w:val="18"/>
        </w:rPr>
        <w:t>5</w:t>
      </w:r>
    </w:p>
    <w:p>
      <w:pPr>
        <w:pStyle w:val="BodyText"/>
        <w:spacing w:before="2"/>
        <w:rPr>
          <w:sz w:val="18"/>
        </w:rPr>
      </w:pPr>
    </w:p>
    <w:p>
      <w:pPr>
        <w:spacing w:before="94"/>
        <w:ind w:left="0" w:right="2095" w:firstLine="0"/>
        <w:jc w:val="right"/>
        <w:rPr>
          <w:sz w:val="18"/>
        </w:rPr>
      </w:pPr>
      <w:r>
        <w:rPr>
          <w:w w:val="99"/>
          <w:sz w:val="18"/>
        </w:rPr>
        <w:t>4</w:t>
      </w:r>
    </w:p>
    <w:p>
      <w:pPr>
        <w:pStyle w:val="BodyText"/>
        <w:spacing w:before="2"/>
        <w:rPr>
          <w:sz w:val="18"/>
        </w:rPr>
      </w:pPr>
    </w:p>
    <w:p>
      <w:pPr>
        <w:spacing w:before="94"/>
        <w:ind w:left="0" w:right="2095" w:firstLine="0"/>
        <w:jc w:val="right"/>
        <w:rPr>
          <w:sz w:val="18"/>
        </w:rPr>
      </w:pPr>
      <w:r>
        <w:rPr>
          <w:w w:val="99"/>
          <w:sz w:val="18"/>
        </w:rPr>
        <w:t>3</w:t>
      </w:r>
    </w:p>
    <w:p>
      <w:pPr>
        <w:pStyle w:val="BodyText"/>
        <w:spacing w:before="2"/>
        <w:rPr>
          <w:sz w:val="18"/>
        </w:rPr>
      </w:pPr>
    </w:p>
    <w:p>
      <w:pPr>
        <w:spacing w:before="94"/>
        <w:ind w:left="0" w:right="2095" w:firstLine="0"/>
        <w:jc w:val="right"/>
        <w:rPr>
          <w:sz w:val="18"/>
        </w:rPr>
      </w:pPr>
      <w:r>
        <w:rPr>
          <w:w w:val="99"/>
          <w:sz w:val="18"/>
        </w:rPr>
        <w:t>2</w:t>
      </w:r>
    </w:p>
    <w:p>
      <w:pPr>
        <w:pStyle w:val="BodyText"/>
        <w:spacing w:before="2"/>
        <w:rPr>
          <w:sz w:val="18"/>
        </w:rPr>
      </w:pPr>
    </w:p>
    <w:p>
      <w:pPr>
        <w:spacing w:before="94"/>
        <w:ind w:left="0" w:right="2095" w:firstLine="0"/>
        <w:jc w:val="right"/>
        <w:rPr>
          <w:sz w:val="18"/>
        </w:rPr>
      </w:pPr>
      <w:r>
        <w:rPr>
          <w:w w:val="99"/>
          <w:sz w:val="18"/>
        </w:rPr>
        <w:t>1</w:t>
      </w:r>
    </w:p>
    <w:p>
      <w:pPr>
        <w:pStyle w:val="BodyText"/>
        <w:spacing w:before="2"/>
        <w:rPr>
          <w:sz w:val="18"/>
        </w:rPr>
      </w:pPr>
    </w:p>
    <w:p>
      <w:pPr>
        <w:spacing w:before="94"/>
        <w:ind w:left="0" w:right="2095" w:firstLine="0"/>
        <w:jc w:val="right"/>
        <w:rPr>
          <w:sz w:val="18"/>
        </w:rPr>
      </w:pPr>
      <w:r>
        <w:rPr>
          <w:w w:val="99"/>
          <w:sz w:val="18"/>
        </w:rPr>
        <w:t>0</w:t>
      </w:r>
    </w:p>
    <w:p>
      <w:pPr>
        <w:pStyle w:val="BodyText"/>
        <w:spacing w:before="2"/>
        <w:rPr>
          <w:sz w:val="18"/>
        </w:rPr>
      </w:pPr>
    </w:p>
    <w:p>
      <w:pPr>
        <w:spacing w:before="94"/>
        <w:ind w:left="0" w:right="2035" w:firstLine="0"/>
        <w:jc w:val="right"/>
        <w:rPr>
          <w:sz w:val="18"/>
        </w:rPr>
      </w:pPr>
      <w:r>
        <w:rPr>
          <w:w w:val="95"/>
          <w:sz w:val="18"/>
        </w:rPr>
        <w:t>-1</w:t>
      </w:r>
    </w:p>
    <w:p>
      <w:pPr>
        <w:pStyle w:val="BodyText"/>
        <w:spacing w:before="2"/>
        <w:rPr>
          <w:sz w:val="18"/>
        </w:rPr>
      </w:pPr>
    </w:p>
    <w:p>
      <w:pPr>
        <w:spacing w:after="0"/>
        <w:rPr>
          <w:sz w:val="18"/>
        </w:rPr>
        <w:sectPr>
          <w:pgSz w:w="11910" w:h="16840"/>
          <w:pgMar w:header="0" w:footer="1338" w:top="1520" w:bottom="1520" w:left="900" w:right="0"/>
        </w:sectPr>
      </w:pPr>
    </w:p>
    <w:p>
      <w:pPr>
        <w:pStyle w:val="BodyText"/>
        <w:spacing w:before="10"/>
        <w:rPr>
          <w:sz w:val="26"/>
        </w:rPr>
      </w:pPr>
    </w:p>
    <w:p>
      <w:pPr>
        <w:tabs>
          <w:tab w:pos="1485" w:val="left" w:leader="none"/>
          <w:tab w:pos="2557" w:val="left" w:leader="none"/>
          <w:tab w:pos="3629" w:val="left" w:leader="none"/>
          <w:tab w:pos="4701" w:val="left" w:leader="none"/>
        </w:tabs>
        <w:spacing w:before="0"/>
        <w:ind w:left="413" w:right="0" w:firstLine="0"/>
        <w:jc w:val="left"/>
        <w:rPr>
          <w:sz w:val="18"/>
        </w:rPr>
      </w:pPr>
      <w:r>
        <w:rPr>
          <w:sz w:val="18"/>
        </w:rPr>
        <w:t>2010</w:t>
        <w:tab/>
        <w:t>2011</w:t>
        <w:tab/>
        <w:t>2012</w:t>
        <w:tab/>
        <w:t>2013</w:t>
        <w:tab/>
        <w:t>2014</w:t>
      </w:r>
    </w:p>
    <w:p>
      <w:pPr>
        <w:spacing w:before="94"/>
        <w:ind w:left="3430" w:right="2019" w:firstLine="0"/>
        <w:jc w:val="center"/>
        <w:rPr>
          <w:sz w:val="18"/>
        </w:rPr>
      </w:pPr>
      <w:r>
        <w:rPr/>
        <w:br w:type="column"/>
      </w:r>
      <w:r>
        <w:rPr>
          <w:sz w:val="18"/>
        </w:rPr>
        <w:t>-2</w:t>
      </w:r>
    </w:p>
    <w:p>
      <w:pPr>
        <w:tabs>
          <w:tab w:pos="1072" w:val="left" w:leader="none"/>
          <w:tab w:pos="2144" w:val="left" w:leader="none"/>
        </w:tabs>
        <w:spacing w:before="8"/>
        <w:ind w:left="0" w:right="2273" w:firstLine="0"/>
        <w:jc w:val="center"/>
        <w:rPr>
          <w:sz w:val="18"/>
        </w:rPr>
      </w:pPr>
      <w:r>
        <w:rPr>
          <w:sz w:val="18"/>
        </w:rPr>
        <w:t>2015</w:t>
        <w:tab/>
        <w:t>2016</w:t>
        <w:tab/>
        <w:t>2017</w:t>
      </w:r>
    </w:p>
    <w:p>
      <w:pPr>
        <w:spacing w:after="0"/>
        <w:jc w:val="center"/>
        <w:rPr>
          <w:sz w:val="18"/>
        </w:rPr>
        <w:sectPr>
          <w:type w:val="continuous"/>
          <w:pgSz w:w="11910" w:h="16840"/>
          <w:pgMar w:top="1180" w:bottom="1520" w:left="900" w:right="0"/>
          <w:cols w:num="2" w:equalWidth="0">
            <w:col w:w="5142" w:space="218"/>
            <w:col w:w="5650"/>
          </w:cols>
        </w:sectPr>
      </w:pPr>
    </w:p>
    <w:p>
      <w:pPr>
        <w:pStyle w:val="BodyText"/>
        <w:spacing w:before="7"/>
        <w:rPr>
          <w:sz w:val="23"/>
        </w:rPr>
      </w:pPr>
    </w:p>
    <w:p>
      <w:pPr>
        <w:spacing w:before="96"/>
        <w:ind w:left="233" w:right="0" w:firstLine="0"/>
        <w:jc w:val="left"/>
        <w:rPr>
          <w:sz w:val="16"/>
        </w:rPr>
      </w:pPr>
      <w:r>
        <w:rPr>
          <w:sz w:val="16"/>
        </w:rPr>
        <w:t>Source: Bank of England August 2014 </w:t>
      </w:r>
      <w:r>
        <w:rPr>
          <w:i/>
          <w:sz w:val="16"/>
        </w:rPr>
        <w:t>Inflation Report</w:t>
      </w:r>
      <w:r>
        <w:rPr>
          <w:sz w:val="16"/>
        </w:rPr>
        <w:t>.</w:t>
      </w:r>
    </w:p>
    <w:p>
      <w:pPr>
        <w:spacing w:after="0"/>
        <w:jc w:val="left"/>
        <w:rPr>
          <w:sz w:val="16"/>
        </w:rPr>
        <w:sectPr>
          <w:type w:val="continuous"/>
          <w:pgSz w:w="11910" w:h="16840"/>
          <w:pgMar w:top="1180" w:bottom="1520" w:left="900" w:right="0"/>
        </w:sectPr>
      </w:pPr>
    </w:p>
    <w:p>
      <w:pPr>
        <w:spacing w:before="76"/>
        <w:ind w:left="233" w:right="0" w:firstLine="0"/>
        <w:jc w:val="left"/>
        <w:rPr>
          <w:sz w:val="20"/>
        </w:rPr>
      </w:pPr>
      <w:r>
        <w:rPr/>
        <w:pict>
          <v:group style="position:absolute;margin-left:56.325001pt;margin-top:20.884871pt;width:457.4pt;height:268.150pt;mso-position-horizontal-relative:page;mso-position-vertical-relative:paragraph;z-index:251704320" coordorigin="1127,418" coordsize="9148,5363">
            <v:shape style="position:absolute;left:1353;top:647;width:7942;height:4215" coordorigin="1354,648" coordsize="7942,4215" path="m1354,4106l9233,4106m1354,3415l9233,3415m1354,2724l9233,2724m1354,2030l9233,2030m1354,1339l9233,1339m1354,648l9233,648m9233,4797l9233,648m9233,4797l9295,4797m9233,4106l9295,4106m9233,3415l9295,3415m9233,2724l9295,2724m9233,2030l9295,2030m9233,1339l9295,1339m9233,648l9295,648m1354,4797l9233,4797m1354,4797l1354,4862m1846,4797l1846,4862m2338,4797l2338,4862m2830,4797l2830,4862m3324,4797l3324,4862m3816,4797l3816,4862m4308,4797l4308,4862m4800,4797l4800,4862m5292,4797l5292,4862m5786,4797l5786,4862m6278,4797l6278,4862m6770,4797l6770,4862m7262,4797l7262,4862m7754,4797l7754,4862m8249,4797l8249,4862m8741,4797l8741,4862m9233,4797l9233,4862e" filled="false" stroked="true" strokeweight=".72pt" strokecolor="#858585">
              <v:path arrowok="t"/>
              <v:stroke dashstyle="solid"/>
            </v:shape>
            <v:shape style="position:absolute;left:1599;top:2168;width:7388;height:1328" coordorigin="1600,2168" coordsize="7388,1328" path="m1600,2168l2092,2660,2584,2970,3076,3181,3570,3320,4062,3423,4554,3495,5046,3490,5538,3474,6032,3404,6524,3370,7016,3322,7508,3222,8003,3162,8495,3063,8987,2979e" filled="false" stroked="true" strokeweight="3.96pt" strokecolor="#497dba">
              <v:path arrowok="t"/>
              <v:stroke dashstyle="solid"/>
            </v:shape>
            <v:shape style="position:absolute;left:1599;top:2024;width:7388;height:557" coordorigin="1600,2024" coordsize="7388,557" path="m1600,2168l2092,2439,2584,2569,3076,2581,3570,2533,4062,2490,4554,2432,5046,2329,5538,2266,6032,2240,6524,2194,7016,2144,7508,2108,8003,2067,8495,2034,8987,2024e" filled="false" stroked="true" strokeweight="3.96pt" strokecolor="#bd4a47">
              <v:path arrowok="t"/>
              <v:stroke dashstyle="solid"/>
            </v:shape>
            <v:shape style="position:absolute;left:1599;top:1296;width:7388;height:936" coordorigin="1600,1297" coordsize="7388,936" path="m1600,2168l2092,2216,2584,2233,3076,2192,3570,2017,4062,1825,4554,1678,5046,1599,5538,1558,6032,1527,6524,1477,7016,1453,7508,1395,8003,1340,8495,1321,8987,1297e" filled="false" stroked="true" strokeweight="3.96pt" strokecolor="#97b853">
              <v:path arrowok="t"/>
              <v:stroke dashstyle="solid"/>
            </v:shape>
            <v:shape style="position:absolute;left:1599;top:2096;width:7388;height:545" coordorigin="1600,2096" coordsize="7388,545" path="m1600,2168l2092,2439,2584,2590,3076,2641,3570,2622,4062,2569,4554,2511,5046,2458,5538,2415,6032,2370,6524,2322,7016,2266,7508,2214,8003,2163,8495,2125,8987,2096e" filled="false" stroked="true" strokeweight="3.96pt" strokecolor="#7c5f9f">
              <v:path arrowok="t"/>
              <v:stroke dashstyle="solid"/>
            </v:shape>
            <v:line style="position:absolute" from="7086,3860" to="7470,3860" stroked="true" strokeweight="3.96pt" strokecolor="#497dba">
              <v:stroke dashstyle="solid"/>
            </v:line>
            <v:line style="position:absolute" from="7086,4131" to="7470,4131" stroked="true" strokeweight="3.96pt" strokecolor="#bd4a47">
              <v:stroke dashstyle="solid"/>
            </v:line>
            <v:line style="position:absolute" from="7086,4405" to="7470,4405" stroked="true" strokeweight="3.96pt" strokecolor="#97b853">
              <v:stroke dashstyle="solid"/>
            </v:line>
            <v:line style="position:absolute" from="7086,4676" to="7470,4676" stroked="true" strokeweight="3.96pt" strokecolor="#7c5f9f">
              <v:stroke dashstyle="solid"/>
            </v:line>
            <v:rect style="position:absolute;left:1134;top:425;width:9133;height:5348" filled="false" stroked="true" strokeweight=".75pt" strokecolor="#858585">
              <v:stroke dashstyle="solid"/>
            </v:rect>
            <v:shape style="position:absolute;left:1549;top:4967;width:7560;height:553" type="#_x0000_t202" filled="false" stroked="false">
              <v:textbox inset="0,0,0,0">
                <w:txbxContent>
                  <w:p>
                    <w:pPr>
                      <w:tabs>
                        <w:tab w:pos="492" w:val="left" w:leader="none"/>
                        <w:tab w:pos="984" w:val="left" w:leader="none"/>
                        <w:tab w:pos="1477" w:val="left" w:leader="none"/>
                        <w:tab w:pos="1970" w:val="left" w:leader="none"/>
                        <w:tab w:pos="2462" w:val="left" w:leader="none"/>
                        <w:tab w:pos="2955" w:val="left" w:leader="none"/>
                        <w:tab w:pos="3448" w:val="left" w:leader="none"/>
                        <w:tab w:pos="3940" w:val="left" w:leader="none"/>
                        <w:tab w:pos="4382" w:val="left" w:leader="none"/>
                        <w:tab w:pos="4875" w:val="left" w:leader="none"/>
                        <w:tab w:pos="5367" w:val="left" w:leader="none"/>
                        <w:tab w:pos="5860" w:val="left" w:leader="none"/>
                        <w:tab w:pos="6353" w:val="left" w:leader="none"/>
                        <w:tab w:pos="6845" w:val="left" w:leader="none"/>
                        <w:tab w:pos="7338" w:val="left" w:leader="none"/>
                      </w:tabs>
                      <w:spacing w:line="203" w:lineRule="exact" w:before="0"/>
                      <w:ind w:left="0" w:right="18" w:firstLine="0"/>
                      <w:jc w:val="center"/>
                      <w:rPr>
                        <w:rFonts w:ascii="Calibri"/>
                        <w:sz w:val="20"/>
                      </w:rPr>
                    </w:pPr>
                    <w:r>
                      <w:rPr>
                        <w:rFonts w:ascii="Calibri"/>
                        <w:sz w:val="20"/>
                      </w:rPr>
                      <w:t>1</w:t>
                      <w:tab/>
                      <w:t>2</w:t>
                      <w:tab/>
                      <w:t>3</w:t>
                      <w:tab/>
                      <w:t>4</w:t>
                      <w:tab/>
                      <w:t>5</w:t>
                      <w:tab/>
                      <w:t>6</w:t>
                      <w:tab/>
                      <w:t>7</w:t>
                      <w:tab/>
                      <w:t>8</w:t>
                      <w:tab/>
                      <w:t>9</w:t>
                      <w:tab/>
                      <w:t>10</w:t>
                      <w:tab/>
                      <w:t>11</w:t>
                      <w:tab/>
                      <w:t>12</w:t>
                      <w:tab/>
                      <w:t>13</w:t>
                      <w:tab/>
                      <w:t>14</w:t>
                      <w:tab/>
                      <w:t>15</w:t>
                      <w:tab/>
                    </w:r>
                    <w:r>
                      <w:rPr>
                        <w:rFonts w:ascii="Calibri"/>
                        <w:spacing w:val="-10"/>
                        <w:sz w:val="20"/>
                      </w:rPr>
                      <w:t>16</w:t>
                    </w:r>
                  </w:p>
                  <w:p>
                    <w:pPr>
                      <w:spacing w:line="289" w:lineRule="exact" w:before="60"/>
                      <w:ind w:left="0" w:right="71" w:firstLine="0"/>
                      <w:jc w:val="center"/>
                      <w:rPr>
                        <w:rFonts w:ascii="Calibri"/>
                        <w:b/>
                        <w:sz w:val="24"/>
                      </w:rPr>
                    </w:pPr>
                    <w:r>
                      <w:rPr>
                        <w:rFonts w:ascii="Calibri"/>
                        <w:b/>
                        <w:sz w:val="24"/>
                      </w:rPr>
                      <w:t>Quarters</w:t>
                    </w:r>
                  </w:p>
                </w:txbxContent>
              </v:textbox>
              <w10:wrap type="none"/>
            </v:shape>
            <v:shape style="position:absolute;left:9421;top:4706;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0%</w:t>
                    </w:r>
                  </w:p>
                </w:txbxContent>
              </v:textbox>
              <w10:wrap type="none"/>
            </v:shape>
            <v:shape style="position:absolute;left:9421;top:4015;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1%</w:t>
                    </w:r>
                  </w:p>
                </w:txbxContent>
              </v:textbox>
              <w10:wrap type="none"/>
            </v:shape>
            <v:shape style="position:absolute;left:7514;top:3749;width:1507;height:1056" type="#_x0000_t202" filled="false" stroked="false">
              <v:textbox inset="0,0,0,0">
                <w:txbxContent>
                  <w:p>
                    <w:pPr>
                      <w:spacing w:line="234" w:lineRule="exact" w:before="0"/>
                      <w:ind w:left="0" w:right="0" w:firstLine="0"/>
                      <w:jc w:val="left"/>
                      <w:rPr>
                        <w:rFonts w:ascii="Calibri"/>
                        <w:sz w:val="24"/>
                      </w:rPr>
                    </w:pPr>
                    <w:r>
                      <w:rPr>
                        <w:rFonts w:ascii="Calibri"/>
                        <w:sz w:val="24"/>
                      </w:rPr>
                      <w:t>10th Percentile</w:t>
                    </w:r>
                  </w:p>
                  <w:p>
                    <w:pPr>
                      <w:spacing w:line="272" w:lineRule="exact" w:before="0"/>
                      <w:ind w:left="0" w:right="0" w:firstLine="0"/>
                      <w:jc w:val="left"/>
                      <w:rPr>
                        <w:rFonts w:ascii="Calibri"/>
                        <w:sz w:val="24"/>
                      </w:rPr>
                    </w:pPr>
                    <w:r>
                      <w:rPr>
                        <w:rFonts w:ascii="Calibri"/>
                        <w:sz w:val="24"/>
                      </w:rPr>
                      <w:t>Median</w:t>
                    </w:r>
                  </w:p>
                  <w:p>
                    <w:pPr>
                      <w:spacing w:line="223" w:lineRule="auto" w:before="5"/>
                      <w:ind w:left="0" w:right="-2" w:firstLine="0"/>
                      <w:jc w:val="left"/>
                      <w:rPr>
                        <w:rFonts w:ascii="Calibri"/>
                        <w:sz w:val="24"/>
                      </w:rPr>
                    </w:pPr>
                    <w:r>
                      <w:rPr>
                        <w:rFonts w:ascii="Calibri"/>
                        <w:sz w:val="24"/>
                      </w:rPr>
                      <w:t>90th Percentile Mean</w:t>
                    </w:r>
                  </w:p>
                </w:txbxContent>
              </v:textbox>
              <w10:wrap type="none"/>
            </v:shape>
            <v:shape style="position:absolute;left:9421;top:3323;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1%</w:t>
                    </w:r>
                  </w:p>
                </w:txbxContent>
              </v:textbox>
              <w10:wrap type="none"/>
            </v:shape>
            <v:shape style="position:absolute;left:9421;top:2630;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9421;top:1938;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9421;top:1246;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3%</w:t>
                    </w:r>
                  </w:p>
                </w:txbxContent>
              </v:textbox>
              <w10:wrap type="none"/>
            </v:shape>
            <v:shape style="position:absolute;left:9421;top:554;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3%</w:t>
                    </w:r>
                  </w:p>
                </w:txbxContent>
              </v:textbox>
              <w10:wrap type="none"/>
            </v:shape>
            <w10:wrap type="none"/>
          </v:group>
        </w:pict>
      </w:r>
      <w:r>
        <w:rPr/>
        <w:pict>
          <v:shape style="position:absolute;margin-left:487.709991pt;margin-top:114.068481pt;width:14pt;height:44.3pt;mso-position-horizontal-relative:page;mso-position-vertical-relative:paragraph;z-index:251707392" type="#_x0000_t202" filled="false" stroked="false">
            <v:textbox inset="0,0,0,0" style="layout-flow:vertical;mso-layout-flow-alt:bottom-to-top">
              <w:txbxContent>
                <w:p>
                  <w:pPr>
                    <w:spacing w:line="264" w:lineRule="exact" w:before="0"/>
                    <w:ind w:left="20" w:right="0" w:firstLine="0"/>
                    <w:jc w:val="left"/>
                    <w:rPr>
                      <w:rFonts w:ascii="Calibri"/>
                      <w:b/>
                      <w:sz w:val="24"/>
                    </w:rPr>
                  </w:pPr>
                  <w:r>
                    <w:rPr>
                      <w:rFonts w:ascii="Calibri"/>
                      <w:b/>
                      <w:sz w:val="24"/>
                    </w:rPr>
                    <w:t>Inflation</w:t>
                  </w:r>
                </w:p>
              </w:txbxContent>
            </v:textbox>
            <w10:wrap type="none"/>
          </v:shape>
        </w:pict>
      </w:r>
      <w:r>
        <w:rPr>
          <w:b/>
          <w:sz w:val="20"/>
        </w:rPr>
        <w:t>Figure 3a</w:t>
      </w:r>
      <w:r>
        <w:rPr>
          <w:sz w:val="20"/>
        </w:rPr>
        <w:t>: Inflation, simulation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BodyText"/>
        <w:spacing w:line="362" w:lineRule="auto"/>
        <w:ind w:left="233" w:right="1248"/>
      </w:pPr>
      <w:r>
        <w:rPr>
          <w:b/>
        </w:rPr>
        <w:t>Figure 3b</w:t>
      </w:r>
      <w:r>
        <w:rPr/>
        <w:t>: CPI inflation projection based on market interest rate expectations and £375 billion purchased assets</w:t>
      </w:r>
    </w:p>
    <w:p>
      <w:pPr>
        <w:spacing w:before="120"/>
        <w:ind w:left="5487" w:right="0" w:firstLine="0"/>
        <w:jc w:val="left"/>
        <w:rPr>
          <w:sz w:val="18"/>
        </w:rPr>
      </w:pPr>
      <w:r>
        <w:rPr>
          <w:sz w:val="18"/>
        </w:rPr>
        <w:t>Percentage increase in prices on a year earlier</w:t>
      </w:r>
    </w:p>
    <w:p>
      <w:pPr>
        <w:spacing w:before="72"/>
        <w:ind w:left="8723" w:right="0" w:firstLine="0"/>
        <w:jc w:val="left"/>
        <w:rPr>
          <w:sz w:val="18"/>
        </w:rPr>
      </w:pPr>
      <w:r>
        <w:rPr/>
        <w:pict>
          <v:group style="position:absolute;margin-left:74.926003pt;margin-top:8.801906pt;width:398.85pt;height:223.95pt;mso-position-horizontal-relative:page;mso-position-vertical-relative:paragraph;z-index:251706368" coordorigin="1499,176" coordsize="7977,4479">
            <v:shape style="position:absolute;left:6017;top:2571;width:3448;height:1331" coordorigin="6017,2572" coordsize="3448,1331" path="m6017,2572l6282,3081,6548,3274,6813,3488,7078,3661,7343,3824,7608,3835,7874,3838,8139,3853,8404,3903,8669,3885,9200,3858,9465,3833,9465,3603,8404,3603,8139,3564,7939,3558,7608,3558,7343,3552,7078,3403,6813,3263,6548,3096,6282,2957,6017,2572xm9465,3525l9200,3551,8669,3583,8404,3603,9465,3603,9465,3525xm7874,3555l7608,3558,7939,3558,7874,3555xe" filled="true" fillcolor="#f9b8a4" stroked="false">
              <v:path arrowok="t"/>
              <v:fill type="solid"/>
            </v:shape>
            <v:shape style="position:absolute;left:1508;top:905;width:7957;height:2998" coordorigin="1508,905" coordsize="7957,2998" path="m1508,1704l1773,1603,2039,1810,2304,1647,2569,1233,2834,1088,3100,905,3365,938,3630,1584,3895,1994,4160,2185,4426,2042,4691,1982,4956,2036,5221,2020,5487,2358,5752,2561,6017,2572,6282,2957,6548,3096,6813,3263,7078,3403,7343,3552,7608,3558,7874,3555,8139,3564,8404,3603,8669,3583,8935,3568,9200,3551,9465,3525,9465,3833,9200,3858,8935,3872,8669,3885,8404,3903,8139,3853,7874,3838,7608,3835,7343,3824,7078,3661,6813,3488,6548,3274,6282,3081,6017,2572,5752,2561,5487,2358,5221,2020,4956,2036,4691,1982,4426,2042,4160,2185,3895,1994,3630,1584,3365,938,3100,905,2834,1088,2569,1233,2304,1647,2039,1810,1773,1603,1508,1704e" filled="false" stroked="true" strokeweight=".96pt" strokecolor="#f9b8a4">
              <v:path arrowok="t"/>
              <v:stroke dashstyle="solid"/>
            </v:shape>
            <v:shape style="position:absolute;left:6017;top:2571;width:3448;height:1032" coordorigin="6017,2572" coordsize="3448,1032" path="m9130,3555l7874,3555,8139,3564,8404,3603,8669,3583,9130,3555xm6017,2572l6282,2957,6548,3096,6813,3263,7078,3403,7343,3552,7608,3558,9130,3555,9200,3551,9465,3525,9465,3401,8404,3401,8146,3371,7608,3371,7343,3369,7078,3230,6813,3112,6548,2976,6282,2874,6017,2572xm9465,3318l9200,3343,8935,3363,8669,3380,8404,3401,9465,3401,9465,3318xm7874,3365l7608,3371,8146,3371,8139,3370,7874,3365xe" filled="true" fillcolor="#f9b8a4" stroked="false">
              <v:path arrowok="t"/>
              <v:fill type="solid"/>
            </v:shape>
            <v:shape style="position:absolute;left:1508;top:905;width:7957;height:2698" coordorigin="1508,905" coordsize="7957,2698" path="m1508,1704l1773,1603,2039,1810,2304,1647,2569,1233,2834,1088,3100,905,3365,938,3630,1584,3895,1994,4160,2185,4426,2042,4691,1982,4956,2036,5221,2020,5487,2358,5752,2561,6017,2572,6282,2874,6548,2976,6813,3112,7078,3230,7343,3369,7608,3371,7874,3365,8139,3370,8404,3401,8669,3380,8935,3363,9200,3343,9465,3318,9465,3525,9200,3551,8935,3568,8669,3583,8404,3603,8139,3564,7874,3555,7608,3558,7343,3552,7078,3403,6813,3263,6548,3096,6282,2957,6017,2572,5752,2561,5487,2358,5221,2020,4956,2036,4691,1982,4426,2042,4160,2185,3895,1994,3630,1584,3365,938,3100,905,2834,1088,2569,1233,2304,1647,2039,1810,1773,1603,1508,1704e" filled="false" stroked="true" strokeweight=".96pt" strokecolor="#f9b8a4">
              <v:path arrowok="t"/>
              <v:stroke dashstyle="solid"/>
            </v:shape>
            <v:shape style="position:absolute;left:6017;top:2571;width:3448;height:829" coordorigin="6017,2572" coordsize="3448,829" path="m8912,3365l7874,3365,8139,3370,8404,3401,8669,3380,8912,3365xm6017,2572l6282,2874,6548,2976,6813,3112,7078,3230,7343,3369,7608,3371,7874,3365,8912,3365,8935,3363,9200,3343,9465,3318,9465,3240,8404,3240,8230,3224,7343,3224,7078,3091,6813,2992,6548,2880,6282,2808,6017,2572xm9465,3153l9200,3179,8935,3200,8669,3218,8404,3240,9465,3240,9465,3153xm7874,3213l7608,3222,7343,3224,8230,3224,8139,3215,7874,3213xe" filled="true" fillcolor="#f9b8a4" stroked="false">
              <v:path arrowok="t"/>
              <v:fill type="solid"/>
            </v:shape>
            <v:shape style="position:absolute;left:1508;top:905;width:7957;height:2496" coordorigin="1508,905" coordsize="7957,2496" path="m1508,1704l1773,1603,2039,1810,2304,1647,2569,1233,2834,1088,3100,905,3365,938,3630,1584,3895,1994,4160,2185,4426,2042,4691,1982,4956,2036,5221,2020,5487,2358,5752,2561,6017,2572,6282,2808,6548,2880,6813,2992,7078,3091,7343,3224,7608,3222,7874,3213,8139,3215,8404,3240,8669,3218,8935,3200,9200,3179,9465,3153,9465,3318,9200,3343,8935,3363,8669,3380,8404,3401,8139,3370,7874,3365,7608,3371,7343,3369,7078,3230,6813,3112,6548,2976,6282,2874,6017,2572,5752,2561,5487,2358,5221,2020,4956,2036,4691,1982,4426,2042,4160,2185,3895,1994,3630,1584,3365,938,3100,905,2834,1088,2569,1233,2304,1647,2039,1810,1773,1603,1508,1704e" filled="false" stroked="true" strokeweight=".96pt" strokecolor="#f9b8a4">
              <v:path arrowok="t"/>
              <v:stroke dashstyle="solid"/>
            </v:shape>
            <v:shape style="position:absolute;left:6017;top:2571;width:3448;height:669" coordorigin="6017,2572" coordsize="3448,669" path="m8745,3213l7874,3213,8139,3215,8404,3240,8669,3218,8745,3213xm6017,2572l6282,2808,6548,2880,6813,2992,7078,3091,7343,3224,7608,3222,7874,3213,8745,3213,8935,3200,9200,3179,9465,3153,9465,3102,8404,3102,8361,3099,7343,3099,7078,2973,6813,2888,6548,2798,6282,2751,6017,2572xm9465,3011l9200,3037,8935,3060,8669,3079,8404,3102,9465,3102,9465,3011xm8139,3082l7874,3083,7608,3095,7343,3099,8361,3099,8139,3082xe" filled="true" fillcolor="#f58670" stroked="false">
              <v:path arrowok="t"/>
              <v:fill type="solid"/>
            </v:shape>
            <v:shape style="position:absolute;left:1508;top:905;width:7957;height:2335" coordorigin="1508,905" coordsize="7957,2335" path="m1508,1704l1773,1603,2039,1810,2304,1647,2569,1233,2834,1088,3100,905,3365,938,3630,1584,3895,1994,4160,2185,4426,2042,4691,1982,4956,2036,5221,2020,5487,2358,5752,2561,6017,2572,6282,2751,6548,2798,6813,2888,7078,2973,7343,3099,7608,3095,7874,3083,8139,3082,8404,3102,8669,3079,8935,3060,9200,3037,9465,3011,9465,3153,9200,3179,8935,3200,8669,3218,8404,3240,8139,3215,7874,3213,7608,3222,7343,3224,7078,3091,6813,2992,6548,2880,6282,2808,6017,2572,5752,2561,5487,2358,5221,2020,4956,2036,4691,1982,4426,2042,4160,2185,3895,1994,3630,1584,3365,938,3100,905,2834,1088,2569,1233,2304,1647,2039,1810,1773,1603,1508,1704e" filled="false" stroked="true" strokeweight=".96pt" strokecolor="#f58670">
              <v:path arrowok="t"/>
              <v:stroke dashstyle="solid"/>
            </v:shape>
            <v:shape style="position:absolute;left:6017;top:2571;width:3448;height:531" coordorigin="6017,2572" coordsize="3448,531" path="m8634,3082l8139,3082,8404,3102,8634,3082xm6017,2572l6282,2751,6548,2798,6813,2888,7078,2973,7343,3099,7608,3095,7874,3083,8634,3082,8669,3079,8935,3060,9200,3037,9465,3011,9465,2987,7343,2987,7078,2866,6548,2725,6282,2700,6017,2572xm8139,2963l7874,2966,7608,2980,7343,2987,9465,2987,9465,2978,8404,2978,8139,2963xm9465,2884l8935,2935,8669,2955,8404,2978,9465,2978,9465,2884xe" filled="true" fillcolor="#f58670" stroked="false">
              <v:path arrowok="t"/>
              <v:fill type="solid"/>
            </v:shape>
            <v:shape style="position:absolute;left:1508;top:905;width:7957;height:2197" coordorigin="1508,905" coordsize="7957,2197" path="m1508,1704l1773,1603,2039,1810,2304,1647,2569,1233,2834,1088,3100,905,3365,938,3630,1584,3895,1994,4160,2185,4426,2042,4691,1982,4956,2036,5221,2020,5487,2358,5752,2561,6017,2572,6282,2700,6548,2725,6813,2796,7078,2866,7343,2987,7608,2980,7874,2966,8139,2963,8404,2978,8669,2955,8935,2935,9200,2910,9465,2884,9465,3011,9200,3037,8935,3060,8669,3079,8404,3102,8139,3082,7874,3083,7608,3095,7343,3099,7078,2973,6813,2888,6548,2798,6282,2751,6017,2572,5752,2561,5487,2358,5221,2020,4956,2036,4691,1982,4426,2042,4160,2185,3895,1994,3630,1584,3365,938,3100,905,2834,1088,2569,1233,2304,1647,2039,1810,1773,1603,1508,1704e" filled="false" stroked="true" strokeweight=".96pt" strokecolor="#f58670">
              <v:path arrowok="t"/>
              <v:stroke dashstyle="solid"/>
            </v:shape>
            <v:shape style="position:absolute;left:6017;top:2571;width:3448;height:416" coordorigin="6017,2572" coordsize="3448,416" path="m6017,2572l6282,2700,6548,2725,7078,2866,7343,2987,7608,2980,7874,2966,8139,2963,8574,2963,8669,2955,8935,2935,9465,2884,9465,2883,7343,2883,7078,2767,6813,2710,6548,2656,6282,2652,6017,2572xm8574,2963l8139,2963,8404,2978,8574,2963xm8139,2853l7874,2858,7608,2874,7343,2883,9465,2883,9465,2863,8404,2863,8139,2853xm9465,2766l8935,2818,8669,2839,8404,2863,9465,2863,9465,2766xe" filled="true" fillcolor="#f58670" stroked="false">
              <v:path arrowok="t"/>
              <v:fill type="solid"/>
            </v:shape>
            <v:shape style="position:absolute;left:1508;top:905;width:7957;height:2082" coordorigin="1508,905" coordsize="7957,2082" path="m1508,1704l1773,1603,2039,1810,2304,1647,2569,1233,2834,1088,3100,905,3365,938,3630,1584,3895,1994,4160,2185,4426,2042,4691,1982,4956,2036,5221,2020,5487,2358,5752,2561,6017,2572,6282,2652,6548,2656,6813,2710,7078,2767,7343,2883,7608,2874,7874,2858,8139,2853,8404,2863,8669,2839,8935,2818,9200,2793,9465,2766,9465,2884,9200,2910,8935,2935,8669,2955,8404,2978,8139,2963,7874,2966,7608,2980,7343,2987,7078,2866,6813,2796,6548,2725,6282,2700,6017,2572,5752,2561,5487,2358,5221,2020,4956,2036,4691,1982,4426,2042,4160,2185,3895,1994,3630,1584,3365,938,3100,905,2834,1088,2569,1233,2304,1647,2039,1810,1773,1603,1508,1704e" filled="false" stroked="true" strokeweight=".96pt" strokecolor="#f58670">
              <v:path arrowok="t"/>
              <v:stroke dashstyle="solid"/>
            </v:shape>
            <v:shape style="position:absolute;left:6017;top:2571;width:3448;height:312" coordorigin="6017,2572" coordsize="3448,312" path="m6017,2572l6282,2652,6548,2656,6813,2710,7078,2767,7343,2883,7608,2874,7874,2858,8139,2853,8520,2853,8669,2839,8935,2818,9284,2784,7343,2784,7078,2674,6813,2628,6664,2608,6282,2608,6017,2572xm8520,2853l8139,2853,8404,2863,8520,2853xm8139,2748l7874,2755,7608,2773,7343,2784,9284,2784,9465,2766,9465,2755,8404,2755,8139,2748xm9465,2654l8935,2708,8404,2755,9465,2755,9465,2654xm6548,2592l6282,2608,6664,2608,6548,2592xe" filled="true" fillcolor="#f05748" stroked="false">
              <v:path arrowok="t"/>
              <v:fill type="solid"/>
            </v:shape>
            <v:shape style="position:absolute;left:1508;top:905;width:7957;height:1978" coordorigin="1508,905" coordsize="7957,1978" path="m1508,1704l1773,1603,2039,1810,2304,1647,2569,1233,2834,1088,3100,905,3365,938,3630,1584,3895,1994,4160,2185,4426,2042,4691,1982,4956,2036,5221,2020,5487,2358,5752,2561,6017,2572,6282,2608,6548,2592,6813,2628,7078,2674,7343,2784,7608,2773,7874,2755,8139,2748,8404,2755,8669,2730,8935,2708,9200,2681,9465,2654,9465,2766,9200,2793,8935,2818,8669,2839,8404,2863,8139,2853,7874,2858,7608,2874,7343,2883,7078,2767,6813,2710,6548,2656,6282,2652,6017,2572,5752,2561,5487,2358,5221,2020,4956,2036,4691,1982,4426,2042,4160,2185,3895,1994,3630,1584,3365,938,3100,905,2834,1088,2569,1233,2304,1647,2039,1810,1773,1603,1508,1704e" filled="false" stroked="true" strokeweight=".96pt" strokecolor="#f05748">
              <v:path arrowok="t"/>
              <v:stroke dashstyle="solid"/>
            </v:shape>
            <v:shape style="position:absolute;left:6017;top:2528;width:3448;height:256" coordorigin="6017,2529" coordsize="3448,256" path="m7099,2592l6548,2592,6813,2628,7078,2674,7343,2784,7608,2773,7874,2755,8139,2748,8475,2748,8935,2708,9121,2689,7343,2689,7099,2592xm8475,2748l8139,2748,8404,2755,8475,2748xm8139,2647l7874,2656,7608,2676,7343,2689,9121,2689,9465,2654,9465,2649,8404,2649,8139,2647xm9465,2546l8935,2601,8404,2649,9465,2649,9465,2546xm6548,2529l6282,2564,6017,2572,6282,2608,6548,2592,7099,2592,7078,2583,6813,2549,6548,2529xe" filled="true" fillcolor="#f05748" stroked="false">
              <v:path arrowok="t"/>
              <v:fill type="solid"/>
            </v:shape>
            <v:shape style="position:absolute;left:1508;top:905;width:7957;height:1879" coordorigin="1508,905" coordsize="7957,1879" path="m1508,1704l1773,1603,2039,1810,2304,1647,2569,1233,2834,1088,3100,905,3365,938,3630,1584,3895,1994,4160,2185,4426,2042,4691,1982,4956,2036,5221,2020,5487,2358,5752,2561,6017,2572,6282,2564,6548,2529,6813,2549,7078,2583,7343,2689,7608,2676,7874,2656,8139,2647,8404,2649,8669,2624,8935,2601,9200,2573,9465,2546,9465,2654,9200,2681,8935,2708,8669,2730,8404,2755,8139,2748,7874,2755,7608,2773,7343,2784,7078,2674,6813,2628,6548,2592,6282,2608,6017,2572,5752,2561,5487,2358,5221,2020,4956,2036,4691,1982,4426,2042,4160,2185,3895,1994,3630,1584,3365,938,3100,905,2834,1088,2569,1233,2304,1647,2039,1810,1773,1603,1508,1704e" filled="false" stroked="true" strokeweight=".96pt" strokecolor="#f05748">
              <v:path arrowok="t"/>
              <v:stroke dashstyle="solid"/>
            </v:shape>
            <v:shape style="position:absolute;left:6017;top:2333;width:3448;height:356" coordorigin="6017,2333" coordsize="3448,356" path="m9465,2529l6548,2529,6813,2549,7078,2583,7343,2689,7608,2676,7874,2656,8139,2647,8429,2647,8935,2601,9465,2546,9465,2529xm8429,2647l8139,2647,8404,2649,8429,2647xm6813,2394l6548,2406,6282,2479,6017,2572,6282,2564,6548,2529,9465,2529,9465,2501,7343,2501,7078,2405,6813,2394xm9465,2333l9200,2360,8935,2390,8404,2442,8139,2447,7874,2460,7608,2484,7343,2501,9465,2501,9465,2333xe" filled="true" fillcolor="#f05748" stroked="false">
              <v:path arrowok="t"/>
              <v:fill type="solid"/>
            </v:shape>
            <v:shape style="position:absolute;left:1508;top:905;width:7957;height:1784" coordorigin="1508,905" coordsize="7957,1784" path="m1508,1704l1773,1603,2039,1810,2304,1647,2569,1233,2834,1088,3100,905,3365,938,3630,1584,3895,1994,4160,2185,4426,2042,4691,1982,4956,2036,5221,2020,5487,2358,5752,2561,6017,2572,6282,2479,6548,2406,6813,2394,7078,2405,7343,2501,7608,2484,7874,2460,8139,2447,8404,2442,8669,2415,8935,2390,9200,2360,9465,2333,9465,2546,9200,2573,8935,2601,8669,2624,8404,2649,8139,2647,7874,2656,7608,2676,7343,2689,7078,2583,6813,2549,6548,2529,6282,2564,6017,2572,5752,2561,5487,2358,5221,2020,4956,2036,4691,1982,4426,2042,4160,2185,3895,1994,3630,1584,3365,938,3100,905,2834,1088,2569,1233,2304,1647,2039,1810,1773,1603,1508,1704e" filled="false" stroked="true" strokeweight=".96pt" strokecolor="#f05748">
              <v:path arrowok="t"/>
              <v:stroke dashstyle="solid"/>
            </v:shape>
            <v:shape style="position:absolute;left:6017;top:2225;width:3448;height:347" coordorigin="6017,2225" coordsize="3448,347" path="m7078,2314l6813,2315,6548,2343,6282,2435,6017,2572,6282,2479,6548,2406,6813,2394,7310,2394,7078,2314xm7310,2394l6813,2394,7078,2405,7343,2501,7608,2484,7874,2460,8139,2447,8404,2442,8769,2406,7343,2406,7310,2394xm9465,2225l9200,2252,8935,2284,8404,2336,8139,2346,7874,2361,7608,2387,7343,2406,8769,2406,8935,2390,9200,2360,9465,2333,9465,2225xe" filled="true" fillcolor="#f05748" stroked="false">
              <v:path arrowok="t"/>
              <v:fill type="solid"/>
            </v:shape>
            <v:shape style="position:absolute;left:1508;top:905;width:7957;height:1667" coordorigin="1508,905" coordsize="7957,1667" path="m1508,1704l1773,1603,2039,1810,2304,1647,2569,1233,2834,1088,3100,905,3365,938,3630,1584,3895,1994,4160,2185,4426,2042,4691,1982,4956,2036,5221,2020,5487,2358,5752,2561,6017,2572,6282,2435,6548,2343,6813,2315,7078,2314,7343,2406,7608,2387,7874,2361,8139,2346,8404,2336,8669,2309,8935,2284,9200,2252,9465,2225,9465,2333,9200,2360,8935,2390,8669,2415,8404,2442,8139,2447,7874,2460,7608,2484,7343,2501,7078,2405,6813,2394,6548,2406,6282,2479,6017,2572,5752,2561,5487,2358,5221,2020,4956,2036,4691,1982,4426,2042,4160,2185,3895,1994,3630,1584,3365,938,3100,905,2834,1088,2569,1233,2304,1647,2039,1810,1773,1603,1508,1704e" filled="false" stroked="true" strokeweight=".96pt" strokecolor="#f05748">
              <v:path arrowok="t"/>
              <v:stroke dashstyle="solid"/>
            </v:shape>
            <v:shape style="position:absolute;left:6017;top:2113;width:3448;height:459" coordorigin="6017,2113" coordsize="3448,459" path="m7078,2221l6813,2234,6548,2278,6282,2390,6017,2572,6282,2435,6548,2343,6813,2315,8619,2314,8688,2307,7343,2307,7078,2221xm8619,2314l7078,2314,7343,2406,7608,2387,7874,2361,8139,2346,8404,2336,8619,2314xm9465,2113l9200,2141,8935,2173,8404,2228,8139,2241,7874,2258,7608,2286,7343,2307,8688,2307,8935,2284,9200,2252,9465,2225,9465,2113xe" filled="true" fillcolor="#f05748" stroked="false">
              <v:path arrowok="t"/>
              <v:fill type="solid"/>
            </v:shape>
            <v:shape style="position:absolute;left:1508;top:905;width:7957;height:1667" coordorigin="1508,905" coordsize="7957,1667" path="m1508,1704l1773,1603,2039,1810,2304,1647,2569,1233,2834,1088,3100,905,3365,938,3630,1584,3895,1994,4160,2185,4426,2042,4691,1982,4956,2036,5221,2020,5487,2358,5752,2561,6017,2572,6282,2390,6548,2278,6813,2234,7078,2221,7343,2307,7608,2286,7874,2258,8139,2241,8404,2228,8669,2199,8935,2173,9200,2141,9465,2113,9465,2225,9200,2252,8935,2284,8669,2309,8404,2336,8139,2346,7874,2361,7608,2387,7343,2406,7078,2314,6813,2315,6548,2343,6282,2435,6017,2572,5752,2561,5487,2358,5221,2020,4956,2036,4691,1982,4426,2042,4160,2185,3895,1994,3630,1584,3365,938,3100,905,2834,1088,2569,1233,2304,1647,2039,1810,1773,1603,1508,1704e" filled="false" stroked="true" strokeweight=".96pt" strokecolor="#f05748">
              <v:path arrowok="t"/>
              <v:stroke dashstyle="solid"/>
            </v:shape>
            <v:shape style="position:absolute;left:6017;top:1995;width:3448;height:577" coordorigin="6017,1995" coordsize="3448,577" path="m7078,2122l6813,2148,6548,2210,6282,2343,6017,2572,6282,2390,6548,2278,6813,2234,7078,2221,8470,2221,8634,2203,7343,2203,7078,2122xm8470,2221l7078,2221,7343,2307,7608,2286,7874,2258,8139,2241,8404,2228,8470,2221xm9465,1995l9200,2023,8935,2057,8404,2113,7874,2150,7608,2180,7343,2203,8634,2203,8935,2173,9200,2141,9465,2113,9465,1995xe" filled="true" fillcolor="#f58670" stroked="false">
              <v:path arrowok="t"/>
              <v:fill type="solid"/>
            </v:shape>
            <v:shape style="position:absolute;left:1508;top:905;width:7957;height:1667" coordorigin="1508,905" coordsize="7957,1667" path="m1508,1704l1773,1603,2039,1810,2304,1647,2569,1233,2834,1088,3100,905,3365,938,3630,1584,3895,1994,4160,2185,4426,2042,4691,1982,4956,2036,5221,2020,5487,2358,5752,2561,6017,2572,6282,2343,6548,2210,6813,2148,7078,2122,7343,2203,7608,2180,7874,2150,8139,2131,8404,2113,8669,2084,8935,2057,9200,2023,9465,1995,9465,2113,9200,2141,8935,2173,8669,2199,8404,2228,8139,2241,7874,2258,7608,2286,7343,2307,7078,2221,6813,2234,6548,2278,6282,2390,6017,2572,5752,2561,5487,2358,5221,2020,4956,2036,4691,1982,4426,2042,4160,2185,3895,1994,3630,1584,3365,938,3100,905,2834,1088,2569,1233,2304,1647,2039,1810,1773,1603,1508,1704e" filled="false" stroked="true" strokeweight=".96pt" strokecolor="#f58670">
              <v:path arrowok="t"/>
              <v:stroke dashstyle="solid"/>
            </v:shape>
            <v:shape style="position:absolute;left:6017;top:1868;width:3448;height:704" coordorigin="6017,1868" coordsize="3448,704" path="m7078,2015l6813,2055,6548,2136,6282,2292,6017,2572,6282,2343,6548,2210,6813,2148,7078,2122,8270,2122,8404,2113,8603,2091,7343,2091,7078,2015xm8270,2122l7078,2122,7343,2203,7608,2180,7874,2150,8270,2122xm9465,1868l9200,1896,8935,1931,8404,1989,7874,2033,7608,2066,7343,2091,8603,2091,8935,2057,9200,2023,9465,1995,9465,1868xe" filled="true" fillcolor="#f58670" stroked="false">
              <v:path arrowok="t"/>
              <v:fill type="solid"/>
            </v:shape>
            <v:shape style="position:absolute;left:1508;top:905;width:7957;height:1667" coordorigin="1508,905" coordsize="7957,1667" path="m1508,1704l1773,1603,2039,1810,2304,1647,2569,1233,2834,1088,3100,905,3365,938,3630,1584,3895,1994,4160,2185,4426,2042,4691,1982,4956,2036,5221,2020,5487,2358,5752,2561,6017,2572,6282,2292,6548,2136,6813,2055,7078,2015,7343,2091,7608,2066,7874,2033,8139,2012,8404,1989,8669,1959,8935,1931,9200,1896,9465,1868,9465,1995,9200,2023,8935,2057,8669,2084,8404,2113,8139,2131,7874,2150,7608,2180,7343,2203,7078,2122,6813,2148,6548,2210,6282,2343,6017,2572,5752,2561,5487,2358,5221,2020,4956,2036,4691,1982,4426,2042,4160,2185,3895,1994,3630,1584,3365,938,3100,905,2834,1088,2569,1233,2304,1647,2039,1810,1773,1603,1508,1704e" filled="false" stroked="true" strokeweight=".96pt" strokecolor="#f58670">
              <v:path arrowok="t"/>
              <v:stroke dashstyle="solid"/>
            </v:shape>
            <v:shape style="position:absolute;left:6017;top:1726;width:3448;height:845" coordorigin="6017,1727" coordsize="3448,845" path="m7078,1897l6813,1952,6548,2054,6282,2235,6017,2572,6282,2292,6548,2136,6813,2055,7078,2015,8092,2015,8404,1989,8607,1966,7343,1966,7078,1897xm8092,2015l7078,2015,7343,2091,7608,2066,7874,2033,8092,2015xm9465,1727l9200,1754,8935,1791,8139,1879,7874,1903,7608,1938,7343,1966,8607,1966,8935,1931,9200,1896,9465,1868,9465,1727xe" filled="true" fillcolor="#f58670" stroked="false">
              <v:path arrowok="t"/>
              <v:fill type="solid"/>
            </v:shape>
            <v:shape style="position:absolute;left:1508;top:905;width:7957;height:1667" coordorigin="1508,905" coordsize="7957,1667" path="m1508,1704l1773,1603,2039,1810,2304,1647,2569,1233,2834,1088,3100,905,3365,938,3630,1584,3895,1994,4160,2185,4426,2042,4691,1982,4956,2036,5221,2020,5487,2358,5752,2561,6017,2572,6282,2235,6548,2054,6813,1952,7078,1897,7343,1966,7608,1938,7874,1903,8139,1879,8404,1851,8669,1821,8935,1791,9200,1754,9465,1727,9465,1868,9200,1896,8935,1931,8669,1959,8404,1989,8139,2012,7874,2033,7608,2066,7343,2091,7078,2015,6813,2055,6548,2136,6282,2292,6017,2572,5752,2561,5487,2358,5221,2020,4956,2036,4691,1982,4426,2042,4160,2185,3895,1994,3630,1584,3365,938,3100,905,2834,1088,2569,1233,2304,1647,2039,1810,1773,1603,1508,1704e" filled="false" stroked="true" strokeweight=".96pt" strokecolor="#f58670">
              <v:path arrowok="t"/>
              <v:stroke dashstyle="solid"/>
            </v:shape>
            <v:shape style="position:absolute;left:6017;top:1561;width:3448;height:1010" coordorigin="6017,1562" coordsize="3448,1010" path="m7078,1759l6813,1832,6548,1959,6282,2169,6017,2572,6282,2235,6548,2054,6813,1952,7078,1897,7942,1897,8139,1879,8668,1821,7343,1821,7078,1759xm7942,1897l7078,1897,7343,1966,7608,1938,7874,1903,7942,1897xm9465,1562l9200,1590,8935,1628,8139,1724,7874,1751,7608,1790,7343,1821,8668,1821,8935,1791,9200,1754,9465,1727,9465,1562xe" filled="true" fillcolor="#f9b8a4" stroked="false">
              <v:path arrowok="t"/>
              <v:fill type="solid"/>
            </v:shape>
            <v:shape style="position:absolute;left:1508;top:905;width:7957;height:1667" coordorigin="1508,905" coordsize="7957,1667" path="m1508,1704l1773,1603,2039,1810,2304,1647,2569,1233,2834,1088,3100,905,3365,938,3630,1584,3895,1994,4160,2185,4426,2042,4691,1982,4956,2036,5221,2020,5487,2358,5752,2561,6017,2572,6282,2169,6548,1959,6813,1832,7078,1759,7343,1821,7608,1790,7874,1751,8139,1724,8404,1690,8669,1659,8935,1628,9200,1590,9465,1562,9465,1727,9200,1754,8935,1791,8669,1821,8404,1851,8139,1879,7874,1903,7608,1938,7343,1966,7078,1897,6813,1952,6548,2054,6282,2235,6017,2572,5752,2561,5487,2358,5221,2020,4956,2036,4691,1982,4426,2042,4160,2185,3895,1994,3630,1584,3365,938,3100,905,2834,1088,2569,1233,2304,1647,2039,1810,1773,1603,1508,1704e" filled="false" stroked="true" strokeweight=".96pt" strokecolor="#f9b8a4">
              <v:path arrowok="t"/>
              <v:stroke dashstyle="solid"/>
            </v:shape>
            <v:shape style="position:absolute;left:6017;top:1354;width:3448;height:1218" coordorigin="6017,1354" coordsize="3448,1218" path="m7078,1585l6813,1680,6548,1838,6282,2085,6017,2572,6282,2169,6548,1959,6813,1832,7078,1759,7824,1759,7874,1751,8139,1724,8852,1638,7343,1638,7078,1585xm7824,1759l7078,1759,7343,1821,7608,1790,7824,1759xm9465,1354l9200,1382,8935,1423,8404,1488,8139,1530,7874,1561,7608,1603,7343,1638,8852,1638,8935,1628,9200,1590,9465,1562,9465,1354xe" filled="true" fillcolor="#f9b8a4" stroked="false">
              <v:path arrowok="t"/>
              <v:fill type="solid"/>
            </v:shape>
            <v:shape style="position:absolute;left:1508;top:905;width:7957;height:1667" coordorigin="1508,905" coordsize="7957,1667" path="m1508,1704l1773,1603,2039,1810,2304,1647,2569,1233,2834,1088,3100,905,3365,938,3630,1584,3895,1994,4160,2185,4426,2042,4691,1982,4956,2036,5221,2020,5487,2358,5752,2561,6017,2572,6282,2085,6548,1838,6813,1680,7078,1585,7343,1638,7608,1603,7874,1561,8139,1530,8404,1488,8669,1455,8935,1423,9200,1382,9465,1354,9465,1562,9200,1590,8935,1628,8669,1659,8404,1690,8139,1724,7874,1751,7608,1790,7343,1821,7078,1759,6813,1832,6548,1959,6282,2169,6017,2572,5752,2561,5487,2358,5221,2020,4956,2036,4691,1982,4426,2042,4160,2185,3895,1994,3630,1584,3365,938,3100,905,2834,1088,2569,1233,2304,1647,2039,1810,1773,1603,1508,1704e" filled="false" stroked="true" strokeweight=".96pt" strokecolor="#f9b8a4">
              <v:path arrowok="t"/>
              <v:stroke dashstyle="solid"/>
            </v:shape>
            <v:shape style="position:absolute;left:6017;top:1046;width:3448;height:1526" coordorigin="6017,1046" coordsize="3448,1526" path="m7078,1327l6813,1456,6548,1660,6282,1962,6017,2572,6282,2085,6548,1838,6813,1680,7078,1585,7723,1585,7874,1561,8139,1530,8404,1488,8935,1423,9200,1382,9349,1366,7343,1366,7078,1327xm7723,1585l7078,1585,7343,1638,7608,1603,7723,1585xm9465,1046l9200,1075,8935,1119,8404,1188,8139,1241,7874,1278,7608,1326,7343,1366,9349,1366,9465,1354,9465,1046xe" filled="true" fillcolor="#f9b8a4" stroked="false">
              <v:path arrowok="t"/>
              <v:fill type="solid"/>
            </v:shape>
            <v:shape style="position:absolute;left:1508;top:905;width:7957;height:1667" coordorigin="1508,905" coordsize="7957,1667" path="m1508,1704l1773,1603,2039,1810,2304,1647,2569,1233,2834,1088,3100,905,3365,938,3630,1584,3895,1994,4160,2185,4426,2042,4691,1982,4956,2036,5221,2020,5487,2358,5752,2561,6017,2572,6282,1962,6548,1660,6813,1456,7078,1327,7343,1366,7608,1326,7874,1278,8139,1241,8404,1188,8669,1154,8935,1119,9200,1075,9465,1046,9465,1354,9200,1382,8935,1423,8669,1455,8404,1488,8139,1530,7874,1561,7608,1603,7343,1638,7078,1585,6813,1680,6548,1838,6282,2085,6017,2572,5752,2561,5487,2358,5221,2020,4956,2036,4691,1982,4426,2042,4160,2185,3895,1994,3630,1584,3365,938,3100,905,2834,1088,2569,1233,2304,1647,2039,1810,1773,1603,1508,1704e" filled="false" stroked="true" strokeweight=".96pt" strokecolor="#f9b8a4">
              <v:path arrowok="t"/>
              <v:stroke dashstyle="solid"/>
            </v:shape>
            <v:shape style="position:absolute;left:1507;top:183;width:7959;height:4464" coordorigin="1507,183" coordsize="7959,4464" path="m1507,4647l1507,183m1507,4647l1572,4647m1507,4090l1572,4090m1507,3531l1572,3531m1507,2974l1572,2974m1507,2415l1572,2415m1507,1858l1572,1858m1507,1299l1572,1299m1507,740l1572,740m1507,183l1572,183m1507,183l9466,183m9466,4647l9466,183m9410,4647l9466,4647m9410,4090l9466,4090m9410,3531l9466,3531m9410,2974l9466,2974m9410,2415l9466,2415m9410,1858l9466,1858m9410,1299l9466,1299m9410,740l9466,740m9410,183l9466,183m1507,4647l9466,4647m1507,4606l1507,4647m1774,4606l1774,4647m2038,4606l2038,4647m2304,4606l2304,4647m2568,4606l2568,4647m2834,4606l2834,4647m3098,4606l3098,4647m3365,4606l3365,4647m3629,4606l3629,4647m3895,4606l3895,4647m4162,4606l4162,4647m4426,4606l4426,4647m4692,4606l4692,4647m4956,4606l4956,4647m5222,4606l5222,4647m5486,4606l5486,4647m5753,4606l5753,4647m6017,4606l6017,4647m6283,4606l6283,4647m6547,4606l6547,4647m6814,4606l6814,4647m7078,4606l7078,4647m7344,4606l7344,4647m7608,4606l7608,4647m7874,4606l7874,4647m8138,4606l8138,4647m8405,4606l8405,4647m8669,4606l8669,4647m8935,4606l8935,4647m9199,4606l9199,4647m9466,4606l9466,4647m1507,4594l1507,4647m2568,4594l2568,4647m3629,4594l3629,4647m4692,4594l4692,4647m5753,4594l5753,4647m6814,4594l6814,4647m7874,4594l7874,4647m8935,4594l8935,4647e" filled="false" stroked="true" strokeweight=".72pt" strokecolor="#858585">
              <v:path arrowok="t"/>
              <v:stroke dashstyle="solid"/>
            </v:shape>
            <v:shape style="position:absolute;left:6016;top:180;width:2;height:4467" coordorigin="6017,181" coordsize="0,4467" path="m6017,4647l6017,3531,6017,181e" filled="false" stroked="true" strokeweight=".96pt" strokecolor="#000000">
              <v:path arrowok="t"/>
              <v:stroke dashstyle="shortdash"/>
            </v:shape>
            <v:line style="position:absolute" from="1505,2415" to="9468,2415" stroked="true" strokeweight=".24pt" strokecolor="#000000">
              <v:stroke dashstyle="solid"/>
            </v:line>
            <v:shape style="position:absolute;left:1507;top:905;width:7959;height:1690" coordorigin="1507,906" coordsize="7959,1690" path="m1507,1705l1774,1602,2038,1810,2304,1647,2568,1232,2834,1088,3098,906,3365,939,3629,1585,3895,1993,4162,2185,4426,2041,4692,1981,4956,2036,5222,2019,5486,2358,5753,2562,6017,2571,6283,2521,6547,2468,6814,2473,7078,2494,7344,2595,7608,2581,7874,2559,8138,2547,8405,2545,8669,2518,8935,2494,9199,2466,9466,2439e" filled="false" stroked="true" strokeweight=".24pt" strokecolor="#f05748">
              <v:path arrowok="t"/>
              <v:stroke dashstyle="solid"/>
            </v:shape>
            <v:shape style="position:absolute;left:6774;top:297;width:906;height:223" type="#_x0000_t202" filled="false" stroked="false">
              <v:textbox inset="0,0,0,0">
                <w:txbxContent>
                  <w:p>
                    <w:pPr>
                      <w:spacing w:line="223" w:lineRule="exact" w:before="0"/>
                      <w:ind w:left="0" w:right="0" w:firstLine="0"/>
                      <w:jc w:val="left"/>
                      <w:rPr>
                        <w:sz w:val="20"/>
                      </w:rPr>
                    </w:pPr>
                    <w:r>
                      <w:rPr>
                        <w:sz w:val="20"/>
                      </w:rPr>
                      <w:t>Projection</w:t>
                    </w:r>
                  </w:p>
                </w:txbxContent>
              </v:textbox>
              <w10:wrap type="none"/>
            </v:shape>
            <w10:wrap type="none"/>
          </v:group>
        </w:pict>
      </w:r>
      <w:r>
        <w:rPr>
          <w:w w:val="99"/>
          <w:sz w:val="18"/>
        </w:rPr>
        <w:t>6</w:t>
      </w:r>
    </w:p>
    <w:p>
      <w:pPr>
        <w:pStyle w:val="BodyText"/>
        <w:spacing w:before="4"/>
        <w:rPr>
          <w:sz w:val="22"/>
        </w:rPr>
      </w:pPr>
    </w:p>
    <w:p>
      <w:pPr>
        <w:spacing w:before="94"/>
        <w:ind w:left="0" w:right="2181" w:firstLine="0"/>
        <w:jc w:val="right"/>
        <w:rPr>
          <w:sz w:val="18"/>
        </w:rPr>
      </w:pPr>
      <w:r>
        <w:rPr>
          <w:w w:val="99"/>
          <w:sz w:val="18"/>
        </w:rPr>
        <w:t>5</w:t>
      </w:r>
    </w:p>
    <w:p>
      <w:pPr>
        <w:pStyle w:val="BodyText"/>
        <w:spacing w:before="4"/>
        <w:rPr>
          <w:sz w:val="22"/>
        </w:rPr>
      </w:pPr>
    </w:p>
    <w:p>
      <w:pPr>
        <w:spacing w:before="94"/>
        <w:ind w:left="0" w:right="2181" w:firstLine="0"/>
        <w:jc w:val="right"/>
        <w:rPr>
          <w:sz w:val="18"/>
        </w:rPr>
      </w:pPr>
      <w:r>
        <w:rPr>
          <w:w w:val="99"/>
          <w:sz w:val="18"/>
        </w:rPr>
        <w:t>4</w:t>
      </w:r>
    </w:p>
    <w:p>
      <w:pPr>
        <w:pStyle w:val="BodyText"/>
        <w:spacing w:before="4"/>
        <w:rPr>
          <w:sz w:val="22"/>
        </w:rPr>
      </w:pPr>
    </w:p>
    <w:p>
      <w:pPr>
        <w:spacing w:before="95"/>
        <w:ind w:left="0" w:right="2181" w:firstLine="0"/>
        <w:jc w:val="right"/>
        <w:rPr>
          <w:sz w:val="18"/>
        </w:rPr>
      </w:pPr>
      <w:r>
        <w:rPr>
          <w:w w:val="99"/>
          <w:sz w:val="18"/>
        </w:rPr>
        <w:t>3</w:t>
      </w:r>
    </w:p>
    <w:p>
      <w:pPr>
        <w:pStyle w:val="BodyText"/>
        <w:spacing w:before="4"/>
        <w:rPr>
          <w:sz w:val="22"/>
        </w:rPr>
      </w:pPr>
    </w:p>
    <w:p>
      <w:pPr>
        <w:spacing w:before="94"/>
        <w:ind w:left="0" w:right="2181" w:firstLine="0"/>
        <w:jc w:val="right"/>
        <w:rPr>
          <w:sz w:val="18"/>
        </w:rPr>
      </w:pPr>
      <w:r>
        <w:rPr>
          <w:w w:val="99"/>
          <w:sz w:val="18"/>
        </w:rPr>
        <w:t>2</w:t>
      </w:r>
    </w:p>
    <w:p>
      <w:pPr>
        <w:pStyle w:val="BodyText"/>
        <w:spacing w:before="4"/>
        <w:rPr>
          <w:sz w:val="22"/>
        </w:rPr>
      </w:pPr>
    </w:p>
    <w:p>
      <w:pPr>
        <w:spacing w:before="94"/>
        <w:ind w:left="0" w:right="2181" w:firstLine="0"/>
        <w:jc w:val="right"/>
        <w:rPr>
          <w:sz w:val="18"/>
        </w:rPr>
      </w:pPr>
      <w:r>
        <w:rPr>
          <w:w w:val="99"/>
          <w:sz w:val="18"/>
        </w:rPr>
        <w:t>1</w:t>
      </w:r>
    </w:p>
    <w:p>
      <w:pPr>
        <w:pStyle w:val="BodyText"/>
        <w:spacing w:before="4"/>
        <w:rPr>
          <w:sz w:val="22"/>
        </w:rPr>
      </w:pPr>
    </w:p>
    <w:p>
      <w:pPr>
        <w:spacing w:before="94"/>
        <w:ind w:left="0" w:right="2181" w:firstLine="0"/>
        <w:jc w:val="right"/>
        <w:rPr>
          <w:sz w:val="18"/>
        </w:rPr>
      </w:pPr>
      <w:r>
        <w:rPr>
          <w:w w:val="99"/>
          <w:sz w:val="18"/>
        </w:rPr>
        <w:t>0</w:t>
      </w:r>
    </w:p>
    <w:p>
      <w:pPr>
        <w:pStyle w:val="BodyText"/>
        <w:spacing w:before="4"/>
        <w:rPr>
          <w:sz w:val="22"/>
        </w:rPr>
      </w:pPr>
    </w:p>
    <w:p>
      <w:pPr>
        <w:spacing w:before="95"/>
        <w:ind w:left="0" w:right="2121" w:firstLine="0"/>
        <w:jc w:val="right"/>
        <w:rPr>
          <w:sz w:val="18"/>
        </w:rPr>
      </w:pPr>
      <w:r>
        <w:rPr>
          <w:w w:val="95"/>
          <w:sz w:val="18"/>
        </w:rPr>
        <w:t>-1</w:t>
      </w:r>
    </w:p>
    <w:p>
      <w:pPr>
        <w:pStyle w:val="BodyText"/>
        <w:spacing w:before="4"/>
        <w:rPr>
          <w:sz w:val="22"/>
        </w:rPr>
      </w:pPr>
    </w:p>
    <w:p>
      <w:pPr>
        <w:spacing w:after="0"/>
        <w:rPr>
          <w:sz w:val="22"/>
        </w:rPr>
        <w:sectPr>
          <w:pgSz w:w="11910" w:h="16840"/>
          <w:pgMar w:header="0" w:footer="1338" w:top="1520" w:bottom="1520" w:left="900" w:right="0"/>
        </w:sectPr>
      </w:pPr>
    </w:p>
    <w:p>
      <w:pPr>
        <w:pStyle w:val="BodyText"/>
        <w:spacing w:before="9"/>
        <w:rPr>
          <w:sz w:val="26"/>
        </w:rPr>
      </w:pPr>
    </w:p>
    <w:p>
      <w:pPr>
        <w:tabs>
          <w:tab w:pos="1470" w:val="left" w:leader="none"/>
          <w:tab w:pos="2531" w:val="left" w:leader="none"/>
          <w:tab w:pos="3592" w:val="left" w:leader="none"/>
          <w:tab w:pos="4653" w:val="left" w:leader="none"/>
        </w:tabs>
        <w:spacing w:before="0"/>
        <w:ind w:left="409" w:right="0" w:firstLine="0"/>
        <w:jc w:val="left"/>
        <w:rPr>
          <w:sz w:val="18"/>
        </w:rPr>
      </w:pPr>
      <w:r>
        <w:rPr>
          <w:sz w:val="18"/>
        </w:rPr>
        <w:t>2010</w:t>
        <w:tab/>
        <w:t>2011</w:t>
        <w:tab/>
        <w:t>2012</w:t>
        <w:tab/>
        <w:t>2013</w:t>
        <w:tab/>
        <w:t>2014</w:t>
      </w:r>
    </w:p>
    <w:p>
      <w:pPr>
        <w:spacing w:before="94"/>
        <w:ind w:left="3398" w:right="2105" w:firstLine="0"/>
        <w:jc w:val="center"/>
        <w:rPr>
          <w:sz w:val="18"/>
        </w:rPr>
      </w:pPr>
      <w:r>
        <w:rPr/>
        <w:br w:type="column"/>
      </w:r>
      <w:r>
        <w:rPr>
          <w:sz w:val="18"/>
        </w:rPr>
        <w:t>-2</w:t>
      </w:r>
    </w:p>
    <w:p>
      <w:pPr>
        <w:tabs>
          <w:tab w:pos="1060" w:val="left" w:leader="none"/>
          <w:tab w:pos="2121" w:val="left" w:leader="none"/>
        </w:tabs>
        <w:spacing w:before="7"/>
        <w:ind w:left="0" w:right="2357" w:firstLine="0"/>
        <w:jc w:val="center"/>
        <w:rPr>
          <w:sz w:val="18"/>
        </w:rPr>
      </w:pPr>
      <w:r>
        <w:rPr>
          <w:sz w:val="18"/>
        </w:rPr>
        <w:t>2015</w:t>
        <w:tab/>
        <w:t>2016</w:t>
        <w:tab/>
        <w:t>2017</w:t>
      </w:r>
    </w:p>
    <w:p>
      <w:pPr>
        <w:spacing w:after="0"/>
        <w:jc w:val="center"/>
        <w:rPr>
          <w:sz w:val="18"/>
        </w:rPr>
        <w:sectPr>
          <w:type w:val="continuous"/>
          <w:pgSz w:w="11910" w:h="16840"/>
          <w:pgMar w:top="1180" w:bottom="1520" w:left="900" w:right="0"/>
          <w:cols w:num="2" w:equalWidth="0">
            <w:col w:w="5094" w:space="212"/>
            <w:col w:w="5704"/>
          </w:cols>
        </w:sectPr>
      </w:pPr>
    </w:p>
    <w:p>
      <w:pPr>
        <w:pStyle w:val="BodyText"/>
        <w:rPr>
          <w:sz w:val="22"/>
        </w:rPr>
      </w:pPr>
    </w:p>
    <w:p>
      <w:pPr>
        <w:spacing w:before="96"/>
        <w:ind w:left="233" w:right="0" w:firstLine="0"/>
        <w:jc w:val="left"/>
        <w:rPr>
          <w:sz w:val="16"/>
        </w:rPr>
      </w:pPr>
      <w:r>
        <w:rPr>
          <w:sz w:val="16"/>
        </w:rPr>
        <w:t>Source: Bank of England August 2014 </w:t>
      </w:r>
      <w:r>
        <w:rPr>
          <w:i/>
          <w:sz w:val="16"/>
        </w:rPr>
        <w:t>Inflation Report</w:t>
      </w:r>
      <w:r>
        <w:rPr>
          <w:sz w:val="16"/>
        </w:rPr>
        <w:t>.</w:t>
      </w:r>
    </w:p>
    <w:p>
      <w:pPr>
        <w:spacing w:after="0"/>
        <w:jc w:val="left"/>
        <w:rPr>
          <w:sz w:val="16"/>
        </w:rPr>
        <w:sectPr>
          <w:type w:val="continuous"/>
          <w:pgSz w:w="11910" w:h="16840"/>
          <w:pgMar w:top="1180" w:bottom="1520" w:left="900" w:right="0"/>
        </w:sectPr>
      </w:pPr>
    </w:p>
    <w:p>
      <w:pPr>
        <w:pStyle w:val="BodyText"/>
        <w:spacing w:line="360" w:lineRule="auto" w:before="119"/>
        <w:ind w:left="233" w:right="1138"/>
      </w:pPr>
      <w:r>
        <w:rPr/>
        <w:t>Figure 4 shows probability distributions for the path of Bank Rate</w:t>
      </w:r>
      <w:r>
        <w:rPr>
          <w:vertAlign w:val="superscript"/>
        </w:rPr>
        <w:t>9</w:t>
      </w:r>
      <w:r>
        <w:rPr>
          <w:vertAlign w:val="baseline"/>
        </w:rPr>
        <w:t>. Along the central path (that is the median where 50% of the outcomes are with lower interest rates and 50% have higher rates) the level of Bank Rate rises gradually. But it remains materially below its pre-crisis average of around 5% even after four years.</w:t>
      </w:r>
    </w:p>
    <w:p>
      <w:pPr>
        <w:pStyle w:val="BodyText"/>
        <w:spacing w:line="360" w:lineRule="auto"/>
        <w:ind w:left="233" w:right="1229"/>
      </w:pPr>
      <w:r>
        <w:rPr/>
        <w:t>Figure 4 also shows that things may turn out quite differently from the central path. This simple model suggests that there is a 10% chance that the appropriate level of Bank Rate increases to above 5% within 18 months (the line labelled “90</w:t>
      </w:r>
      <w:r>
        <w:rPr>
          <w:vertAlign w:val="superscript"/>
        </w:rPr>
        <w:t>th</w:t>
      </w:r>
      <w:r>
        <w:rPr>
          <w:vertAlign w:val="baseline"/>
        </w:rPr>
        <w:t> percentile”). It also shows that there is a 10% chance that the appropriate level of Bank Rate is around zero for two years to come and is only just over 1% even four years ahead (the line labelled “10</w:t>
      </w:r>
      <w:r>
        <w:rPr>
          <w:vertAlign w:val="superscript"/>
        </w:rPr>
        <w:t>th</w:t>
      </w:r>
      <w:r>
        <w:rPr>
          <w:vertAlign w:val="baseline"/>
        </w:rPr>
        <w:t> percentile”).</w:t>
      </w:r>
    </w:p>
    <w:p>
      <w:pPr>
        <w:pStyle w:val="BodyText"/>
        <w:spacing w:before="7"/>
        <w:rPr>
          <w:sz w:val="29"/>
        </w:rPr>
      </w:pPr>
    </w:p>
    <w:p>
      <w:pPr>
        <w:spacing w:before="0"/>
        <w:ind w:left="233" w:right="0" w:firstLine="0"/>
        <w:jc w:val="left"/>
        <w:rPr>
          <w:sz w:val="20"/>
        </w:rPr>
      </w:pPr>
      <w:r>
        <w:rPr/>
        <w:pict>
          <v:group style="position:absolute;margin-left:59.103001pt;margin-top:17.134878pt;width:468.75pt;height:302.95pt;mso-position-horizontal-relative:page;mso-position-vertical-relative:paragraph;z-index:251729920" coordorigin="1182,343" coordsize="9375,6059">
            <v:shape style="position:absolute;left:1411;top:573;width:8158;height:5249" coordorigin="1411,574" coordsize="8158,5249" path="m1411,5822l9504,5822m1411,4510l9504,4510m1411,3852l9504,3852m1411,3197l9504,3197m1411,2542l9504,2542m1411,1884l9504,1884m1411,1229l9504,1229m1411,574l9504,574m9504,5822l9504,574m9504,5822l9569,5822m9504,5165l9569,5165m9504,4510l9569,4510m9504,3852l9569,3852m9504,3197l9569,3197m9504,2542l9569,2542m9504,1884l9569,1884m9504,1229l9569,1229m9504,574l9569,574m1411,5165l9504,5165m1411,5165l1411,5230m1915,5165l1915,5230m2422,5165l2422,5230m2928,5165l2928,5230m3434,5165l3434,5230m3941,5165l3941,5230m4445,5165l4445,5230m4951,5165l4951,5230m5458,5165l5458,5230m5964,5165l5964,5230m6470,5165l6470,5230m6974,5165l6974,5230m7481,5165l7481,5230m7987,5165l7987,5230m8494,5165l8494,5230m9000,5165l9000,5230m9504,5165l9504,5230e" filled="false" stroked="true" strokeweight=".72pt" strokecolor="#858585">
              <v:path arrowok="t"/>
              <v:stroke dashstyle="solid"/>
            </v:shape>
            <v:shape style="position:absolute;left:1664;top:4256;width:7589;height:1335" coordorigin="1664,4256" coordsize="7589,1335" path="m1664,5548l2168,5548,2675,5545,3181,5557,3688,5591,4194,5588,4698,5492,5204,5396,5711,5281,6217,5142,6724,4972,7228,4837,7734,4664,8240,4494,8747,4362,9253,4256e" filled="false" stroked="true" strokeweight="3.96pt" strokecolor="#497dba">
              <v:path arrowok="t"/>
              <v:stroke dashstyle="solid"/>
            </v:shape>
            <v:shape style="position:absolute;left:1664;top:2816;width:7589;height:1625" coordorigin="1664,2816" coordsize="7589,1625" path="m1664,4441l2168,4441,2675,4216,3181,3870,3688,3704,4194,3493,4698,3275,5204,3186,5711,3169,6217,3112,6724,3037,7228,2946,7734,2876,8240,2824,8747,2816,9253,2833e" filled="false" stroked="true" strokeweight="3.96pt" strokecolor="#bd4a47">
              <v:path arrowok="t"/>
              <v:stroke dashstyle="solid"/>
            </v:shape>
            <v:shape style="position:absolute;left:1664;top:1414;width:7589;height:1920" coordorigin="1664,1415" coordsize="7589,1920" path="m1664,3335l2168,3335,2675,3248,3181,2761,3688,2164,4194,1806,4698,1763,5204,1734,5711,1734,6217,1717,6724,1667,7228,1532,7734,1523,8240,1496,8747,1499,9253,1415e" filled="false" stroked="true" strokeweight="3.96pt" strokecolor="#97b853">
              <v:path arrowok="t"/>
              <v:stroke dashstyle="solid"/>
            </v:shape>
            <v:shape style="position:absolute;left:1664;top:2878;width:7589;height:1563" coordorigin="1664,2879" coordsize="7589,1563" path="m1664,4441l2168,4441,2675,4307,3181,4055,3688,3791,4194,3589,4698,3472,5204,3412,5711,3361,6217,3292,6724,3193,7228,3083,7734,2992,8240,2929,8747,2896,9253,2879e" filled="false" stroked="true" strokeweight="3.96pt" strokecolor="#7c5f9f">
              <v:path arrowok="t"/>
              <v:stroke dashstyle="solid"/>
            </v:shape>
            <v:line style="position:absolute" from="1669,810" to="2053,810" stroked="true" strokeweight="3.96pt" strokecolor="#497dba">
              <v:stroke dashstyle="solid"/>
            </v:line>
            <v:line style="position:absolute" from="1669,1117" to="2053,1117" stroked="true" strokeweight="3.96pt" strokecolor="#bd4a47">
              <v:stroke dashstyle="solid"/>
            </v:line>
            <v:line style="position:absolute" from="1669,1427" to="2053,1427" stroked="true" strokeweight="3.96pt" strokecolor="#97b853">
              <v:stroke dashstyle="solid"/>
            </v:line>
            <v:line style="position:absolute" from="1669,1734" to="2053,1734" stroked="true" strokeweight="3.96pt" strokecolor="#7c5f9f">
              <v:stroke dashstyle="solid"/>
            </v:line>
            <v:rect style="position:absolute;left:1189;top:350;width:9360;height:6044" filled="false" stroked="true" strokeweight=".75pt" strokecolor="#858585">
              <v:stroke dashstyle="solid"/>
            </v:rect>
            <v:shape style="position:absolute;left:9692;top:480;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7%</w:t>
                    </w:r>
                  </w:p>
                </w:txbxContent>
              </v:textbox>
              <w10:wrap type="none"/>
            </v:shape>
            <v:shape style="position:absolute;left:2094;top:699;width:1507;height:1163" type="#_x0000_t202" filled="false" stroked="false">
              <v:textbox inset="0,0,0,0">
                <w:txbxContent>
                  <w:p>
                    <w:pPr>
                      <w:spacing w:line="244" w:lineRule="exact" w:before="0"/>
                      <w:ind w:left="0" w:right="0" w:firstLine="0"/>
                      <w:jc w:val="left"/>
                      <w:rPr>
                        <w:rFonts w:ascii="Calibri"/>
                        <w:sz w:val="24"/>
                      </w:rPr>
                    </w:pPr>
                    <w:r>
                      <w:rPr>
                        <w:rFonts w:ascii="Calibri"/>
                        <w:sz w:val="24"/>
                      </w:rPr>
                      <w:t>10th Percentile</w:t>
                    </w:r>
                  </w:p>
                  <w:p>
                    <w:pPr>
                      <w:spacing w:before="14"/>
                      <w:ind w:left="0" w:right="0" w:firstLine="0"/>
                      <w:jc w:val="left"/>
                      <w:rPr>
                        <w:rFonts w:ascii="Calibri"/>
                        <w:sz w:val="24"/>
                      </w:rPr>
                    </w:pPr>
                    <w:r>
                      <w:rPr>
                        <w:rFonts w:ascii="Calibri"/>
                        <w:sz w:val="24"/>
                      </w:rPr>
                      <w:t>Median</w:t>
                    </w:r>
                  </w:p>
                  <w:p>
                    <w:pPr>
                      <w:spacing w:line="252" w:lineRule="auto" w:before="15"/>
                      <w:ind w:left="0" w:right="-2" w:firstLine="0"/>
                      <w:jc w:val="left"/>
                      <w:rPr>
                        <w:rFonts w:ascii="Calibri"/>
                        <w:sz w:val="24"/>
                      </w:rPr>
                    </w:pPr>
                    <w:r>
                      <w:rPr>
                        <w:rFonts w:ascii="Calibri"/>
                        <w:sz w:val="24"/>
                      </w:rPr>
                      <w:t>90th Percentile Mean</w:t>
                    </w:r>
                  </w:p>
                </w:txbxContent>
              </v:textbox>
              <w10:wrap type="none"/>
            </v:shape>
            <v:shape style="position:absolute;left:9692;top:1136;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6%</w:t>
                    </w:r>
                  </w:p>
                </w:txbxContent>
              </v:textbox>
              <w10:wrap type="none"/>
            </v:shape>
            <v:shape style="position:absolute;left:9692;top:1792;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5%</w:t>
                    </w:r>
                  </w:p>
                </w:txbxContent>
              </v:textbox>
              <w10:wrap type="none"/>
            </v:shape>
            <v:shape style="position:absolute;left:9692;top:2448;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4%</w:t>
                    </w:r>
                  </w:p>
                </w:txbxContent>
              </v:textbox>
              <w10:wrap type="none"/>
            </v:shape>
            <v:shape style="position:absolute;left:9692;top:3105;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3%</w:t>
                    </w:r>
                  </w:p>
                </w:txbxContent>
              </v:textbox>
              <w10:wrap type="none"/>
            </v:shape>
            <v:shape style="position:absolute;left:9692;top:3761;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9692;top:4417;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1%</w:t>
                    </w:r>
                  </w:p>
                </w:txbxContent>
              </v:textbox>
              <w10:wrap type="none"/>
            </v:shape>
            <v:shape style="position:absolute;left:9692;top:5073;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0%</w:t>
                    </w:r>
                  </w:p>
                </w:txbxContent>
              </v:textbox>
              <w10:wrap type="none"/>
            </v:shape>
            <v:shape style="position:absolute;left:1612;top:533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2118;top:533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2624;top:533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3</w:t>
                    </w:r>
                  </w:p>
                </w:txbxContent>
              </v:textbox>
              <w10:wrap type="none"/>
            </v:shape>
            <v:shape style="position:absolute;left:3130;top:533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3636;top:533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5</w:t>
                    </w:r>
                  </w:p>
                </w:txbxContent>
              </v:textbox>
              <w10:wrap type="none"/>
            </v:shape>
            <v:shape style="position:absolute;left:4142;top:533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4648;top:533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7</w:t>
                    </w:r>
                  </w:p>
                </w:txbxContent>
              </v:textbox>
              <w10:wrap type="none"/>
            </v:shape>
            <v:shape style="position:absolute;left:5154;top:533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8</w:t>
                    </w:r>
                  </w:p>
                </w:txbxContent>
              </v:textbox>
              <w10:wrap type="none"/>
            </v:shape>
            <v:shape style="position:absolute;left:5660;top:5333;width:3714;height:200" type="#_x0000_t202" filled="false" stroked="false">
              <v:textbox inset="0,0,0,0">
                <w:txbxContent>
                  <w:p>
                    <w:pPr>
                      <w:tabs>
                        <w:tab w:pos="454" w:val="left" w:leader="none"/>
                        <w:tab w:pos="960" w:val="left" w:leader="none"/>
                        <w:tab w:pos="1467" w:val="left" w:leader="none"/>
                        <w:tab w:pos="1973" w:val="left" w:leader="none"/>
                        <w:tab w:pos="2479" w:val="left" w:leader="none"/>
                        <w:tab w:pos="2985" w:val="left" w:leader="none"/>
                        <w:tab w:pos="3491" w:val="left" w:leader="none"/>
                      </w:tabs>
                      <w:spacing w:line="199" w:lineRule="exact" w:before="0"/>
                      <w:ind w:left="0" w:right="0" w:firstLine="0"/>
                      <w:jc w:val="left"/>
                      <w:rPr>
                        <w:rFonts w:ascii="Calibri"/>
                        <w:sz w:val="20"/>
                      </w:rPr>
                    </w:pPr>
                    <w:r>
                      <w:rPr>
                        <w:rFonts w:ascii="Calibri"/>
                        <w:sz w:val="20"/>
                      </w:rPr>
                      <w:t>9</w:t>
                      <w:tab/>
                      <w:t>10</w:t>
                      <w:tab/>
                      <w:t>11</w:t>
                      <w:tab/>
                      <w:t>12</w:t>
                      <w:tab/>
                      <w:t>13</w:t>
                      <w:tab/>
                      <w:t>14</w:t>
                      <w:tab/>
                      <w:t>15</w:t>
                      <w:tab/>
                      <w:t>16</w:t>
                    </w:r>
                  </w:p>
                </w:txbxContent>
              </v:textbox>
              <w10:wrap type="none"/>
            </v:shape>
            <v:shape style="position:absolute;left:9692;top:5729;width:326;height:200" type="#_x0000_t202" filled="false" stroked="false">
              <v:textbox inset="0,0,0,0">
                <w:txbxContent>
                  <w:p>
                    <w:pPr>
                      <w:spacing w:line="199" w:lineRule="exact" w:before="0"/>
                      <w:ind w:left="0" w:right="0" w:firstLine="0"/>
                      <w:jc w:val="left"/>
                      <w:rPr>
                        <w:rFonts w:ascii="Calibri"/>
                        <w:sz w:val="20"/>
                      </w:rPr>
                    </w:pPr>
                    <w:r>
                      <w:rPr>
                        <w:rFonts w:ascii="Calibri"/>
                        <w:sz w:val="20"/>
                      </w:rPr>
                      <w:t>-1%</w:t>
                    </w:r>
                  </w:p>
                </w:txbxContent>
              </v:textbox>
              <w10:wrap type="none"/>
            </v:shape>
            <v:shape style="position:absolute;left:5028;top:5900;width:880;height:240" type="#_x0000_t202" filled="false" stroked="false">
              <v:textbox inset="0,0,0,0">
                <w:txbxContent>
                  <w:p>
                    <w:pPr>
                      <w:spacing w:line="240" w:lineRule="exact" w:before="0"/>
                      <w:ind w:left="0" w:right="0" w:firstLine="0"/>
                      <w:jc w:val="left"/>
                      <w:rPr>
                        <w:rFonts w:ascii="Calibri"/>
                        <w:sz w:val="24"/>
                      </w:rPr>
                    </w:pPr>
                    <w:r>
                      <w:rPr>
                        <w:rFonts w:ascii="Calibri"/>
                        <w:sz w:val="24"/>
                      </w:rPr>
                      <w:t>Quarters</w:t>
                    </w:r>
                  </w:p>
                </w:txbxContent>
              </v:textbox>
              <w10:wrap type="none"/>
            </v:shape>
            <w10:wrap type="none"/>
          </v:group>
        </w:pict>
      </w:r>
      <w:r>
        <w:rPr/>
        <w:pict>
          <v:shape style="position:absolute;margin-left:503.880005pt;margin-top:138.528778pt;width:12pt;height:42.85pt;mso-position-horizontal-relative:page;mso-position-vertical-relative:paragraph;z-index:251730944" type="#_x0000_t202" filled="false" stroked="false">
            <v:textbox inset="0,0,0,0" style="layout-flow:vertical;mso-layout-flow-alt:bottom-to-top">
              <w:txbxContent>
                <w:p>
                  <w:pPr>
                    <w:pStyle w:val="BodyText"/>
                    <w:spacing w:line="223" w:lineRule="exact"/>
                    <w:ind w:left="20"/>
                    <w:rPr>
                      <w:rFonts w:ascii="Calibri"/>
                    </w:rPr>
                  </w:pPr>
                  <w:r>
                    <w:rPr>
                      <w:rFonts w:ascii="Calibri"/>
                    </w:rPr>
                    <w:t>Bank Rate</w:t>
                  </w:r>
                </w:p>
              </w:txbxContent>
            </v:textbox>
            <w10:wrap type="none"/>
          </v:shape>
        </w:pict>
      </w:r>
      <w:r>
        <w:rPr>
          <w:b/>
          <w:sz w:val="20"/>
        </w:rPr>
        <w:t>Figure 4</w:t>
      </w:r>
      <w:r>
        <w:rPr>
          <w:sz w:val="20"/>
        </w:rPr>
        <w:t>: Optimal Bank Rate, simulation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6"/>
        </w:rPr>
      </w:pPr>
    </w:p>
    <w:p>
      <w:pPr>
        <w:pStyle w:val="BodyText"/>
        <w:spacing w:line="360" w:lineRule="auto"/>
        <w:ind w:left="233" w:right="947"/>
      </w:pPr>
      <w:r>
        <w:rPr/>
        <w:t>In this simple model, which path for interest rates is taken among the wide swathe shown in figure 4 depends on the values taken by the uncertain (random) parameters of the simple model. This is not meant to be a precise guide to the possible variability in interest rates in the UK over the next four years. While the model allows for some uncertainty about the quantitative relationships between key economic variables, it assumes that these relationships take a specific form – linear in this case – and that they do not change over time.</w:t>
      </w:r>
    </w:p>
    <w:p>
      <w:pPr>
        <w:pStyle w:val="BodyText"/>
        <w:spacing w:line="357" w:lineRule="auto" w:before="1"/>
        <w:ind w:left="233" w:right="1248"/>
      </w:pPr>
      <w:r>
        <w:rPr/>
        <w:t>The model also misses key aspects of the economic environment, such as the state of the banking sector, demand for British exports, commodity prices, and the stance of fiscal policy. I also assume that the</w:t>
      </w:r>
    </w:p>
    <w:p>
      <w:pPr>
        <w:pStyle w:val="BodyText"/>
        <w:rPr>
          <w:sz w:val="12"/>
        </w:rPr>
      </w:pPr>
      <w:r>
        <w:rPr/>
        <w:pict>
          <v:shape style="position:absolute;margin-left:56.664001pt;margin-top:9.107481pt;width:144.050pt;height:.1pt;mso-position-horizontal-relative:page;mso-position-vertical-relative:paragraph;z-index:-251608064;mso-wrap-distance-left:0;mso-wrap-distance-right:0" coordorigin="1133,182" coordsize="2881,0" path="m1133,182l4014,182e" filled="false" stroked="true" strokeweight=".47998pt" strokecolor="#000000">
            <v:path arrowok="t"/>
            <v:stroke dashstyle="solid"/>
            <w10:wrap type="topAndBottom"/>
          </v:shape>
        </w:pict>
      </w:r>
    </w:p>
    <w:p>
      <w:pPr>
        <w:spacing w:before="30"/>
        <w:ind w:left="233" w:right="1204" w:firstLine="0"/>
        <w:jc w:val="left"/>
        <w:rPr>
          <w:sz w:val="16"/>
        </w:rPr>
      </w:pPr>
      <w:r>
        <w:rPr>
          <w:position w:val="8"/>
          <w:sz w:val="10"/>
        </w:rPr>
        <w:t>9 </w:t>
      </w:r>
      <w:r>
        <w:rPr>
          <w:sz w:val="16"/>
        </w:rPr>
        <w:t>I generate an appropriate path of Bank Rate for each realisation of the set of uncertain parameters. There are 1000 such realisations, or scenarios, in all. Each path is that from following an optimal interest rate rule that is derived ex-ante of the realisations (and thus takes into account the model uncertainties). In the context of this model, this path of Bank Rate could be interpreted as a composite of Bank Rate and asset purchases.</w:t>
      </w:r>
    </w:p>
    <w:p>
      <w:pPr>
        <w:spacing w:after="0"/>
        <w:jc w:val="left"/>
        <w:rPr>
          <w:sz w:val="16"/>
        </w:rPr>
        <w:sectPr>
          <w:pgSz w:w="11910" w:h="16840"/>
          <w:pgMar w:header="0" w:footer="1338" w:top="1480" w:bottom="1520" w:left="900" w:right="0"/>
        </w:sectPr>
      </w:pPr>
    </w:p>
    <w:p>
      <w:pPr>
        <w:pStyle w:val="BodyText"/>
        <w:spacing w:line="360" w:lineRule="auto" w:before="79"/>
        <w:ind w:left="233" w:right="1307"/>
      </w:pPr>
      <w:r>
        <w:rPr/>
        <w:t>economy is not hit by any unpredictable events during the forecast horizon – we just get a realisation of the random factors (on initial slack, on the strength of interest rate effects and so on) and that determines how the economy then evolves. But in reality there is a real chance that we experience substantial changes in the prices of, for example, oil, financial assets, or exchange rates during this period, all of which can affect inflation and output and none of which I take account of here. So in practice outcomes may even be more variable than what is shown in the figures.</w:t>
      </w:r>
    </w:p>
    <w:p>
      <w:pPr>
        <w:pStyle w:val="BodyText"/>
        <w:spacing w:before="11"/>
        <w:rPr>
          <w:sz w:val="29"/>
        </w:rPr>
      </w:pPr>
    </w:p>
    <w:p>
      <w:pPr>
        <w:pStyle w:val="BodyText"/>
        <w:spacing w:line="360" w:lineRule="auto"/>
        <w:ind w:left="233" w:right="1248"/>
        <w:rPr>
          <w:b/>
        </w:rPr>
      </w:pPr>
      <w:r>
        <w:rPr/>
        <w:t>How does a policy of fixing the interest rate for a 3 or 4 year horizon look in the light of this model? Not very attractive I should say. Suppose that interest rates are set at the outset so that they follow the central (median) path. </w:t>
      </w:r>
      <w:r>
        <w:rPr>
          <w:i/>
        </w:rPr>
        <w:t>On average </w:t>
      </w:r>
      <w:r>
        <w:rPr/>
        <w:t>this is an appropriate policy – but in the light of how things actually evolve it could be very different from the interest rate that would be appropriate based on what actually happens to inflation and output. How wrong could it be? Well 4 years ahead the interest rate to which the central bank commits at the outset if it fixes policy at what is (ex ante) the average outcome could, with about 10% probability, </w:t>
      </w:r>
      <w:r>
        <w:rPr>
          <w:b/>
        </w:rPr>
        <w:t>be at least </w:t>
      </w:r>
      <w:r>
        <w:rPr/>
        <w:t>2.5 percentage points too low and with 10% probability it could be </w:t>
      </w:r>
      <w:r>
        <w:rPr>
          <w:b/>
        </w:rPr>
        <w:t>at least</w:t>
      </w:r>
    </w:p>
    <w:p>
      <w:pPr>
        <w:pStyle w:val="BodyText"/>
        <w:spacing w:line="360" w:lineRule="auto"/>
        <w:ind w:left="233" w:right="1138"/>
      </w:pPr>
      <w:r>
        <w:rPr/>
        <w:t>2 percentage points too high. Having interest rates that far from the right level, and for an extended period, seems to me a very high price to pay for the certainty of following a given path for interest rates. It would probably generate outcomes that were wildly unstable. In the Annex I show some specific examples of unstable outcomes from following a fixed interest rate path. Indeed across a wide range of economic models it is the case that outcomes can become completely unstable if the central bank does not vary the nominal interest rate in response to economic developments.</w:t>
      </w:r>
    </w:p>
    <w:p>
      <w:pPr>
        <w:pStyle w:val="BodyText"/>
        <w:rPr>
          <w:sz w:val="30"/>
        </w:rPr>
      </w:pPr>
    </w:p>
    <w:p>
      <w:pPr>
        <w:pStyle w:val="BodyText"/>
        <w:spacing w:line="360" w:lineRule="auto"/>
        <w:ind w:left="233" w:right="1159"/>
      </w:pPr>
      <w:r>
        <w:rPr/>
        <w:t>Suppose instead that the central bank accepts that it must respond to events as they unfold. Suppose in fact that the central bank calculates what the appropriate response is given the uncertainties and sees that the fan chart for interest rates is as in Figure 4 (based of course on our highly simplified model). How might it then give guidance on policy? A natural response might be to say it should just publish figure 4. I want to consider some practical issues with that in a moment. But setting those to one side for now, let me consider how you might describe in everyday language the message that figure 4 conveys. (And using everyday language is absolutely central to effective communication. The amount of training and time needed to really understand what figure 4 means is surprisingly large). One might try the following as guidance:</w:t>
      </w:r>
    </w:p>
    <w:p>
      <w:pPr>
        <w:pStyle w:val="BodyText"/>
        <w:spacing w:before="10"/>
        <w:rPr>
          <w:sz w:val="29"/>
        </w:rPr>
      </w:pPr>
    </w:p>
    <w:p>
      <w:pPr>
        <w:spacing w:line="360" w:lineRule="auto" w:before="0"/>
        <w:ind w:left="233" w:right="1185" w:firstLine="0"/>
        <w:jc w:val="left"/>
        <w:rPr>
          <w:i/>
          <w:sz w:val="20"/>
        </w:rPr>
      </w:pPr>
      <w:r>
        <w:rPr>
          <w:i/>
          <w:sz w:val="20"/>
        </w:rPr>
        <w:t>Interest rates are likely to rise gradually from their current exceptionally low point, but probably to a level that </w:t>
      </w:r>
      <w:r>
        <w:rPr>
          <w:i/>
          <w:sz w:val="20"/>
        </w:rPr>
        <w:t>is meaningfully short of the level of around 5% that used to be thought normal. But the exact path that interest rates should follow cannot be known for certain since how the economy will evolve is not known in advance. There is inevitably substantial uncertainty about the precise level of interest rates that will be suitable in the future. So this guidance is more in the way of an expectation and certainly not a commitment.</w:t>
      </w:r>
    </w:p>
    <w:p>
      <w:pPr>
        <w:pStyle w:val="BodyText"/>
        <w:spacing w:before="2"/>
        <w:rPr>
          <w:i/>
          <w:sz w:val="30"/>
        </w:rPr>
      </w:pPr>
    </w:p>
    <w:p>
      <w:pPr>
        <w:pStyle w:val="BodyText"/>
        <w:spacing w:line="360" w:lineRule="auto"/>
        <w:ind w:left="233" w:right="1248"/>
      </w:pPr>
      <w:r>
        <w:rPr/>
        <w:t>I don’t think that is a bad summary – in everyday language – of what figure 4 shows. It is also pretty much the message on policy that the MPC have been giving for some months.</w:t>
      </w:r>
    </w:p>
    <w:p>
      <w:pPr>
        <w:spacing w:after="0" w:line="360" w:lineRule="auto"/>
        <w:sectPr>
          <w:pgSz w:w="11910" w:h="16840"/>
          <w:pgMar w:header="0" w:footer="1338" w:top="1520" w:bottom="1520" w:left="900" w:right="0"/>
        </w:sectPr>
      </w:pPr>
    </w:p>
    <w:p>
      <w:pPr>
        <w:pStyle w:val="BodyText"/>
        <w:spacing w:line="360" w:lineRule="auto" w:before="79"/>
        <w:ind w:left="233" w:right="1171"/>
      </w:pPr>
      <w:r>
        <w:rPr/>
        <w:t>Whether or not something more precise and quantified than this broad description is useful is the issue I want to turn to next. Before that let me just say again that the figures above are based on a highly simplified model and that the way it is calibrated is based on some fairly subjective, though I think reasonable, judgements. For all that, I think the central conclusion that I draw from it – which is that setting interest rates on a pre-committed path for several years ahead does not look like a very attractive strategy – is one we can be confident about. The key point is that things can happen in the economy that are very different from our current best guess, and that when they do, just leaving interest rates on an unchanged path is not sensible.</w:t>
      </w:r>
    </w:p>
    <w:p>
      <w:pPr>
        <w:pStyle w:val="BodyText"/>
        <w:spacing w:before="9"/>
        <w:rPr>
          <w:sz w:val="29"/>
        </w:rPr>
      </w:pPr>
    </w:p>
    <w:p>
      <w:pPr>
        <w:pStyle w:val="BodyText"/>
        <w:spacing w:line="360" w:lineRule="auto"/>
        <w:ind w:left="233" w:right="1240"/>
      </w:pPr>
      <w:r>
        <w:rPr/>
        <w:t>This is not just a theoretical point. The scale of unexpected shocks that hit the UK – the difference between actual outcomes and prior best guesses – really is big. To illustrate, table 1 compares the annual GDP growth rates in the first quarters of 2008, 2009, and 2010 with predictions made in the first quarter of 2007. The Bank of England asked a group of private sector economists what they thought the likelihood was that the annual growth rate of GDP would be smaller than -1%, between -1% and 0%, between 0% and 1%, and so on, in the first quarter of 2008, 2009, and 2010. The probability distribution shows the average assessed likelihoods across all answers.</w:t>
      </w:r>
    </w:p>
    <w:p>
      <w:pPr>
        <w:pStyle w:val="BodyText"/>
        <w:spacing w:before="10"/>
        <w:rPr>
          <w:sz w:val="29"/>
        </w:rPr>
      </w:pPr>
    </w:p>
    <w:p>
      <w:pPr>
        <w:pStyle w:val="BodyText"/>
        <w:ind w:left="233"/>
      </w:pPr>
      <w:r>
        <w:rPr>
          <w:b/>
        </w:rPr>
        <w:t>Table 1</w:t>
      </w:r>
      <w:r>
        <w:rPr/>
        <w:t>: Forecasters' probability distribution for GDP growth as of Q1 2007</w:t>
      </w:r>
    </w:p>
    <w:p>
      <w:pPr>
        <w:pStyle w:val="BodyText"/>
        <w:spacing w:before="6"/>
        <w:rPr>
          <w:sz w:val="10"/>
        </w:rPr>
      </w:pP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9"/>
        <w:gridCol w:w="885"/>
        <w:gridCol w:w="1290"/>
        <w:gridCol w:w="1195"/>
        <w:gridCol w:w="1136"/>
        <w:gridCol w:w="1136"/>
        <w:gridCol w:w="963"/>
        <w:gridCol w:w="1163"/>
      </w:tblGrid>
      <w:tr>
        <w:trPr>
          <w:trHeight w:val="345" w:hRule="atLeast"/>
        </w:trPr>
        <w:tc>
          <w:tcPr>
            <w:tcW w:w="2329" w:type="dxa"/>
            <w:tcBorders>
              <w:top w:val="single" w:sz="4" w:space="0" w:color="000000"/>
              <w:left w:val="single" w:sz="6" w:space="0" w:color="000000"/>
            </w:tcBorders>
          </w:tcPr>
          <w:p>
            <w:pPr>
              <w:pStyle w:val="TableParagraph"/>
              <w:spacing w:line="225" w:lineRule="exact"/>
              <w:ind w:left="105"/>
              <w:rPr>
                <w:b/>
                <w:sz w:val="20"/>
              </w:rPr>
            </w:pPr>
            <w:r>
              <w:rPr>
                <w:b/>
                <w:sz w:val="20"/>
              </w:rPr>
              <w:t>GDP Growth</w:t>
            </w:r>
          </w:p>
        </w:tc>
        <w:tc>
          <w:tcPr>
            <w:tcW w:w="6605" w:type="dxa"/>
            <w:gridSpan w:val="6"/>
            <w:tcBorders>
              <w:top w:val="single" w:sz="4" w:space="0" w:color="000000"/>
              <w:bottom w:val="single" w:sz="4" w:space="0" w:color="000000"/>
              <w:right w:val="single" w:sz="4" w:space="0" w:color="000000"/>
            </w:tcBorders>
          </w:tcPr>
          <w:p>
            <w:pPr>
              <w:pStyle w:val="TableParagraph"/>
              <w:spacing w:line="227" w:lineRule="exact"/>
              <w:ind w:left="112"/>
              <w:rPr>
                <w:sz w:val="20"/>
              </w:rPr>
            </w:pPr>
            <w:r>
              <w:rPr>
                <w:sz w:val="20"/>
              </w:rPr>
              <w:t>Range:</w:t>
            </w:r>
          </w:p>
        </w:tc>
        <w:tc>
          <w:tcPr>
            <w:tcW w:w="1163" w:type="dxa"/>
            <w:vMerge w:val="restart"/>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2"/>
              <w:ind w:left="116"/>
              <w:rPr>
                <w:sz w:val="20"/>
              </w:rPr>
            </w:pPr>
            <w:r>
              <w:rPr>
                <w:sz w:val="20"/>
              </w:rPr>
              <w:t>Growth</w:t>
            </w:r>
          </w:p>
          <w:p>
            <w:pPr>
              <w:pStyle w:val="TableParagraph"/>
              <w:spacing w:before="115"/>
              <w:ind w:left="116"/>
              <w:rPr>
                <w:sz w:val="20"/>
              </w:rPr>
            </w:pPr>
            <w:r>
              <w:rPr>
                <w:sz w:val="20"/>
              </w:rPr>
              <w:t>Outturn</w:t>
            </w:r>
          </w:p>
        </w:tc>
      </w:tr>
      <w:tr>
        <w:trPr>
          <w:trHeight w:val="345" w:hRule="atLeast"/>
        </w:trPr>
        <w:tc>
          <w:tcPr>
            <w:tcW w:w="2329" w:type="dxa"/>
            <w:tcBorders>
              <w:left w:val="single" w:sz="6" w:space="0" w:color="000000"/>
              <w:bottom w:val="single" w:sz="4" w:space="0" w:color="000000"/>
            </w:tcBorders>
          </w:tcPr>
          <w:p>
            <w:pPr>
              <w:pStyle w:val="TableParagraph"/>
              <w:spacing w:line="227" w:lineRule="exact"/>
              <w:ind w:left="105"/>
              <w:rPr>
                <w:sz w:val="20"/>
              </w:rPr>
            </w:pPr>
            <w:r>
              <w:rPr>
                <w:sz w:val="20"/>
              </w:rPr>
              <w:t>Probability, per cent</w:t>
            </w:r>
          </w:p>
        </w:tc>
        <w:tc>
          <w:tcPr>
            <w:tcW w:w="885" w:type="dxa"/>
            <w:tcBorders>
              <w:top w:val="single" w:sz="4" w:space="0" w:color="000000"/>
              <w:bottom w:val="single" w:sz="4" w:space="0" w:color="000000"/>
            </w:tcBorders>
          </w:tcPr>
          <w:p>
            <w:pPr>
              <w:pStyle w:val="TableParagraph"/>
              <w:spacing w:line="227" w:lineRule="exact"/>
              <w:ind w:left="112"/>
              <w:rPr>
                <w:sz w:val="20"/>
              </w:rPr>
            </w:pPr>
            <w:r>
              <w:rPr>
                <w:sz w:val="20"/>
              </w:rPr>
              <w:t>&lt; -1%</w:t>
            </w:r>
          </w:p>
        </w:tc>
        <w:tc>
          <w:tcPr>
            <w:tcW w:w="1290" w:type="dxa"/>
            <w:tcBorders>
              <w:top w:val="single" w:sz="4" w:space="0" w:color="000000"/>
              <w:bottom w:val="single" w:sz="4" w:space="0" w:color="000000"/>
            </w:tcBorders>
          </w:tcPr>
          <w:p>
            <w:pPr>
              <w:pStyle w:val="TableParagraph"/>
              <w:spacing w:line="227" w:lineRule="exact"/>
              <w:ind w:left="312"/>
              <w:rPr>
                <w:sz w:val="20"/>
              </w:rPr>
            </w:pPr>
            <w:r>
              <w:rPr>
                <w:sz w:val="20"/>
              </w:rPr>
              <w:t>-1 - 0%</w:t>
            </w:r>
          </w:p>
        </w:tc>
        <w:tc>
          <w:tcPr>
            <w:tcW w:w="1195" w:type="dxa"/>
            <w:tcBorders>
              <w:top w:val="single" w:sz="4" w:space="0" w:color="000000"/>
              <w:bottom w:val="single" w:sz="4" w:space="0" w:color="000000"/>
            </w:tcBorders>
          </w:tcPr>
          <w:p>
            <w:pPr>
              <w:pStyle w:val="TableParagraph"/>
              <w:spacing w:line="227" w:lineRule="exact"/>
              <w:ind w:left="345"/>
              <w:rPr>
                <w:sz w:val="20"/>
              </w:rPr>
            </w:pPr>
            <w:r>
              <w:rPr>
                <w:sz w:val="20"/>
              </w:rPr>
              <w:t>0 - 1%</w:t>
            </w:r>
          </w:p>
        </w:tc>
        <w:tc>
          <w:tcPr>
            <w:tcW w:w="1136" w:type="dxa"/>
            <w:tcBorders>
              <w:top w:val="single" w:sz="4" w:space="0" w:color="000000"/>
              <w:bottom w:val="single" w:sz="4" w:space="0" w:color="000000"/>
            </w:tcBorders>
          </w:tcPr>
          <w:p>
            <w:pPr>
              <w:pStyle w:val="TableParagraph"/>
              <w:spacing w:line="227" w:lineRule="exact"/>
              <w:ind w:left="285"/>
              <w:rPr>
                <w:sz w:val="20"/>
              </w:rPr>
            </w:pPr>
            <w:r>
              <w:rPr>
                <w:sz w:val="20"/>
              </w:rPr>
              <w:t>1 - 2%</w:t>
            </w:r>
          </w:p>
        </w:tc>
        <w:tc>
          <w:tcPr>
            <w:tcW w:w="1136" w:type="dxa"/>
            <w:tcBorders>
              <w:top w:val="single" w:sz="4" w:space="0" w:color="000000"/>
              <w:bottom w:val="single" w:sz="4" w:space="0" w:color="000000"/>
            </w:tcBorders>
          </w:tcPr>
          <w:p>
            <w:pPr>
              <w:pStyle w:val="TableParagraph"/>
              <w:spacing w:line="227" w:lineRule="exact"/>
              <w:ind w:left="287"/>
              <w:rPr>
                <w:sz w:val="20"/>
              </w:rPr>
            </w:pPr>
            <w:r>
              <w:rPr>
                <w:sz w:val="20"/>
              </w:rPr>
              <w:t>2 - 3%</w:t>
            </w:r>
          </w:p>
        </w:tc>
        <w:tc>
          <w:tcPr>
            <w:tcW w:w="963" w:type="dxa"/>
            <w:tcBorders>
              <w:top w:val="single" w:sz="4" w:space="0" w:color="000000"/>
              <w:bottom w:val="single" w:sz="4" w:space="0" w:color="000000"/>
              <w:right w:val="single" w:sz="4" w:space="0" w:color="000000"/>
            </w:tcBorders>
          </w:tcPr>
          <w:p>
            <w:pPr>
              <w:pStyle w:val="TableParagraph"/>
              <w:spacing w:line="227" w:lineRule="exact"/>
              <w:ind w:left="286"/>
              <w:rPr>
                <w:sz w:val="20"/>
              </w:rPr>
            </w:pPr>
            <w:r>
              <w:rPr>
                <w:sz w:val="20"/>
              </w:rPr>
              <w:t>&gt;3%</w:t>
            </w:r>
          </w:p>
        </w:tc>
        <w:tc>
          <w:tcPr>
            <w:tcW w:w="1163" w:type="dxa"/>
            <w:vMerge/>
            <w:tcBorders>
              <w:top w:val="nil"/>
              <w:left w:val="single" w:sz="4" w:space="0" w:color="000000"/>
              <w:bottom w:val="single" w:sz="4" w:space="0" w:color="000000"/>
              <w:right w:val="single" w:sz="4" w:space="0" w:color="000000"/>
            </w:tcBorders>
            <w:shd w:val="clear" w:color="auto" w:fill="D9D9D9"/>
          </w:tcPr>
          <w:p>
            <w:pPr>
              <w:rPr>
                <w:sz w:val="2"/>
                <w:szCs w:val="2"/>
              </w:rPr>
            </w:pPr>
          </w:p>
        </w:tc>
      </w:tr>
      <w:tr>
        <w:trPr>
          <w:trHeight w:val="633" w:hRule="atLeast"/>
        </w:trPr>
        <w:tc>
          <w:tcPr>
            <w:tcW w:w="2329" w:type="dxa"/>
            <w:tcBorders>
              <w:top w:val="single" w:sz="4" w:space="0" w:color="000000"/>
              <w:left w:val="single" w:sz="6" w:space="0" w:color="000000"/>
            </w:tcBorders>
          </w:tcPr>
          <w:p>
            <w:pPr>
              <w:pStyle w:val="TableParagraph"/>
              <w:spacing w:line="227" w:lineRule="exact"/>
              <w:ind w:left="105"/>
              <w:rPr>
                <w:sz w:val="20"/>
              </w:rPr>
            </w:pPr>
            <w:r>
              <w:rPr>
                <w:sz w:val="20"/>
              </w:rPr>
              <w:t>Q1 2008 (1 year</w:t>
            </w:r>
          </w:p>
          <w:p>
            <w:pPr>
              <w:pStyle w:val="TableParagraph"/>
              <w:spacing w:before="115"/>
              <w:ind w:left="105"/>
              <w:rPr>
                <w:sz w:val="20"/>
              </w:rPr>
            </w:pPr>
            <w:r>
              <w:rPr>
                <w:sz w:val="20"/>
              </w:rPr>
              <w:t>ahead)</w:t>
            </w:r>
          </w:p>
        </w:tc>
        <w:tc>
          <w:tcPr>
            <w:tcW w:w="885" w:type="dxa"/>
            <w:tcBorders>
              <w:top w:val="single" w:sz="4" w:space="0" w:color="000000"/>
            </w:tcBorders>
          </w:tcPr>
          <w:p>
            <w:pPr>
              <w:pStyle w:val="TableParagraph"/>
              <w:spacing w:before="9"/>
              <w:rPr>
                <w:sz w:val="29"/>
              </w:rPr>
            </w:pPr>
          </w:p>
          <w:p>
            <w:pPr>
              <w:pStyle w:val="TableParagraph"/>
              <w:ind w:left="112"/>
              <w:rPr>
                <w:sz w:val="20"/>
              </w:rPr>
            </w:pPr>
            <w:r>
              <w:rPr>
                <w:w w:val="99"/>
                <w:sz w:val="20"/>
              </w:rPr>
              <w:t>0</w:t>
            </w:r>
          </w:p>
        </w:tc>
        <w:tc>
          <w:tcPr>
            <w:tcW w:w="1290" w:type="dxa"/>
            <w:tcBorders>
              <w:top w:val="single" w:sz="4" w:space="0" w:color="000000"/>
            </w:tcBorders>
          </w:tcPr>
          <w:p>
            <w:pPr>
              <w:pStyle w:val="TableParagraph"/>
              <w:spacing w:before="9"/>
              <w:rPr>
                <w:sz w:val="29"/>
              </w:rPr>
            </w:pPr>
          </w:p>
          <w:p>
            <w:pPr>
              <w:pStyle w:val="TableParagraph"/>
              <w:ind w:left="257"/>
              <w:rPr>
                <w:sz w:val="20"/>
              </w:rPr>
            </w:pPr>
            <w:r>
              <w:rPr>
                <w:w w:val="99"/>
                <w:sz w:val="20"/>
              </w:rPr>
              <w:t>0</w:t>
            </w:r>
          </w:p>
        </w:tc>
        <w:tc>
          <w:tcPr>
            <w:tcW w:w="1195" w:type="dxa"/>
            <w:tcBorders>
              <w:top w:val="single" w:sz="4" w:space="0" w:color="000000"/>
            </w:tcBorders>
          </w:tcPr>
          <w:p>
            <w:pPr>
              <w:pStyle w:val="TableParagraph"/>
              <w:spacing w:before="9"/>
              <w:rPr>
                <w:sz w:val="29"/>
              </w:rPr>
            </w:pPr>
          </w:p>
          <w:p>
            <w:pPr>
              <w:pStyle w:val="TableParagraph"/>
              <w:ind w:left="345"/>
              <w:rPr>
                <w:sz w:val="20"/>
              </w:rPr>
            </w:pPr>
            <w:r>
              <w:rPr>
                <w:sz w:val="20"/>
              </w:rPr>
              <w:t>17</w:t>
            </w:r>
          </w:p>
        </w:tc>
        <w:tc>
          <w:tcPr>
            <w:tcW w:w="1136" w:type="dxa"/>
            <w:tcBorders>
              <w:top w:val="single" w:sz="4" w:space="0" w:color="000000"/>
            </w:tcBorders>
          </w:tcPr>
          <w:p>
            <w:pPr>
              <w:pStyle w:val="TableParagraph"/>
              <w:spacing w:before="9"/>
              <w:rPr>
                <w:sz w:val="29"/>
              </w:rPr>
            </w:pPr>
          </w:p>
          <w:p>
            <w:pPr>
              <w:pStyle w:val="TableParagraph"/>
              <w:ind w:left="285"/>
              <w:rPr>
                <w:sz w:val="20"/>
              </w:rPr>
            </w:pPr>
            <w:r>
              <w:rPr>
                <w:sz w:val="20"/>
              </w:rPr>
              <w:t>43</w:t>
            </w:r>
          </w:p>
        </w:tc>
        <w:tc>
          <w:tcPr>
            <w:tcW w:w="1136" w:type="dxa"/>
            <w:tcBorders>
              <w:top w:val="single" w:sz="4" w:space="0" w:color="000000"/>
            </w:tcBorders>
          </w:tcPr>
          <w:p>
            <w:pPr>
              <w:pStyle w:val="TableParagraph"/>
              <w:spacing w:before="9"/>
              <w:rPr>
                <w:sz w:val="29"/>
              </w:rPr>
            </w:pPr>
          </w:p>
          <w:p>
            <w:pPr>
              <w:pStyle w:val="TableParagraph"/>
              <w:ind w:left="287"/>
              <w:rPr>
                <w:sz w:val="20"/>
              </w:rPr>
            </w:pPr>
            <w:r>
              <w:rPr>
                <w:sz w:val="20"/>
              </w:rPr>
              <w:t>32</w:t>
            </w:r>
          </w:p>
        </w:tc>
        <w:tc>
          <w:tcPr>
            <w:tcW w:w="963" w:type="dxa"/>
            <w:tcBorders>
              <w:top w:val="single" w:sz="4" w:space="0" w:color="000000"/>
              <w:right w:val="single" w:sz="4" w:space="0" w:color="000000"/>
            </w:tcBorders>
          </w:tcPr>
          <w:p>
            <w:pPr>
              <w:pStyle w:val="TableParagraph"/>
              <w:spacing w:before="9"/>
              <w:rPr>
                <w:sz w:val="29"/>
              </w:rPr>
            </w:pPr>
          </w:p>
          <w:p>
            <w:pPr>
              <w:pStyle w:val="TableParagraph"/>
              <w:ind w:left="286"/>
              <w:rPr>
                <w:sz w:val="20"/>
              </w:rPr>
            </w:pPr>
            <w:r>
              <w:rPr>
                <w:w w:val="99"/>
                <w:sz w:val="20"/>
              </w:rPr>
              <w:t>8</w:t>
            </w:r>
          </w:p>
        </w:tc>
        <w:tc>
          <w:tcPr>
            <w:tcW w:w="1163" w:type="dxa"/>
            <w:tcBorders>
              <w:top w:val="single" w:sz="4" w:space="0" w:color="000000"/>
              <w:left w:val="single" w:sz="4" w:space="0" w:color="000000"/>
              <w:right w:val="single" w:sz="4" w:space="0" w:color="000000"/>
            </w:tcBorders>
            <w:shd w:val="clear" w:color="auto" w:fill="D9D9D9"/>
          </w:tcPr>
          <w:p>
            <w:pPr>
              <w:pStyle w:val="TableParagraph"/>
              <w:spacing w:before="9"/>
              <w:rPr>
                <w:sz w:val="29"/>
              </w:rPr>
            </w:pPr>
          </w:p>
          <w:p>
            <w:pPr>
              <w:pStyle w:val="TableParagraph"/>
              <w:ind w:left="116"/>
              <w:rPr>
                <w:sz w:val="20"/>
              </w:rPr>
            </w:pPr>
            <w:r>
              <w:rPr>
                <w:sz w:val="20"/>
              </w:rPr>
              <w:t>2.8%</w:t>
            </w:r>
          </w:p>
        </w:tc>
      </w:tr>
      <w:tr>
        <w:trPr>
          <w:trHeight w:val="689" w:hRule="atLeast"/>
        </w:trPr>
        <w:tc>
          <w:tcPr>
            <w:tcW w:w="2329" w:type="dxa"/>
            <w:tcBorders>
              <w:left w:val="single" w:sz="6" w:space="0" w:color="000000"/>
            </w:tcBorders>
          </w:tcPr>
          <w:p>
            <w:pPr>
              <w:pStyle w:val="TableParagraph"/>
              <w:spacing w:before="54"/>
              <w:ind w:left="105"/>
              <w:rPr>
                <w:sz w:val="20"/>
              </w:rPr>
            </w:pPr>
            <w:r>
              <w:rPr>
                <w:sz w:val="20"/>
              </w:rPr>
              <w:t>Q2 2009 (2 years</w:t>
            </w:r>
          </w:p>
          <w:p>
            <w:pPr>
              <w:pStyle w:val="TableParagraph"/>
              <w:spacing w:before="113"/>
              <w:ind w:left="105"/>
              <w:rPr>
                <w:sz w:val="20"/>
              </w:rPr>
            </w:pPr>
            <w:r>
              <w:rPr>
                <w:sz w:val="20"/>
              </w:rPr>
              <w:t>ahead)</w:t>
            </w:r>
          </w:p>
        </w:tc>
        <w:tc>
          <w:tcPr>
            <w:tcW w:w="885" w:type="dxa"/>
          </w:tcPr>
          <w:p>
            <w:pPr>
              <w:pStyle w:val="TableParagraph"/>
              <w:rPr>
                <w:sz w:val="22"/>
              </w:rPr>
            </w:pPr>
          </w:p>
          <w:p>
            <w:pPr>
              <w:pStyle w:val="TableParagraph"/>
              <w:spacing w:before="144"/>
              <w:ind w:left="112"/>
              <w:rPr>
                <w:sz w:val="20"/>
              </w:rPr>
            </w:pPr>
            <w:r>
              <w:rPr>
                <w:w w:val="99"/>
                <w:sz w:val="20"/>
              </w:rPr>
              <w:t>6</w:t>
            </w:r>
          </w:p>
        </w:tc>
        <w:tc>
          <w:tcPr>
            <w:tcW w:w="1290" w:type="dxa"/>
          </w:tcPr>
          <w:p>
            <w:pPr>
              <w:pStyle w:val="TableParagraph"/>
              <w:rPr>
                <w:sz w:val="22"/>
              </w:rPr>
            </w:pPr>
          </w:p>
          <w:p>
            <w:pPr>
              <w:pStyle w:val="TableParagraph"/>
              <w:spacing w:before="144"/>
              <w:ind w:left="257"/>
              <w:rPr>
                <w:sz w:val="20"/>
              </w:rPr>
            </w:pPr>
            <w:r>
              <w:rPr>
                <w:sz w:val="20"/>
              </w:rPr>
              <w:t>12</w:t>
            </w:r>
          </w:p>
        </w:tc>
        <w:tc>
          <w:tcPr>
            <w:tcW w:w="1195" w:type="dxa"/>
          </w:tcPr>
          <w:p>
            <w:pPr>
              <w:pStyle w:val="TableParagraph"/>
              <w:rPr>
                <w:sz w:val="22"/>
              </w:rPr>
            </w:pPr>
          </w:p>
          <w:p>
            <w:pPr>
              <w:pStyle w:val="TableParagraph"/>
              <w:spacing w:before="144"/>
              <w:ind w:left="345"/>
              <w:rPr>
                <w:sz w:val="20"/>
              </w:rPr>
            </w:pPr>
            <w:r>
              <w:rPr>
                <w:sz w:val="20"/>
              </w:rPr>
              <w:t>21</w:t>
            </w:r>
          </w:p>
        </w:tc>
        <w:tc>
          <w:tcPr>
            <w:tcW w:w="1136" w:type="dxa"/>
          </w:tcPr>
          <w:p>
            <w:pPr>
              <w:pStyle w:val="TableParagraph"/>
              <w:rPr>
                <w:sz w:val="22"/>
              </w:rPr>
            </w:pPr>
          </w:p>
          <w:p>
            <w:pPr>
              <w:pStyle w:val="TableParagraph"/>
              <w:spacing w:before="144"/>
              <w:ind w:left="285"/>
              <w:rPr>
                <w:sz w:val="20"/>
              </w:rPr>
            </w:pPr>
            <w:r>
              <w:rPr>
                <w:sz w:val="20"/>
              </w:rPr>
              <w:t>27</w:t>
            </w:r>
          </w:p>
        </w:tc>
        <w:tc>
          <w:tcPr>
            <w:tcW w:w="1136" w:type="dxa"/>
          </w:tcPr>
          <w:p>
            <w:pPr>
              <w:pStyle w:val="TableParagraph"/>
              <w:rPr>
                <w:sz w:val="22"/>
              </w:rPr>
            </w:pPr>
          </w:p>
          <w:p>
            <w:pPr>
              <w:pStyle w:val="TableParagraph"/>
              <w:spacing w:before="144"/>
              <w:ind w:left="287"/>
              <w:rPr>
                <w:sz w:val="20"/>
              </w:rPr>
            </w:pPr>
            <w:r>
              <w:rPr>
                <w:sz w:val="20"/>
              </w:rPr>
              <w:t>21</w:t>
            </w:r>
          </w:p>
        </w:tc>
        <w:tc>
          <w:tcPr>
            <w:tcW w:w="963" w:type="dxa"/>
            <w:tcBorders>
              <w:right w:val="single" w:sz="4" w:space="0" w:color="000000"/>
            </w:tcBorders>
          </w:tcPr>
          <w:p>
            <w:pPr>
              <w:pStyle w:val="TableParagraph"/>
              <w:rPr>
                <w:sz w:val="22"/>
              </w:rPr>
            </w:pPr>
          </w:p>
          <w:p>
            <w:pPr>
              <w:pStyle w:val="TableParagraph"/>
              <w:spacing w:before="144"/>
              <w:ind w:left="286"/>
              <w:rPr>
                <w:sz w:val="20"/>
              </w:rPr>
            </w:pPr>
            <w:r>
              <w:rPr>
                <w:sz w:val="20"/>
              </w:rPr>
              <w:t>13</w:t>
            </w:r>
          </w:p>
        </w:tc>
        <w:tc>
          <w:tcPr>
            <w:tcW w:w="1163" w:type="dxa"/>
            <w:tcBorders>
              <w:left w:val="single" w:sz="4" w:space="0" w:color="000000"/>
              <w:right w:val="single" w:sz="4" w:space="0" w:color="000000"/>
            </w:tcBorders>
            <w:shd w:val="clear" w:color="auto" w:fill="D9D9D9"/>
          </w:tcPr>
          <w:p>
            <w:pPr>
              <w:pStyle w:val="TableParagraph"/>
              <w:rPr>
                <w:sz w:val="22"/>
              </w:rPr>
            </w:pPr>
          </w:p>
          <w:p>
            <w:pPr>
              <w:pStyle w:val="TableParagraph"/>
              <w:spacing w:before="144"/>
              <w:ind w:left="116"/>
              <w:rPr>
                <w:sz w:val="20"/>
              </w:rPr>
            </w:pPr>
            <w:r>
              <w:rPr>
                <w:sz w:val="20"/>
              </w:rPr>
              <w:t>-6.8%</w:t>
            </w:r>
          </w:p>
        </w:tc>
      </w:tr>
      <w:tr>
        <w:trPr>
          <w:trHeight w:val="748" w:hRule="atLeast"/>
        </w:trPr>
        <w:tc>
          <w:tcPr>
            <w:tcW w:w="2329" w:type="dxa"/>
            <w:tcBorders>
              <w:left w:val="single" w:sz="6" w:space="0" w:color="000000"/>
              <w:bottom w:val="single" w:sz="4" w:space="0" w:color="000000"/>
            </w:tcBorders>
          </w:tcPr>
          <w:p>
            <w:pPr>
              <w:pStyle w:val="TableParagraph"/>
              <w:spacing w:before="54"/>
              <w:ind w:left="105"/>
              <w:rPr>
                <w:sz w:val="20"/>
              </w:rPr>
            </w:pPr>
            <w:r>
              <w:rPr>
                <w:sz w:val="20"/>
              </w:rPr>
              <w:t>Q1 2010 (3 years</w:t>
            </w:r>
          </w:p>
          <w:p>
            <w:pPr>
              <w:pStyle w:val="TableParagraph"/>
              <w:spacing w:before="116"/>
              <w:ind w:left="105"/>
              <w:rPr>
                <w:sz w:val="20"/>
              </w:rPr>
            </w:pPr>
            <w:r>
              <w:rPr>
                <w:sz w:val="20"/>
              </w:rPr>
              <w:t>ahead)</w:t>
            </w:r>
          </w:p>
        </w:tc>
        <w:tc>
          <w:tcPr>
            <w:tcW w:w="885" w:type="dxa"/>
            <w:tcBorders>
              <w:bottom w:val="single" w:sz="4" w:space="0" w:color="000000"/>
            </w:tcBorders>
          </w:tcPr>
          <w:p>
            <w:pPr>
              <w:pStyle w:val="TableParagraph"/>
              <w:rPr>
                <w:sz w:val="22"/>
              </w:rPr>
            </w:pPr>
          </w:p>
          <w:p>
            <w:pPr>
              <w:pStyle w:val="TableParagraph"/>
              <w:spacing w:before="147"/>
              <w:ind w:left="112"/>
              <w:rPr>
                <w:sz w:val="20"/>
              </w:rPr>
            </w:pPr>
            <w:r>
              <w:rPr>
                <w:w w:val="99"/>
                <w:sz w:val="20"/>
              </w:rPr>
              <w:t>3</w:t>
            </w:r>
          </w:p>
        </w:tc>
        <w:tc>
          <w:tcPr>
            <w:tcW w:w="1290" w:type="dxa"/>
            <w:tcBorders>
              <w:bottom w:val="single" w:sz="4" w:space="0" w:color="000000"/>
            </w:tcBorders>
          </w:tcPr>
          <w:p>
            <w:pPr>
              <w:pStyle w:val="TableParagraph"/>
              <w:rPr>
                <w:sz w:val="22"/>
              </w:rPr>
            </w:pPr>
          </w:p>
          <w:p>
            <w:pPr>
              <w:pStyle w:val="TableParagraph"/>
              <w:spacing w:before="147"/>
              <w:ind w:left="257"/>
              <w:rPr>
                <w:sz w:val="20"/>
              </w:rPr>
            </w:pPr>
            <w:r>
              <w:rPr>
                <w:w w:val="99"/>
                <w:sz w:val="20"/>
              </w:rPr>
              <w:t>7</w:t>
            </w:r>
          </w:p>
        </w:tc>
        <w:tc>
          <w:tcPr>
            <w:tcW w:w="1195" w:type="dxa"/>
            <w:tcBorders>
              <w:bottom w:val="single" w:sz="4" w:space="0" w:color="000000"/>
            </w:tcBorders>
          </w:tcPr>
          <w:p>
            <w:pPr>
              <w:pStyle w:val="TableParagraph"/>
              <w:rPr>
                <w:sz w:val="22"/>
              </w:rPr>
            </w:pPr>
          </w:p>
          <w:p>
            <w:pPr>
              <w:pStyle w:val="TableParagraph"/>
              <w:spacing w:before="147"/>
              <w:ind w:left="345"/>
              <w:rPr>
                <w:sz w:val="20"/>
              </w:rPr>
            </w:pPr>
            <w:r>
              <w:rPr>
                <w:sz w:val="20"/>
              </w:rPr>
              <w:t>12</w:t>
            </w:r>
          </w:p>
        </w:tc>
        <w:tc>
          <w:tcPr>
            <w:tcW w:w="1136" w:type="dxa"/>
            <w:tcBorders>
              <w:bottom w:val="single" w:sz="4" w:space="0" w:color="000000"/>
            </w:tcBorders>
          </w:tcPr>
          <w:p>
            <w:pPr>
              <w:pStyle w:val="TableParagraph"/>
              <w:rPr>
                <w:sz w:val="22"/>
              </w:rPr>
            </w:pPr>
          </w:p>
          <w:p>
            <w:pPr>
              <w:pStyle w:val="TableParagraph"/>
              <w:spacing w:before="147"/>
              <w:ind w:left="285"/>
              <w:rPr>
                <w:sz w:val="20"/>
              </w:rPr>
            </w:pPr>
            <w:r>
              <w:rPr>
                <w:sz w:val="20"/>
              </w:rPr>
              <w:t>22</w:t>
            </w:r>
          </w:p>
        </w:tc>
        <w:tc>
          <w:tcPr>
            <w:tcW w:w="1136" w:type="dxa"/>
            <w:tcBorders>
              <w:bottom w:val="single" w:sz="4" w:space="0" w:color="000000"/>
            </w:tcBorders>
          </w:tcPr>
          <w:p>
            <w:pPr>
              <w:pStyle w:val="TableParagraph"/>
              <w:rPr>
                <w:sz w:val="22"/>
              </w:rPr>
            </w:pPr>
          </w:p>
          <w:p>
            <w:pPr>
              <w:pStyle w:val="TableParagraph"/>
              <w:spacing w:before="147"/>
              <w:ind w:left="287"/>
              <w:rPr>
                <w:sz w:val="20"/>
              </w:rPr>
            </w:pPr>
            <w:r>
              <w:rPr>
                <w:sz w:val="20"/>
              </w:rPr>
              <w:t>34</w:t>
            </w:r>
          </w:p>
        </w:tc>
        <w:tc>
          <w:tcPr>
            <w:tcW w:w="963" w:type="dxa"/>
            <w:tcBorders>
              <w:bottom w:val="single" w:sz="4" w:space="0" w:color="000000"/>
              <w:right w:val="single" w:sz="4" w:space="0" w:color="000000"/>
            </w:tcBorders>
          </w:tcPr>
          <w:p>
            <w:pPr>
              <w:pStyle w:val="TableParagraph"/>
              <w:rPr>
                <w:sz w:val="22"/>
              </w:rPr>
            </w:pPr>
          </w:p>
          <w:p>
            <w:pPr>
              <w:pStyle w:val="TableParagraph"/>
              <w:spacing w:before="147"/>
              <w:ind w:left="286"/>
              <w:rPr>
                <w:sz w:val="20"/>
              </w:rPr>
            </w:pPr>
            <w:r>
              <w:rPr>
                <w:sz w:val="20"/>
              </w:rPr>
              <w:t>24</w:t>
            </w:r>
          </w:p>
        </w:tc>
        <w:tc>
          <w:tcPr>
            <w:tcW w:w="1163" w:type="dxa"/>
            <w:tcBorders>
              <w:left w:val="single" w:sz="4" w:space="0" w:color="000000"/>
              <w:bottom w:val="single" w:sz="4" w:space="0" w:color="000000"/>
              <w:right w:val="single" w:sz="4" w:space="0" w:color="000000"/>
            </w:tcBorders>
            <w:shd w:val="clear" w:color="auto" w:fill="D9D9D9"/>
          </w:tcPr>
          <w:p>
            <w:pPr>
              <w:pStyle w:val="TableParagraph"/>
              <w:rPr>
                <w:sz w:val="22"/>
              </w:rPr>
            </w:pPr>
          </w:p>
          <w:p>
            <w:pPr>
              <w:pStyle w:val="TableParagraph"/>
              <w:spacing w:before="147"/>
              <w:ind w:left="116"/>
              <w:rPr>
                <w:sz w:val="20"/>
              </w:rPr>
            </w:pPr>
            <w:r>
              <w:rPr>
                <w:sz w:val="20"/>
              </w:rPr>
              <w:t>0.5%</w:t>
            </w:r>
          </w:p>
        </w:tc>
      </w:tr>
    </w:tbl>
    <w:p>
      <w:pPr>
        <w:spacing w:before="0"/>
        <w:ind w:left="233" w:right="0" w:firstLine="0"/>
        <w:jc w:val="left"/>
        <w:rPr>
          <w:sz w:val="16"/>
        </w:rPr>
      </w:pPr>
      <w:r>
        <w:rPr>
          <w:sz w:val="16"/>
        </w:rPr>
        <w:t>Source: Projections of forecasters as of Q1 2007. Outturn from ONS.</w:t>
      </w:r>
    </w:p>
    <w:p>
      <w:pPr>
        <w:pStyle w:val="BodyText"/>
        <w:rPr>
          <w:sz w:val="18"/>
        </w:rPr>
      </w:pPr>
    </w:p>
    <w:p>
      <w:pPr>
        <w:pStyle w:val="BodyText"/>
        <w:spacing w:before="10"/>
        <w:rPr>
          <w:sz w:val="19"/>
        </w:rPr>
      </w:pPr>
    </w:p>
    <w:p>
      <w:pPr>
        <w:pStyle w:val="BodyText"/>
        <w:spacing w:line="360" w:lineRule="auto"/>
        <w:ind w:left="233"/>
      </w:pPr>
      <w:r>
        <w:rPr/>
        <w:t>All economists interviewed thought there was only a remote possibility of a recession as deep as the one that subsequently occurred. On average people surveyed thought it 94% likely that growth in the year to</w:t>
      </w:r>
    </w:p>
    <w:p>
      <w:pPr>
        <w:pStyle w:val="BodyText"/>
        <w:spacing w:line="360" w:lineRule="auto" w:before="2"/>
        <w:ind w:left="233" w:right="1204"/>
      </w:pPr>
      <w:r>
        <w:rPr/>
        <w:t>2009 Q2 would be above -1%. The outturn was for growth of -7%. Table 2 shows results for annual inflation forecasts as of 2007 Q1. Economists believed that the likelihood that the actual inflation rates for 2009 Q1 would be 3% or higher was around 6% and for 2010 that there was only a 10% chance that inflation would exceed 3%. In fact inflation was at 3% or more in both years.  Two- and three-year ahead forecasts of annual inflation made in 2011 were not much better, as Table 3</w:t>
      </w:r>
      <w:r>
        <w:rPr>
          <w:spacing w:val="-5"/>
        </w:rPr>
        <w:t> </w:t>
      </w:r>
      <w:r>
        <w:rPr/>
        <w:t>shows.</w:t>
      </w:r>
    </w:p>
    <w:p>
      <w:pPr>
        <w:spacing w:after="0" w:line="360" w:lineRule="auto"/>
        <w:sectPr>
          <w:pgSz w:w="11910" w:h="16840"/>
          <w:pgMar w:header="0" w:footer="1338" w:top="1520" w:bottom="1520" w:left="900" w:right="0"/>
        </w:sectPr>
      </w:pPr>
    </w:p>
    <w:p>
      <w:pPr>
        <w:pStyle w:val="BodyText"/>
        <w:spacing w:before="76"/>
        <w:ind w:left="233"/>
      </w:pPr>
      <w:r>
        <w:rPr>
          <w:b/>
        </w:rPr>
        <w:t>Table 2</w:t>
      </w:r>
      <w:r>
        <w:rPr/>
        <w:t>: Forecasters' probability distribution for CPI inflation as of Q1 2007</w:t>
      </w:r>
    </w:p>
    <w:p>
      <w:pPr>
        <w:pStyle w:val="BodyText"/>
        <w:spacing w:before="4"/>
        <w:rPr>
          <w:sz w:val="10"/>
        </w:rPr>
      </w:pP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2"/>
        <w:gridCol w:w="790"/>
        <w:gridCol w:w="1047"/>
        <w:gridCol w:w="900"/>
        <w:gridCol w:w="934"/>
        <w:gridCol w:w="1045"/>
        <w:gridCol w:w="962"/>
        <w:gridCol w:w="1049"/>
        <w:gridCol w:w="963"/>
      </w:tblGrid>
      <w:tr>
        <w:trPr>
          <w:trHeight w:val="345" w:hRule="atLeast"/>
        </w:trPr>
        <w:tc>
          <w:tcPr>
            <w:tcW w:w="2322" w:type="dxa"/>
            <w:tcBorders>
              <w:top w:val="single" w:sz="4" w:space="0" w:color="000000"/>
              <w:left w:val="single" w:sz="6" w:space="0" w:color="000000"/>
            </w:tcBorders>
          </w:tcPr>
          <w:p>
            <w:pPr>
              <w:pStyle w:val="TableParagraph"/>
              <w:spacing w:line="225" w:lineRule="exact"/>
              <w:ind w:left="105"/>
              <w:rPr>
                <w:b/>
                <w:sz w:val="20"/>
              </w:rPr>
            </w:pPr>
            <w:r>
              <w:rPr>
                <w:b/>
                <w:sz w:val="20"/>
              </w:rPr>
              <w:t>CPI Inflation</w:t>
            </w:r>
          </w:p>
        </w:tc>
        <w:tc>
          <w:tcPr>
            <w:tcW w:w="6727" w:type="dxa"/>
            <w:gridSpan w:val="7"/>
            <w:tcBorders>
              <w:top w:val="single" w:sz="4" w:space="0" w:color="000000"/>
              <w:bottom w:val="single" w:sz="4" w:space="0" w:color="000000"/>
              <w:right w:val="single" w:sz="4" w:space="0" w:color="000000"/>
            </w:tcBorders>
          </w:tcPr>
          <w:p>
            <w:pPr>
              <w:pStyle w:val="TableParagraph"/>
              <w:spacing w:line="227" w:lineRule="exact"/>
              <w:ind w:left="112"/>
              <w:rPr>
                <w:sz w:val="20"/>
              </w:rPr>
            </w:pPr>
            <w:r>
              <w:rPr>
                <w:sz w:val="20"/>
              </w:rPr>
              <w:t>Range:</w:t>
            </w:r>
          </w:p>
        </w:tc>
        <w:tc>
          <w:tcPr>
            <w:tcW w:w="963" w:type="dxa"/>
            <w:vMerge w:val="restart"/>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74"/>
              <w:ind w:left="102"/>
              <w:rPr>
                <w:sz w:val="20"/>
              </w:rPr>
            </w:pPr>
            <w:r>
              <w:rPr>
                <w:sz w:val="20"/>
              </w:rPr>
              <w:t>CPI</w:t>
            </w:r>
          </w:p>
          <w:p>
            <w:pPr>
              <w:pStyle w:val="TableParagraph"/>
              <w:spacing w:before="116"/>
              <w:ind w:left="102"/>
              <w:rPr>
                <w:sz w:val="20"/>
              </w:rPr>
            </w:pPr>
            <w:r>
              <w:rPr>
                <w:sz w:val="20"/>
              </w:rPr>
              <w:t>Outturn</w:t>
            </w:r>
          </w:p>
        </w:tc>
      </w:tr>
      <w:tr>
        <w:trPr>
          <w:trHeight w:val="690" w:hRule="atLeast"/>
        </w:trPr>
        <w:tc>
          <w:tcPr>
            <w:tcW w:w="2322" w:type="dxa"/>
            <w:tcBorders>
              <w:left w:val="single" w:sz="6" w:space="0" w:color="000000"/>
              <w:bottom w:val="single" w:sz="4" w:space="0" w:color="000000"/>
            </w:tcBorders>
          </w:tcPr>
          <w:p>
            <w:pPr>
              <w:pStyle w:val="TableParagraph"/>
              <w:spacing w:before="170"/>
              <w:ind w:left="105"/>
              <w:rPr>
                <w:sz w:val="20"/>
              </w:rPr>
            </w:pPr>
            <w:r>
              <w:rPr>
                <w:sz w:val="20"/>
              </w:rPr>
              <w:t>Probability, per cent</w:t>
            </w:r>
          </w:p>
        </w:tc>
        <w:tc>
          <w:tcPr>
            <w:tcW w:w="790" w:type="dxa"/>
            <w:tcBorders>
              <w:top w:val="single" w:sz="4" w:space="0" w:color="000000"/>
              <w:bottom w:val="single" w:sz="4" w:space="0" w:color="000000"/>
            </w:tcBorders>
          </w:tcPr>
          <w:p>
            <w:pPr>
              <w:pStyle w:val="TableParagraph"/>
              <w:spacing w:before="170"/>
              <w:ind w:left="112"/>
              <w:rPr>
                <w:sz w:val="20"/>
              </w:rPr>
            </w:pPr>
            <w:r>
              <w:rPr>
                <w:sz w:val="20"/>
              </w:rPr>
              <w:t>&lt;0%</w:t>
            </w:r>
          </w:p>
        </w:tc>
        <w:tc>
          <w:tcPr>
            <w:tcW w:w="1047" w:type="dxa"/>
            <w:tcBorders>
              <w:top w:val="single" w:sz="4" w:space="0" w:color="000000"/>
              <w:bottom w:val="single" w:sz="4" w:space="0" w:color="000000"/>
            </w:tcBorders>
          </w:tcPr>
          <w:p>
            <w:pPr>
              <w:pStyle w:val="TableParagraph"/>
              <w:spacing w:before="170"/>
              <w:ind w:left="282"/>
              <w:rPr>
                <w:sz w:val="20"/>
              </w:rPr>
            </w:pPr>
            <w:r>
              <w:rPr>
                <w:sz w:val="20"/>
              </w:rPr>
              <w:t>0 - 1%</w:t>
            </w:r>
          </w:p>
        </w:tc>
        <w:tc>
          <w:tcPr>
            <w:tcW w:w="900" w:type="dxa"/>
            <w:tcBorders>
              <w:top w:val="single" w:sz="4" w:space="0" w:color="000000"/>
              <w:bottom w:val="single" w:sz="4" w:space="0" w:color="000000"/>
            </w:tcBorders>
          </w:tcPr>
          <w:p>
            <w:pPr>
              <w:pStyle w:val="TableParagraph"/>
              <w:spacing w:line="227" w:lineRule="exact"/>
              <w:ind w:left="195"/>
              <w:rPr>
                <w:sz w:val="20"/>
              </w:rPr>
            </w:pPr>
            <w:r>
              <w:rPr>
                <w:sz w:val="20"/>
              </w:rPr>
              <w:t>1 -</w:t>
            </w:r>
          </w:p>
          <w:p>
            <w:pPr>
              <w:pStyle w:val="TableParagraph"/>
              <w:spacing w:before="115"/>
              <w:ind w:left="195"/>
              <w:rPr>
                <w:sz w:val="20"/>
              </w:rPr>
            </w:pPr>
            <w:r>
              <w:rPr>
                <w:sz w:val="20"/>
              </w:rPr>
              <w:t>1.5%</w:t>
            </w:r>
          </w:p>
        </w:tc>
        <w:tc>
          <w:tcPr>
            <w:tcW w:w="934" w:type="dxa"/>
            <w:tcBorders>
              <w:top w:val="single" w:sz="4" w:space="0" w:color="000000"/>
              <w:bottom w:val="single" w:sz="4" w:space="0" w:color="000000"/>
            </w:tcBorders>
          </w:tcPr>
          <w:p>
            <w:pPr>
              <w:pStyle w:val="TableParagraph"/>
              <w:spacing w:line="227" w:lineRule="exact"/>
              <w:ind w:left="256"/>
              <w:rPr>
                <w:sz w:val="20"/>
              </w:rPr>
            </w:pPr>
            <w:r>
              <w:rPr>
                <w:sz w:val="20"/>
              </w:rPr>
              <w:t>1.5 -</w:t>
            </w:r>
          </w:p>
          <w:p>
            <w:pPr>
              <w:pStyle w:val="TableParagraph"/>
              <w:spacing w:before="115"/>
              <w:ind w:left="256"/>
              <w:rPr>
                <w:sz w:val="20"/>
              </w:rPr>
            </w:pPr>
            <w:r>
              <w:rPr>
                <w:sz w:val="20"/>
              </w:rPr>
              <w:t>2%</w:t>
            </w:r>
          </w:p>
        </w:tc>
        <w:tc>
          <w:tcPr>
            <w:tcW w:w="1045" w:type="dxa"/>
            <w:tcBorders>
              <w:top w:val="single" w:sz="4" w:space="0" w:color="000000"/>
              <w:bottom w:val="single" w:sz="4" w:space="0" w:color="000000"/>
            </w:tcBorders>
          </w:tcPr>
          <w:p>
            <w:pPr>
              <w:pStyle w:val="TableParagraph"/>
              <w:spacing w:before="170"/>
              <w:ind w:left="282"/>
              <w:rPr>
                <w:sz w:val="20"/>
              </w:rPr>
            </w:pPr>
            <w:r>
              <w:rPr>
                <w:sz w:val="20"/>
              </w:rPr>
              <w:t>2 - 2.5</w:t>
            </w:r>
          </w:p>
        </w:tc>
        <w:tc>
          <w:tcPr>
            <w:tcW w:w="962" w:type="dxa"/>
            <w:tcBorders>
              <w:top w:val="single" w:sz="4" w:space="0" w:color="000000"/>
              <w:bottom w:val="single" w:sz="4" w:space="0" w:color="000000"/>
            </w:tcBorders>
          </w:tcPr>
          <w:p>
            <w:pPr>
              <w:pStyle w:val="TableParagraph"/>
              <w:spacing w:before="170"/>
              <w:ind w:left="197"/>
              <w:rPr>
                <w:sz w:val="20"/>
              </w:rPr>
            </w:pPr>
            <w:r>
              <w:rPr>
                <w:sz w:val="20"/>
              </w:rPr>
              <w:t>2.5 - 3</w:t>
            </w:r>
          </w:p>
        </w:tc>
        <w:tc>
          <w:tcPr>
            <w:tcW w:w="1049" w:type="dxa"/>
            <w:tcBorders>
              <w:top w:val="single" w:sz="4" w:space="0" w:color="000000"/>
              <w:bottom w:val="single" w:sz="4" w:space="0" w:color="000000"/>
              <w:right w:val="single" w:sz="4" w:space="0" w:color="000000"/>
            </w:tcBorders>
          </w:tcPr>
          <w:p>
            <w:pPr>
              <w:pStyle w:val="TableParagraph"/>
              <w:spacing w:before="170"/>
              <w:ind w:left="195"/>
              <w:rPr>
                <w:sz w:val="20"/>
              </w:rPr>
            </w:pPr>
            <w:r>
              <w:rPr>
                <w:sz w:val="20"/>
              </w:rPr>
              <w:t>&gt;3%</w:t>
            </w:r>
          </w:p>
        </w:tc>
        <w:tc>
          <w:tcPr>
            <w:tcW w:w="963" w:type="dxa"/>
            <w:vMerge/>
            <w:tcBorders>
              <w:top w:val="nil"/>
              <w:left w:val="single" w:sz="4" w:space="0" w:color="000000"/>
              <w:bottom w:val="single" w:sz="4" w:space="0" w:color="000000"/>
              <w:right w:val="single" w:sz="4" w:space="0" w:color="000000"/>
            </w:tcBorders>
            <w:shd w:val="clear" w:color="auto" w:fill="D9D9D9"/>
          </w:tcPr>
          <w:p>
            <w:pPr>
              <w:rPr>
                <w:sz w:val="2"/>
                <w:szCs w:val="2"/>
              </w:rPr>
            </w:pPr>
          </w:p>
        </w:tc>
      </w:tr>
      <w:tr>
        <w:trPr>
          <w:trHeight w:val="633" w:hRule="atLeast"/>
        </w:trPr>
        <w:tc>
          <w:tcPr>
            <w:tcW w:w="2322" w:type="dxa"/>
            <w:tcBorders>
              <w:top w:val="single" w:sz="4" w:space="0" w:color="000000"/>
              <w:left w:val="single" w:sz="6" w:space="0" w:color="000000"/>
            </w:tcBorders>
          </w:tcPr>
          <w:p>
            <w:pPr>
              <w:pStyle w:val="TableParagraph"/>
              <w:spacing w:line="227" w:lineRule="exact"/>
              <w:ind w:left="105"/>
              <w:rPr>
                <w:sz w:val="20"/>
              </w:rPr>
            </w:pPr>
            <w:r>
              <w:rPr>
                <w:sz w:val="20"/>
              </w:rPr>
              <w:t>Q1 2008 (1 year</w:t>
            </w:r>
          </w:p>
          <w:p>
            <w:pPr>
              <w:pStyle w:val="TableParagraph"/>
              <w:spacing w:before="115"/>
              <w:ind w:left="105"/>
              <w:rPr>
                <w:sz w:val="20"/>
              </w:rPr>
            </w:pPr>
            <w:r>
              <w:rPr>
                <w:sz w:val="20"/>
              </w:rPr>
              <w:t>ahead)</w:t>
            </w:r>
          </w:p>
        </w:tc>
        <w:tc>
          <w:tcPr>
            <w:tcW w:w="790" w:type="dxa"/>
            <w:tcBorders>
              <w:top w:val="single" w:sz="4" w:space="0" w:color="000000"/>
            </w:tcBorders>
          </w:tcPr>
          <w:p>
            <w:pPr>
              <w:pStyle w:val="TableParagraph"/>
              <w:spacing w:before="170"/>
              <w:ind w:left="112"/>
              <w:rPr>
                <w:sz w:val="20"/>
              </w:rPr>
            </w:pPr>
            <w:r>
              <w:rPr>
                <w:w w:val="99"/>
                <w:sz w:val="20"/>
              </w:rPr>
              <w:t>0</w:t>
            </w:r>
          </w:p>
        </w:tc>
        <w:tc>
          <w:tcPr>
            <w:tcW w:w="1047" w:type="dxa"/>
            <w:tcBorders>
              <w:top w:val="single" w:sz="4" w:space="0" w:color="000000"/>
            </w:tcBorders>
          </w:tcPr>
          <w:p>
            <w:pPr>
              <w:pStyle w:val="TableParagraph"/>
              <w:spacing w:before="170"/>
              <w:ind w:left="282"/>
              <w:rPr>
                <w:sz w:val="20"/>
              </w:rPr>
            </w:pPr>
            <w:r>
              <w:rPr>
                <w:w w:val="99"/>
                <w:sz w:val="20"/>
              </w:rPr>
              <w:t>5</w:t>
            </w:r>
          </w:p>
        </w:tc>
        <w:tc>
          <w:tcPr>
            <w:tcW w:w="900" w:type="dxa"/>
            <w:tcBorders>
              <w:top w:val="single" w:sz="4" w:space="0" w:color="000000"/>
            </w:tcBorders>
          </w:tcPr>
          <w:p>
            <w:pPr>
              <w:pStyle w:val="TableParagraph"/>
              <w:spacing w:before="170"/>
              <w:ind w:left="195"/>
              <w:rPr>
                <w:sz w:val="20"/>
              </w:rPr>
            </w:pPr>
            <w:r>
              <w:rPr>
                <w:sz w:val="20"/>
              </w:rPr>
              <w:t>14</w:t>
            </w:r>
          </w:p>
        </w:tc>
        <w:tc>
          <w:tcPr>
            <w:tcW w:w="934" w:type="dxa"/>
            <w:tcBorders>
              <w:top w:val="single" w:sz="4" w:space="0" w:color="000000"/>
            </w:tcBorders>
          </w:tcPr>
          <w:p>
            <w:pPr>
              <w:pStyle w:val="TableParagraph"/>
              <w:spacing w:before="170"/>
              <w:ind w:left="256"/>
              <w:rPr>
                <w:sz w:val="20"/>
              </w:rPr>
            </w:pPr>
            <w:r>
              <w:rPr>
                <w:sz w:val="20"/>
              </w:rPr>
              <w:t>28</w:t>
            </w:r>
          </w:p>
        </w:tc>
        <w:tc>
          <w:tcPr>
            <w:tcW w:w="1045" w:type="dxa"/>
            <w:tcBorders>
              <w:top w:val="single" w:sz="4" w:space="0" w:color="000000"/>
            </w:tcBorders>
          </w:tcPr>
          <w:p>
            <w:pPr>
              <w:pStyle w:val="TableParagraph"/>
              <w:spacing w:before="170"/>
              <w:ind w:left="282"/>
              <w:rPr>
                <w:sz w:val="20"/>
              </w:rPr>
            </w:pPr>
            <w:r>
              <w:rPr>
                <w:sz w:val="20"/>
              </w:rPr>
              <w:t>30</w:t>
            </w:r>
          </w:p>
        </w:tc>
        <w:tc>
          <w:tcPr>
            <w:tcW w:w="962" w:type="dxa"/>
            <w:tcBorders>
              <w:top w:val="single" w:sz="4" w:space="0" w:color="000000"/>
            </w:tcBorders>
          </w:tcPr>
          <w:p>
            <w:pPr>
              <w:pStyle w:val="TableParagraph"/>
              <w:spacing w:before="170"/>
              <w:ind w:left="197"/>
              <w:rPr>
                <w:sz w:val="20"/>
              </w:rPr>
            </w:pPr>
            <w:r>
              <w:rPr>
                <w:sz w:val="20"/>
              </w:rPr>
              <w:t>16</w:t>
            </w:r>
          </w:p>
        </w:tc>
        <w:tc>
          <w:tcPr>
            <w:tcW w:w="1049" w:type="dxa"/>
            <w:tcBorders>
              <w:top w:val="single" w:sz="4" w:space="0" w:color="000000"/>
              <w:right w:val="single" w:sz="4" w:space="0" w:color="000000"/>
            </w:tcBorders>
          </w:tcPr>
          <w:p>
            <w:pPr>
              <w:pStyle w:val="TableParagraph"/>
              <w:spacing w:before="170"/>
              <w:ind w:left="195"/>
              <w:rPr>
                <w:sz w:val="20"/>
              </w:rPr>
            </w:pPr>
            <w:r>
              <w:rPr>
                <w:w w:val="99"/>
                <w:sz w:val="20"/>
              </w:rPr>
              <w:t>8</w:t>
            </w:r>
          </w:p>
        </w:tc>
        <w:tc>
          <w:tcPr>
            <w:tcW w:w="963" w:type="dxa"/>
            <w:tcBorders>
              <w:top w:val="single" w:sz="4" w:space="0" w:color="000000"/>
              <w:left w:val="single" w:sz="4" w:space="0" w:color="000000"/>
              <w:right w:val="single" w:sz="4" w:space="0" w:color="000000"/>
            </w:tcBorders>
            <w:shd w:val="clear" w:color="auto" w:fill="D9D9D9"/>
          </w:tcPr>
          <w:p>
            <w:pPr>
              <w:pStyle w:val="TableParagraph"/>
              <w:spacing w:before="170"/>
              <w:ind w:left="102"/>
              <w:rPr>
                <w:sz w:val="20"/>
              </w:rPr>
            </w:pPr>
            <w:r>
              <w:rPr>
                <w:sz w:val="20"/>
              </w:rPr>
              <w:t>2.4%</w:t>
            </w:r>
          </w:p>
        </w:tc>
      </w:tr>
      <w:tr>
        <w:trPr>
          <w:trHeight w:val="688" w:hRule="atLeast"/>
        </w:trPr>
        <w:tc>
          <w:tcPr>
            <w:tcW w:w="2322" w:type="dxa"/>
            <w:tcBorders>
              <w:left w:val="single" w:sz="6" w:space="0" w:color="000000"/>
            </w:tcBorders>
          </w:tcPr>
          <w:p>
            <w:pPr>
              <w:pStyle w:val="TableParagraph"/>
              <w:spacing w:before="54"/>
              <w:ind w:left="105"/>
              <w:rPr>
                <w:sz w:val="20"/>
              </w:rPr>
            </w:pPr>
            <w:r>
              <w:rPr>
                <w:sz w:val="20"/>
              </w:rPr>
              <w:t>Q1 2009 (2 years</w:t>
            </w:r>
          </w:p>
          <w:p>
            <w:pPr>
              <w:pStyle w:val="TableParagraph"/>
              <w:spacing w:before="113"/>
              <w:ind w:left="105"/>
              <w:rPr>
                <w:sz w:val="20"/>
              </w:rPr>
            </w:pPr>
            <w:r>
              <w:rPr>
                <w:sz w:val="20"/>
              </w:rPr>
              <w:t>ahead)</w:t>
            </w:r>
          </w:p>
        </w:tc>
        <w:tc>
          <w:tcPr>
            <w:tcW w:w="790" w:type="dxa"/>
          </w:tcPr>
          <w:p>
            <w:pPr>
              <w:pStyle w:val="TableParagraph"/>
              <w:spacing w:before="6"/>
              <w:rPr>
                <w:sz w:val="19"/>
              </w:rPr>
            </w:pPr>
          </w:p>
          <w:p>
            <w:pPr>
              <w:pStyle w:val="TableParagraph"/>
              <w:ind w:left="112"/>
              <w:rPr>
                <w:sz w:val="20"/>
              </w:rPr>
            </w:pPr>
            <w:r>
              <w:rPr>
                <w:w w:val="99"/>
                <w:sz w:val="20"/>
              </w:rPr>
              <w:t>9</w:t>
            </w:r>
          </w:p>
        </w:tc>
        <w:tc>
          <w:tcPr>
            <w:tcW w:w="1047" w:type="dxa"/>
          </w:tcPr>
          <w:p>
            <w:pPr>
              <w:pStyle w:val="TableParagraph"/>
              <w:spacing w:before="6"/>
              <w:rPr>
                <w:sz w:val="19"/>
              </w:rPr>
            </w:pPr>
          </w:p>
          <w:p>
            <w:pPr>
              <w:pStyle w:val="TableParagraph"/>
              <w:ind w:left="282"/>
              <w:rPr>
                <w:sz w:val="20"/>
              </w:rPr>
            </w:pPr>
            <w:r>
              <w:rPr>
                <w:sz w:val="20"/>
              </w:rPr>
              <w:t>17</w:t>
            </w:r>
          </w:p>
        </w:tc>
        <w:tc>
          <w:tcPr>
            <w:tcW w:w="900" w:type="dxa"/>
          </w:tcPr>
          <w:p>
            <w:pPr>
              <w:pStyle w:val="TableParagraph"/>
              <w:spacing w:before="6"/>
              <w:rPr>
                <w:sz w:val="19"/>
              </w:rPr>
            </w:pPr>
          </w:p>
          <w:p>
            <w:pPr>
              <w:pStyle w:val="TableParagraph"/>
              <w:ind w:left="195"/>
              <w:rPr>
                <w:sz w:val="20"/>
              </w:rPr>
            </w:pPr>
            <w:r>
              <w:rPr>
                <w:sz w:val="20"/>
              </w:rPr>
              <w:t>21</w:t>
            </w:r>
          </w:p>
        </w:tc>
        <w:tc>
          <w:tcPr>
            <w:tcW w:w="934" w:type="dxa"/>
          </w:tcPr>
          <w:p>
            <w:pPr>
              <w:pStyle w:val="TableParagraph"/>
              <w:spacing w:before="6"/>
              <w:rPr>
                <w:sz w:val="19"/>
              </w:rPr>
            </w:pPr>
          </w:p>
          <w:p>
            <w:pPr>
              <w:pStyle w:val="TableParagraph"/>
              <w:ind w:left="256"/>
              <w:rPr>
                <w:sz w:val="20"/>
              </w:rPr>
            </w:pPr>
            <w:r>
              <w:rPr>
                <w:sz w:val="20"/>
              </w:rPr>
              <w:t>23</w:t>
            </w:r>
          </w:p>
        </w:tc>
        <w:tc>
          <w:tcPr>
            <w:tcW w:w="1045" w:type="dxa"/>
          </w:tcPr>
          <w:p>
            <w:pPr>
              <w:pStyle w:val="TableParagraph"/>
              <w:spacing w:before="6"/>
              <w:rPr>
                <w:sz w:val="19"/>
              </w:rPr>
            </w:pPr>
          </w:p>
          <w:p>
            <w:pPr>
              <w:pStyle w:val="TableParagraph"/>
              <w:ind w:left="282"/>
              <w:rPr>
                <w:sz w:val="20"/>
              </w:rPr>
            </w:pPr>
            <w:r>
              <w:rPr>
                <w:sz w:val="20"/>
              </w:rPr>
              <w:t>16</w:t>
            </w:r>
          </w:p>
        </w:tc>
        <w:tc>
          <w:tcPr>
            <w:tcW w:w="962" w:type="dxa"/>
          </w:tcPr>
          <w:p>
            <w:pPr>
              <w:pStyle w:val="TableParagraph"/>
              <w:spacing w:before="6"/>
              <w:rPr>
                <w:sz w:val="19"/>
              </w:rPr>
            </w:pPr>
          </w:p>
          <w:p>
            <w:pPr>
              <w:pStyle w:val="TableParagraph"/>
              <w:ind w:left="197"/>
              <w:rPr>
                <w:sz w:val="20"/>
              </w:rPr>
            </w:pPr>
            <w:r>
              <w:rPr>
                <w:w w:val="99"/>
                <w:sz w:val="20"/>
              </w:rPr>
              <w:t>8</w:t>
            </w:r>
          </w:p>
        </w:tc>
        <w:tc>
          <w:tcPr>
            <w:tcW w:w="1049" w:type="dxa"/>
            <w:tcBorders>
              <w:right w:val="single" w:sz="4" w:space="0" w:color="000000"/>
            </w:tcBorders>
          </w:tcPr>
          <w:p>
            <w:pPr>
              <w:pStyle w:val="TableParagraph"/>
              <w:spacing w:before="6"/>
              <w:rPr>
                <w:sz w:val="19"/>
              </w:rPr>
            </w:pPr>
          </w:p>
          <w:p>
            <w:pPr>
              <w:pStyle w:val="TableParagraph"/>
              <w:ind w:left="195"/>
              <w:rPr>
                <w:sz w:val="20"/>
              </w:rPr>
            </w:pPr>
            <w:r>
              <w:rPr>
                <w:w w:val="99"/>
                <w:sz w:val="20"/>
              </w:rPr>
              <w:t>6</w:t>
            </w:r>
          </w:p>
        </w:tc>
        <w:tc>
          <w:tcPr>
            <w:tcW w:w="963" w:type="dxa"/>
            <w:tcBorders>
              <w:left w:val="single" w:sz="4" w:space="0" w:color="000000"/>
              <w:right w:val="single" w:sz="4" w:space="0" w:color="000000"/>
            </w:tcBorders>
            <w:shd w:val="clear" w:color="auto" w:fill="D9D9D9"/>
          </w:tcPr>
          <w:p>
            <w:pPr>
              <w:pStyle w:val="TableParagraph"/>
              <w:spacing w:before="6"/>
              <w:rPr>
                <w:sz w:val="19"/>
              </w:rPr>
            </w:pPr>
          </w:p>
          <w:p>
            <w:pPr>
              <w:pStyle w:val="TableParagraph"/>
              <w:ind w:left="102"/>
              <w:rPr>
                <w:sz w:val="20"/>
              </w:rPr>
            </w:pPr>
            <w:r>
              <w:rPr>
                <w:sz w:val="20"/>
              </w:rPr>
              <w:t>3.0%</w:t>
            </w:r>
          </w:p>
        </w:tc>
      </w:tr>
      <w:tr>
        <w:trPr>
          <w:trHeight w:val="748" w:hRule="atLeast"/>
        </w:trPr>
        <w:tc>
          <w:tcPr>
            <w:tcW w:w="2322" w:type="dxa"/>
            <w:tcBorders>
              <w:left w:val="single" w:sz="6" w:space="0" w:color="000000"/>
              <w:bottom w:val="single" w:sz="4" w:space="0" w:color="000000"/>
            </w:tcBorders>
          </w:tcPr>
          <w:p>
            <w:pPr>
              <w:pStyle w:val="TableParagraph"/>
              <w:spacing w:before="54"/>
              <w:ind w:left="105"/>
              <w:rPr>
                <w:sz w:val="20"/>
              </w:rPr>
            </w:pPr>
            <w:r>
              <w:rPr>
                <w:sz w:val="20"/>
              </w:rPr>
              <w:t>Q1 2010 (3 years</w:t>
            </w:r>
          </w:p>
          <w:p>
            <w:pPr>
              <w:pStyle w:val="TableParagraph"/>
              <w:spacing w:before="116"/>
              <w:ind w:left="105"/>
              <w:rPr>
                <w:sz w:val="20"/>
              </w:rPr>
            </w:pPr>
            <w:r>
              <w:rPr>
                <w:sz w:val="20"/>
              </w:rPr>
              <w:t>ahead)</w:t>
            </w:r>
          </w:p>
        </w:tc>
        <w:tc>
          <w:tcPr>
            <w:tcW w:w="790" w:type="dxa"/>
            <w:tcBorders>
              <w:bottom w:val="single" w:sz="4" w:space="0" w:color="000000"/>
            </w:tcBorders>
          </w:tcPr>
          <w:p>
            <w:pPr>
              <w:pStyle w:val="TableParagraph"/>
              <w:spacing w:before="8"/>
              <w:rPr>
                <w:sz w:val="19"/>
              </w:rPr>
            </w:pPr>
          </w:p>
          <w:p>
            <w:pPr>
              <w:pStyle w:val="TableParagraph"/>
              <w:ind w:left="112"/>
              <w:rPr>
                <w:sz w:val="20"/>
              </w:rPr>
            </w:pPr>
            <w:r>
              <w:rPr>
                <w:w w:val="99"/>
                <w:sz w:val="20"/>
              </w:rPr>
              <w:t>3</w:t>
            </w:r>
          </w:p>
        </w:tc>
        <w:tc>
          <w:tcPr>
            <w:tcW w:w="1047" w:type="dxa"/>
            <w:tcBorders>
              <w:bottom w:val="single" w:sz="4" w:space="0" w:color="000000"/>
            </w:tcBorders>
          </w:tcPr>
          <w:p>
            <w:pPr>
              <w:pStyle w:val="TableParagraph"/>
              <w:spacing w:before="8"/>
              <w:rPr>
                <w:sz w:val="19"/>
              </w:rPr>
            </w:pPr>
          </w:p>
          <w:p>
            <w:pPr>
              <w:pStyle w:val="TableParagraph"/>
              <w:ind w:left="282"/>
              <w:rPr>
                <w:sz w:val="20"/>
              </w:rPr>
            </w:pPr>
            <w:r>
              <w:rPr>
                <w:w w:val="99"/>
                <w:sz w:val="20"/>
              </w:rPr>
              <w:t>8</w:t>
            </w:r>
          </w:p>
        </w:tc>
        <w:tc>
          <w:tcPr>
            <w:tcW w:w="900" w:type="dxa"/>
            <w:tcBorders>
              <w:bottom w:val="single" w:sz="4" w:space="0" w:color="000000"/>
            </w:tcBorders>
          </w:tcPr>
          <w:p>
            <w:pPr>
              <w:pStyle w:val="TableParagraph"/>
              <w:spacing w:before="8"/>
              <w:rPr>
                <w:sz w:val="19"/>
              </w:rPr>
            </w:pPr>
          </w:p>
          <w:p>
            <w:pPr>
              <w:pStyle w:val="TableParagraph"/>
              <w:ind w:left="195"/>
              <w:rPr>
                <w:sz w:val="20"/>
              </w:rPr>
            </w:pPr>
            <w:r>
              <w:rPr>
                <w:sz w:val="20"/>
              </w:rPr>
              <w:t>14</w:t>
            </w:r>
          </w:p>
        </w:tc>
        <w:tc>
          <w:tcPr>
            <w:tcW w:w="934" w:type="dxa"/>
            <w:tcBorders>
              <w:bottom w:val="single" w:sz="4" w:space="0" w:color="000000"/>
            </w:tcBorders>
          </w:tcPr>
          <w:p>
            <w:pPr>
              <w:pStyle w:val="TableParagraph"/>
              <w:spacing w:before="8"/>
              <w:rPr>
                <w:sz w:val="19"/>
              </w:rPr>
            </w:pPr>
          </w:p>
          <w:p>
            <w:pPr>
              <w:pStyle w:val="TableParagraph"/>
              <w:ind w:left="256"/>
              <w:rPr>
                <w:sz w:val="20"/>
              </w:rPr>
            </w:pPr>
            <w:r>
              <w:rPr>
                <w:sz w:val="20"/>
              </w:rPr>
              <w:t>25</w:t>
            </w:r>
          </w:p>
        </w:tc>
        <w:tc>
          <w:tcPr>
            <w:tcW w:w="1045" w:type="dxa"/>
            <w:tcBorders>
              <w:bottom w:val="single" w:sz="4" w:space="0" w:color="000000"/>
            </w:tcBorders>
          </w:tcPr>
          <w:p>
            <w:pPr>
              <w:pStyle w:val="TableParagraph"/>
              <w:spacing w:before="8"/>
              <w:rPr>
                <w:sz w:val="19"/>
              </w:rPr>
            </w:pPr>
          </w:p>
          <w:p>
            <w:pPr>
              <w:pStyle w:val="TableParagraph"/>
              <w:ind w:left="282"/>
              <w:rPr>
                <w:sz w:val="20"/>
              </w:rPr>
            </w:pPr>
            <w:r>
              <w:rPr>
                <w:sz w:val="20"/>
              </w:rPr>
              <w:t>26</w:t>
            </w:r>
          </w:p>
        </w:tc>
        <w:tc>
          <w:tcPr>
            <w:tcW w:w="962" w:type="dxa"/>
            <w:tcBorders>
              <w:bottom w:val="single" w:sz="4" w:space="0" w:color="000000"/>
            </w:tcBorders>
          </w:tcPr>
          <w:p>
            <w:pPr>
              <w:pStyle w:val="TableParagraph"/>
              <w:spacing w:before="8"/>
              <w:rPr>
                <w:sz w:val="19"/>
              </w:rPr>
            </w:pPr>
          </w:p>
          <w:p>
            <w:pPr>
              <w:pStyle w:val="TableParagraph"/>
              <w:ind w:left="197"/>
              <w:rPr>
                <w:sz w:val="20"/>
              </w:rPr>
            </w:pPr>
            <w:r>
              <w:rPr>
                <w:sz w:val="20"/>
              </w:rPr>
              <w:t>15</w:t>
            </w:r>
          </w:p>
        </w:tc>
        <w:tc>
          <w:tcPr>
            <w:tcW w:w="1049" w:type="dxa"/>
            <w:tcBorders>
              <w:bottom w:val="single" w:sz="4" w:space="0" w:color="000000"/>
              <w:right w:val="single" w:sz="4" w:space="0" w:color="000000"/>
            </w:tcBorders>
          </w:tcPr>
          <w:p>
            <w:pPr>
              <w:pStyle w:val="TableParagraph"/>
              <w:spacing w:before="8"/>
              <w:rPr>
                <w:sz w:val="19"/>
              </w:rPr>
            </w:pPr>
          </w:p>
          <w:p>
            <w:pPr>
              <w:pStyle w:val="TableParagraph"/>
              <w:ind w:left="195"/>
              <w:rPr>
                <w:sz w:val="20"/>
              </w:rPr>
            </w:pPr>
            <w:r>
              <w:rPr>
                <w:sz w:val="20"/>
              </w:rPr>
              <w:t>10</w:t>
            </w:r>
          </w:p>
        </w:tc>
        <w:tc>
          <w:tcPr>
            <w:tcW w:w="963" w:type="dxa"/>
            <w:tcBorders>
              <w:left w:val="single" w:sz="4" w:space="0" w:color="000000"/>
              <w:bottom w:val="single" w:sz="4" w:space="0" w:color="000000"/>
              <w:right w:val="single" w:sz="4" w:space="0" w:color="000000"/>
            </w:tcBorders>
            <w:shd w:val="clear" w:color="auto" w:fill="D9D9D9"/>
          </w:tcPr>
          <w:p>
            <w:pPr>
              <w:pStyle w:val="TableParagraph"/>
              <w:spacing w:before="8"/>
              <w:rPr>
                <w:sz w:val="19"/>
              </w:rPr>
            </w:pPr>
          </w:p>
          <w:p>
            <w:pPr>
              <w:pStyle w:val="TableParagraph"/>
              <w:ind w:left="102"/>
              <w:rPr>
                <w:sz w:val="20"/>
              </w:rPr>
            </w:pPr>
            <w:r>
              <w:rPr>
                <w:sz w:val="20"/>
              </w:rPr>
              <w:t>3.3%</w:t>
            </w:r>
          </w:p>
        </w:tc>
      </w:tr>
    </w:tbl>
    <w:p>
      <w:pPr>
        <w:spacing w:before="0"/>
        <w:ind w:left="233" w:right="0" w:firstLine="0"/>
        <w:jc w:val="left"/>
        <w:rPr>
          <w:sz w:val="16"/>
        </w:rPr>
      </w:pPr>
      <w:r>
        <w:rPr>
          <w:sz w:val="16"/>
        </w:rPr>
        <w:t>Source: Projections of forecasters as of Q1 2007. Outturn from ONS.</w:t>
      </w:r>
    </w:p>
    <w:p>
      <w:pPr>
        <w:pStyle w:val="BodyText"/>
        <w:rPr>
          <w:sz w:val="18"/>
        </w:rPr>
      </w:pPr>
    </w:p>
    <w:p>
      <w:pPr>
        <w:pStyle w:val="BodyText"/>
        <w:spacing w:before="8"/>
        <w:rPr>
          <w:sz w:val="19"/>
        </w:rPr>
      </w:pPr>
    </w:p>
    <w:p>
      <w:pPr>
        <w:pStyle w:val="BodyText"/>
        <w:spacing w:before="1"/>
        <w:ind w:left="233"/>
      </w:pPr>
      <w:r>
        <w:rPr>
          <w:b/>
        </w:rPr>
        <w:t>Table 3</w:t>
      </w:r>
      <w:r>
        <w:rPr/>
        <w:t>: Forecasters' probability distribution for CPI inflation as of Q1 2011</w:t>
      </w:r>
    </w:p>
    <w:p>
      <w:pPr>
        <w:pStyle w:val="BodyText"/>
        <w:spacing w:before="5"/>
        <w:rPr>
          <w:sz w:val="10"/>
        </w:rPr>
      </w:pP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2"/>
        <w:gridCol w:w="790"/>
        <w:gridCol w:w="1047"/>
        <w:gridCol w:w="900"/>
        <w:gridCol w:w="934"/>
        <w:gridCol w:w="1045"/>
        <w:gridCol w:w="962"/>
        <w:gridCol w:w="1049"/>
        <w:gridCol w:w="963"/>
      </w:tblGrid>
      <w:tr>
        <w:trPr>
          <w:trHeight w:val="345" w:hRule="atLeast"/>
        </w:trPr>
        <w:tc>
          <w:tcPr>
            <w:tcW w:w="2322" w:type="dxa"/>
            <w:tcBorders>
              <w:top w:val="single" w:sz="4" w:space="0" w:color="000000"/>
              <w:left w:val="single" w:sz="6" w:space="0" w:color="000000"/>
            </w:tcBorders>
          </w:tcPr>
          <w:p>
            <w:pPr>
              <w:pStyle w:val="TableParagraph"/>
              <w:spacing w:line="225" w:lineRule="exact"/>
              <w:ind w:left="105"/>
              <w:rPr>
                <w:b/>
                <w:sz w:val="20"/>
              </w:rPr>
            </w:pPr>
            <w:r>
              <w:rPr>
                <w:b/>
                <w:sz w:val="20"/>
              </w:rPr>
              <w:t>CPI Inflation</w:t>
            </w:r>
          </w:p>
        </w:tc>
        <w:tc>
          <w:tcPr>
            <w:tcW w:w="6727" w:type="dxa"/>
            <w:gridSpan w:val="7"/>
            <w:tcBorders>
              <w:top w:val="single" w:sz="4" w:space="0" w:color="000000"/>
              <w:bottom w:val="single" w:sz="4" w:space="0" w:color="000000"/>
              <w:right w:val="single" w:sz="4" w:space="0" w:color="000000"/>
            </w:tcBorders>
          </w:tcPr>
          <w:p>
            <w:pPr>
              <w:pStyle w:val="TableParagraph"/>
              <w:spacing w:line="227" w:lineRule="exact"/>
              <w:ind w:left="112"/>
              <w:rPr>
                <w:sz w:val="20"/>
              </w:rPr>
            </w:pPr>
            <w:r>
              <w:rPr>
                <w:sz w:val="20"/>
              </w:rPr>
              <w:t>Range:</w:t>
            </w:r>
          </w:p>
        </w:tc>
        <w:tc>
          <w:tcPr>
            <w:tcW w:w="963" w:type="dxa"/>
            <w:vMerge w:val="restart"/>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74"/>
              <w:ind w:left="102"/>
              <w:rPr>
                <w:sz w:val="20"/>
              </w:rPr>
            </w:pPr>
            <w:r>
              <w:rPr>
                <w:sz w:val="20"/>
              </w:rPr>
              <w:t>CPI</w:t>
            </w:r>
          </w:p>
          <w:p>
            <w:pPr>
              <w:pStyle w:val="TableParagraph"/>
              <w:spacing w:before="116"/>
              <w:ind w:left="102"/>
              <w:rPr>
                <w:sz w:val="20"/>
              </w:rPr>
            </w:pPr>
            <w:r>
              <w:rPr>
                <w:sz w:val="20"/>
              </w:rPr>
              <w:t>Outturn</w:t>
            </w:r>
          </w:p>
        </w:tc>
      </w:tr>
      <w:tr>
        <w:trPr>
          <w:trHeight w:val="690" w:hRule="atLeast"/>
        </w:trPr>
        <w:tc>
          <w:tcPr>
            <w:tcW w:w="2322" w:type="dxa"/>
            <w:tcBorders>
              <w:left w:val="single" w:sz="6" w:space="0" w:color="000000"/>
              <w:bottom w:val="single" w:sz="4" w:space="0" w:color="000000"/>
            </w:tcBorders>
          </w:tcPr>
          <w:p>
            <w:pPr>
              <w:pStyle w:val="TableParagraph"/>
              <w:spacing w:before="170"/>
              <w:ind w:left="105"/>
              <w:rPr>
                <w:sz w:val="20"/>
              </w:rPr>
            </w:pPr>
            <w:r>
              <w:rPr>
                <w:sz w:val="20"/>
              </w:rPr>
              <w:t>Probability, per cent</w:t>
            </w:r>
          </w:p>
        </w:tc>
        <w:tc>
          <w:tcPr>
            <w:tcW w:w="790" w:type="dxa"/>
            <w:tcBorders>
              <w:top w:val="single" w:sz="4" w:space="0" w:color="000000"/>
              <w:bottom w:val="single" w:sz="4" w:space="0" w:color="000000"/>
            </w:tcBorders>
          </w:tcPr>
          <w:p>
            <w:pPr>
              <w:pStyle w:val="TableParagraph"/>
              <w:spacing w:before="170"/>
              <w:ind w:left="112"/>
              <w:rPr>
                <w:sz w:val="20"/>
              </w:rPr>
            </w:pPr>
            <w:r>
              <w:rPr>
                <w:sz w:val="20"/>
              </w:rPr>
              <w:t>&lt;0%</w:t>
            </w:r>
          </w:p>
        </w:tc>
        <w:tc>
          <w:tcPr>
            <w:tcW w:w="1047" w:type="dxa"/>
            <w:tcBorders>
              <w:top w:val="single" w:sz="4" w:space="0" w:color="000000"/>
              <w:bottom w:val="single" w:sz="4" w:space="0" w:color="000000"/>
            </w:tcBorders>
          </w:tcPr>
          <w:p>
            <w:pPr>
              <w:pStyle w:val="TableParagraph"/>
              <w:spacing w:before="170"/>
              <w:ind w:left="282"/>
              <w:rPr>
                <w:sz w:val="20"/>
              </w:rPr>
            </w:pPr>
            <w:r>
              <w:rPr>
                <w:sz w:val="20"/>
              </w:rPr>
              <w:t>0 - 1%</w:t>
            </w:r>
          </w:p>
        </w:tc>
        <w:tc>
          <w:tcPr>
            <w:tcW w:w="900" w:type="dxa"/>
            <w:tcBorders>
              <w:top w:val="single" w:sz="4" w:space="0" w:color="000000"/>
              <w:bottom w:val="single" w:sz="4" w:space="0" w:color="000000"/>
            </w:tcBorders>
          </w:tcPr>
          <w:p>
            <w:pPr>
              <w:pStyle w:val="TableParagraph"/>
              <w:spacing w:line="227" w:lineRule="exact"/>
              <w:ind w:left="195"/>
              <w:rPr>
                <w:sz w:val="20"/>
              </w:rPr>
            </w:pPr>
            <w:r>
              <w:rPr>
                <w:sz w:val="20"/>
              </w:rPr>
              <w:t>1 -</w:t>
            </w:r>
          </w:p>
          <w:p>
            <w:pPr>
              <w:pStyle w:val="TableParagraph"/>
              <w:spacing w:before="115"/>
              <w:ind w:left="195"/>
              <w:rPr>
                <w:sz w:val="20"/>
              </w:rPr>
            </w:pPr>
            <w:r>
              <w:rPr>
                <w:sz w:val="20"/>
              </w:rPr>
              <w:t>1.5%</w:t>
            </w:r>
          </w:p>
        </w:tc>
        <w:tc>
          <w:tcPr>
            <w:tcW w:w="934" w:type="dxa"/>
            <w:tcBorders>
              <w:top w:val="single" w:sz="4" w:space="0" w:color="000000"/>
              <w:bottom w:val="single" w:sz="4" w:space="0" w:color="000000"/>
            </w:tcBorders>
          </w:tcPr>
          <w:p>
            <w:pPr>
              <w:pStyle w:val="TableParagraph"/>
              <w:spacing w:line="227" w:lineRule="exact"/>
              <w:ind w:left="256"/>
              <w:rPr>
                <w:sz w:val="20"/>
              </w:rPr>
            </w:pPr>
            <w:r>
              <w:rPr>
                <w:sz w:val="20"/>
              </w:rPr>
              <w:t>1.5 -</w:t>
            </w:r>
          </w:p>
          <w:p>
            <w:pPr>
              <w:pStyle w:val="TableParagraph"/>
              <w:spacing w:before="115"/>
              <w:ind w:left="256"/>
              <w:rPr>
                <w:sz w:val="20"/>
              </w:rPr>
            </w:pPr>
            <w:r>
              <w:rPr>
                <w:sz w:val="20"/>
              </w:rPr>
              <w:t>2%</w:t>
            </w:r>
          </w:p>
        </w:tc>
        <w:tc>
          <w:tcPr>
            <w:tcW w:w="1045" w:type="dxa"/>
            <w:tcBorders>
              <w:top w:val="single" w:sz="4" w:space="0" w:color="000000"/>
              <w:bottom w:val="single" w:sz="4" w:space="0" w:color="000000"/>
            </w:tcBorders>
          </w:tcPr>
          <w:p>
            <w:pPr>
              <w:pStyle w:val="TableParagraph"/>
              <w:spacing w:before="170"/>
              <w:ind w:left="282"/>
              <w:rPr>
                <w:sz w:val="20"/>
              </w:rPr>
            </w:pPr>
            <w:r>
              <w:rPr>
                <w:sz w:val="20"/>
              </w:rPr>
              <w:t>2 - 2.5</w:t>
            </w:r>
          </w:p>
        </w:tc>
        <w:tc>
          <w:tcPr>
            <w:tcW w:w="962" w:type="dxa"/>
            <w:tcBorders>
              <w:top w:val="single" w:sz="4" w:space="0" w:color="000000"/>
              <w:bottom w:val="single" w:sz="4" w:space="0" w:color="000000"/>
            </w:tcBorders>
          </w:tcPr>
          <w:p>
            <w:pPr>
              <w:pStyle w:val="TableParagraph"/>
              <w:spacing w:before="170"/>
              <w:ind w:left="197"/>
              <w:rPr>
                <w:sz w:val="20"/>
              </w:rPr>
            </w:pPr>
            <w:r>
              <w:rPr>
                <w:sz w:val="20"/>
              </w:rPr>
              <w:t>2.5 - 3</w:t>
            </w:r>
          </w:p>
        </w:tc>
        <w:tc>
          <w:tcPr>
            <w:tcW w:w="1049" w:type="dxa"/>
            <w:tcBorders>
              <w:top w:val="single" w:sz="4" w:space="0" w:color="000000"/>
              <w:bottom w:val="single" w:sz="4" w:space="0" w:color="000000"/>
              <w:right w:val="single" w:sz="4" w:space="0" w:color="000000"/>
            </w:tcBorders>
          </w:tcPr>
          <w:p>
            <w:pPr>
              <w:pStyle w:val="TableParagraph"/>
              <w:spacing w:before="170"/>
              <w:ind w:left="195"/>
              <w:rPr>
                <w:sz w:val="20"/>
              </w:rPr>
            </w:pPr>
            <w:r>
              <w:rPr>
                <w:sz w:val="20"/>
              </w:rPr>
              <w:t>&gt;3%</w:t>
            </w:r>
          </w:p>
        </w:tc>
        <w:tc>
          <w:tcPr>
            <w:tcW w:w="963" w:type="dxa"/>
            <w:vMerge/>
            <w:tcBorders>
              <w:top w:val="nil"/>
              <w:left w:val="single" w:sz="4" w:space="0" w:color="000000"/>
              <w:bottom w:val="single" w:sz="4" w:space="0" w:color="000000"/>
              <w:right w:val="single" w:sz="4" w:space="0" w:color="000000"/>
            </w:tcBorders>
            <w:shd w:val="clear" w:color="auto" w:fill="D9D9D9"/>
          </w:tcPr>
          <w:p>
            <w:pPr>
              <w:rPr>
                <w:sz w:val="2"/>
                <w:szCs w:val="2"/>
              </w:rPr>
            </w:pPr>
          </w:p>
        </w:tc>
      </w:tr>
      <w:tr>
        <w:trPr>
          <w:trHeight w:val="632" w:hRule="atLeast"/>
        </w:trPr>
        <w:tc>
          <w:tcPr>
            <w:tcW w:w="2322" w:type="dxa"/>
            <w:tcBorders>
              <w:top w:val="single" w:sz="4" w:space="0" w:color="000000"/>
              <w:left w:val="single" w:sz="6" w:space="0" w:color="000000"/>
            </w:tcBorders>
          </w:tcPr>
          <w:p>
            <w:pPr>
              <w:pStyle w:val="TableParagraph"/>
              <w:spacing w:line="227" w:lineRule="exact"/>
              <w:ind w:left="105"/>
              <w:rPr>
                <w:sz w:val="20"/>
              </w:rPr>
            </w:pPr>
            <w:r>
              <w:rPr>
                <w:sz w:val="20"/>
              </w:rPr>
              <w:t>Q1 2012 (1 year</w:t>
            </w:r>
          </w:p>
          <w:p>
            <w:pPr>
              <w:pStyle w:val="TableParagraph"/>
              <w:spacing w:before="115"/>
              <w:ind w:left="105"/>
              <w:rPr>
                <w:sz w:val="20"/>
              </w:rPr>
            </w:pPr>
            <w:r>
              <w:rPr>
                <w:sz w:val="20"/>
              </w:rPr>
              <w:t>ahead)</w:t>
            </w:r>
          </w:p>
        </w:tc>
        <w:tc>
          <w:tcPr>
            <w:tcW w:w="790" w:type="dxa"/>
            <w:tcBorders>
              <w:top w:val="single" w:sz="4" w:space="0" w:color="000000"/>
            </w:tcBorders>
          </w:tcPr>
          <w:p>
            <w:pPr>
              <w:pStyle w:val="TableParagraph"/>
              <w:spacing w:before="170"/>
              <w:ind w:left="112"/>
              <w:rPr>
                <w:sz w:val="20"/>
              </w:rPr>
            </w:pPr>
            <w:r>
              <w:rPr>
                <w:w w:val="99"/>
                <w:sz w:val="20"/>
              </w:rPr>
              <w:t>4</w:t>
            </w:r>
          </w:p>
        </w:tc>
        <w:tc>
          <w:tcPr>
            <w:tcW w:w="1047" w:type="dxa"/>
            <w:tcBorders>
              <w:top w:val="single" w:sz="4" w:space="0" w:color="000000"/>
            </w:tcBorders>
          </w:tcPr>
          <w:p>
            <w:pPr>
              <w:pStyle w:val="TableParagraph"/>
              <w:spacing w:before="170"/>
              <w:ind w:left="282"/>
              <w:rPr>
                <w:sz w:val="20"/>
              </w:rPr>
            </w:pPr>
            <w:r>
              <w:rPr>
                <w:w w:val="99"/>
                <w:sz w:val="20"/>
              </w:rPr>
              <w:t>9</w:t>
            </w:r>
          </w:p>
        </w:tc>
        <w:tc>
          <w:tcPr>
            <w:tcW w:w="900" w:type="dxa"/>
            <w:tcBorders>
              <w:top w:val="single" w:sz="4" w:space="0" w:color="000000"/>
            </w:tcBorders>
          </w:tcPr>
          <w:p>
            <w:pPr>
              <w:pStyle w:val="TableParagraph"/>
              <w:spacing w:before="170"/>
              <w:ind w:left="195"/>
              <w:rPr>
                <w:sz w:val="20"/>
              </w:rPr>
            </w:pPr>
            <w:r>
              <w:rPr>
                <w:sz w:val="20"/>
              </w:rPr>
              <w:t>22</w:t>
            </w:r>
          </w:p>
        </w:tc>
        <w:tc>
          <w:tcPr>
            <w:tcW w:w="934" w:type="dxa"/>
            <w:tcBorders>
              <w:top w:val="single" w:sz="4" w:space="0" w:color="000000"/>
            </w:tcBorders>
          </w:tcPr>
          <w:p>
            <w:pPr>
              <w:pStyle w:val="TableParagraph"/>
              <w:spacing w:before="170"/>
              <w:ind w:left="256"/>
              <w:rPr>
                <w:sz w:val="20"/>
              </w:rPr>
            </w:pPr>
            <w:r>
              <w:rPr>
                <w:sz w:val="20"/>
              </w:rPr>
              <w:t>29</w:t>
            </w:r>
          </w:p>
        </w:tc>
        <w:tc>
          <w:tcPr>
            <w:tcW w:w="1045" w:type="dxa"/>
            <w:tcBorders>
              <w:top w:val="single" w:sz="4" w:space="0" w:color="000000"/>
            </w:tcBorders>
          </w:tcPr>
          <w:p>
            <w:pPr>
              <w:pStyle w:val="TableParagraph"/>
              <w:spacing w:before="170"/>
              <w:ind w:left="282"/>
              <w:rPr>
                <w:sz w:val="20"/>
              </w:rPr>
            </w:pPr>
            <w:r>
              <w:rPr>
                <w:sz w:val="20"/>
              </w:rPr>
              <w:t>19</w:t>
            </w:r>
          </w:p>
        </w:tc>
        <w:tc>
          <w:tcPr>
            <w:tcW w:w="962" w:type="dxa"/>
            <w:tcBorders>
              <w:top w:val="single" w:sz="4" w:space="0" w:color="000000"/>
            </w:tcBorders>
          </w:tcPr>
          <w:p>
            <w:pPr>
              <w:pStyle w:val="TableParagraph"/>
              <w:spacing w:before="170"/>
              <w:ind w:left="197"/>
              <w:rPr>
                <w:sz w:val="20"/>
              </w:rPr>
            </w:pPr>
            <w:r>
              <w:rPr>
                <w:sz w:val="20"/>
              </w:rPr>
              <w:t>12</w:t>
            </w:r>
          </w:p>
        </w:tc>
        <w:tc>
          <w:tcPr>
            <w:tcW w:w="1049" w:type="dxa"/>
            <w:tcBorders>
              <w:top w:val="single" w:sz="4" w:space="0" w:color="000000"/>
              <w:right w:val="single" w:sz="4" w:space="0" w:color="000000"/>
            </w:tcBorders>
          </w:tcPr>
          <w:p>
            <w:pPr>
              <w:pStyle w:val="TableParagraph"/>
              <w:spacing w:before="170"/>
              <w:ind w:left="195"/>
              <w:rPr>
                <w:sz w:val="20"/>
              </w:rPr>
            </w:pPr>
            <w:r>
              <w:rPr>
                <w:w w:val="99"/>
                <w:sz w:val="20"/>
              </w:rPr>
              <w:t>6</w:t>
            </w:r>
          </w:p>
        </w:tc>
        <w:tc>
          <w:tcPr>
            <w:tcW w:w="963" w:type="dxa"/>
            <w:tcBorders>
              <w:top w:val="single" w:sz="4" w:space="0" w:color="000000"/>
              <w:left w:val="single" w:sz="4" w:space="0" w:color="000000"/>
              <w:right w:val="single" w:sz="4" w:space="0" w:color="000000"/>
            </w:tcBorders>
            <w:shd w:val="clear" w:color="auto" w:fill="D9D9D9"/>
          </w:tcPr>
          <w:p>
            <w:pPr>
              <w:pStyle w:val="TableParagraph"/>
              <w:spacing w:before="170"/>
              <w:ind w:left="102"/>
              <w:rPr>
                <w:sz w:val="20"/>
              </w:rPr>
            </w:pPr>
            <w:r>
              <w:rPr>
                <w:sz w:val="20"/>
              </w:rPr>
              <w:t>3.5%</w:t>
            </w:r>
          </w:p>
        </w:tc>
      </w:tr>
      <w:tr>
        <w:trPr>
          <w:trHeight w:val="690" w:hRule="atLeast"/>
        </w:trPr>
        <w:tc>
          <w:tcPr>
            <w:tcW w:w="2322" w:type="dxa"/>
            <w:tcBorders>
              <w:left w:val="single" w:sz="6" w:space="0" w:color="000000"/>
            </w:tcBorders>
          </w:tcPr>
          <w:p>
            <w:pPr>
              <w:pStyle w:val="TableParagraph"/>
              <w:spacing w:before="53"/>
              <w:ind w:left="105"/>
              <w:rPr>
                <w:sz w:val="20"/>
              </w:rPr>
            </w:pPr>
            <w:r>
              <w:rPr>
                <w:sz w:val="20"/>
              </w:rPr>
              <w:t>Q1 2013 (2 years</w:t>
            </w:r>
          </w:p>
          <w:p>
            <w:pPr>
              <w:pStyle w:val="TableParagraph"/>
              <w:spacing w:before="115"/>
              <w:ind w:left="105"/>
              <w:rPr>
                <w:sz w:val="20"/>
              </w:rPr>
            </w:pPr>
            <w:r>
              <w:rPr>
                <w:sz w:val="20"/>
              </w:rPr>
              <w:t>ahead)</w:t>
            </w:r>
          </w:p>
        </w:tc>
        <w:tc>
          <w:tcPr>
            <w:tcW w:w="790" w:type="dxa"/>
          </w:tcPr>
          <w:p>
            <w:pPr>
              <w:pStyle w:val="TableParagraph"/>
              <w:spacing w:before="7"/>
              <w:rPr>
                <w:sz w:val="19"/>
              </w:rPr>
            </w:pPr>
          </w:p>
          <w:p>
            <w:pPr>
              <w:pStyle w:val="TableParagraph"/>
              <w:ind w:left="112"/>
              <w:rPr>
                <w:sz w:val="20"/>
              </w:rPr>
            </w:pPr>
            <w:r>
              <w:rPr>
                <w:w w:val="99"/>
                <w:sz w:val="20"/>
              </w:rPr>
              <w:t>3</w:t>
            </w:r>
          </w:p>
        </w:tc>
        <w:tc>
          <w:tcPr>
            <w:tcW w:w="1047" w:type="dxa"/>
          </w:tcPr>
          <w:p>
            <w:pPr>
              <w:pStyle w:val="TableParagraph"/>
              <w:spacing w:before="7"/>
              <w:rPr>
                <w:sz w:val="19"/>
              </w:rPr>
            </w:pPr>
          </w:p>
          <w:p>
            <w:pPr>
              <w:pStyle w:val="TableParagraph"/>
              <w:ind w:left="282"/>
              <w:rPr>
                <w:sz w:val="20"/>
              </w:rPr>
            </w:pPr>
            <w:r>
              <w:rPr>
                <w:w w:val="99"/>
                <w:sz w:val="20"/>
              </w:rPr>
              <w:t>7</w:t>
            </w:r>
          </w:p>
        </w:tc>
        <w:tc>
          <w:tcPr>
            <w:tcW w:w="900" w:type="dxa"/>
          </w:tcPr>
          <w:p>
            <w:pPr>
              <w:pStyle w:val="TableParagraph"/>
              <w:spacing w:before="7"/>
              <w:rPr>
                <w:sz w:val="19"/>
              </w:rPr>
            </w:pPr>
          </w:p>
          <w:p>
            <w:pPr>
              <w:pStyle w:val="TableParagraph"/>
              <w:ind w:left="195"/>
              <w:rPr>
                <w:sz w:val="20"/>
              </w:rPr>
            </w:pPr>
            <w:r>
              <w:rPr>
                <w:sz w:val="20"/>
              </w:rPr>
              <w:t>12</w:t>
            </w:r>
          </w:p>
        </w:tc>
        <w:tc>
          <w:tcPr>
            <w:tcW w:w="934" w:type="dxa"/>
          </w:tcPr>
          <w:p>
            <w:pPr>
              <w:pStyle w:val="TableParagraph"/>
              <w:spacing w:before="7"/>
              <w:rPr>
                <w:sz w:val="19"/>
              </w:rPr>
            </w:pPr>
          </w:p>
          <w:p>
            <w:pPr>
              <w:pStyle w:val="TableParagraph"/>
              <w:ind w:left="256"/>
              <w:rPr>
                <w:sz w:val="20"/>
              </w:rPr>
            </w:pPr>
            <w:r>
              <w:rPr>
                <w:sz w:val="20"/>
              </w:rPr>
              <w:t>21</w:t>
            </w:r>
          </w:p>
        </w:tc>
        <w:tc>
          <w:tcPr>
            <w:tcW w:w="1045" w:type="dxa"/>
          </w:tcPr>
          <w:p>
            <w:pPr>
              <w:pStyle w:val="TableParagraph"/>
              <w:spacing w:before="7"/>
              <w:rPr>
                <w:sz w:val="19"/>
              </w:rPr>
            </w:pPr>
          </w:p>
          <w:p>
            <w:pPr>
              <w:pStyle w:val="TableParagraph"/>
              <w:ind w:left="282"/>
              <w:rPr>
                <w:sz w:val="20"/>
              </w:rPr>
            </w:pPr>
            <w:r>
              <w:rPr>
                <w:sz w:val="20"/>
              </w:rPr>
              <w:t>26</w:t>
            </w:r>
          </w:p>
        </w:tc>
        <w:tc>
          <w:tcPr>
            <w:tcW w:w="962" w:type="dxa"/>
          </w:tcPr>
          <w:p>
            <w:pPr>
              <w:pStyle w:val="TableParagraph"/>
              <w:spacing w:before="7"/>
              <w:rPr>
                <w:sz w:val="19"/>
              </w:rPr>
            </w:pPr>
          </w:p>
          <w:p>
            <w:pPr>
              <w:pStyle w:val="TableParagraph"/>
              <w:ind w:left="197"/>
              <w:rPr>
                <w:sz w:val="20"/>
              </w:rPr>
            </w:pPr>
            <w:r>
              <w:rPr>
                <w:sz w:val="20"/>
              </w:rPr>
              <w:t>19</w:t>
            </w:r>
          </w:p>
        </w:tc>
        <w:tc>
          <w:tcPr>
            <w:tcW w:w="1049" w:type="dxa"/>
            <w:tcBorders>
              <w:right w:val="single" w:sz="4" w:space="0" w:color="000000"/>
            </w:tcBorders>
          </w:tcPr>
          <w:p>
            <w:pPr>
              <w:pStyle w:val="TableParagraph"/>
              <w:spacing w:before="7"/>
              <w:rPr>
                <w:sz w:val="19"/>
              </w:rPr>
            </w:pPr>
          </w:p>
          <w:p>
            <w:pPr>
              <w:pStyle w:val="TableParagraph"/>
              <w:ind w:left="195"/>
              <w:rPr>
                <w:sz w:val="20"/>
              </w:rPr>
            </w:pPr>
            <w:r>
              <w:rPr>
                <w:sz w:val="20"/>
              </w:rPr>
              <w:t>12</w:t>
            </w:r>
          </w:p>
        </w:tc>
        <w:tc>
          <w:tcPr>
            <w:tcW w:w="963" w:type="dxa"/>
            <w:tcBorders>
              <w:left w:val="single" w:sz="4" w:space="0" w:color="000000"/>
              <w:right w:val="single" w:sz="4" w:space="0" w:color="000000"/>
            </w:tcBorders>
            <w:shd w:val="clear" w:color="auto" w:fill="D9D9D9"/>
          </w:tcPr>
          <w:p>
            <w:pPr>
              <w:pStyle w:val="TableParagraph"/>
              <w:spacing w:before="7"/>
              <w:rPr>
                <w:sz w:val="19"/>
              </w:rPr>
            </w:pPr>
          </w:p>
          <w:p>
            <w:pPr>
              <w:pStyle w:val="TableParagraph"/>
              <w:ind w:left="102"/>
              <w:rPr>
                <w:sz w:val="20"/>
              </w:rPr>
            </w:pPr>
            <w:r>
              <w:rPr>
                <w:sz w:val="20"/>
              </w:rPr>
              <w:t>2.8%</w:t>
            </w:r>
          </w:p>
        </w:tc>
      </w:tr>
      <w:tr>
        <w:trPr>
          <w:trHeight w:val="745" w:hRule="atLeast"/>
        </w:trPr>
        <w:tc>
          <w:tcPr>
            <w:tcW w:w="2322" w:type="dxa"/>
            <w:tcBorders>
              <w:left w:val="single" w:sz="6" w:space="0" w:color="000000"/>
              <w:bottom w:val="single" w:sz="4" w:space="0" w:color="000000"/>
            </w:tcBorders>
          </w:tcPr>
          <w:p>
            <w:pPr>
              <w:pStyle w:val="TableParagraph"/>
              <w:spacing w:before="54"/>
              <w:ind w:left="105"/>
              <w:rPr>
                <w:sz w:val="20"/>
              </w:rPr>
            </w:pPr>
            <w:r>
              <w:rPr>
                <w:sz w:val="20"/>
              </w:rPr>
              <w:t>Q1 2014 (3 years</w:t>
            </w:r>
          </w:p>
          <w:p>
            <w:pPr>
              <w:pStyle w:val="TableParagraph"/>
              <w:spacing w:before="113"/>
              <w:ind w:left="105"/>
              <w:rPr>
                <w:sz w:val="20"/>
              </w:rPr>
            </w:pPr>
            <w:r>
              <w:rPr>
                <w:sz w:val="20"/>
              </w:rPr>
              <w:t>ahead)</w:t>
            </w:r>
          </w:p>
        </w:tc>
        <w:tc>
          <w:tcPr>
            <w:tcW w:w="790" w:type="dxa"/>
            <w:tcBorders>
              <w:bottom w:val="single" w:sz="4" w:space="0" w:color="000000"/>
            </w:tcBorders>
          </w:tcPr>
          <w:p>
            <w:pPr>
              <w:pStyle w:val="TableParagraph"/>
              <w:spacing w:before="8"/>
              <w:rPr>
                <w:sz w:val="19"/>
              </w:rPr>
            </w:pPr>
          </w:p>
          <w:p>
            <w:pPr>
              <w:pStyle w:val="TableParagraph"/>
              <w:ind w:left="112"/>
              <w:rPr>
                <w:sz w:val="20"/>
              </w:rPr>
            </w:pPr>
            <w:r>
              <w:rPr>
                <w:w w:val="99"/>
                <w:sz w:val="20"/>
              </w:rPr>
              <w:t>3</w:t>
            </w:r>
          </w:p>
        </w:tc>
        <w:tc>
          <w:tcPr>
            <w:tcW w:w="1047" w:type="dxa"/>
            <w:tcBorders>
              <w:bottom w:val="single" w:sz="4" w:space="0" w:color="000000"/>
            </w:tcBorders>
          </w:tcPr>
          <w:p>
            <w:pPr>
              <w:pStyle w:val="TableParagraph"/>
              <w:spacing w:before="8"/>
              <w:rPr>
                <w:sz w:val="19"/>
              </w:rPr>
            </w:pPr>
          </w:p>
          <w:p>
            <w:pPr>
              <w:pStyle w:val="TableParagraph"/>
              <w:ind w:left="282"/>
              <w:rPr>
                <w:sz w:val="20"/>
              </w:rPr>
            </w:pPr>
            <w:r>
              <w:rPr>
                <w:w w:val="99"/>
                <w:sz w:val="20"/>
              </w:rPr>
              <w:t>7</w:t>
            </w:r>
          </w:p>
        </w:tc>
        <w:tc>
          <w:tcPr>
            <w:tcW w:w="900" w:type="dxa"/>
            <w:tcBorders>
              <w:bottom w:val="single" w:sz="4" w:space="0" w:color="000000"/>
            </w:tcBorders>
          </w:tcPr>
          <w:p>
            <w:pPr>
              <w:pStyle w:val="TableParagraph"/>
              <w:spacing w:before="8"/>
              <w:rPr>
                <w:sz w:val="19"/>
              </w:rPr>
            </w:pPr>
          </w:p>
          <w:p>
            <w:pPr>
              <w:pStyle w:val="TableParagraph"/>
              <w:ind w:left="195"/>
              <w:rPr>
                <w:sz w:val="20"/>
              </w:rPr>
            </w:pPr>
            <w:r>
              <w:rPr>
                <w:sz w:val="20"/>
              </w:rPr>
              <w:t>12</w:t>
            </w:r>
          </w:p>
        </w:tc>
        <w:tc>
          <w:tcPr>
            <w:tcW w:w="934" w:type="dxa"/>
            <w:tcBorders>
              <w:bottom w:val="single" w:sz="4" w:space="0" w:color="000000"/>
            </w:tcBorders>
          </w:tcPr>
          <w:p>
            <w:pPr>
              <w:pStyle w:val="TableParagraph"/>
              <w:spacing w:before="8"/>
              <w:rPr>
                <w:sz w:val="19"/>
              </w:rPr>
            </w:pPr>
          </w:p>
          <w:p>
            <w:pPr>
              <w:pStyle w:val="TableParagraph"/>
              <w:ind w:left="256"/>
              <w:rPr>
                <w:sz w:val="20"/>
              </w:rPr>
            </w:pPr>
            <w:r>
              <w:rPr>
                <w:sz w:val="20"/>
              </w:rPr>
              <w:t>23</w:t>
            </w:r>
          </w:p>
        </w:tc>
        <w:tc>
          <w:tcPr>
            <w:tcW w:w="1045" w:type="dxa"/>
            <w:tcBorders>
              <w:bottom w:val="single" w:sz="4" w:space="0" w:color="000000"/>
            </w:tcBorders>
          </w:tcPr>
          <w:p>
            <w:pPr>
              <w:pStyle w:val="TableParagraph"/>
              <w:spacing w:before="8"/>
              <w:rPr>
                <w:sz w:val="19"/>
              </w:rPr>
            </w:pPr>
          </w:p>
          <w:p>
            <w:pPr>
              <w:pStyle w:val="TableParagraph"/>
              <w:ind w:left="282"/>
              <w:rPr>
                <w:sz w:val="20"/>
              </w:rPr>
            </w:pPr>
            <w:r>
              <w:rPr>
                <w:sz w:val="20"/>
              </w:rPr>
              <w:t>24</w:t>
            </w:r>
          </w:p>
        </w:tc>
        <w:tc>
          <w:tcPr>
            <w:tcW w:w="962" w:type="dxa"/>
            <w:tcBorders>
              <w:bottom w:val="single" w:sz="4" w:space="0" w:color="000000"/>
            </w:tcBorders>
          </w:tcPr>
          <w:p>
            <w:pPr>
              <w:pStyle w:val="TableParagraph"/>
              <w:spacing w:before="8"/>
              <w:rPr>
                <w:sz w:val="19"/>
              </w:rPr>
            </w:pPr>
          </w:p>
          <w:p>
            <w:pPr>
              <w:pStyle w:val="TableParagraph"/>
              <w:ind w:left="197"/>
              <w:rPr>
                <w:sz w:val="20"/>
              </w:rPr>
            </w:pPr>
            <w:r>
              <w:rPr>
                <w:sz w:val="20"/>
              </w:rPr>
              <w:t>19</w:t>
            </w:r>
          </w:p>
        </w:tc>
        <w:tc>
          <w:tcPr>
            <w:tcW w:w="1049" w:type="dxa"/>
            <w:tcBorders>
              <w:bottom w:val="single" w:sz="4" w:space="0" w:color="000000"/>
              <w:right w:val="single" w:sz="4" w:space="0" w:color="000000"/>
            </w:tcBorders>
          </w:tcPr>
          <w:p>
            <w:pPr>
              <w:pStyle w:val="TableParagraph"/>
              <w:spacing w:before="8"/>
              <w:rPr>
                <w:sz w:val="19"/>
              </w:rPr>
            </w:pPr>
          </w:p>
          <w:p>
            <w:pPr>
              <w:pStyle w:val="TableParagraph"/>
              <w:ind w:left="195"/>
              <w:rPr>
                <w:sz w:val="20"/>
              </w:rPr>
            </w:pPr>
            <w:r>
              <w:rPr>
                <w:sz w:val="20"/>
              </w:rPr>
              <w:t>12</w:t>
            </w:r>
          </w:p>
        </w:tc>
        <w:tc>
          <w:tcPr>
            <w:tcW w:w="963" w:type="dxa"/>
            <w:tcBorders>
              <w:left w:val="single" w:sz="4" w:space="0" w:color="000000"/>
              <w:bottom w:val="single" w:sz="4" w:space="0" w:color="000000"/>
              <w:right w:val="single" w:sz="4" w:space="0" w:color="000000"/>
            </w:tcBorders>
            <w:shd w:val="clear" w:color="auto" w:fill="D9D9D9"/>
          </w:tcPr>
          <w:p>
            <w:pPr>
              <w:pStyle w:val="TableParagraph"/>
              <w:spacing w:before="8"/>
              <w:rPr>
                <w:sz w:val="19"/>
              </w:rPr>
            </w:pPr>
          </w:p>
          <w:p>
            <w:pPr>
              <w:pStyle w:val="TableParagraph"/>
              <w:ind w:left="102"/>
              <w:rPr>
                <w:sz w:val="20"/>
              </w:rPr>
            </w:pPr>
            <w:r>
              <w:rPr>
                <w:sz w:val="20"/>
              </w:rPr>
              <w:t>1.7%</w:t>
            </w:r>
          </w:p>
        </w:tc>
      </w:tr>
    </w:tbl>
    <w:p>
      <w:pPr>
        <w:spacing w:before="0"/>
        <w:ind w:left="233" w:right="0" w:firstLine="0"/>
        <w:jc w:val="left"/>
        <w:rPr>
          <w:sz w:val="16"/>
        </w:rPr>
      </w:pPr>
      <w:r>
        <w:rPr>
          <w:sz w:val="16"/>
        </w:rPr>
        <w:t>Source: Projections of forecasters as of Q1 2011. Outturn from ONS.</w:t>
      </w:r>
    </w:p>
    <w:p>
      <w:pPr>
        <w:pStyle w:val="BodyText"/>
        <w:rPr>
          <w:sz w:val="18"/>
        </w:rPr>
      </w:pPr>
    </w:p>
    <w:p>
      <w:pPr>
        <w:pStyle w:val="BodyText"/>
        <w:spacing w:before="1"/>
      </w:pPr>
    </w:p>
    <w:p>
      <w:pPr>
        <w:pStyle w:val="BodyText"/>
        <w:spacing w:line="360" w:lineRule="auto" w:before="1"/>
        <w:ind w:left="233" w:right="1248"/>
      </w:pPr>
      <w:r>
        <w:rPr/>
        <w:t>What happened to the exchange rate and to oil prices between Autumn 2007 and early 2009 was also very far away from market expectations. This is illustrated in Tables 4, 5 and 6.</w:t>
      </w:r>
    </w:p>
    <w:p>
      <w:pPr>
        <w:pStyle w:val="BodyText"/>
        <w:spacing w:before="8"/>
        <w:rPr>
          <w:sz w:val="29"/>
        </w:rPr>
      </w:pPr>
    </w:p>
    <w:p>
      <w:pPr>
        <w:pStyle w:val="BodyText"/>
        <w:ind w:left="233"/>
      </w:pPr>
      <w:r>
        <w:rPr>
          <w:b/>
        </w:rPr>
        <w:t>Table 4</w:t>
      </w:r>
      <w:r>
        <w:rPr/>
        <w:t>: Range of forecasts of the Exchange Rate Index as of Q1 2006</w:t>
      </w:r>
    </w:p>
    <w:p>
      <w:pPr>
        <w:pStyle w:val="BodyText"/>
        <w:spacing w:before="6"/>
        <w:rPr>
          <w:sz w:val="10"/>
        </w:rPr>
      </w:pP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80"/>
        <w:gridCol w:w="900"/>
        <w:gridCol w:w="1288"/>
        <w:gridCol w:w="977"/>
        <w:gridCol w:w="1210"/>
        <w:gridCol w:w="1081"/>
        <w:gridCol w:w="1081"/>
      </w:tblGrid>
      <w:tr>
        <w:trPr>
          <w:trHeight w:val="690" w:hRule="atLeast"/>
        </w:trPr>
        <w:tc>
          <w:tcPr>
            <w:tcW w:w="3680" w:type="dxa"/>
            <w:tcBorders>
              <w:top w:val="single" w:sz="4" w:space="0" w:color="000000"/>
              <w:left w:val="single" w:sz="6" w:space="0" w:color="000000"/>
              <w:bottom w:val="single" w:sz="4" w:space="0" w:color="000000"/>
              <w:right w:val="single" w:sz="4" w:space="0" w:color="000000"/>
            </w:tcBorders>
          </w:tcPr>
          <w:p>
            <w:pPr>
              <w:pStyle w:val="TableParagraph"/>
              <w:spacing w:before="167"/>
              <w:ind w:left="105"/>
              <w:rPr>
                <w:b/>
                <w:sz w:val="20"/>
              </w:rPr>
            </w:pPr>
            <w:r>
              <w:rPr>
                <w:b/>
                <w:sz w:val="20"/>
              </w:rPr>
              <w:t>Exchange Rate Index</w:t>
            </w:r>
          </w:p>
        </w:tc>
        <w:tc>
          <w:tcPr>
            <w:tcW w:w="900" w:type="dxa"/>
            <w:tcBorders>
              <w:top w:val="single" w:sz="4" w:space="0" w:color="000000"/>
              <w:left w:val="single" w:sz="4" w:space="0" w:color="000000"/>
              <w:bottom w:val="single" w:sz="4" w:space="0" w:color="000000"/>
            </w:tcBorders>
          </w:tcPr>
          <w:p>
            <w:pPr>
              <w:pStyle w:val="TableParagraph"/>
              <w:spacing w:before="170"/>
              <w:ind w:left="110"/>
              <w:rPr>
                <w:sz w:val="20"/>
              </w:rPr>
            </w:pPr>
            <w:r>
              <w:rPr>
                <w:sz w:val="20"/>
              </w:rPr>
              <w:t>Min</w:t>
            </w:r>
          </w:p>
        </w:tc>
        <w:tc>
          <w:tcPr>
            <w:tcW w:w="1288" w:type="dxa"/>
            <w:tcBorders>
              <w:top w:val="single" w:sz="4" w:space="0" w:color="000000"/>
              <w:bottom w:val="single" w:sz="4" w:space="0" w:color="000000"/>
            </w:tcBorders>
          </w:tcPr>
          <w:p>
            <w:pPr>
              <w:pStyle w:val="TableParagraph"/>
              <w:spacing w:line="227" w:lineRule="exact"/>
              <w:ind w:left="295"/>
              <w:rPr>
                <w:sz w:val="20"/>
              </w:rPr>
            </w:pPr>
            <w:r>
              <w:rPr>
                <w:sz w:val="20"/>
              </w:rPr>
              <w:t>10th</w:t>
            </w:r>
          </w:p>
          <w:p>
            <w:pPr>
              <w:pStyle w:val="TableParagraph"/>
              <w:spacing w:before="115"/>
              <w:ind w:left="295"/>
              <w:rPr>
                <w:sz w:val="20"/>
              </w:rPr>
            </w:pPr>
            <w:r>
              <w:rPr>
                <w:sz w:val="20"/>
              </w:rPr>
              <w:t>Percentile</w:t>
            </w:r>
          </w:p>
        </w:tc>
        <w:tc>
          <w:tcPr>
            <w:tcW w:w="977" w:type="dxa"/>
            <w:tcBorders>
              <w:top w:val="single" w:sz="4" w:space="0" w:color="000000"/>
              <w:bottom w:val="single" w:sz="4" w:space="0" w:color="000000"/>
            </w:tcBorders>
          </w:tcPr>
          <w:p>
            <w:pPr>
              <w:pStyle w:val="TableParagraph"/>
              <w:spacing w:before="170"/>
              <w:ind w:left="114"/>
              <w:rPr>
                <w:sz w:val="20"/>
              </w:rPr>
            </w:pPr>
            <w:r>
              <w:rPr>
                <w:sz w:val="20"/>
              </w:rPr>
              <w:t>Median</w:t>
            </w:r>
          </w:p>
        </w:tc>
        <w:tc>
          <w:tcPr>
            <w:tcW w:w="1210" w:type="dxa"/>
            <w:tcBorders>
              <w:top w:val="single" w:sz="4" w:space="0" w:color="000000"/>
              <w:bottom w:val="single" w:sz="4" w:space="0" w:color="000000"/>
            </w:tcBorders>
          </w:tcPr>
          <w:p>
            <w:pPr>
              <w:pStyle w:val="TableParagraph"/>
              <w:spacing w:line="227" w:lineRule="exact"/>
              <w:ind w:left="217"/>
              <w:rPr>
                <w:sz w:val="20"/>
              </w:rPr>
            </w:pPr>
            <w:r>
              <w:rPr>
                <w:sz w:val="20"/>
              </w:rPr>
              <w:t>90th</w:t>
            </w:r>
          </w:p>
          <w:p>
            <w:pPr>
              <w:pStyle w:val="TableParagraph"/>
              <w:spacing w:before="115"/>
              <w:ind w:left="217"/>
              <w:rPr>
                <w:sz w:val="20"/>
              </w:rPr>
            </w:pPr>
            <w:r>
              <w:rPr>
                <w:sz w:val="20"/>
              </w:rPr>
              <w:t>Percentile</w:t>
            </w:r>
          </w:p>
        </w:tc>
        <w:tc>
          <w:tcPr>
            <w:tcW w:w="1081" w:type="dxa"/>
            <w:tcBorders>
              <w:top w:val="single" w:sz="4" w:space="0" w:color="000000"/>
              <w:bottom w:val="single" w:sz="4" w:space="0" w:color="000000"/>
              <w:right w:val="single" w:sz="4" w:space="0" w:color="000000"/>
            </w:tcBorders>
          </w:tcPr>
          <w:p>
            <w:pPr>
              <w:pStyle w:val="TableParagraph"/>
              <w:spacing w:before="170"/>
              <w:ind w:left="111"/>
              <w:rPr>
                <w:sz w:val="20"/>
              </w:rPr>
            </w:pPr>
            <w:r>
              <w:rPr>
                <w:sz w:val="20"/>
              </w:rPr>
              <w:t>Max</w:t>
            </w:r>
          </w:p>
        </w:tc>
        <w:tc>
          <w:tcPr>
            <w:tcW w:w="10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before="170"/>
              <w:ind w:left="106"/>
              <w:rPr>
                <w:sz w:val="20"/>
              </w:rPr>
            </w:pPr>
            <w:r>
              <w:rPr>
                <w:sz w:val="20"/>
              </w:rPr>
              <w:t>Outturn</w:t>
            </w:r>
          </w:p>
        </w:tc>
      </w:tr>
      <w:tr>
        <w:trPr>
          <w:trHeight w:val="288" w:hRule="atLeast"/>
        </w:trPr>
        <w:tc>
          <w:tcPr>
            <w:tcW w:w="3680" w:type="dxa"/>
            <w:tcBorders>
              <w:top w:val="single" w:sz="4" w:space="0" w:color="000000"/>
              <w:left w:val="single" w:sz="6" w:space="0" w:color="000000"/>
              <w:right w:val="single" w:sz="4" w:space="0" w:color="000000"/>
            </w:tcBorders>
          </w:tcPr>
          <w:p>
            <w:pPr>
              <w:pStyle w:val="TableParagraph"/>
              <w:spacing w:line="227" w:lineRule="exact"/>
              <w:ind w:left="105"/>
              <w:rPr>
                <w:sz w:val="20"/>
              </w:rPr>
            </w:pPr>
            <w:r>
              <w:rPr>
                <w:sz w:val="20"/>
              </w:rPr>
              <w:t>Q1 2007 (1 year ahead)</w:t>
            </w:r>
          </w:p>
        </w:tc>
        <w:tc>
          <w:tcPr>
            <w:tcW w:w="900" w:type="dxa"/>
            <w:tcBorders>
              <w:top w:val="single" w:sz="4" w:space="0" w:color="000000"/>
              <w:left w:val="single" w:sz="4" w:space="0" w:color="000000"/>
            </w:tcBorders>
          </w:tcPr>
          <w:p>
            <w:pPr>
              <w:pStyle w:val="TableParagraph"/>
              <w:spacing w:line="227" w:lineRule="exact"/>
              <w:ind w:left="110"/>
              <w:rPr>
                <w:sz w:val="20"/>
              </w:rPr>
            </w:pPr>
            <w:r>
              <w:rPr>
                <w:sz w:val="20"/>
              </w:rPr>
              <w:t>91.70</w:t>
            </w:r>
          </w:p>
        </w:tc>
        <w:tc>
          <w:tcPr>
            <w:tcW w:w="1288" w:type="dxa"/>
            <w:tcBorders>
              <w:top w:val="single" w:sz="4" w:space="0" w:color="000000"/>
            </w:tcBorders>
          </w:tcPr>
          <w:p>
            <w:pPr>
              <w:pStyle w:val="TableParagraph"/>
              <w:spacing w:line="227" w:lineRule="exact"/>
              <w:ind w:left="295"/>
              <w:rPr>
                <w:sz w:val="20"/>
              </w:rPr>
            </w:pPr>
            <w:r>
              <w:rPr>
                <w:sz w:val="20"/>
              </w:rPr>
              <w:t>92.82</w:t>
            </w:r>
          </w:p>
        </w:tc>
        <w:tc>
          <w:tcPr>
            <w:tcW w:w="977" w:type="dxa"/>
            <w:tcBorders>
              <w:top w:val="single" w:sz="4" w:space="0" w:color="000000"/>
            </w:tcBorders>
          </w:tcPr>
          <w:p>
            <w:pPr>
              <w:pStyle w:val="TableParagraph"/>
              <w:spacing w:line="227" w:lineRule="exact"/>
              <w:ind w:left="114"/>
              <w:rPr>
                <w:sz w:val="20"/>
              </w:rPr>
            </w:pPr>
            <w:r>
              <w:rPr>
                <w:sz w:val="20"/>
              </w:rPr>
              <w:t>98.00</w:t>
            </w:r>
          </w:p>
        </w:tc>
        <w:tc>
          <w:tcPr>
            <w:tcW w:w="1210" w:type="dxa"/>
            <w:tcBorders>
              <w:top w:val="single" w:sz="4" w:space="0" w:color="000000"/>
            </w:tcBorders>
          </w:tcPr>
          <w:p>
            <w:pPr>
              <w:pStyle w:val="TableParagraph"/>
              <w:spacing w:line="227" w:lineRule="exact"/>
              <w:ind w:left="217"/>
              <w:rPr>
                <w:sz w:val="20"/>
              </w:rPr>
            </w:pPr>
            <w:r>
              <w:rPr>
                <w:sz w:val="20"/>
              </w:rPr>
              <w:t>100.37</w:t>
            </w:r>
          </w:p>
        </w:tc>
        <w:tc>
          <w:tcPr>
            <w:tcW w:w="1081" w:type="dxa"/>
            <w:tcBorders>
              <w:top w:val="single" w:sz="4" w:space="0" w:color="000000"/>
              <w:right w:val="single" w:sz="4" w:space="0" w:color="000000"/>
            </w:tcBorders>
          </w:tcPr>
          <w:p>
            <w:pPr>
              <w:pStyle w:val="TableParagraph"/>
              <w:spacing w:line="227" w:lineRule="exact"/>
              <w:ind w:left="111"/>
              <w:rPr>
                <w:sz w:val="20"/>
              </w:rPr>
            </w:pPr>
            <w:r>
              <w:rPr>
                <w:sz w:val="20"/>
              </w:rPr>
              <w:t>100.62</w:t>
            </w:r>
          </w:p>
        </w:tc>
        <w:tc>
          <w:tcPr>
            <w:tcW w:w="1081" w:type="dxa"/>
            <w:tcBorders>
              <w:top w:val="single" w:sz="4" w:space="0" w:color="000000"/>
              <w:left w:val="single" w:sz="4" w:space="0" w:color="000000"/>
              <w:right w:val="single" w:sz="4" w:space="0" w:color="000000"/>
            </w:tcBorders>
            <w:shd w:val="clear" w:color="auto" w:fill="D9D9D9"/>
          </w:tcPr>
          <w:p>
            <w:pPr>
              <w:pStyle w:val="TableParagraph"/>
              <w:spacing w:line="227" w:lineRule="exact"/>
              <w:ind w:left="106"/>
              <w:rPr>
                <w:sz w:val="20"/>
              </w:rPr>
            </w:pPr>
            <w:r>
              <w:rPr>
                <w:sz w:val="20"/>
              </w:rPr>
              <w:t>104.65</w:t>
            </w:r>
          </w:p>
        </w:tc>
      </w:tr>
      <w:tr>
        <w:trPr>
          <w:trHeight w:val="344" w:hRule="atLeast"/>
        </w:trPr>
        <w:tc>
          <w:tcPr>
            <w:tcW w:w="3680" w:type="dxa"/>
            <w:tcBorders>
              <w:left w:val="single" w:sz="6" w:space="0" w:color="000000"/>
              <w:right w:val="single" w:sz="4" w:space="0" w:color="000000"/>
            </w:tcBorders>
          </w:tcPr>
          <w:p>
            <w:pPr>
              <w:pStyle w:val="TableParagraph"/>
              <w:spacing w:before="54"/>
              <w:ind w:left="105"/>
              <w:rPr>
                <w:sz w:val="20"/>
              </w:rPr>
            </w:pPr>
            <w:r>
              <w:rPr>
                <w:sz w:val="20"/>
              </w:rPr>
              <w:t>Q1 2008 (2 years ahead)</w:t>
            </w:r>
          </w:p>
        </w:tc>
        <w:tc>
          <w:tcPr>
            <w:tcW w:w="900" w:type="dxa"/>
            <w:tcBorders>
              <w:left w:val="single" w:sz="4" w:space="0" w:color="000000"/>
            </w:tcBorders>
          </w:tcPr>
          <w:p>
            <w:pPr>
              <w:pStyle w:val="TableParagraph"/>
              <w:spacing w:before="54"/>
              <w:ind w:left="110"/>
              <w:rPr>
                <w:sz w:val="20"/>
              </w:rPr>
            </w:pPr>
            <w:r>
              <w:rPr>
                <w:sz w:val="20"/>
              </w:rPr>
              <w:t>90.10</w:t>
            </w:r>
          </w:p>
        </w:tc>
        <w:tc>
          <w:tcPr>
            <w:tcW w:w="1288" w:type="dxa"/>
          </w:tcPr>
          <w:p>
            <w:pPr>
              <w:pStyle w:val="TableParagraph"/>
              <w:spacing w:before="54"/>
              <w:ind w:left="295"/>
              <w:rPr>
                <w:sz w:val="20"/>
              </w:rPr>
            </w:pPr>
            <w:r>
              <w:rPr>
                <w:sz w:val="20"/>
              </w:rPr>
              <w:t>92.20</w:t>
            </w:r>
          </w:p>
        </w:tc>
        <w:tc>
          <w:tcPr>
            <w:tcW w:w="977" w:type="dxa"/>
          </w:tcPr>
          <w:p>
            <w:pPr>
              <w:pStyle w:val="TableParagraph"/>
              <w:spacing w:before="54"/>
              <w:ind w:left="114"/>
              <w:rPr>
                <w:sz w:val="20"/>
              </w:rPr>
            </w:pPr>
            <w:r>
              <w:rPr>
                <w:sz w:val="20"/>
              </w:rPr>
              <w:t>97.10</w:t>
            </w:r>
          </w:p>
        </w:tc>
        <w:tc>
          <w:tcPr>
            <w:tcW w:w="1210" w:type="dxa"/>
          </w:tcPr>
          <w:p>
            <w:pPr>
              <w:pStyle w:val="TableParagraph"/>
              <w:spacing w:before="54"/>
              <w:ind w:left="217"/>
              <w:rPr>
                <w:sz w:val="20"/>
              </w:rPr>
            </w:pPr>
            <w:r>
              <w:rPr>
                <w:sz w:val="20"/>
              </w:rPr>
              <w:t>99.98</w:t>
            </w:r>
          </w:p>
        </w:tc>
        <w:tc>
          <w:tcPr>
            <w:tcW w:w="1081" w:type="dxa"/>
            <w:tcBorders>
              <w:right w:val="single" w:sz="4" w:space="0" w:color="000000"/>
            </w:tcBorders>
          </w:tcPr>
          <w:p>
            <w:pPr>
              <w:pStyle w:val="TableParagraph"/>
              <w:spacing w:before="54"/>
              <w:ind w:left="111"/>
              <w:rPr>
                <w:sz w:val="20"/>
              </w:rPr>
            </w:pPr>
            <w:r>
              <w:rPr>
                <w:sz w:val="20"/>
              </w:rPr>
              <w:t>100.70</w:t>
            </w:r>
          </w:p>
        </w:tc>
        <w:tc>
          <w:tcPr>
            <w:tcW w:w="1081" w:type="dxa"/>
            <w:tcBorders>
              <w:left w:val="single" w:sz="4" w:space="0" w:color="000000"/>
              <w:right w:val="single" w:sz="4" w:space="0" w:color="000000"/>
            </w:tcBorders>
            <w:shd w:val="clear" w:color="auto" w:fill="D9D9D9"/>
          </w:tcPr>
          <w:p>
            <w:pPr>
              <w:pStyle w:val="TableParagraph"/>
              <w:spacing w:before="54"/>
              <w:ind w:left="106"/>
              <w:rPr>
                <w:sz w:val="20"/>
              </w:rPr>
            </w:pPr>
            <w:r>
              <w:rPr>
                <w:sz w:val="20"/>
              </w:rPr>
              <w:t>95.87</w:t>
            </w:r>
          </w:p>
        </w:tc>
      </w:tr>
      <w:tr>
        <w:trPr>
          <w:trHeight w:val="401" w:hRule="atLeast"/>
        </w:trPr>
        <w:tc>
          <w:tcPr>
            <w:tcW w:w="3680" w:type="dxa"/>
            <w:tcBorders>
              <w:left w:val="single" w:sz="6" w:space="0" w:color="000000"/>
              <w:bottom w:val="single" w:sz="4" w:space="0" w:color="000000"/>
              <w:right w:val="single" w:sz="4" w:space="0" w:color="000000"/>
            </w:tcBorders>
          </w:tcPr>
          <w:p>
            <w:pPr>
              <w:pStyle w:val="TableParagraph"/>
              <w:spacing w:before="53"/>
              <w:ind w:left="105"/>
              <w:rPr>
                <w:sz w:val="20"/>
              </w:rPr>
            </w:pPr>
            <w:r>
              <w:rPr>
                <w:sz w:val="20"/>
              </w:rPr>
              <w:t>Q1 2009 (3 years ahead)</w:t>
            </w:r>
          </w:p>
        </w:tc>
        <w:tc>
          <w:tcPr>
            <w:tcW w:w="900" w:type="dxa"/>
            <w:tcBorders>
              <w:left w:val="single" w:sz="4" w:space="0" w:color="000000"/>
              <w:bottom w:val="single" w:sz="4" w:space="0" w:color="000000"/>
            </w:tcBorders>
          </w:tcPr>
          <w:p>
            <w:pPr>
              <w:pStyle w:val="TableParagraph"/>
              <w:spacing w:before="53"/>
              <w:ind w:left="110"/>
              <w:rPr>
                <w:sz w:val="20"/>
              </w:rPr>
            </w:pPr>
            <w:r>
              <w:rPr>
                <w:sz w:val="20"/>
              </w:rPr>
              <w:t>88.80</w:t>
            </w:r>
          </w:p>
        </w:tc>
        <w:tc>
          <w:tcPr>
            <w:tcW w:w="1288" w:type="dxa"/>
            <w:tcBorders>
              <w:bottom w:val="single" w:sz="4" w:space="0" w:color="000000"/>
            </w:tcBorders>
          </w:tcPr>
          <w:p>
            <w:pPr>
              <w:pStyle w:val="TableParagraph"/>
              <w:spacing w:before="53"/>
              <w:ind w:left="295"/>
              <w:rPr>
                <w:sz w:val="20"/>
              </w:rPr>
            </w:pPr>
            <w:r>
              <w:rPr>
                <w:sz w:val="20"/>
              </w:rPr>
              <w:t>91.00</w:t>
            </w:r>
          </w:p>
        </w:tc>
        <w:tc>
          <w:tcPr>
            <w:tcW w:w="977" w:type="dxa"/>
            <w:tcBorders>
              <w:bottom w:val="single" w:sz="4" w:space="0" w:color="000000"/>
            </w:tcBorders>
          </w:tcPr>
          <w:p>
            <w:pPr>
              <w:pStyle w:val="TableParagraph"/>
              <w:spacing w:before="53"/>
              <w:ind w:left="114"/>
              <w:rPr>
                <w:sz w:val="20"/>
              </w:rPr>
            </w:pPr>
            <w:r>
              <w:rPr>
                <w:sz w:val="20"/>
              </w:rPr>
              <w:t>96.40</w:t>
            </w:r>
          </w:p>
        </w:tc>
        <w:tc>
          <w:tcPr>
            <w:tcW w:w="1210" w:type="dxa"/>
            <w:tcBorders>
              <w:bottom w:val="single" w:sz="4" w:space="0" w:color="000000"/>
            </w:tcBorders>
          </w:tcPr>
          <w:p>
            <w:pPr>
              <w:pStyle w:val="TableParagraph"/>
              <w:spacing w:before="53"/>
              <w:ind w:left="217"/>
              <w:rPr>
                <w:sz w:val="20"/>
              </w:rPr>
            </w:pPr>
            <w:r>
              <w:rPr>
                <w:sz w:val="20"/>
              </w:rPr>
              <w:t>99.98</w:t>
            </w:r>
          </w:p>
        </w:tc>
        <w:tc>
          <w:tcPr>
            <w:tcW w:w="1081" w:type="dxa"/>
            <w:tcBorders>
              <w:bottom w:val="single" w:sz="4" w:space="0" w:color="000000"/>
              <w:right w:val="single" w:sz="4" w:space="0" w:color="000000"/>
            </w:tcBorders>
          </w:tcPr>
          <w:p>
            <w:pPr>
              <w:pStyle w:val="TableParagraph"/>
              <w:spacing w:before="53"/>
              <w:ind w:left="111"/>
              <w:rPr>
                <w:sz w:val="20"/>
              </w:rPr>
            </w:pPr>
            <w:r>
              <w:rPr>
                <w:sz w:val="20"/>
              </w:rPr>
              <w:t>101.10</w:t>
            </w:r>
          </w:p>
        </w:tc>
        <w:tc>
          <w:tcPr>
            <w:tcW w:w="1081" w:type="dxa"/>
            <w:tcBorders>
              <w:left w:val="single" w:sz="4" w:space="0" w:color="000000"/>
              <w:bottom w:val="single" w:sz="4" w:space="0" w:color="000000"/>
              <w:right w:val="single" w:sz="4" w:space="0" w:color="000000"/>
            </w:tcBorders>
            <w:shd w:val="clear" w:color="auto" w:fill="D9D9D9"/>
          </w:tcPr>
          <w:p>
            <w:pPr>
              <w:pStyle w:val="TableParagraph"/>
              <w:spacing w:before="53"/>
              <w:ind w:left="106"/>
              <w:rPr>
                <w:sz w:val="20"/>
              </w:rPr>
            </w:pPr>
            <w:r>
              <w:rPr>
                <w:sz w:val="20"/>
              </w:rPr>
              <w:t>77.75</w:t>
            </w:r>
          </w:p>
        </w:tc>
      </w:tr>
    </w:tbl>
    <w:p>
      <w:pPr>
        <w:spacing w:before="0"/>
        <w:ind w:left="233" w:right="0" w:firstLine="0"/>
        <w:jc w:val="left"/>
        <w:rPr>
          <w:sz w:val="16"/>
        </w:rPr>
      </w:pPr>
      <w:r>
        <w:rPr>
          <w:sz w:val="16"/>
        </w:rPr>
        <w:t>Jan 2005=100</w:t>
      </w:r>
    </w:p>
    <w:p>
      <w:pPr>
        <w:spacing w:before="92"/>
        <w:ind w:left="233" w:right="0" w:firstLine="0"/>
        <w:jc w:val="left"/>
        <w:rPr>
          <w:sz w:val="16"/>
        </w:rPr>
      </w:pPr>
      <w:r>
        <w:rPr>
          <w:sz w:val="16"/>
        </w:rPr>
        <w:t>Source: Projections of forecasters. Outturn from ONS.</w:t>
      </w:r>
    </w:p>
    <w:p>
      <w:pPr>
        <w:spacing w:after="0"/>
        <w:jc w:val="left"/>
        <w:rPr>
          <w:sz w:val="16"/>
        </w:rPr>
        <w:sectPr>
          <w:pgSz w:w="11910" w:h="16840"/>
          <w:pgMar w:header="0" w:footer="1338" w:top="1520" w:bottom="1520" w:left="900" w:right="0"/>
        </w:sectPr>
      </w:pPr>
    </w:p>
    <w:p>
      <w:pPr>
        <w:pStyle w:val="BodyText"/>
        <w:spacing w:before="76"/>
        <w:ind w:left="233"/>
      </w:pPr>
      <w:r>
        <w:rPr>
          <w:b/>
        </w:rPr>
        <w:t>Table 5: </w:t>
      </w:r>
      <w:r>
        <w:rPr/>
        <w:t>Range of forecasts of oil prices as of August 2007</w:t>
      </w:r>
    </w:p>
    <w:p>
      <w:pPr>
        <w:pStyle w:val="BodyText"/>
        <w:spacing w:before="9"/>
        <w:rPr>
          <w:sz w:val="11"/>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9"/>
        <w:gridCol w:w="829"/>
        <w:gridCol w:w="987"/>
        <w:gridCol w:w="732"/>
        <w:gridCol w:w="1231"/>
        <w:gridCol w:w="969"/>
        <w:gridCol w:w="1271"/>
      </w:tblGrid>
      <w:tr>
        <w:trPr>
          <w:trHeight w:val="690" w:hRule="atLeast"/>
        </w:trPr>
        <w:tc>
          <w:tcPr>
            <w:tcW w:w="3229" w:type="dxa"/>
          </w:tcPr>
          <w:p>
            <w:pPr>
              <w:pStyle w:val="TableParagraph"/>
              <w:spacing w:line="227" w:lineRule="exact"/>
              <w:ind w:left="107"/>
              <w:rPr>
                <w:b/>
                <w:sz w:val="20"/>
              </w:rPr>
            </w:pPr>
            <w:r>
              <w:rPr>
                <w:b/>
                <w:sz w:val="20"/>
              </w:rPr>
              <w:t>Forecasts of WTI Oil Price (US$</w:t>
            </w:r>
          </w:p>
          <w:p>
            <w:pPr>
              <w:pStyle w:val="TableParagraph"/>
              <w:spacing w:before="113"/>
              <w:ind w:left="107"/>
              <w:rPr>
                <w:b/>
                <w:sz w:val="20"/>
              </w:rPr>
            </w:pPr>
            <w:r>
              <w:rPr>
                <w:b/>
                <w:sz w:val="20"/>
              </w:rPr>
              <w:t>per barrel)</w:t>
            </w:r>
          </w:p>
        </w:tc>
        <w:tc>
          <w:tcPr>
            <w:tcW w:w="829" w:type="dxa"/>
            <w:tcBorders>
              <w:right w:val="nil"/>
            </w:tcBorders>
          </w:tcPr>
          <w:p>
            <w:pPr>
              <w:pStyle w:val="TableParagraph"/>
              <w:spacing w:before="167"/>
              <w:ind w:left="107"/>
              <w:rPr>
                <w:b/>
                <w:sz w:val="20"/>
              </w:rPr>
            </w:pPr>
            <w:r>
              <w:rPr>
                <w:b/>
                <w:sz w:val="20"/>
              </w:rPr>
              <w:t>Min</w:t>
            </w:r>
          </w:p>
        </w:tc>
        <w:tc>
          <w:tcPr>
            <w:tcW w:w="987" w:type="dxa"/>
            <w:tcBorders>
              <w:left w:val="nil"/>
              <w:right w:val="nil"/>
            </w:tcBorders>
          </w:tcPr>
          <w:p>
            <w:pPr>
              <w:pStyle w:val="TableParagraph"/>
              <w:spacing w:before="167"/>
              <w:ind w:left="337"/>
              <w:rPr>
                <w:b/>
                <w:sz w:val="20"/>
              </w:rPr>
            </w:pPr>
            <w:r>
              <w:rPr>
                <w:b/>
                <w:sz w:val="20"/>
              </w:rPr>
              <w:t>Mean</w:t>
            </w:r>
          </w:p>
        </w:tc>
        <w:tc>
          <w:tcPr>
            <w:tcW w:w="732" w:type="dxa"/>
            <w:tcBorders>
              <w:left w:val="nil"/>
              <w:right w:val="nil"/>
            </w:tcBorders>
          </w:tcPr>
          <w:p>
            <w:pPr>
              <w:pStyle w:val="TableParagraph"/>
              <w:spacing w:before="167"/>
              <w:ind w:left="142"/>
              <w:rPr>
                <w:b/>
                <w:sz w:val="20"/>
              </w:rPr>
            </w:pPr>
            <w:r>
              <w:rPr>
                <w:b/>
                <w:sz w:val="20"/>
              </w:rPr>
              <w:t>Max</w:t>
            </w:r>
          </w:p>
        </w:tc>
        <w:tc>
          <w:tcPr>
            <w:tcW w:w="1231" w:type="dxa"/>
            <w:tcBorders>
              <w:left w:val="nil"/>
            </w:tcBorders>
          </w:tcPr>
          <w:p>
            <w:pPr>
              <w:pStyle w:val="TableParagraph"/>
              <w:spacing w:line="227" w:lineRule="exact"/>
              <w:ind w:left="202"/>
              <w:rPr>
                <w:b/>
                <w:sz w:val="20"/>
              </w:rPr>
            </w:pPr>
            <w:r>
              <w:rPr>
                <w:b/>
                <w:sz w:val="20"/>
              </w:rPr>
              <w:t>Standard</w:t>
            </w:r>
          </w:p>
          <w:p>
            <w:pPr>
              <w:pStyle w:val="TableParagraph"/>
              <w:spacing w:before="113"/>
              <w:ind w:left="202"/>
              <w:rPr>
                <w:b/>
                <w:sz w:val="20"/>
              </w:rPr>
            </w:pPr>
            <w:r>
              <w:rPr>
                <w:b/>
                <w:sz w:val="20"/>
              </w:rPr>
              <w:t>Deviation</w:t>
            </w:r>
          </w:p>
        </w:tc>
        <w:tc>
          <w:tcPr>
            <w:tcW w:w="969" w:type="dxa"/>
            <w:tcBorders>
              <w:right w:val="nil"/>
            </w:tcBorders>
            <w:shd w:val="clear" w:color="auto" w:fill="BEBEBE"/>
          </w:tcPr>
          <w:p>
            <w:pPr>
              <w:pStyle w:val="TableParagraph"/>
              <w:spacing w:before="167"/>
              <w:ind w:left="106"/>
              <w:rPr>
                <w:b/>
                <w:sz w:val="20"/>
              </w:rPr>
            </w:pPr>
            <w:r>
              <w:rPr>
                <w:b/>
                <w:sz w:val="20"/>
              </w:rPr>
              <w:t>Outturn</w:t>
            </w:r>
          </w:p>
        </w:tc>
        <w:tc>
          <w:tcPr>
            <w:tcW w:w="1271" w:type="dxa"/>
            <w:tcBorders>
              <w:left w:val="nil"/>
            </w:tcBorders>
            <w:shd w:val="clear" w:color="auto" w:fill="BEBEBE"/>
          </w:tcPr>
          <w:p>
            <w:pPr>
              <w:pStyle w:val="TableParagraph"/>
              <w:spacing w:line="227" w:lineRule="exact"/>
              <w:ind w:left="126"/>
              <w:rPr>
                <w:b/>
                <w:sz w:val="20"/>
              </w:rPr>
            </w:pPr>
            <w:r>
              <w:rPr>
                <w:b/>
                <w:sz w:val="20"/>
              </w:rPr>
              <w:t>(Outturn-</w:t>
            </w:r>
          </w:p>
          <w:p>
            <w:pPr>
              <w:pStyle w:val="TableParagraph"/>
              <w:spacing w:before="113"/>
              <w:ind w:left="126"/>
              <w:rPr>
                <w:b/>
                <w:sz w:val="20"/>
              </w:rPr>
            </w:pPr>
            <w:r>
              <w:rPr>
                <w:b/>
                <w:sz w:val="20"/>
              </w:rPr>
              <w:t>Mean)/S.D</w:t>
            </w:r>
          </w:p>
        </w:tc>
      </w:tr>
      <w:tr>
        <w:trPr>
          <w:trHeight w:val="287" w:hRule="atLeast"/>
        </w:trPr>
        <w:tc>
          <w:tcPr>
            <w:tcW w:w="3229" w:type="dxa"/>
            <w:tcBorders>
              <w:bottom w:val="nil"/>
            </w:tcBorders>
          </w:tcPr>
          <w:p>
            <w:pPr>
              <w:pStyle w:val="TableParagraph"/>
              <w:spacing w:line="227" w:lineRule="exact"/>
              <w:ind w:left="107"/>
              <w:rPr>
                <w:sz w:val="20"/>
              </w:rPr>
            </w:pPr>
            <w:r>
              <w:rPr>
                <w:sz w:val="20"/>
              </w:rPr>
              <w:t>End of Nov 2007 (1 qtr ahead)</w:t>
            </w:r>
          </w:p>
        </w:tc>
        <w:tc>
          <w:tcPr>
            <w:tcW w:w="829" w:type="dxa"/>
            <w:tcBorders>
              <w:bottom w:val="nil"/>
              <w:right w:val="nil"/>
            </w:tcBorders>
          </w:tcPr>
          <w:p>
            <w:pPr>
              <w:pStyle w:val="TableParagraph"/>
              <w:spacing w:line="227" w:lineRule="exact"/>
              <w:ind w:left="107"/>
              <w:rPr>
                <w:sz w:val="20"/>
              </w:rPr>
            </w:pPr>
            <w:r>
              <w:rPr>
                <w:sz w:val="20"/>
              </w:rPr>
              <w:t>59.0</w:t>
            </w:r>
          </w:p>
        </w:tc>
        <w:tc>
          <w:tcPr>
            <w:tcW w:w="987" w:type="dxa"/>
            <w:tcBorders>
              <w:left w:val="nil"/>
              <w:bottom w:val="nil"/>
              <w:right w:val="nil"/>
            </w:tcBorders>
          </w:tcPr>
          <w:p>
            <w:pPr>
              <w:pStyle w:val="TableParagraph"/>
              <w:spacing w:line="227" w:lineRule="exact"/>
              <w:ind w:left="337"/>
              <w:rPr>
                <w:sz w:val="20"/>
              </w:rPr>
            </w:pPr>
            <w:r>
              <w:rPr>
                <w:sz w:val="20"/>
              </w:rPr>
              <w:t>69.3</w:t>
            </w:r>
          </w:p>
        </w:tc>
        <w:tc>
          <w:tcPr>
            <w:tcW w:w="732" w:type="dxa"/>
            <w:tcBorders>
              <w:left w:val="nil"/>
              <w:bottom w:val="nil"/>
              <w:right w:val="nil"/>
            </w:tcBorders>
          </w:tcPr>
          <w:p>
            <w:pPr>
              <w:pStyle w:val="TableParagraph"/>
              <w:spacing w:line="227" w:lineRule="exact"/>
              <w:ind w:left="142"/>
              <w:rPr>
                <w:sz w:val="20"/>
              </w:rPr>
            </w:pPr>
            <w:r>
              <w:rPr>
                <w:sz w:val="20"/>
              </w:rPr>
              <w:t>75.0</w:t>
            </w:r>
          </w:p>
        </w:tc>
        <w:tc>
          <w:tcPr>
            <w:tcW w:w="1231" w:type="dxa"/>
            <w:tcBorders>
              <w:left w:val="nil"/>
              <w:bottom w:val="nil"/>
            </w:tcBorders>
          </w:tcPr>
          <w:p>
            <w:pPr>
              <w:pStyle w:val="TableParagraph"/>
              <w:spacing w:line="227" w:lineRule="exact"/>
              <w:ind w:left="202"/>
              <w:rPr>
                <w:sz w:val="20"/>
              </w:rPr>
            </w:pPr>
            <w:r>
              <w:rPr>
                <w:sz w:val="20"/>
              </w:rPr>
              <w:t>3.7</w:t>
            </w:r>
          </w:p>
        </w:tc>
        <w:tc>
          <w:tcPr>
            <w:tcW w:w="969" w:type="dxa"/>
            <w:tcBorders>
              <w:bottom w:val="nil"/>
              <w:right w:val="nil"/>
            </w:tcBorders>
            <w:shd w:val="clear" w:color="auto" w:fill="BEBEBE"/>
          </w:tcPr>
          <w:p>
            <w:pPr>
              <w:pStyle w:val="TableParagraph"/>
              <w:spacing w:line="225" w:lineRule="exact"/>
              <w:ind w:left="106"/>
              <w:rPr>
                <w:b/>
                <w:sz w:val="20"/>
              </w:rPr>
            </w:pPr>
            <w:r>
              <w:rPr>
                <w:b/>
                <w:sz w:val="20"/>
              </w:rPr>
              <w:t>88.6</w:t>
            </w:r>
          </w:p>
        </w:tc>
        <w:tc>
          <w:tcPr>
            <w:tcW w:w="1271" w:type="dxa"/>
            <w:tcBorders>
              <w:left w:val="nil"/>
              <w:bottom w:val="nil"/>
            </w:tcBorders>
            <w:shd w:val="clear" w:color="auto" w:fill="BEBEBE"/>
          </w:tcPr>
          <w:p>
            <w:pPr>
              <w:pStyle w:val="TableParagraph"/>
              <w:spacing w:line="225" w:lineRule="exact"/>
              <w:ind w:left="126"/>
              <w:rPr>
                <w:b/>
                <w:sz w:val="20"/>
              </w:rPr>
            </w:pPr>
            <w:r>
              <w:rPr>
                <w:b/>
                <w:sz w:val="20"/>
              </w:rPr>
              <w:t>5.2</w:t>
            </w:r>
          </w:p>
        </w:tc>
      </w:tr>
      <w:tr>
        <w:trPr>
          <w:trHeight w:val="403" w:hRule="atLeast"/>
        </w:trPr>
        <w:tc>
          <w:tcPr>
            <w:tcW w:w="3229" w:type="dxa"/>
            <w:tcBorders>
              <w:top w:val="nil"/>
            </w:tcBorders>
          </w:tcPr>
          <w:p>
            <w:pPr>
              <w:pStyle w:val="TableParagraph"/>
              <w:spacing w:before="55"/>
              <w:ind w:left="107"/>
              <w:rPr>
                <w:sz w:val="20"/>
              </w:rPr>
            </w:pPr>
            <w:r>
              <w:rPr>
                <w:sz w:val="20"/>
              </w:rPr>
              <w:t>End of Aug 2008 (1 year ahead)</w:t>
            </w:r>
          </w:p>
        </w:tc>
        <w:tc>
          <w:tcPr>
            <w:tcW w:w="829" w:type="dxa"/>
            <w:tcBorders>
              <w:top w:val="nil"/>
              <w:right w:val="nil"/>
            </w:tcBorders>
          </w:tcPr>
          <w:p>
            <w:pPr>
              <w:pStyle w:val="TableParagraph"/>
              <w:spacing w:before="55"/>
              <w:ind w:left="107"/>
              <w:rPr>
                <w:sz w:val="20"/>
              </w:rPr>
            </w:pPr>
            <w:r>
              <w:rPr>
                <w:sz w:val="20"/>
              </w:rPr>
              <w:t>51.4</w:t>
            </w:r>
          </w:p>
        </w:tc>
        <w:tc>
          <w:tcPr>
            <w:tcW w:w="987" w:type="dxa"/>
            <w:tcBorders>
              <w:top w:val="nil"/>
              <w:left w:val="nil"/>
              <w:right w:val="nil"/>
            </w:tcBorders>
          </w:tcPr>
          <w:p>
            <w:pPr>
              <w:pStyle w:val="TableParagraph"/>
              <w:spacing w:before="55"/>
              <w:ind w:left="337"/>
              <w:rPr>
                <w:sz w:val="20"/>
              </w:rPr>
            </w:pPr>
            <w:r>
              <w:rPr>
                <w:sz w:val="20"/>
              </w:rPr>
              <w:t>68.2</w:t>
            </w:r>
          </w:p>
        </w:tc>
        <w:tc>
          <w:tcPr>
            <w:tcW w:w="732" w:type="dxa"/>
            <w:tcBorders>
              <w:top w:val="nil"/>
              <w:left w:val="nil"/>
              <w:right w:val="nil"/>
            </w:tcBorders>
          </w:tcPr>
          <w:p>
            <w:pPr>
              <w:pStyle w:val="TableParagraph"/>
              <w:spacing w:before="55"/>
              <w:ind w:left="142"/>
              <w:rPr>
                <w:sz w:val="20"/>
              </w:rPr>
            </w:pPr>
            <w:r>
              <w:rPr>
                <w:sz w:val="20"/>
              </w:rPr>
              <w:t>80.0</w:t>
            </w:r>
          </w:p>
        </w:tc>
        <w:tc>
          <w:tcPr>
            <w:tcW w:w="1231" w:type="dxa"/>
            <w:tcBorders>
              <w:top w:val="nil"/>
              <w:left w:val="nil"/>
            </w:tcBorders>
          </w:tcPr>
          <w:p>
            <w:pPr>
              <w:pStyle w:val="TableParagraph"/>
              <w:spacing w:before="55"/>
              <w:ind w:left="202"/>
              <w:rPr>
                <w:sz w:val="20"/>
              </w:rPr>
            </w:pPr>
            <w:r>
              <w:rPr>
                <w:sz w:val="20"/>
              </w:rPr>
              <w:t>6.1</w:t>
            </w:r>
          </w:p>
        </w:tc>
        <w:tc>
          <w:tcPr>
            <w:tcW w:w="969" w:type="dxa"/>
            <w:tcBorders>
              <w:top w:val="nil"/>
              <w:right w:val="nil"/>
            </w:tcBorders>
            <w:shd w:val="clear" w:color="auto" w:fill="BEBEBE"/>
          </w:tcPr>
          <w:p>
            <w:pPr>
              <w:pStyle w:val="TableParagraph"/>
              <w:spacing w:before="53"/>
              <w:ind w:left="106"/>
              <w:rPr>
                <w:b/>
                <w:sz w:val="20"/>
              </w:rPr>
            </w:pPr>
            <w:r>
              <w:rPr>
                <w:b/>
                <w:sz w:val="20"/>
              </w:rPr>
              <w:t>115.6</w:t>
            </w:r>
          </w:p>
        </w:tc>
        <w:tc>
          <w:tcPr>
            <w:tcW w:w="1271" w:type="dxa"/>
            <w:tcBorders>
              <w:top w:val="nil"/>
              <w:left w:val="nil"/>
            </w:tcBorders>
            <w:shd w:val="clear" w:color="auto" w:fill="BEBEBE"/>
          </w:tcPr>
          <w:p>
            <w:pPr>
              <w:pStyle w:val="TableParagraph"/>
              <w:spacing w:before="53"/>
              <w:ind w:left="126"/>
              <w:rPr>
                <w:b/>
                <w:sz w:val="20"/>
              </w:rPr>
            </w:pPr>
            <w:r>
              <w:rPr>
                <w:b/>
                <w:sz w:val="20"/>
              </w:rPr>
              <w:t>7.8</w:t>
            </w:r>
          </w:p>
        </w:tc>
      </w:tr>
    </w:tbl>
    <w:p>
      <w:pPr>
        <w:spacing w:before="0"/>
        <w:ind w:left="233" w:right="0" w:firstLine="0"/>
        <w:jc w:val="left"/>
        <w:rPr>
          <w:sz w:val="16"/>
        </w:rPr>
      </w:pPr>
      <w:r>
        <w:rPr>
          <w:sz w:val="16"/>
        </w:rPr>
        <w:t>Source: Projections of forecasters from Consensus Forecasts, Consensus Economics Inc. Outturn from Thomson Reuters.</w:t>
      </w:r>
    </w:p>
    <w:p>
      <w:pPr>
        <w:pStyle w:val="BodyText"/>
        <w:rPr>
          <w:sz w:val="18"/>
        </w:rPr>
      </w:pPr>
    </w:p>
    <w:p>
      <w:pPr>
        <w:pStyle w:val="BodyText"/>
        <w:spacing w:before="135"/>
        <w:ind w:left="233"/>
      </w:pPr>
      <w:r>
        <w:rPr>
          <w:b/>
        </w:rPr>
        <w:t>Table 6</w:t>
      </w:r>
      <w:r>
        <w:rPr/>
        <w:t>: Range of forecasts of oil prices as of Feb 2008</w:t>
      </w:r>
    </w:p>
    <w:p>
      <w:pPr>
        <w:pStyle w:val="BodyText"/>
        <w:rPr>
          <w:sz w:val="12"/>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9"/>
        <w:gridCol w:w="829"/>
        <w:gridCol w:w="987"/>
        <w:gridCol w:w="786"/>
        <w:gridCol w:w="1177"/>
        <w:gridCol w:w="969"/>
        <w:gridCol w:w="1271"/>
      </w:tblGrid>
      <w:tr>
        <w:trPr>
          <w:trHeight w:val="690" w:hRule="atLeast"/>
        </w:trPr>
        <w:tc>
          <w:tcPr>
            <w:tcW w:w="3229" w:type="dxa"/>
          </w:tcPr>
          <w:p>
            <w:pPr>
              <w:pStyle w:val="TableParagraph"/>
              <w:spacing w:line="225" w:lineRule="exact"/>
              <w:ind w:left="107"/>
              <w:rPr>
                <w:b/>
                <w:sz w:val="20"/>
              </w:rPr>
            </w:pPr>
            <w:r>
              <w:rPr>
                <w:b/>
                <w:sz w:val="20"/>
              </w:rPr>
              <w:t>Forecasts of WTI Oil Price (US$</w:t>
            </w:r>
          </w:p>
          <w:p>
            <w:pPr>
              <w:pStyle w:val="TableParagraph"/>
              <w:spacing w:before="115"/>
              <w:ind w:left="107"/>
              <w:rPr>
                <w:b/>
                <w:sz w:val="20"/>
              </w:rPr>
            </w:pPr>
            <w:r>
              <w:rPr>
                <w:b/>
                <w:sz w:val="20"/>
              </w:rPr>
              <w:t>per barrel)</w:t>
            </w:r>
          </w:p>
        </w:tc>
        <w:tc>
          <w:tcPr>
            <w:tcW w:w="829" w:type="dxa"/>
            <w:tcBorders>
              <w:right w:val="nil"/>
            </w:tcBorders>
          </w:tcPr>
          <w:p>
            <w:pPr>
              <w:pStyle w:val="TableParagraph"/>
              <w:spacing w:before="167"/>
              <w:ind w:left="107"/>
              <w:rPr>
                <w:b/>
                <w:sz w:val="20"/>
              </w:rPr>
            </w:pPr>
            <w:r>
              <w:rPr>
                <w:b/>
                <w:sz w:val="20"/>
              </w:rPr>
              <w:t>Min</w:t>
            </w:r>
          </w:p>
        </w:tc>
        <w:tc>
          <w:tcPr>
            <w:tcW w:w="987" w:type="dxa"/>
            <w:tcBorders>
              <w:left w:val="nil"/>
              <w:right w:val="nil"/>
            </w:tcBorders>
          </w:tcPr>
          <w:p>
            <w:pPr>
              <w:pStyle w:val="TableParagraph"/>
              <w:spacing w:before="167"/>
              <w:ind w:left="337"/>
              <w:rPr>
                <w:b/>
                <w:sz w:val="20"/>
              </w:rPr>
            </w:pPr>
            <w:r>
              <w:rPr>
                <w:b/>
                <w:sz w:val="20"/>
              </w:rPr>
              <w:t>Mean</w:t>
            </w:r>
          </w:p>
        </w:tc>
        <w:tc>
          <w:tcPr>
            <w:tcW w:w="786" w:type="dxa"/>
            <w:tcBorders>
              <w:left w:val="nil"/>
              <w:right w:val="nil"/>
            </w:tcBorders>
          </w:tcPr>
          <w:p>
            <w:pPr>
              <w:pStyle w:val="TableParagraph"/>
              <w:spacing w:before="167"/>
              <w:ind w:left="142"/>
              <w:rPr>
                <w:b/>
                <w:sz w:val="20"/>
              </w:rPr>
            </w:pPr>
            <w:r>
              <w:rPr>
                <w:b/>
                <w:sz w:val="20"/>
              </w:rPr>
              <w:t>Max</w:t>
            </w:r>
          </w:p>
        </w:tc>
        <w:tc>
          <w:tcPr>
            <w:tcW w:w="1177" w:type="dxa"/>
            <w:tcBorders>
              <w:left w:val="nil"/>
            </w:tcBorders>
          </w:tcPr>
          <w:p>
            <w:pPr>
              <w:pStyle w:val="TableParagraph"/>
              <w:spacing w:line="225" w:lineRule="exact"/>
              <w:ind w:left="148"/>
              <w:rPr>
                <w:b/>
                <w:sz w:val="20"/>
              </w:rPr>
            </w:pPr>
            <w:r>
              <w:rPr>
                <w:b/>
                <w:sz w:val="20"/>
              </w:rPr>
              <w:t>Standard</w:t>
            </w:r>
          </w:p>
          <w:p>
            <w:pPr>
              <w:pStyle w:val="TableParagraph"/>
              <w:spacing w:before="115"/>
              <w:ind w:left="148"/>
              <w:rPr>
                <w:b/>
                <w:sz w:val="20"/>
              </w:rPr>
            </w:pPr>
            <w:r>
              <w:rPr>
                <w:b/>
                <w:sz w:val="20"/>
              </w:rPr>
              <w:t>Deviation</w:t>
            </w:r>
          </w:p>
        </w:tc>
        <w:tc>
          <w:tcPr>
            <w:tcW w:w="969" w:type="dxa"/>
            <w:tcBorders>
              <w:right w:val="nil"/>
            </w:tcBorders>
            <w:shd w:val="clear" w:color="auto" w:fill="BEBEBE"/>
          </w:tcPr>
          <w:p>
            <w:pPr>
              <w:pStyle w:val="TableParagraph"/>
              <w:spacing w:before="167"/>
              <w:ind w:left="106"/>
              <w:rPr>
                <w:b/>
                <w:sz w:val="20"/>
              </w:rPr>
            </w:pPr>
            <w:r>
              <w:rPr>
                <w:b/>
                <w:sz w:val="20"/>
              </w:rPr>
              <w:t>Outturn</w:t>
            </w:r>
          </w:p>
        </w:tc>
        <w:tc>
          <w:tcPr>
            <w:tcW w:w="1271" w:type="dxa"/>
            <w:tcBorders>
              <w:left w:val="nil"/>
            </w:tcBorders>
            <w:shd w:val="clear" w:color="auto" w:fill="BEBEBE"/>
          </w:tcPr>
          <w:p>
            <w:pPr>
              <w:pStyle w:val="TableParagraph"/>
              <w:spacing w:line="225" w:lineRule="exact"/>
              <w:ind w:left="126"/>
              <w:rPr>
                <w:b/>
                <w:sz w:val="20"/>
              </w:rPr>
            </w:pPr>
            <w:r>
              <w:rPr>
                <w:b/>
                <w:sz w:val="20"/>
              </w:rPr>
              <w:t>(Outturn-</w:t>
            </w:r>
          </w:p>
          <w:p>
            <w:pPr>
              <w:pStyle w:val="TableParagraph"/>
              <w:spacing w:before="115"/>
              <w:ind w:left="126"/>
              <w:rPr>
                <w:b/>
                <w:sz w:val="20"/>
              </w:rPr>
            </w:pPr>
            <w:r>
              <w:rPr>
                <w:b/>
                <w:sz w:val="20"/>
              </w:rPr>
              <w:t>Mean)/S.D</w:t>
            </w:r>
          </w:p>
        </w:tc>
      </w:tr>
      <w:tr>
        <w:trPr>
          <w:trHeight w:val="631" w:hRule="atLeast"/>
        </w:trPr>
        <w:tc>
          <w:tcPr>
            <w:tcW w:w="3229" w:type="dxa"/>
            <w:tcBorders>
              <w:bottom w:val="nil"/>
            </w:tcBorders>
          </w:tcPr>
          <w:p>
            <w:pPr>
              <w:pStyle w:val="TableParagraph"/>
              <w:spacing w:line="227" w:lineRule="exact"/>
              <w:ind w:left="107"/>
              <w:rPr>
                <w:sz w:val="20"/>
              </w:rPr>
            </w:pPr>
            <w:r>
              <w:rPr>
                <w:sz w:val="20"/>
              </w:rPr>
              <w:t>End of May 2008 (1 quarter</w:t>
            </w:r>
          </w:p>
          <w:p>
            <w:pPr>
              <w:pStyle w:val="TableParagraph"/>
              <w:spacing w:before="115"/>
              <w:ind w:left="107"/>
              <w:rPr>
                <w:sz w:val="20"/>
              </w:rPr>
            </w:pPr>
            <w:r>
              <w:rPr>
                <w:sz w:val="20"/>
              </w:rPr>
              <w:t>ahead)</w:t>
            </w:r>
          </w:p>
        </w:tc>
        <w:tc>
          <w:tcPr>
            <w:tcW w:w="829" w:type="dxa"/>
            <w:tcBorders>
              <w:bottom w:val="nil"/>
              <w:right w:val="nil"/>
            </w:tcBorders>
          </w:tcPr>
          <w:p>
            <w:pPr>
              <w:pStyle w:val="TableParagraph"/>
              <w:spacing w:before="170"/>
              <w:ind w:left="107"/>
              <w:rPr>
                <w:sz w:val="20"/>
              </w:rPr>
            </w:pPr>
            <w:r>
              <w:rPr>
                <w:sz w:val="20"/>
              </w:rPr>
              <w:t>66.0</w:t>
            </w:r>
          </w:p>
        </w:tc>
        <w:tc>
          <w:tcPr>
            <w:tcW w:w="987" w:type="dxa"/>
            <w:tcBorders>
              <w:left w:val="nil"/>
              <w:bottom w:val="nil"/>
              <w:right w:val="nil"/>
            </w:tcBorders>
          </w:tcPr>
          <w:p>
            <w:pPr>
              <w:pStyle w:val="TableParagraph"/>
              <w:spacing w:before="170"/>
              <w:ind w:left="337"/>
              <w:rPr>
                <w:sz w:val="20"/>
              </w:rPr>
            </w:pPr>
            <w:r>
              <w:rPr>
                <w:sz w:val="20"/>
              </w:rPr>
              <w:t>84.6</w:t>
            </w:r>
          </w:p>
        </w:tc>
        <w:tc>
          <w:tcPr>
            <w:tcW w:w="786" w:type="dxa"/>
            <w:tcBorders>
              <w:left w:val="nil"/>
              <w:bottom w:val="nil"/>
              <w:right w:val="nil"/>
            </w:tcBorders>
          </w:tcPr>
          <w:p>
            <w:pPr>
              <w:pStyle w:val="TableParagraph"/>
              <w:spacing w:before="170"/>
              <w:ind w:left="142"/>
              <w:rPr>
                <w:sz w:val="20"/>
              </w:rPr>
            </w:pPr>
            <w:r>
              <w:rPr>
                <w:sz w:val="20"/>
              </w:rPr>
              <w:t>100.0</w:t>
            </w:r>
          </w:p>
        </w:tc>
        <w:tc>
          <w:tcPr>
            <w:tcW w:w="1177" w:type="dxa"/>
            <w:tcBorders>
              <w:left w:val="nil"/>
              <w:bottom w:val="nil"/>
            </w:tcBorders>
          </w:tcPr>
          <w:p>
            <w:pPr>
              <w:pStyle w:val="TableParagraph"/>
              <w:spacing w:before="170"/>
              <w:ind w:left="148"/>
              <w:rPr>
                <w:sz w:val="20"/>
              </w:rPr>
            </w:pPr>
            <w:r>
              <w:rPr>
                <w:sz w:val="20"/>
              </w:rPr>
              <w:t>6.1</w:t>
            </w:r>
          </w:p>
        </w:tc>
        <w:tc>
          <w:tcPr>
            <w:tcW w:w="969" w:type="dxa"/>
            <w:tcBorders>
              <w:bottom w:val="nil"/>
              <w:right w:val="nil"/>
            </w:tcBorders>
            <w:shd w:val="clear" w:color="auto" w:fill="BEBEBE"/>
          </w:tcPr>
          <w:p>
            <w:pPr>
              <w:pStyle w:val="TableParagraph"/>
              <w:spacing w:before="167"/>
              <w:ind w:left="106"/>
              <w:rPr>
                <w:b/>
                <w:sz w:val="20"/>
              </w:rPr>
            </w:pPr>
            <w:r>
              <w:rPr>
                <w:b/>
                <w:sz w:val="20"/>
              </w:rPr>
              <w:t>127.4</w:t>
            </w:r>
          </w:p>
        </w:tc>
        <w:tc>
          <w:tcPr>
            <w:tcW w:w="1271" w:type="dxa"/>
            <w:tcBorders>
              <w:left w:val="nil"/>
              <w:bottom w:val="nil"/>
            </w:tcBorders>
            <w:shd w:val="clear" w:color="auto" w:fill="BEBEBE"/>
          </w:tcPr>
          <w:p>
            <w:pPr>
              <w:pStyle w:val="TableParagraph"/>
              <w:spacing w:before="167"/>
              <w:ind w:left="126"/>
              <w:rPr>
                <w:b/>
                <w:sz w:val="20"/>
              </w:rPr>
            </w:pPr>
            <w:r>
              <w:rPr>
                <w:b/>
                <w:sz w:val="20"/>
              </w:rPr>
              <w:t>7.0</w:t>
            </w:r>
          </w:p>
        </w:tc>
      </w:tr>
      <w:tr>
        <w:trPr>
          <w:trHeight w:val="402" w:hRule="atLeast"/>
        </w:trPr>
        <w:tc>
          <w:tcPr>
            <w:tcW w:w="3229" w:type="dxa"/>
            <w:tcBorders>
              <w:top w:val="nil"/>
            </w:tcBorders>
          </w:tcPr>
          <w:p>
            <w:pPr>
              <w:pStyle w:val="TableParagraph"/>
              <w:spacing w:before="54"/>
              <w:ind w:left="107"/>
              <w:rPr>
                <w:sz w:val="20"/>
              </w:rPr>
            </w:pPr>
            <w:r>
              <w:rPr>
                <w:sz w:val="20"/>
              </w:rPr>
              <w:t>End of Feb 2009 (1 year ahead)</w:t>
            </w:r>
          </w:p>
        </w:tc>
        <w:tc>
          <w:tcPr>
            <w:tcW w:w="829" w:type="dxa"/>
            <w:tcBorders>
              <w:top w:val="nil"/>
              <w:right w:val="nil"/>
            </w:tcBorders>
          </w:tcPr>
          <w:p>
            <w:pPr>
              <w:pStyle w:val="TableParagraph"/>
              <w:spacing w:before="54"/>
              <w:ind w:left="107"/>
              <w:rPr>
                <w:sz w:val="20"/>
              </w:rPr>
            </w:pPr>
            <w:r>
              <w:rPr>
                <w:sz w:val="20"/>
              </w:rPr>
              <w:t>65.0</w:t>
            </w:r>
          </w:p>
        </w:tc>
        <w:tc>
          <w:tcPr>
            <w:tcW w:w="987" w:type="dxa"/>
            <w:tcBorders>
              <w:top w:val="nil"/>
              <w:left w:val="nil"/>
              <w:right w:val="nil"/>
            </w:tcBorders>
          </w:tcPr>
          <w:p>
            <w:pPr>
              <w:pStyle w:val="TableParagraph"/>
              <w:spacing w:before="54"/>
              <w:ind w:left="337"/>
              <w:rPr>
                <w:sz w:val="20"/>
              </w:rPr>
            </w:pPr>
            <w:r>
              <w:rPr>
                <w:sz w:val="20"/>
              </w:rPr>
              <w:t>82.0</w:t>
            </w:r>
          </w:p>
        </w:tc>
        <w:tc>
          <w:tcPr>
            <w:tcW w:w="786" w:type="dxa"/>
            <w:tcBorders>
              <w:top w:val="nil"/>
              <w:left w:val="nil"/>
              <w:right w:val="nil"/>
            </w:tcBorders>
          </w:tcPr>
          <w:p>
            <w:pPr>
              <w:pStyle w:val="TableParagraph"/>
              <w:spacing w:before="54"/>
              <w:ind w:left="142"/>
              <w:rPr>
                <w:sz w:val="20"/>
              </w:rPr>
            </w:pPr>
            <w:r>
              <w:rPr>
                <w:sz w:val="20"/>
              </w:rPr>
              <w:t>102.0</w:t>
            </w:r>
          </w:p>
        </w:tc>
        <w:tc>
          <w:tcPr>
            <w:tcW w:w="1177" w:type="dxa"/>
            <w:tcBorders>
              <w:top w:val="nil"/>
              <w:left w:val="nil"/>
            </w:tcBorders>
          </w:tcPr>
          <w:p>
            <w:pPr>
              <w:pStyle w:val="TableParagraph"/>
              <w:spacing w:before="54"/>
              <w:ind w:left="148"/>
              <w:rPr>
                <w:sz w:val="20"/>
              </w:rPr>
            </w:pPr>
            <w:r>
              <w:rPr>
                <w:sz w:val="20"/>
              </w:rPr>
              <w:t>8.1</w:t>
            </w:r>
          </w:p>
        </w:tc>
        <w:tc>
          <w:tcPr>
            <w:tcW w:w="969" w:type="dxa"/>
            <w:tcBorders>
              <w:top w:val="nil"/>
              <w:right w:val="nil"/>
            </w:tcBorders>
            <w:shd w:val="clear" w:color="auto" w:fill="BEBEBE"/>
          </w:tcPr>
          <w:p>
            <w:pPr>
              <w:pStyle w:val="TableParagraph"/>
              <w:spacing w:before="52"/>
              <w:ind w:left="106"/>
              <w:rPr>
                <w:b/>
                <w:sz w:val="20"/>
              </w:rPr>
            </w:pPr>
            <w:r>
              <w:rPr>
                <w:b/>
                <w:sz w:val="20"/>
              </w:rPr>
              <w:t>44.2</w:t>
            </w:r>
          </w:p>
        </w:tc>
        <w:tc>
          <w:tcPr>
            <w:tcW w:w="1271" w:type="dxa"/>
            <w:tcBorders>
              <w:top w:val="nil"/>
              <w:left w:val="nil"/>
            </w:tcBorders>
            <w:shd w:val="clear" w:color="auto" w:fill="BEBEBE"/>
          </w:tcPr>
          <w:p>
            <w:pPr>
              <w:pStyle w:val="TableParagraph"/>
              <w:spacing w:before="52"/>
              <w:ind w:left="126"/>
              <w:rPr>
                <w:b/>
                <w:sz w:val="20"/>
              </w:rPr>
            </w:pPr>
            <w:r>
              <w:rPr>
                <w:b/>
                <w:sz w:val="20"/>
              </w:rPr>
              <w:t>-4.7</w:t>
            </w:r>
          </w:p>
        </w:tc>
      </w:tr>
    </w:tbl>
    <w:p>
      <w:pPr>
        <w:spacing w:before="0"/>
        <w:ind w:left="233" w:right="0" w:firstLine="0"/>
        <w:jc w:val="left"/>
        <w:rPr>
          <w:sz w:val="16"/>
        </w:rPr>
      </w:pPr>
      <w:r>
        <w:rPr>
          <w:sz w:val="16"/>
        </w:rPr>
        <w:t>Source: Projections of forecasters from Consensus Forecasts, Consensus Economics Inc. Outturn from Thomson Reuters.</w:t>
      </w:r>
    </w:p>
    <w:p>
      <w:pPr>
        <w:pStyle w:val="BodyText"/>
        <w:rPr>
          <w:sz w:val="18"/>
        </w:rPr>
      </w:pPr>
    </w:p>
    <w:p>
      <w:pPr>
        <w:pStyle w:val="BodyText"/>
        <w:spacing w:before="1"/>
      </w:pPr>
    </w:p>
    <w:p>
      <w:pPr>
        <w:pStyle w:val="BodyText"/>
        <w:spacing w:line="360" w:lineRule="auto"/>
        <w:ind w:left="233" w:right="1248"/>
      </w:pPr>
      <w:r>
        <w:rPr/>
        <w:t>The implied chance that oil prices would fall in different ranges, derived from options prices</w:t>
      </w:r>
      <w:r>
        <w:rPr>
          <w:vertAlign w:val="superscript"/>
        </w:rPr>
        <w:t>10</w:t>
      </w:r>
      <w:r>
        <w:rPr>
          <w:vertAlign w:val="baseline"/>
        </w:rPr>
        <w:t>, also suggest that what subsequently happened was thought to be extremely unlikely. Figures 5 and 6 show the outturns along with a probability distribution implied by option prices as they were in September 2007. Outcomes as high as they were in September 2008, or as low as they were in March 2009, were each given less than a 3% probability.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r>
        <w:rPr/>
        <w:pict>
          <v:shape style="position:absolute;margin-left:56.664001pt;margin-top:17.839237pt;width:144.050pt;height:.1pt;mso-position-horizontal-relative:page;mso-position-vertical-relative:paragraph;z-index:-251584512;mso-wrap-distance-left:0;mso-wrap-distance-right:0" coordorigin="1133,357" coordsize="2881,0" path="m1133,357l4014,357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10 </w:t>
      </w:r>
      <w:r>
        <w:rPr>
          <w:sz w:val="16"/>
        </w:rPr>
        <w:t>Note that these are risk-neutral probabilities.</w:t>
      </w:r>
    </w:p>
    <w:p>
      <w:pPr>
        <w:spacing w:after="0"/>
        <w:jc w:val="left"/>
        <w:rPr>
          <w:sz w:val="16"/>
        </w:rPr>
        <w:sectPr>
          <w:pgSz w:w="11910" w:h="16840"/>
          <w:pgMar w:header="0" w:footer="1338" w:top="1520" w:bottom="1520" w:left="900" w:right="0"/>
        </w:sectPr>
      </w:pPr>
    </w:p>
    <w:p>
      <w:pPr>
        <w:pStyle w:val="BodyText"/>
        <w:spacing w:before="76"/>
        <w:ind w:left="233"/>
      </w:pPr>
      <w:r>
        <w:rPr/>
        <w:pict>
          <v:group style="position:absolute;margin-left:61.882pt;margin-top:20.884871pt;width:463.95pt;height:243.55pt;mso-position-horizontal-relative:page;mso-position-vertical-relative:paragraph;z-index:-251561984;mso-wrap-distance-left:0;mso-wrap-distance-right:0" coordorigin="1238,418" coordsize="9279,4871">
            <v:line style="position:absolute" from="1958,3736" to="10138,3736" stroked="true" strokeweight=".72pt" strokecolor="#858585">
              <v:stroke dashstyle="solid"/>
            </v:line>
            <v:line style="position:absolute" from="1958,3120" to="10138,3120" stroked="true" strokeweight=".72pt" strokecolor="#858585">
              <v:stroke dashstyle="solid"/>
            </v:line>
            <v:line style="position:absolute" from="1958,2500" to="10138,2500" stroked="true" strokeweight=".72pt" strokecolor="#858585">
              <v:stroke dashstyle="solid"/>
            </v:line>
            <v:line style="position:absolute" from="1958,1884" to="10138,1884" stroked="true" strokeweight=".72pt" strokecolor="#858585">
              <v:stroke dashstyle="solid"/>
            </v:line>
            <v:line style="position:absolute" from="1958,1264" to="10138,1264" stroked="true" strokeweight=".72pt" strokecolor="#858585">
              <v:stroke dashstyle="solid"/>
            </v:line>
            <v:line style="position:absolute" from="1958,648" to="10138,648" stroked="true" strokeweight=".72pt" strokecolor="#858585">
              <v:stroke dashstyle="solid"/>
            </v:line>
            <v:line style="position:absolute" from="1958,4356" to="1958,648" stroked="true" strokeweight=".72pt" strokecolor="#858585">
              <v:stroke dashstyle="solid"/>
            </v:line>
            <v:line style="position:absolute" from="1894,4356" to="1958,4356" stroked="true" strokeweight=".72pt" strokecolor="#858585">
              <v:stroke dashstyle="solid"/>
            </v:line>
            <v:line style="position:absolute" from="1894,3736" to="1958,3736" stroked="true" strokeweight=".72pt" strokecolor="#858585">
              <v:stroke dashstyle="solid"/>
            </v:line>
            <v:line style="position:absolute" from="1894,3120" to="1958,3120" stroked="true" strokeweight=".72pt" strokecolor="#858585">
              <v:stroke dashstyle="solid"/>
            </v:line>
            <v:line style="position:absolute" from="1894,2500" to="1958,2500" stroked="true" strokeweight=".72pt" strokecolor="#858585">
              <v:stroke dashstyle="solid"/>
            </v:line>
            <v:line style="position:absolute" from="1894,1884" to="1958,1884" stroked="true" strokeweight=".72pt" strokecolor="#858585">
              <v:stroke dashstyle="solid"/>
            </v:line>
            <v:line style="position:absolute" from="1894,1264" to="1958,1264" stroked="true" strokeweight=".72pt" strokecolor="#858585">
              <v:stroke dashstyle="solid"/>
            </v:line>
            <v:line style="position:absolute" from="1894,648" to="1958,648" stroked="true" strokeweight=".72pt" strokecolor="#858585">
              <v:stroke dashstyle="solid"/>
            </v:line>
            <v:line style="position:absolute" from="1958,4356" to="10138,4356" stroked="true" strokeweight=".72pt" strokecolor="#858585">
              <v:stroke dashstyle="solid"/>
            </v:line>
            <v:line style="position:absolute" from="1958,4356" to="1958,4418" stroked="true" strokeweight=".72pt" strokecolor="#858585">
              <v:stroke dashstyle="solid"/>
            </v:line>
            <v:line style="position:absolute" from="2774,4356" to="2774,4418" stroked="true" strokeweight=".72pt" strokecolor="#858585">
              <v:stroke dashstyle="solid"/>
            </v:line>
            <v:line style="position:absolute" from="3593,4356" to="3593,4418" stroked="true" strokeweight=".72pt" strokecolor="#858585">
              <v:stroke dashstyle="solid"/>
            </v:line>
            <v:line style="position:absolute" from="4411,4356" to="4411,4418" stroked="true" strokeweight=".72pt" strokecolor="#858585">
              <v:stroke dashstyle="solid"/>
            </v:line>
            <v:line style="position:absolute" from="5230,4356" to="5230,4418" stroked="true" strokeweight=".72pt" strokecolor="#858585">
              <v:stroke dashstyle="solid"/>
            </v:line>
            <v:line style="position:absolute" from="6048,4356" to="6048,4418" stroked="true" strokeweight=".72pt" strokecolor="#858585">
              <v:stroke dashstyle="solid"/>
            </v:line>
            <v:line style="position:absolute" from="6866,4356" to="6866,4418" stroked="true" strokeweight=".72pt" strokecolor="#858585">
              <v:stroke dashstyle="solid"/>
            </v:line>
            <v:line style="position:absolute" from="7682,4356" to="7682,4418" stroked="true" strokeweight=".72pt" strokecolor="#858585">
              <v:stroke dashstyle="solid"/>
            </v:line>
            <v:line style="position:absolute" from="8501,4356" to="8501,4418" stroked="true" strokeweight=".72pt" strokecolor="#858585">
              <v:stroke dashstyle="solid"/>
            </v:line>
            <v:line style="position:absolute" from="9319,4356" to="9319,4418" stroked="true" strokeweight=".72pt" strokecolor="#858585">
              <v:stroke dashstyle="solid"/>
            </v:line>
            <v:line style="position:absolute" from="10138,4356" to="10138,4418" stroked="true" strokeweight=".72pt" strokecolor="#858585">
              <v:stroke dashstyle="solid"/>
            </v:line>
            <v:shape style="position:absolute;left:2860;top:1022;width:6735;height:3334" coordorigin="2861,1022" coordsize="6735,3334" path="m2861,4356l2902,4353,2945,4353,2988,4351,3074,4344,3158,4327,3245,4298,3329,4250,3415,4180,3456,4135,3499,4087,3542,4029,3586,3969,3626,3904,3670,3835,3713,3763,3756,3691,3797,3616,3840,3542,3883,3468,3926,3396,3967,3326,4010,3256,4054,3192,4097,3129,4140,3069,4181,3009,4224,2954,4267,2899,4310,2846,4351,2793,4394,2738,4438,2683,4481,2623,4522,2558,4565,2486,4608,2409,4651,2320,4692,2224,4735,2121,4778,2006,4822,1884,4862,1749,4906,1610,4949,1480,4992,1353,5033,1236,5076,1130,5119,1068,5206,1022,5246,1046,5290,1108,5333,1200,5376,1312,5417,1442,5460,1591,5503,1747,5546,1908,5587,2068,5630,2224,5674,2378,5717,2524,5758,2668,5801,2805,5844,2935,5887,3060,5928,3177,5971,3285,6014,3388,6058,3482,6101,3571,6142,3652,6185,3727,6228,3794,6271,3854,6312,3912,6355,3960,6398,4005,6482,4082,6569,4142,6653,4190,6739,4228,6782,4243,6823,4257,6910,4281,6994,4298,7080,4312,7123,4317,7166,4322,7207,4327,7250,4329,7294,4334,7337,4336,7378,4339,7421,4341,7464,4344,7507,4344,7548,4346,7591,4346,7634,4348,7678,4348,7718,4351,7762,4351,7805,4351,7848,4351,7889,4353,7932,4353,8232,4353,8273,4356,9552,4356,9595,4356e" filled="false" stroked="true" strokeweight="2.16pt" strokecolor="#497dba">
              <v:path arrowok="t"/>
              <v:stroke dashstyle="longdash"/>
            </v:shape>
            <v:rect style="position:absolute;left:1245;top:425;width:9264;height:4856" filled="false" stroked="true" strokeweight=".75pt" strokecolor="#858585">
              <v:stroke dashstyle="solid"/>
            </v:rect>
            <v:line style="position:absolute" from="6308,4374" to="6308,1941" stroked="true" strokeweight="1.5pt" strokecolor="#497dba">
              <v:stroke dashstyle="solid"/>
            </v:line>
            <v:shape style="position:absolute;left:6423;top:3805;width:424;height:459" coordorigin="6423,3805" coordsize="424,459" path="m6468,4090l6460,4095,6459,4103,6423,4264,6461,4252,6455,4252,6433,4232,6470,4191,6488,4110,6490,4102,6485,4094,6468,4090xm6470,4191l6433,4232,6455,4252,6461,4245,6458,4245,6439,4228,6464,4220,6470,4191xm6580,4184l6492,4211,6455,4252,6461,4252,6589,4213,6593,4205,6591,4197,6588,4189,6580,4184xm6464,4220l6439,4228,6458,4245,6464,4220xm6492,4211l6464,4220,6458,4245,6461,4245,6492,4211xm6825,3805l6470,4191,6464,4220,6492,4211,6847,3825,6825,3805xe" filled="true" fillcolor="#000000" stroked="false">
              <v:path arrowok="t"/>
              <v:fill type="solid"/>
            </v:shape>
            <v:shape style="position:absolute;left:4550;top:4828;width:3012;height:200" type="#_x0000_t202" filled="false" stroked="false">
              <v:textbox inset="0,0,0,0">
                <w:txbxContent>
                  <w:p>
                    <w:pPr>
                      <w:spacing w:line="199" w:lineRule="exact" w:before="0"/>
                      <w:ind w:left="0" w:right="0" w:firstLine="0"/>
                      <w:jc w:val="left"/>
                      <w:rPr>
                        <w:rFonts w:ascii="Calibri"/>
                        <w:b/>
                        <w:sz w:val="20"/>
                      </w:rPr>
                    </w:pPr>
                    <w:r>
                      <w:rPr>
                        <w:rFonts w:ascii="Calibri"/>
                        <w:b/>
                        <w:sz w:val="20"/>
                      </w:rPr>
                      <w:t>WTI Crude Oil Price (USD per barrel)</w:t>
                    </w:r>
                  </w:p>
                </w:txbxContent>
              </v:textbox>
              <w10:wrap type="none"/>
            </v:shape>
            <v:shape style="position:absolute;left:9986;top:4524;width:325;height:200" type="#_x0000_t202" filled="false" stroked="false">
              <v:textbox inset="0,0,0,0">
                <w:txbxContent>
                  <w:p>
                    <w:pPr>
                      <w:spacing w:line="199" w:lineRule="exact" w:before="0"/>
                      <w:ind w:left="0" w:right="0" w:firstLine="0"/>
                      <w:jc w:val="left"/>
                      <w:rPr>
                        <w:rFonts w:ascii="Calibri"/>
                        <w:sz w:val="20"/>
                      </w:rPr>
                    </w:pPr>
                    <w:r>
                      <w:rPr>
                        <w:rFonts w:ascii="Calibri"/>
                        <w:sz w:val="20"/>
                      </w:rPr>
                      <w:t>200</w:t>
                    </w:r>
                  </w:p>
                </w:txbxContent>
              </v:textbox>
              <w10:wrap type="none"/>
            </v:shape>
            <v:shape style="position:absolute;left:9169;top:4524;width:325;height:200" type="#_x0000_t202" filled="false" stroked="false">
              <v:textbox inset="0,0,0,0">
                <w:txbxContent>
                  <w:p>
                    <w:pPr>
                      <w:spacing w:line="199" w:lineRule="exact" w:before="0"/>
                      <w:ind w:left="0" w:right="0" w:firstLine="0"/>
                      <w:jc w:val="left"/>
                      <w:rPr>
                        <w:rFonts w:ascii="Calibri"/>
                        <w:sz w:val="20"/>
                      </w:rPr>
                    </w:pPr>
                    <w:r>
                      <w:rPr>
                        <w:rFonts w:ascii="Calibri"/>
                        <w:sz w:val="20"/>
                      </w:rPr>
                      <w:t>180</w:t>
                    </w:r>
                  </w:p>
                </w:txbxContent>
              </v:textbox>
              <w10:wrap type="none"/>
            </v:shape>
            <v:shape style="position:absolute;left:8350;top:4524;width:325;height:200" type="#_x0000_t202" filled="false" stroked="false">
              <v:textbox inset="0,0,0,0">
                <w:txbxContent>
                  <w:p>
                    <w:pPr>
                      <w:spacing w:line="199" w:lineRule="exact" w:before="0"/>
                      <w:ind w:left="0" w:right="0" w:firstLine="0"/>
                      <w:jc w:val="left"/>
                      <w:rPr>
                        <w:rFonts w:ascii="Calibri"/>
                        <w:sz w:val="20"/>
                      </w:rPr>
                    </w:pPr>
                    <w:r>
                      <w:rPr>
                        <w:rFonts w:ascii="Calibri"/>
                        <w:sz w:val="20"/>
                      </w:rPr>
                      <w:t>160</w:t>
                    </w:r>
                  </w:p>
                </w:txbxContent>
              </v:textbox>
              <w10:wrap type="none"/>
            </v:shape>
            <v:shape style="position:absolute;left:7532;top:4524;width:325;height:200" type="#_x0000_t202" filled="false" stroked="false">
              <v:textbox inset="0,0,0,0">
                <w:txbxContent>
                  <w:p>
                    <w:pPr>
                      <w:spacing w:line="199" w:lineRule="exact" w:before="0"/>
                      <w:ind w:left="0" w:right="0" w:firstLine="0"/>
                      <w:jc w:val="left"/>
                      <w:rPr>
                        <w:rFonts w:ascii="Calibri"/>
                        <w:sz w:val="20"/>
                      </w:rPr>
                    </w:pPr>
                    <w:r>
                      <w:rPr>
                        <w:rFonts w:ascii="Calibri"/>
                        <w:sz w:val="20"/>
                      </w:rPr>
                      <w:t>140</w:t>
                    </w:r>
                  </w:p>
                </w:txbxContent>
              </v:textbox>
              <w10:wrap type="none"/>
            </v:shape>
            <v:shape style="position:absolute;left:6714;top:4524;width:325;height:200" type="#_x0000_t202" filled="false" stroked="false">
              <v:textbox inset="0,0,0,0">
                <w:txbxContent>
                  <w:p>
                    <w:pPr>
                      <w:spacing w:line="199" w:lineRule="exact" w:before="0"/>
                      <w:ind w:left="0" w:right="0" w:firstLine="0"/>
                      <w:jc w:val="left"/>
                      <w:rPr>
                        <w:rFonts w:ascii="Calibri"/>
                        <w:sz w:val="20"/>
                      </w:rPr>
                    </w:pPr>
                    <w:r>
                      <w:rPr>
                        <w:rFonts w:ascii="Calibri"/>
                        <w:sz w:val="20"/>
                      </w:rPr>
                      <w:t>120</w:t>
                    </w:r>
                  </w:p>
                </w:txbxContent>
              </v:textbox>
              <w10:wrap type="none"/>
            </v:shape>
            <v:shape style="position:absolute;left:5896;top:4524;width:325;height:200" type="#_x0000_t202" filled="false" stroked="false">
              <v:textbox inset="0,0,0,0">
                <w:txbxContent>
                  <w:p>
                    <w:pPr>
                      <w:spacing w:line="199" w:lineRule="exact" w:before="0"/>
                      <w:ind w:left="0" w:right="0" w:firstLine="0"/>
                      <w:jc w:val="left"/>
                      <w:rPr>
                        <w:rFonts w:ascii="Calibri"/>
                        <w:sz w:val="20"/>
                      </w:rPr>
                    </w:pPr>
                    <w:r>
                      <w:rPr>
                        <w:rFonts w:ascii="Calibri"/>
                        <w:sz w:val="20"/>
                      </w:rPr>
                      <w:t>100</w:t>
                    </w:r>
                  </w:p>
                </w:txbxContent>
              </v:textbox>
              <w10:wrap type="none"/>
            </v:shape>
            <v:shape style="position:absolute;left:5128;top:4524;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80</w:t>
                    </w:r>
                  </w:p>
                </w:txbxContent>
              </v:textbox>
              <w10:wrap type="none"/>
            </v:shape>
            <v:shape style="position:absolute;left:4310;top:4524;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60</w:t>
                    </w:r>
                  </w:p>
                </w:txbxContent>
              </v:textbox>
              <w10:wrap type="none"/>
            </v:shape>
            <v:shape style="position:absolute;left:3492;top:4524;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40</w:t>
                    </w:r>
                  </w:p>
                </w:txbxContent>
              </v:textbox>
              <w10:wrap type="none"/>
            </v:shape>
            <v:shape style="position:absolute;left:2674;top:4524;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20</w:t>
                    </w:r>
                  </w:p>
                </w:txbxContent>
              </v:textbox>
              <w10:wrap type="none"/>
            </v:shape>
            <v:shape style="position:absolute;left:1906;top:452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375;top:4263;width:417;height:200" type="#_x0000_t202" filled="false" stroked="false">
              <v:textbox inset="0,0,0,0">
                <w:txbxContent>
                  <w:p>
                    <w:pPr>
                      <w:spacing w:line="199" w:lineRule="exact" w:before="0"/>
                      <w:ind w:left="0" w:right="0" w:firstLine="0"/>
                      <w:jc w:val="left"/>
                      <w:rPr>
                        <w:rFonts w:ascii="Calibri"/>
                        <w:sz w:val="20"/>
                      </w:rPr>
                    </w:pPr>
                    <w:r>
                      <w:rPr>
                        <w:rFonts w:ascii="Calibri"/>
                        <w:sz w:val="20"/>
                      </w:rPr>
                      <w:t>0.0%</w:t>
                    </w:r>
                  </w:p>
                </w:txbxContent>
              </v:textbox>
              <w10:wrap type="none"/>
            </v:shape>
            <v:shape style="position:absolute;left:1375;top:3645;width:417;height:200" type="#_x0000_t202" filled="false" stroked="false">
              <v:textbox inset="0,0,0,0">
                <w:txbxContent>
                  <w:p>
                    <w:pPr>
                      <w:spacing w:line="199" w:lineRule="exact" w:before="0"/>
                      <w:ind w:left="0" w:right="0" w:firstLine="0"/>
                      <w:jc w:val="left"/>
                      <w:rPr>
                        <w:rFonts w:ascii="Calibri"/>
                        <w:sz w:val="20"/>
                      </w:rPr>
                    </w:pPr>
                    <w:r>
                      <w:rPr>
                        <w:rFonts w:ascii="Calibri"/>
                        <w:sz w:val="20"/>
                      </w:rPr>
                      <w:t>0.5%</w:t>
                    </w:r>
                  </w:p>
                </w:txbxContent>
              </v:textbox>
              <w10:wrap type="none"/>
            </v:shape>
            <v:shape style="position:absolute;left:6913;top:3361;width:420;height:200" type="#_x0000_t202" filled="false" stroked="false">
              <v:textbox inset="0,0,0,0">
                <w:txbxContent>
                  <w:p>
                    <w:pPr>
                      <w:spacing w:line="199" w:lineRule="exact" w:before="0"/>
                      <w:ind w:left="0" w:right="0" w:firstLine="0"/>
                      <w:jc w:val="left"/>
                      <w:rPr>
                        <w:rFonts w:ascii="Calibri"/>
                        <w:b/>
                        <w:sz w:val="20"/>
                      </w:rPr>
                    </w:pPr>
                    <w:r>
                      <w:rPr>
                        <w:rFonts w:ascii="Calibri"/>
                        <w:b/>
                        <w:sz w:val="20"/>
                      </w:rPr>
                      <w:t>2.8%</w:t>
                    </w:r>
                  </w:p>
                </w:txbxContent>
              </v:textbox>
              <w10:wrap type="none"/>
            </v:shape>
            <v:shape style="position:absolute;left:1375;top:3027;width:417;height:200" type="#_x0000_t202" filled="false" stroked="false">
              <v:textbox inset="0,0,0,0">
                <w:txbxContent>
                  <w:p>
                    <w:pPr>
                      <w:spacing w:line="199" w:lineRule="exact" w:before="0"/>
                      <w:ind w:left="0" w:right="0" w:firstLine="0"/>
                      <w:jc w:val="left"/>
                      <w:rPr>
                        <w:rFonts w:ascii="Calibri"/>
                        <w:sz w:val="20"/>
                      </w:rPr>
                    </w:pPr>
                    <w:r>
                      <w:rPr>
                        <w:rFonts w:ascii="Calibri"/>
                        <w:sz w:val="20"/>
                      </w:rPr>
                      <w:t>1.0%</w:t>
                    </w:r>
                  </w:p>
                </w:txbxContent>
              </v:textbox>
              <w10:wrap type="none"/>
            </v:shape>
            <v:shape style="position:absolute;left:1375;top:2409;width:417;height:200" type="#_x0000_t202" filled="false" stroked="false">
              <v:textbox inset="0,0,0,0">
                <w:txbxContent>
                  <w:p>
                    <w:pPr>
                      <w:spacing w:line="199" w:lineRule="exact" w:before="0"/>
                      <w:ind w:left="0" w:right="0" w:firstLine="0"/>
                      <w:jc w:val="left"/>
                      <w:rPr>
                        <w:rFonts w:ascii="Calibri"/>
                        <w:sz w:val="20"/>
                      </w:rPr>
                    </w:pPr>
                    <w:r>
                      <w:rPr>
                        <w:rFonts w:ascii="Calibri"/>
                        <w:sz w:val="20"/>
                      </w:rPr>
                      <w:t>1.5%</w:t>
                    </w:r>
                  </w:p>
                </w:txbxContent>
              </v:textbox>
              <w10:wrap type="none"/>
            </v:shape>
            <v:shape style="position:absolute;left:6506;top:1758;width:672;height:689" type="#_x0000_t202" filled="false" stroked="false">
              <v:textbox inset="0,0,0,0">
                <w:txbxContent>
                  <w:p>
                    <w:pPr>
                      <w:spacing w:line="203" w:lineRule="exact" w:before="0"/>
                      <w:ind w:left="0" w:right="0" w:firstLine="0"/>
                      <w:jc w:val="left"/>
                      <w:rPr>
                        <w:rFonts w:ascii="Calibri"/>
                        <w:sz w:val="20"/>
                      </w:rPr>
                    </w:pPr>
                    <w:r>
                      <w:rPr>
                        <w:rFonts w:ascii="Calibri"/>
                        <w:sz w:val="20"/>
                      </w:rPr>
                      <w:t>Sept</w:t>
                    </w:r>
                  </w:p>
                  <w:p>
                    <w:pPr>
                      <w:spacing w:before="0"/>
                      <w:ind w:left="0" w:right="0" w:firstLine="0"/>
                      <w:jc w:val="left"/>
                      <w:rPr>
                        <w:rFonts w:ascii="Calibri"/>
                        <w:sz w:val="20"/>
                      </w:rPr>
                    </w:pPr>
                    <w:r>
                      <w:rPr>
                        <w:rFonts w:ascii="Calibri"/>
                        <w:sz w:val="20"/>
                      </w:rPr>
                      <w:t>2008</w:t>
                    </w:r>
                  </w:p>
                  <w:p>
                    <w:pPr>
                      <w:spacing w:line="240" w:lineRule="exact" w:before="1"/>
                      <w:ind w:left="0" w:right="0" w:firstLine="0"/>
                      <w:jc w:val="left"/>
                      <w:rPr>
                        <w:rFonts w:ascii="Calibri"/>
                        <w:sz w:val="20"/>
                      </w:rPr>
                    </w:pPr>
                    <w:r>
                      <w:rPr>
                        <w:rFonts w:ascii="Calibri"/>
                        <w:sz w:val="20"/>
                      </w:rPr>
                      <w:t>Outturn</w:t>
                    </w:r>
                  </w:p>
                </w:txbxContent>
              </v:textbox>
              <w10:wrap type="none"/>
            </v:shape>
            <v:shape style="position:absolute;left:1375;top:1790;width:417;height:200" type="#_x0000_t202" filled="false" stroked="false">
              <v:textbox inset="0,0,0,0">
                <w:txbxContent>
                  <w:p>
                    <w:pPr>
                      <w:spacing w:line="199" w:lineRule="exact" w:before="0"/>
                      <w:ind w:left="0" w:right="0" w:firstLine="0"/>
                      <w:jc w:val="left"/>
                      <w:rPr>
                        <w:rFonts w:ascii="Calibri"/>
                        <w:sz w:val="20"/>
                      </w:rPr>
                    </w:pPr>
                    <w:r>
                      <w:rPr>
                        <w:rFonts w:ascii="Calibri"/>
                        <w:sz w:val="20"/>
                      </w:rPr>
                      <w:t>2.0%</w:t>
                    </w:r>
                  </w:p>
                </w:txbxContent>
              </v:textbox>
              <w10:wrap type="none"/>
            </v:shape>
            <v:shape style="position:absolute;left:1375;top:1172;width:417;height:200" type="#_x0000_t202" filled="false" stroked="false">
              <v:textbox inset="0,0,0,0">
                <w:txbxContent>
                  <w:p>
                    <w:pPr>
                      <w:spacing w:line="199" w:lineRule="exact" w:before="0"/>
                      <w:ind w:left="0" w:right="0" w:firstLine="0"/>
                      <w:jc w:val="left"/>
                      <w:rPr>
                        <w:rFonts w:ascii="Calibri"/>
                        <w:sz w:val="20"/>
                      </w:rPr>
                    </w:pPr>
                    <w:r>
                      <w:rPr>
                        <w:rFonts w:ascii="Calibri"/>
                        <w:sz w:val="20"/>
                      </w:rPr>
                      <w:t>2.5%</w:t>
                    </w:r>
                  </w:p>
                </w:txbxContent>
              </v:textbox>
              <w10:wrap type="none"/>
            </v:shape>
            <v:shape style="position:absolute;left:1375;top:554;width:417;height:200" type="#_x0000_t202" filled="false" stroked="false">
              <v:textbox inset="0,0,0,0">
                <w:txbxContent>
                  <w:p>
                    <w:pPr>
                      <w:spacing w:line="199" w:lineRule="exact" w:before="0"/>
                      <w:ind w:left="0" w:right="0" w:firstLine="0"/>
                      <w:jc w:val="left"/>
                      <w:rPr>
                        <w:rFonts w:ascii="Calibri"/>
                        <w:sz w:val="20"/>
                      </w:rPr>
                    </w:pPr>
                    <w:r>
                      <w:rPr>
                        <w:rFonts w:ascii="Calibri"/>
                        <w:sz w:val="20"/>
                      </w:rPr>
                      <w:t>3.0%</w:t>
                    </w:r>
                  </w:p>
                </w:txbxContent>
              </v:textbox>
              <w10:wrap type="none"/>
            </v:shape>
            <w10:wrap type="topAndBottom"/>
          </v:group>
        </w:pict>
      </w:r>
      <w:r>
        <w:rPr>
          <w:b/>
        </w:rPr>
        <w:t>Figure 5</w:t>
      </w:r>
      <w:r>
        <w:rPr/>
        <w:t>: Option implied distribution of probabilities for WTI crude oil price 1 year ahead, as of end Sep 2007</w:t>
      </w:r>
    </w:p>
    <w:p>
      <w:pPr>
        <w:spacing w:before="110"/>
        <w:ind w:left="233" w:right="0" w:firstLine="0"/>
        <w:jc w:val="left"/>
        <w:rPr>
          <w:sz w:val="16"/>
        </w:rPr>
      </w:pPr>
      <w:r>
        <w:rPr>
          <w:sz w:val="16"/>
        </w:rPr>
        <w:t>Source: Bloomberg, Chicago Mercantile Exchange and Bank calculations.</w:t>
      </w:r>
    </w:p>
    <w:p>
      <w:pPr>
        <w:pStyle w:val="BodyText"/>
        <w:rPr>
          <w:sz w:val="18"/>
        </w:rPr>
      </w:pPr>
    </w:p>
    <w:p>
      <w:pPr>
        <w:pStyle w:val="BodyText"/>
        <w:spacing w:before="8"/>
        <w:rPr>
          <w:sz w:val="19"/>
        </w:rPr>
      </w:pPr>
    </w:p>
    <w:p>
      <w:pPr>
        <w:pStyle w:val="BodyText"/>
        <w:spacing w:line="362" w:lineRule="auto"/>
        <w:ind w:left="233" w:right="1792"/>
      </w:pPr>
      <w:r>
        <w:rPr>
          <w:b/>
        </w:rPr>
        <w:t>Figure 6</w:t>
      </w:r>
      <w:r>
        <w:rPr/>
        <w:t>: Option implied distribution of probabilities for WTI crude oil price 1 year ahead, as of end March 2008</w:t>
      </w:r>
    </w:p>
    <w:p>
      <w:pPr>
        <w:pStyle w:val="BodyText"/>
        <w:ind w:left="226"/>
      </w:pPr>
      <w:r>
        <w:rPr/>
        <w:pict>
          <v:group style="width:461.35pt;height:241.9pt;mso-position-horizontal-relative:char;mso-position-vertical-relative:line" coordorigin="0,0" coordsize="9227,4838">
            <v:line style="position:absolute" from="565,3171" to="8845,3171" stroked="true" strokeweight=".72pt" strokecolor="#858585">
              <v:stroke dashstyle="solid"/>
            </v:line>
            <v:line style="position:absolute" from="565,2434" to="8845,2434" stroked="true" strokeweight=".72pt" strokecolor="#858585">
              <v:stroke dashstyle="solid"/>
            </v:line>
            <v:line style="position:absolute" from="565,1700" to="8845,1700" stroked="true" strokeweight=".72pt" strokecolor="#858585">
              <v:stroke dashstyle="solid"/>
            </v:line>
            <v:line style="position:absolute" from="565,965" to="8845,965" stroked="true" strokeweight=".72pt" strokecolor="#858585">
              <v:stroke dashstyle="solid"/>
            </v:line>
            <v:line style="position:absolute" from="565,231" to="8845,231" stroked="true" strokeweight=".72pt" strokecolor="#858585">
              <v:stroke dashstyle="solid"/>
            </v:line>
            <v:line style="position:absolute" from="565,3905" to="565,231" stroked="true" strokeweight=".72pt" strokecolor="#858585">
              <v:stroke dashstyle="solid"/>
            </v:line>
            <v:line style="position:absolute" from="503,3905" to="566,3905" stroked="true" strokeweight=".72pt" strokecolor="#858585">
              <v:stroke dashstyle="solid"/>
            </v:line>
            <v:line style="position:absolute" from="503,3171" to="566,3171" stroked="true" strokeweight=".72pt" strokecolor="#858585">
              <v:stroke dashstyle="solid"/>
            </v:line>
            <v:line style="position:absolute" from="503,2434" to="566,2434" stroked="true" strokeweight=".72pt" strokecolor="#858585">
              <v:stroke dashstyle="solid"/>
            </v:line>
            <v:line style="position:absolute" from="503,1700" to="566,1700" stroked="true" strokeweight=".72pt" strokecolor="#858585">
              <v:stroke dashstyle="solid"/>
            </v:line>
            <v:line style="position:absolute" from="503,965" to="566,965" stroked="true" strokeweight=".72pt" strokecolor="#858585">
              <v:stroke dashstyle="solid"/>
            </v:line>
            <v:line style="position:absolute" from="503,231" to="566,231" stroked="true" strokeweight=".72pt" strokecolor="#858585">
              <v:stroke dashstyle="solid"/>
            </v:line>
            <v:line style="position:absolute" from="565,3905" to="8845,3905" stroked="true" strokeweight=".72pt" strokecolor="#858585">
              <v:stroke dashstyle="solid"/>
            </v:line>
            <v:line style="position:absolute" from="565,3905" to="565,3970" stroked="true" strokeweight=".72pt" strokecolor="#858585">
              <v:stroke dashstyle="solid"/>
            </v:line>
            <v:line style="position:absolute" from="1394,3905" to="1394,3970" stroked="true" strokeweight=".72pt" strokecolor="#858585">
              <v:stroke dashstyle="solid"/>
            </v:line>
            <v:line style="position:absolute" from="2221,3905" to="2221,3970" stroked="true" strokeweight=".72pt" strokecolor="#858585">
              <v:stroke dashstyle="solid"/>
            </v:line>
            <v:line style="position:absolute" from="3050,3905" to="3050,3970" stroked="true" strokeweight=".72pt" strokecolor="#858585">
              <v:stroke dashstyle="solid"/>
            </v:line>
            <v:line style="position:absolute" from="3878,3905" to="3878,3970" stroked="true" strokeweight=".72pt" strokecolor="#858585">
              <v:stroke dashstyle="solid"/>
            </v:line>
            <v:line style="position:absolute" from="4705,3905" to="4705,3970" stroked="true" strokeweight=".72pt" strokecolor="#858585">
              <v:stroke dashstyle="solid"/>
            </v:line>
            <v:line style="position:absolute" from="5533,3905" to="5533,3970" stroked="true" strokeweight=".72pt" strokecolor="#858585">
              <v:stroke dashstyle="solid"/>
            </v:line>
            <v:line style="position:absolute" from="6362,3905" to="6362,3970" stroked="true" strokeweight=".72pt" strokecolor="#858585">
              <v:stroke dashstyle="solid"/>
            </v:line>
            <v:line style="position:absolute" from="7190,3905" to="7190,3970" stroked="true" strokeweight=".72pt" strokecolor="#858585">
              <v:stroke dashstyle="solid"/>
            </v:line>
            <v:line style="position:absolute" from="8018,3905" to="8018,3970" stroked="true" strokeweight=".72pt" strokecolor="#858585">
              <v:stroke dashstyle="solid"/>
            </v:line>
            <v:line style="position:absolute" from="8845,3905" to="8845,3970" stroked="true" strokeweight=".72pt" strokecolor="#858585">
              <v:stroke dashstyle="solid"/>
            </v:line>
            <v:shape style="position:absolute;left:1736;top:1066;width:7124;height:2840" coordorigin="1737,1066" coordsize="7124,2840" path="m1737,3905l1837,3903,1936,3896,2037,3886,2137,3867,2236,3836,2337,3788,2437,3725,2538,3641,2637,3541,2737,3423,2838,3293,2937,3157,3037,3015,3138,2878,3237,2741,3337,2614,3438,2494,3537,2377,3637,2264,3738,2149,3837,2026,3937,1877,4038,1702,4137,1503,4237,1325,4338,1172,4437,1066,4537,1071,4638,1153,4737,1309,4837,1522,4938,1757,5037,1997,5137,2230,5238,2434,5337,2609,5437,2758,5538,2885,5637,2996,5737,3089,5838,3173,5937,3243,6037,3305,6138,3363,6237,3413,6337,3459,6438,3502,6537,3541,6637,3574,6738,3605,6837,3632,6937,3658,7038,3682,7137,3704,7237,3723,7338,3740,7437,3757,7537,3771,7638,3785,7737,3797,7837,3807,7938,3819,8037,3826,8137,3836,8238,3843,8337,3848,8437,3855,8538,3860,8637,3865,8737,3869,8838,3874,8860,3875e" filled="false" stroked="true" strokeweight="2.16pt" strokecolor="#c0504d">
              <v:path arrowok="t"/>
              <v:stroke dashstyle="longdash"/>
            </v:shape>
            <v:rect style="position:absolute;left:7;top:7;width:9212;height:4823" filled="false" stroked="true" strokeweight=".75pt" strokecolor="#858585">
              <v:stroke dashstyle="solid"/>
            </v:rect>
            <v:shape style="position:absolute;left:2397;top:3337;width:374;height:456" coordorigin="2398,3338" coordsize="374,456" path="m2620,3705l2612,3708,2606,3724,2610,3733,2772,3794,2769,3780,2741,3780,2706,3737,2628,3707,2620,3705xm2706,3737l2741,3780,2750,3773,2738,3773,2734,3747,2706,3737xm2737,3617l2729,3618,2721,3620,2715,3627,2717,3636,2729,3718,2764,3761,2741,3780,2769,3780,2746,3631,2745,3623,2737,3617xm2734,3747l2738,3773,2758,3756,2734,3747xm2729,3718l2734,3747,2758,3756,2738,3773,2750,3773,2764,3761,2729,3718xm2421,3338l2398,3357,2706,3737,2734,3747,2729,3718,2421,3338xe" filled="true" fillcolor="#000000" stroked="false">
              <v:path arrowok="t"/>
              <v:fill type="solid"/>
            </v:shape>
            <v:line style="position:absolute" from="2928,3891" to="2928,1341" stroked="true" strokeweight="1.5pt" strokecolor="#c0504d">
              <v:stroke dashstyle="solid"/>
            </v:line>
            <v:shape style="position:absolute;left:137;top:137;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3%</w:t>
                    </w:r>
                  </w:p>
                </w:txbxContent>
              </v:textbox>
              <w10:wrap type="none"/>
            </v:shape>
            <v:shape style="position:absolute;left:137;top:873;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3178;top:1198;width:806;height:444" type="#_x0000_t202" filled="false" stroked="false">
              <v:textbox inset="0,0,0,0">
                <w:txbxContent>
                  <w:p>
                    <w:pPr>
                      <w:spacing w:line="203" w:lineRule="exact" w:before="0"/>
                      <w:ind w:left="0" w:right="0" w:firstLine="0"/>
                      <w:jc w:val="left"/>
                      <w:rPr>
                        <w:rFonts w:ascii="Calibri"/>
                        <w:sz w:val="20"/>
                      </w:rPr>
                    </w:pPr>
                    <w:r>
                      <w:rPr>
                        <w:rFonts w:ascii="Calibri"/>
                        <w:sz w:val="20"/>
                      </w:rPr>
                      <w:t>Mar 2009</w:t>
                    </w:r>
                  </w:p>
                  <w:p>
                    <w:pPr>
                      <w:spacing w:line="240" w:lineRule="exact" w:before="0"/>
                      <w:ind w:left="0" w:right="0" w:firstLine="0"/>
                      <w:jc w:val="left"/>
                      <w:rPr>
                        <w:rFonts w:ascii="Calibri"/>
                        <w:sz w:val="20"/>
                      </w:rPr>
                    </w:pPr>
                    <w:r>
                      <w:rPr>
                        <w:rFonts w:ascii="Calibri"/>
                        <w:sz w:val="20"/>
                      </w:rPr>
                      <w:t>Outturn</w:t>
                    </w:r>
                  </w:p>
                </w:txbxContent>
              </v:textbox>
              <w10:wrap type="none"/>
            </v:shape>
            <v:shape style="position:absolute;left:137;top:1608;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137;top:2343;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1%</w:t>
                    </w:r>
                  </w:p>
                </w:txbxContent>
              </v:textbox>
              <w10:wrap type="none"/>
            </v:shape>
            <v:shape style="position:absolute;left:137;top:3078;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1%</w:t>
                    </w:r>
                  </w:p>
                </w:txbxContent>
              </v:textbox>
              <w10:wrap type="none"/>
            </v:shape>
            <v:shape style="position:absolute;left:137;top:3813;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0%</w:t>
                    </w:r>
                  </w:p>
                </w:txbxContent>
              </v:textbox>
              <w10:wrap type="none"/>
            </v:shape>
            <v:shape style="position:absolute;left:517;top:407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294;top:4074;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20</w:t>
                    </w:r>
                  </w:p>
                </w:txbxContent>
              </v:textbox>
              <w10:wrap type="none"/>
            </v:shape>
            <v:shape style="position:absolute;left:2122;top:4074;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40</w:t>
                    </w:r>
                  </w:p>
                </w:txbxContent>
              </v:textbox>
              <w10:wrap type="none"/>
            </v:shape>
            <v:shape style="position:absolute;left:2951;top:4074;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60</w:t>
                    </w:r>
                  </w:p>
                </w:txbxContent>
              </v:textbox>
              <w10:wrap type="none"/>
            </v:shape>
            <v:shape style="position:absolute;left:3779;top:4074;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80</w:t>
                    </w:r>
                  </w:p>
                </w:txbxContent>
              </v:textbox>
              <w10:wrap type="none"/>
            </v:shape>
            <v:shape style="position:absolute;left:4556;top:4074;width:325;height:200" type="#_x0000_t202" filled="false" stroked="false">
              <v:textbox inset="0,0,0,0">
                <w:txbxContent>
                  <w:p>
                    <w:pPr>
                      <w:spacing w:line="199" w:lineRule="exact" w:before="0"/>
                      <w:ind w:left="0" w:right="0" w:firstLine="0"/>
                      <w:jc w:val="left"/>
                      <w:rPr>
                        <w:rFonts w:ascii="Calibri"/>
                        <w:sz w:val="20"/>
                      </w:rPr>
                    </w:pPr>
                    <w:r>
                      <w:rPr>
                        <w:rFonts w:ascii="Calibri"/>
                        <w:sz w:val="20"/>
                      </w:rPr>
                      <w:t>100</w:t>
                    </w:r>
                  </w:p>
                </w:txbxContent>
              </v:textbox>
              <w10:wrap type="none"/>
            </v:shape>
            <v:shape style="position:absolute;left:5384;top:4074;width:325;height:200" type="#_x0000_t202" filled="false" stroked="false">
              <v:textbox inset="0,0,0,0">
                <w:txbxContent>
                  <w:p>
                    <w:pPr>
                      <w:spacing w:line="199" w:lineRule="exact" w:before="0"/>
                      <w:ind w:left="0" w:right="0" w:firstLine="0"/>
                      <w:jc w:val="left"/>
                      <w:rPr>
                        <w:rFonts w:ascii="Calibri"/>
                        <w:sz w:val="20"/>
                      </w:rPr>
                    </w:pPr>
                    <w:r>
                      <w:rPr>
                        <w:rFonts w:ascii="Calibri"/>
                        <w:sz w:val="20"/>
                      </w:rPr>
                      <w:t>120</w:t>
                    </w:r>
                  </w:p>
                </w:txbxContent>
              </v:textbox>
              <w10:wrap type="none"/>
            </v:shape>
            <v:shape style="position:absolute;left:6212;top:4074;width:325;height:200" type="#_x0000_t202" filled="false" stroked="false">
              <v:textbox inset="0,0,0,0">
                <w:txbxContent>
                  <w:p>
                    <w:pPr>
                      <w:spacing w:line="199" w:lineRule="exact" w:before="0"/>
                      <w:ind w:left="0" w:right="0" w:firstLine="0"/>
                      <w:jc w:val="left"/>
                      <w:rPr>
                        <w:rFonts w:ascii="Calibri"/>
                        <w:sz w:val="20"/>
                      </w:rPr>
                    </w:pPr>
                    <w:r>
                      <w:rPr>
                        <w:rFonts w:ascii="Calibri"/>
                        <w:sz w:val="20"/>
                      </w:rPr>
                      <w:t>140</w:t>
                    </w:r>
                  </w:p>
                </w:txbxContent>
              </v:textbox>
              <w10:wrap type="none"/>
            </v:shape>
            <v:shape style="position:absolute;left:7041;top:4074;width:325;height:200" type="#_x0000_t202" filled="false" stroked="false">
              <v:textbox inset="0,0,0,0">
                <w:txbxContent>
                  <w:p>
                    <w:pPr>
                      <w:spacing w:line="199" w:lineRule="exact" w:before="0"/>
                      <w:ind w:left="0" w:right="0" w:firstLine="0"/>
                      <w:jc w:val="left"/>
                      <w:rPr>
                        <w:rFonts w:ascii="Calibri"/>
                        <w:sz w:val="20"/>
                      </w:rPr>
                    </w:pPr>
                    <w:r>
                      <w:rPr>
                        <w:rFonts w:ascii="Calibri"/>
                        <w:sz w:val="20"/>
                      </w:rPr>
                      <w:t>160</w:t>
                    </w:r>
                  </w:p>
                </w:txbxContent>
              </v:textbox>
              <w10:wrap type="none"/>
            </v:shape>
            <v:shape style="position:absolute;left:7869;top:4074;width:325;height:200" type="#_x0000_t202" filled="false" stroked="false">
              <v:textbox inset="0,0,0,0">
                <w:txbxContent>
                  <w:p>
                    <w:pPr>
                      <w:spacing w:line="199" w:lineRule="exact" w:before="0"/>
                      <w:ind w:left="0" w:right="0" w:firstLine="0"/>
                      <w:jc w:val="left"/>
                      <w:rPr>
                        <w:rFonts w:ascii="Calibri"/>
                        <w:sz w:val="20"/>
                      </w:rPr>
                    </w:pPr>
                    <w:r>
                      <w:rPr>
                        <w:rFonts w:ascii="Calibri"/>
                        <w:sz w:val="20"/>
                      </w:rPr>
                      <w:t>180</w:t>
                    </w:r>
                  </w:p>
                </w:txbxContent>
              </v:textbox>
              <w10:wrap type="none"/>
            </v:shape>
            <v:shape style="position:absolute;left:8697;top:4074;width:325;height:200" type="#_x0000_t202" filled="false" stroked="false">
              <v:textbox inset="0,0,0,0">
                <w:txbxContent>
                  <w:p>
                    <w:pPr>
                      <w:spacing w:line="199" w:lineRule="exact" w:before="0"/>
                      <w:ind w:left="0" w:right="0" w:firstLine="0"/>
                      <w:jc w:val="left"/>
                      <w:rPr>
                        <w:rFonts w:ascii="Calibri"/>
                        <w:sz w:val="20"/>
                      </w:rPr>
                    </w:pPr>
                    <w:r>
                      <w:rPr>
                        <w:rFonts w:ascii="Calibri"/>
                        <w:sz w:val="20"/>
                      </w:rPr>
                      <w:t>200</w:t>
                    </w:r>
                  </w:p>
                </w:txbxContent>
              </v:textbox>
              <w10:wrap type="none"/>
            </v:shape>
            <v:shape style="position:absolute;left:3210;top:4378;width:3012;height:200" type="#_x0000_t202" filled="false" stroked="false">
              <v:textbox inset="0,0,0,0">
                <w:txbxContent>
                  <w:p>
                    <w:pPr>
                      <w:spacing w:line="199" w:lineRule="exact" w:before="0"/>
                      <w:ind w:left="0" w:right="0" w:firstLine="0"/>
                      <w:jc w:val="left"/>
                      <w:rPr>
                        <w:rFonts w:ascii="Calibri"/>
                        <w:b/>
                        <w:sz w:val="20"/>
                      </w:rPr>
                    </w:pPr>
                    <w:r>
                      <w:rPr>
                        <w:rFonts w:ascii="Calibri"/>
                        <w:b/>
                        <w:sz w:val="20"/>
                      </w:rPr>
                      <w:t>WTI Crude Oil Price (USD per barrel)</w:t>
                    </w:r>
                  </w:p>
                </w:txbxContent>
              </v:textbox>
              <w10:wrap type="none"/>
            </v:shape>
            <v:shape style="position:absolute;left:2002;top:2916;width:420;height:200" type="#_x0000_t202" filled="false" stroked="false">
              <v:textbox inset="0,0,0,0">
                <w:txbxContent>
                  <w:p>
                    <w:pPr>
                      <w:spacing w:line="199" w:lineRule="exact" w:before="0"/>
                      <w:ind w:left="0" w:right="0" w:firstLine="0"/>
                      <w:jc w:val="left"/>
                      <w:rPr>
                        <w:rFonts w:ascii="Calibri"/>
                        <w:b/>
                        <w:sz w:val="20"/>
                      </w:rPr>
                    </w:pPr>
                    <w:r>
                      <w:rPr>
                        <w:rFonts w:ascii="Calibri"/>
                        <w:b/>
                        <w:sz w:val="20"/>
                      </w:rPr>
                      <w:t>2.6%</w:t>
                    </w:r>
                  </w:p>
                </w:txbxContent>
              </v:textbox>
              <w10:wrap type="none"/>
            </v:shape>
          </v:group>
        </w:pict>
      </w:r>
      <w:r>
        <w:rPr/>
      </w:r>
    </w:p>
    <w:p>
      <w:pPr>
        <w:spacing w:before="83"/>
        <w:ind w:left="233" w:right="0" w:firstLine="0"/>
        <w:jc w:val="left"/>
        <w:rPr>
          <w:sz w:val="16"/>
        </w:rPr>
      </w:pPr>
      <w:r>
        <w:rPr>
          <w:sz w:val="16"/>
        </w:rPr>
        <w:t>Source: Bloomberg, Chicago Mercantile Exchange and Bank calculations.</w:t>
      </w:r>
    </w:p>
    <w:p>
      <w:pPr>
        <w:pStyle w:val="BodyText"/>
        <w:rPr>
          <w:sz w:val="18"/>
        </w:rPr>
      </w:pPr>
    </w:p>
    <w:p>
      <w:pPr>
        <w:pStyle w:val="BodyText"/>
        <w:spacing w:before="1"/>
      </w:pPr>
    </w:p>
    <w:p>
      <w:pPr>
        <w:pStyle w:val="BodyText"/>
        <w:spacing w:line="360" w:lineRule="auto" w:before="1"/>
        <w:ind w:left="233" w:right="1138"/>
      </w:pPr>
      <w:r>
        <w:rPr/>
        <w:t>Self-evidently uncertainty around the future economic environment is very significant. This is why the MPC meets regularly to assess the latest developments and, if necessary, to adjust the stance of monetary policy.</w:t>
      </w:r>
    </w:p>
    <w:p>
      <w:pPr>
        <w:spacing w:after="0" w:line="360" w:lineRule="auto"/>
        <w:sectPr>
          <w:pgSz w:w="11910" w:h="16840"/>
          <w:pgMar w:header="0" w:footer="1338" w:top="1520" w:bottom="1520" w:left="900" w:right="0"/>
        </w:sectPr>
      </w:pPr>
    </w:p>
    <w:p>
      <w:pPr>
        <w:pStyle w:val="BodyText"/>
        <w:spacing w:line="357" w:lineRule="auto" w:before="79"/>
        <w:ind w:left="233" w:right="1363"/>
      </w:pPr>
      <w:r>
        <w:rPr/>
        <w:t>The commitment to a particular interest rate path is very unlikely to be the answer to the question of where on the spectrum of giving guidance on policy one should sit.</w:t>
      </w:r>
    </w:p>
    <w:p>
      <w:pPr>
        <w:pStyle w:val="BodyText"/>
        <w:spacing w:before="4"/>
        <w:rPr>
          <w:sz w:val="30"/>
        </w:rPr>
      </w:pPr>
    </w:p>
    <w:p>
      <w:pPr>
        <w:pStyle w:val="BodyText"/>
        <w:spacing w:line="360" w:lineRule="auto"/>
        <w:ind w:left="233" w:right="1248"/>
      </w:pPr>
      <w:r>
        <w:rPr/>
        <w:t>Yet people who ask what Bank Rate will be in a few years’ time are likely to be disappointed if all they are told is that it might be not much different from today, but it could be around 5%, or somewhere between the two, or maybe even outside that range.</w:t>
      </w:r>
    </w:p>
    <w:p>
      <w:pPr>
        <w:pStyle w:val="BodyText"/>
        <w:rPr>
          <w:sz w:val="30"/>
        </w:rPr>
      </w:pPr>
    </w:p>
    <w:p>
      <w:pPr>
        <w:pStyle w:val="BodyText"/>
        <w:ind w:left="233"/>
      </w:pPr>
      <w:r>
        <w:rPr/>
        <w:t>So what is the right sort of information – the right sort of guidance – to give?</w:t>
      </w:r>
    </w:p>
    <w:p>
      <w:pPr>
        <w:pStyle w:val="BodyText"/>
        <w:rPr>
          <w:sz w:val="22"/>
        </w:rPr>
      </w:pPr>
    </w:p>
    <w:p>
      <w:pPr>
        <w:pStyle w:val="BodyText"/>
        <w:spacing w:before="8"/>
        <w:rPr>
          <w:sz w:val="17"/>
        </w:rPr>
      </w:pPr>
    </w:p>
    <w:p>
      <w:pPr>
        <w:pStyle w:val="Heading3"/>
        <w:numPr>
          <w:ilvl w:val="0"/>
          <w:numId w:val="1"/>
        </w:numPr>
        <w:tabs>
          <w:tab w:pos="594" w:val="left" w:leader="none"/>
        </w:tabs>
        <w:spacing w:line="240" w:lineRule="auto" w:before="0" w:after="0"/>
        <w:ind w:left="593" w:right="0" w:hanging="361"/>
        <w:jc w:val="left"/>
      </w:pPr>
      <w:r>
        <w:rPr/>
        <w:t>What does economics tell</w:t>
      </w:r>
      <w:r>
        <w:rPr>
          <w:spacing w:val="-3"/>
        </w:rPr>
        <w:t> </w:t>
      </w:r>
      <w:r>
        <w:rPr/>
        <w:t>us?</w:t>
      </w:r>
    </w:p>
    <w:p>
      <w:pPr>
        <w:pStyle w:val="BodyText"/>
        <w:rPr>
          <w:b/>
          <w:sz w:val="22"/>
        </w:rPr>
      </w:pPr>
    </w:p>
    <w:p>
      <w:pPr>
        <w:pStyle w:val="BodyText"/>
        <w:spacing w:before="4"/>
        <w:rPr>
          <w:b/>
          <w:sz w:val="18"/>
        </w:rPr>
      </w:pPr>
    </w:p>
    <w:p>
      <w:pPr>
        <w:pStyle w:val="BodyText"/>
        <w:spacing w:line="360" w:lineRule="auto"/>
        <w:ind w:left="233" w:right="1188"/>
      </w:pPr>
      <w:r>
        <w:rPr/>
        <w:t>As I noted above, in stylised models of the economy where the central bank and the general public have exactly the same information about the structure of the economy – and make the same assessment of the nature of uncertainty – then everyone can work out what the central bank will do in various circumstances so long as the central bank explains what exactly the aim of policy is, including about how trade-offs between goals are evaluated. The central bank could specify some reaction function – that is a description (or rule) for how it would set interest rates depending on how the economy evolves. But in a model which assumes perfectly rational, computationally proficient and equally informed people, they could work out for</w:t>
      </w:r>
      <w:r>
        <w:rPr>
          <w:spacing w:val="-36"/>
        </w:rPr>
        <w:t> </w:t>
      </w:r>
      <w:r>
        <w:rPr/>
        <w:t>themselves the rule the central bank would follow to best achieve its objectives. If one weakened that assumption on common knowledge then providing a monetary policy reaction function can be a useful form of</w:t>
      </w:r>
      <w:r>
        <w:rPr>
          <w:spacing w:val="-27"/>
        </w:rPr>
        <w:t> </w:t>
      </w:r>
      <w:r>
        <w:rPr/>
        <w:t>guidance.</w:t>
      </w:r>
    </w:p>
    <w:p>
      <w:pPr>
        <w:pStyle w:val="BodyText"/>
        <w:spacing w:line="360" w:lineRule="auto"/>
        <w:ind w:left="233" w:right="1248"/>
      </w:pPr>
      <w:r>
        <w:rPr/>
        <w:t>But in practice the conclusion that the central bank needs to either simply be explicit about its aims or provide a policy reaction function is not very helpful because it ignores several very significant real world complications:</w:t>
      </w:r>
    </w:p>
    <w:p>
      <w:pPr>
        <w:pStyle w:val="BodyText"/>
        <w:spacing w:before="11"/>
        <w:rPr>
          <w:sz w:val="29"/>
        </w:rPr>
      </w:pPr>
    </w:p>
    <w:p>
      <w:pPr>
        <w:pStyle w:val="ListParagraph"/>
        <w:numPr>
          <w:ilvl w:val="0"/>
          <w:numId w:val="2"/>
        </w:numPr>
        <w:tabs>
          <w:tab w:pos="510" w:val="left" w:leader="none"/>
        </w:tabs>
        <w:spacing w:line="360" w:lineRule="auto" w:before="0" w:after="0"/>
        <w:ind w:left="233" w:right="1161" w:firstLine="0"/>
        <w:jc w:val="left"/>
        <w:rPr>
          <w:sz w:val="20"/>
        </w:rPr>
      </w:pPr>
      <w:r>
        <w:rPr>
          <w:sz w:val="20"/>
        </w:rPr>
        <w:t>Central banks will have different information about the economy than other agents – not so much in terms of having more raw data (though that will certainly be a factor) but more in terms of the scope to analyse it in an institution that has a small army of people trained to interpret</w:t>
      </w:r>
      <w:r>
        <w:rPr>
          <w:spacing w:val="-12"/>
          <w:sz w:val="20"/>
        </w:rPr>
        <w:t> </w:t>
      </w:r>
      <w:r>
        <w:rPr>
          <w:sz w:val="20"/>
        </w:rPr>
        <w:t>data</w:t>
      </w:r>
    </w:p>
    <w:p>
      <w:pPr>
        <w:pStyle w:val="BodyText"/>
        <w:rPr>
          <w:sz w:val="30"/>
        </w:rPr>
      </w:pPr>
    </w:p>
    <w:p>
      <w:pPr>
        <w:pStyle w:val="ListParagraph"/>
        <w:numPr>
          <w:ilvl w:val="0"/>
          <w:numId w:val="2"/>
        </w:numPr>
        <w:tabs>
          <w:tab w:pos="510" w:val="left" w:leader="none"/>
        </w:tabs>
        <w:spacing w:line="360" w:lineRule="auto" w:before="0" w:after="0"/>
        <w:ind w:left="233" w:right="1397" w:firstLine="0"/>
        <w:jc w:val="left"/>
        <w:rPr>
          <w:sz w:val="20"/>
        </w:rPr>
      </w:pPr>
      <w:r>
        <w:rPr>
          <w:sz w:val="20"/>
        </w:rPr>
        <w:t>Central banks will use various models of the economy – all of them imperfect and none used as sole guide to policy. The use of such models in setting policy is part science and quantifiable (in the sense</w:t>
      </w:r>
      <w:r>
        <w:rPr>
          <w:spacing w:val="-39"/>
          <w:sz w:val="20"/>
        </w:rPr>
        <w:t> </w:t>
      </w:r>
      <w:r>
        <w:rPr>
          <w:sz w:val="20"/>
        </w:rPr>
        <w:t>that an explicit policy rule could in principle be codified and shared) and part judgement – which is much more difficult to codify in a useful way. Coming up with a reaction function that is a good approximation to the actual decision making procedure and can also be understood is in practice very difficult. (This is made more</w:t>
      </w:r>
      <w:r>
        <w:rPr>
          <w:spacing w:val="-4"/>
          <w:sz w:val="20"/>
        </w:rPr>
        <w:t> </w:t>
      </w:r>
      <w:r>
        <w:rPr>
          <w:sz w:val="20"/>
        </w:rPr>
        <w:t>complicated</w:t>
      </w:r>
      <w:r>
        <w:rPr>
          <w:spacing w:val="-3"/>
          <w:sz w:val="20"/>
        </w:rPr>
        <w:t> </w:t>
      </w:r>
      <w:r>
        <w:rPr>
          <w:sz w:val="20"/>
        </w:rPr>
        <w:t>if</w:t>
      </w:r>
      <w:r>
        <w:rPr>
          <w:spacing w:val="-1"/>
          <w:sz w:val="20"/>
        </w:rPr>
        <w:t> </w:t>
      </w:r>
      <w:r>
        <w:rPr>
          <w:sz w:val="20"/>
        </w:rPr>
        <w:t>people</w:t>
      </w:r>
      <w:r>
        <w:rPr>
          <w:spacing w:val="-1"/>
          <w:sz w:val="20"/>
        </w:rPr>
        <w:t> </w:t>
      </w:r>
      <w:r>
        <w:rPr>
          <w:sz w:val="20"/>
        </w:rPr>
        <w:t>on</w:t>
      </w:r>
      <w:r>
        <w:rPr>
          <w:spacing w:val="-3"/>
          <w:sz w:val="20"/>
        </w:rPr>
        <w:t> </w:t>
      </w:r>
      <w:r>
        <w:rPr>
          <w:sz w:val="20"/>
        </w:rPr>
        <w:t>the</w:t>
      </w:r>
      <w:r>
        <w:rPr>
          <w:spacing w:val="-1"/>
          <w:sz w:val="20"/>
        </w:rPr>
        <w:t> </w:t>
      </w:r>
      <w:r>
        <w:rPr>
          <w:sz w:val="20"/>
        </w:rPr>
        <w:t>policy</w:t>
      </w:r>
      <w:r>
        <w:rPr>
          <w:spacing w:val="-6"/>
          <w:sz w:val="20"/>
        </w:rPr>
        <w:t> </w:t>
      </w:r>
      <w:r>
        <w:rPr>
          <w:sz w:val="20"/>
        </w:rPr>
        <w:t>Committee</w:t>
      </w:r>
      <w:r>
        <w:rPr>
          <w:spacing w:val="-3"/>
          <w:sz w:val="20"/>
        </w:rPr>
        <w:t> </w:t>
      </w:r>
      <w:r>
        <w:rPr>
          <w:sz w:val="20"/>
        </w:rPr>
        <w:t>don’t</w:t>
      </w:r>
      <w:r>
        <w:rPr>
          <w:spacing w:val="-1"/>
          <w:sz w:val="20"/>
        </w:rPr>
        <w:t> </w:t>
      </w:r>
      <w:r>
        <w:rPr>
          <w:sz w:val="20"/>
        </w:rPr>
        <w:t>all</w:t>
      </w:r>
      <w:r>
        <w:rPr>
          <w:spacing w:val="-4"/>
          <w:sz w:val="20"/>
        </w:rPr>
        <w:t> </w:t>
      </w:r>
      <w:r>
        <w:rPr>
          <w:sz w:val="20"/>
        </w:rPr>
        <w:t>agree</w:t>
      </w:r>
      <w:r>
        <w:rPr>
          <w:spacing w:val="-4"/>
          <w:sz w:val="20"/>
        </w:rPr>
        <w:t> </w:t>
      </w:r>
      <w:r>
        <w:rPr>
          <w:sz w:val="20"/>
        </w:rPr>
        <w:t>and</w:t>
      </w:r>
      <w:r>
        <w:rPr>
          <w:spacing w:val="-2"/>
          <w:sz w:val="20"/>
        </w:rPr>
        <w:t> </w:t>
      </w:r>
      <w:r>
        <w:rPr>
          <w:sz w:val="20"/>
        </w:rPr>
        <w:t>if</w:t>
      </w:r>
      <w:r>
        <w:rPr>
          <w:spacing w:val="-1"/>
          <w:sz w:val="20"/>
        </w:rPr>
        <w:t> </w:t>
      </w:r>
      <w:r>
        <w:rPr>
          <w:sz w:val="20"/>
        </w:rPr>
        <w:t>those</w:t>
      </w:r>
      <w:r>
        <w:rPr>
          <w:spacing w:val="-4"/>
          <w:sz w:val="20"/>
        </w:rPr>
        <w:t> </w:t>
      </w:r>
      <w:r>
        <w:rPr>
          <w:sz w:val="20"/>
        </w:rPr>
        <w:t>people</w:t>
      </w:r>
      <w:r>
        <w:rPr>
          <w:spacing w:val="-3"/>
          <w:sz w:val="20"/>
        </w:rPr>
        <w:t> </w:t>
      </w:r>
      <w:r>
        <w:rPr>
          <w:sz w:val="20"/>
        </w:rPr>
        <w:t>change</w:t>
      </w:r>
      <w:r>
        <w:rPr>
          <w:spacing w:val="-2"/>
          <w:sz w:val="20"/>
        </w:rPr>
        <w:t> </w:t>
      </w:r>
      <w:r>
        <w:rPr>
          <w:sz w:val="20"/>
        </w:rPr>
        <w:t>over</w:t>
      </w:r>
      <w:r>
        <w:rPr>
          <w:spacing w:val="-3"/>
          <w:sz w:val="20"/>
        </w:rPr>
        <w:t> </w:t>
      </w:r>
      <w:r>
        <w:rPr>
          <w:sz w:val="20"/>
        </w:rPr>
        <w:t>time).</w:t>
      </w:r>
    </w:p>
    <w:p>
      <w:pPr>
        <w:pStyle w:val="BodyText"/>
        <w:rPr>
          <w:sz w:val="30"/>
        </w:rPr>
      </w:pPr>
    </w:p>
    <w:p>
      <w:pPr>
        <w:pStyle w:val="ListParagraph"/>
        <w:numPr>
          <w:ilvl w:val="0"/>
          <w:numId w:val="2"/>
        </w:numPr>
        <w:tabs>
          <w:tab w:pos="567" w:val="left" w:leader="none"/>
        </w:tabs>
        <w:spacing w:line="360" w:lineRule="auto" w:before="0" w:after="0"/>
        <w:ind w:left="233" w:right="1208" w:firstLine="55"/>
        <w:jc w:val="left"/>
        <w:rPr>
          <w:sz w:val="20"/>
        </w:rPr>
      </w:pPr>
      <w:r>
        <w:rPr>
          <w:sz w:val="20"/>
        </w:rPr>
        <w:t>Even if models could all be codified and some policy rules specified, then if they were to be even an approximate guide to actual decisions they would probably be complicated. </w:t>
      </w:r>
      <w:r>
        <w:rPr>
          <w:spacing w:val="2"/>
          <w:sz w:val="20"/>
        </w:rPr>
        <w:t>They </w:t>
      </w:r>
      <w:r>
        <w:rPr>
          <w:sz w:val="20"/>
        </w:rPr>
        <w:t>might be of the form: “if X, Y and Z happen, and none of A, B or C happen, then policy will be set according to the following</w:t>
      </w:r>
      <w:r>
        <w:rPr>
          <w:spacing w:val="-24"/>
          <w:sz w:val="20"/>
        </w:rPr>
        <w:t> </w:t>
      </w:r>
      <w:r>
        <w:rPr>
          <w:sz w:val="20"/>
        </w:rPr>
        <w:t>(non-linear,</w:t>
      </w:r>
    </w:p>
    <w:p>
      <w:pPr>
        <w:spacing w:after="0" w:line="360" w:lineRule="auto"/>
        <w:jc w:val="left"/>
        <w:rPr>
          <w:sz w:val="20"/>
        </w:rPr>
        <w:sectPr>
          <w:pgSz w:w="11910" w:h="16840"/>
          <w:pgMar w:header="0" w:footer="1338" w:top="1520" w:bottom="1520" w:left="900" w:right="0"/>
        </w:sectPr>
      </w:pPr>
    </w:p>
    <w:p>
      <w:pPr>
        <w:pStyle w:val="BodyText"/>
        <w:spacing w:line="357" w:lineRule="auto" w:before="79"/>
        <w:ind w:left="233" w:right="1792"/>
      </w:pPr>
      <w:r>
        <w:rPr/>
        <w:t>dynamic, regularly re-estimated) equation….” The number of people who could understand what that means and find it useful may be very small; the scope to misinterpret it is large</w:t>
      </w:r>
      <w:r>
        <w:rPr>
          <w:vertAlign w:val="superscript"/>
        </w:rPr>
        <w:t>11</w:t>
      </w:r>
      <w:r>
        <w:rPr>
          <w:vertAlign w:val="baseline"/>
        </w:rPr>
        <w:t>.</w:t>
      </w:r>
    </w:p>
    <w:p>
      <w:pPr>
        <w:pStyle w:val="BodyText"/>
        <w:spacing w:before="4"/>
        <w:rPr>
          <w:sz w:val="30"/>
        </w:rPr>
      </w:pPr>
    </w:p>
    <w:p>
      <w:pPr>
        <w:pStyle w:val="BodyText"/>
        <w:ind w:left="233"/>
      </w:pPr>
      <w:r>
        <w:rPr/>
        <w:t>So what are some other options for giving useful guidance?</w:t>
      </w:r>
    </w:p>
    <w:p>
      <w:pPr>
        <w:pStyle w:val="BodyText"/>
        <w:rPr>
          <w:sz w:val="22"/>
        </w:rPr>
      </w:pPr>
    </w:p>
    <w:p>
      <w:pPr>
        <w:pStyle w:val="BodyText"/>
        <w:spacing w:before="10"/>
        <w:rPr>
          <w:sz w:val="17"/>
        </w:rPr>
      </w:pPr>
    </w:p>
    <w:p>
      <w:pPr>
        <w:pStyle w:val="BodyText"/>
        <w:spacing w:line="360" w:lineRule="auto"/>
        <w:ind w:left="233" w:right="1140"/>
      </w:pPr>
      <w:r>
        <w:rPr/>
        <w:t>One is to provide an expected path for the policy rate (for example the median path shown in figure 4</w:t>
      </w:r>
      <w:r>
        <w:rPr>
          <w:spacing w:val="-37"/>
        </w:rPr>
        <w:t> </w:t>
      </w:r>
      <w:r>
        <w:rPr/>
        <w:t>above). But without giving some idea about how likely it is that policy will be close to this path this may not be particularly useful. While making clear there is uncertainty around those paths is simple, quantifying that uncertainty is tricky. One might just draw on the volatility of past interest rates (around some previously expected path) as a guide to uncertainty in the future.  Or a stochastic simulation using a monetary policy rule could be used to derive fan charts for the policy rate. The policy rule could be (an approximation) to an optimal rule – which is one way to interpret figure 4 above. </w:t>
      </w:r>
      <w:r>
        <w:rPr>
          <w:spacing w:val="2"/>
        </w:rPr>
        <w:t>What </w:t>
      </w:r>
      <w:r>
        <w:rPr/>
        <w:t>figure 4 showed was the probability distribution for the path of Bank Rate if the central bank were to follow a mechanically derived optimal rule taking into account the uncertainty of the parameters. It is worth stepping back though to consider what is needed to construct figure</w:t>
      </w:r>
      <w:r>
        <w:rPr>
          <w:spacing w:val="-2"/>
        </w:rPr>
        <w:t> </w:t>
      </w:r>
      <w:r>
        <w:rPr/>
        <w:t>4.</w:t>
      </w:r>
    </w:p>
    <w:p>
      <w:pPr>
        <w:pStyle w:val="BodyText"/>
        <w:rPr>
          <w:sz w:val="30"/>
        </w:rPr>
      </w:pPr>
    </w:p>
    <w:p>
      <w:pPr>
        <w:pStyle w:val="BodyText"/>
        <w:spacing w:before="1"/>
        <w:ind w:left="233"/>
      </w:pPr>
      <w:r>
        <w:rPr/>
        <w:t>You need the following elements:</w:t>
      </w:r>
    </w:p>
    <w:p>
      <w:pPr>
        <w:pStyle w:val="BodyText"/>
        <w:rPr>
          <w:sz w:val="22"/>
        </w:rPr>
      </w:pPr>
    </w:p>
    <w:p>
      <w:pPr>
        <w:pStyle w:val="BodyText"/>
        <w:spacing w:before="1"/>
        <w:rPr>
          <w:sz w:val="18"/>
        </w:rPr>
      </w:pPr>
    </w:p>
    <w:p>
      <w:pPr>
        <w:pStyle w:val="ListParagraph"/>
        <w:numPr>
          <w:ilvl w:val="1"/>
          <w:numId w:val="2"/>
        </w:numPr>
        <w:tabs>
          <w:tab w:pos="954" w:val="left" w:leader="none"/>
        </w:tabs>
        <w:spacing w:line="360" w:lineRule="auto" w:before="0" w:after="0"/>
        <w:ind w:left="953" w:right="1556" w:hanging="360"/>
        <w:jc w:val="left"/>
        <w:rPr>
          <w:sz w:val="20"/>
        </w:rPr>
      </w:pPr>
      <w:r>
        <w:rPr>
          <w:sz w:val="20"/>
        </w:rPr>
        <w:t>An assessment of all the random factors (or shocks) that can impinge on the economy and</w:t>
      </w:r>
      <w:r>
        <w:rPr>
          <w:spacing w:val="-31"/>
          <w:sz w:val="20"/>
        </w:rPr>
        <w:t> </w:t>
      </w:r>
      <w:r>
        <w:rPr>
          <w:sz w:val="20"/>
        </w:rPr>
        <w:t>their probabilities</w:t>
      </w:r>
    </w:p>
    <w:p>
      <w:pPr>
        <w:pStyle w:val="ListParagraph"/>
        <w:numPr>
          <w:ilvl w:val="1"/>
          <w:numId w:val="2"/>
        </w:numPr>
        <w:tabs>
          <w:tab w:pos="954" w:val="left" w:leader="none"/>
        </w:tabs>
        <w:spacing w:line="360" w:lineRule="auto" w:before="0" w:after="0"/>
        <w:ind w:left="953" w:right="1260" w:hanging="360"/>
        <w:jc w:val="left"/>
        <w:rPr>
          <w:sz w:val="20"/>
        </w:rPr>
      </w:pPr>
      <w:r>
        <w:rPr>
          <w:sz w:val="20"/>
        </w:rPr>
        <w:t>A model of how those shocks then impact on the outcome you care about – inflation, growth, output etc.</w:t>
      </w:r>
    </w:p>
    <w:p>
      <w:pPr>
        <w:pStyle w:val="ListParagraph"/>
        <w:numPr>
          <w:ilvl w:val="1"/>
          <w:numId w:val="2"/>
        </w:numPr>
        <w:tabs>
          <w:tab w:pos="954" w:val="left" w:leader="none"/>
        </w:tabs>
        <w:spacing w:line="360" w:lineRule="auto" w:before="0" w:after="0"/>
        <w:ind w:left="953" w:right="1542" w:hanging="360"/>
        <w:jc w:val="left"/>
        <w:rPr>
          <w:sz w:val="20"/>
        </w:rPr>
      </w:pPr>
      <w:r>
        <w:rPr>
          <w:sz w:val="20"/>
        </w:rPr>
        <w:t>A model for how monetary policy affects those outcomes and can be used to offset the impact</w:t>
      </w:r>
      <w:r>
        <w:rPr>
          <w:spacing w:val="-27"/>
          <w:sz w:val="20"/>
        </w:rPr>
        <w:t> </w:t>
      </w:r>
      <w:r>
        <w:rPr>
          <w:sz w:val="20"/>
        </w:rPr>
        <w:t>of shocks</w:t>
      </w:r>
    </w:p>
    <w:p>
      <w:pPr>
        <w:pStyle w:val="BodyText"/>
        <w:spacing w:before="10"/>
        <w:rPr>
          <w:sz w:val="17"/>
        </w:rPr>
      </w:pPr>
      <w:r>
        <w:rPr/>
        <w:pict>
          <v:shape style="position:absolute;margin-left:56.664001pt;margin-top:12.480083pt;width:144.050pt;height:.1pt;mso-position-horizontal-relative:page;mso-position-vertical-relative:paragraph;z-index:-251539456;mso-wrap-distance-left:0;mso-wrap-distance-right:0" coordorigin="1133,250" coordsize="2881,0" path="m1133,250l4014,250e" filled="false" stroked="true" strokeweight=".48001pt" strokecolor="#000000">
            <v:path arrowok="t"/>
            <v:stroke dashstyle="solid"/>
            <w10:wrap type="topAndBottom"/>
          </v:shape>
        </w:pict>
      </w:r>
    </w:p>
    <w:p>
      <w:pPr>
        <w:spacing w:before="30"/>
        <w:ind w:left="233" w:right="947" w:firstLine="0"/>
        <w:jc w:val="left"/>
        <w:rPr>
          <w:sz w:val="16"/>
        </w:rPr>
      </w:pPr>
      <w:r>
        <w:rPr>
          <w:position w:val="8"/>
          <w:sz w:val="10"/>
        </w:rPr>
        <w:t>11 </w:t>
      </w:r>
      <w:r>
        <w:rPr>
          <w:sz w:val="16"/>
        </w:rPr>
        <w:t>You may think this is an exaggerated statement about what a policy rule might look like. But consider the rule that the MPC adopted in August 2013. This is how it was described:</w:t>
      </w:r>
    </w:p>
    <w:p>
      <w:pPr>
        <w:pStyle w:val="BodyText"/>
        <w:spacing w:before="11"/>
        <w:rPr>
          <w:sz w:val="15"/>
        </w:rPr>
      </w:pPr>
    </w:p>
    <w:p>
      <w:pPr>
        <w:spacing w:before="0"/>
        <w:ind w:left="233" w:right="1161" w:firstLine="0"/>
        <w:jc w:val="left"/>
        <w:rPr>
          <w:sz w:val="16"/>
        </w:rPr>
      </w:pPr>
      <w:r>
        <w:rPr>
          <w:sz w:val="16"/>
        </w:rPr>
        <w:t>The Committee intends at a minimum to maintain the current highly stimulative stance of monetary policy until economic slack has been substantially reduced, provided this does not entail material risks to either price stability or to financial stability.</w:t>
      </w:r>
    </w:p>
    <w:p>
      <w:pPr>
        <w:spacing w:before="2"/>
        <w:ind w:left="233" w:right="1596" w:firstLine="0"/>
        <w:jc w:val="left"/>
        <w:rPr>
          <w:sz w:val="16"/>
        </w:rPr>
      </w:pPr>
      <w:r>
        <w:rPr>
          <w:sz w:val="16"/>
        </w:rPr>
        <w:t>In particular, the MPC intends not to raise Bank Rate from its current level of 0.5% at least until the Labour Force Survey headline measure of the unemployment rate has fallen to a threshold of 7%, subject to the conditions below.</w:t>
      </w:r>
    </w:p>
    <w:p>
      <w:pPr>
        <w:spacing w:before="0"/>
        <w:ind w:left="233" w:right="1178" w:firstLine="0"/>
        <w:jc w:val="left"/>
        <w:rPr>
          <w:sz w:val="16"/>
        </w:rPr>
      </w:pPr>
      <w:r>
        <w:rPr>
          <w:sz w:val="16"/>
        </w:rPr>
        <w:t>The MPC stands ready to undertake further asset purchases while the unemployment rate remains above 7% if it judges that additional monetary stimulus is warranted. But until the unemployment threshold is reached, and subject to the conditions below, the MPC intends not to reduce the stock of asset purchases financed by the issuance of central bank reserves and, consistent with that, intends to reinvest the cash flows associated with all maturing gilts held in the Asset Purchase Facility.</w:t>
      </w:r>
    </w:p>
    <w:p>
      <w:pPr>
        <w:spacing w:before="0"/>
        <w:ind w:left="233" w:right="1693" w:firstLine="0"/>
        <w:jc w:val="left"/>
        <w:rPr>
          <w:sz w:val="16"/>
        </w:rPr>
      </w:pPr>
      <w:r>
        <w:rPr>
          <w:sz w:val="16"/>
        </w:rPr>
        <w:t>The guidance linking Bank Rate and asset sales to the unemployment threshold would cease to hold if any of the following three ‘knockouts’ were breached:</w:t>
      </w:r>
    </w:p>
    <w:p>
      <w:pPr>
        <w:pStyle w:val="ListParagraph"/>
        <w:numPr>
          <w:ilvl w:val="0"/>
          <w:numId w:val="3"/>
        </w:numPr>
        <w:tabs>
          <w:tab w:pos="953" w:val="left" w:leader="none"/>
          <w:tab w:pos="954" w:val="left" w:leader="none"/>
        </w:tabs>
        <w:spacing w:line="228" w:lineRule="auto" w:before="8" w:after="0"/>
        <w:ind w:left="953" w:right="1813" w:hanging="360"/>
        <w:jc w:val="left"/>
        <w:rPr>
          <w:sz w:val="16"/>
        </w:rPr>
      </w:pPr>
      <w:r>
        <w:rPr>
          <w:sz w:val="16"/>
        </w:rPr>
        <w:t>in the MPC’s view, it is more likely than not, that CPI inflation 18 to 24 months ahead will be 0.5 percentage points or more above the 2%</w:t>
      </w:r>
      <w:r>
        <w:rPr>
          <w:spacing w:val="-4"/>
          <w:sz w:val="16"/>
        </w:rPr>
        <w:t> </w:t>
      </w:r>
      <w:r>
        <w:rPr>
          <w:sz w:val="16"/>
        </w:rPr>
        <w:t>target;</w:t>
      </w:r>
    </w:p>
    <w:p>
      <w:pPr>
        <w:pStyle w:val="ListParagraph"/>
        <w:numPr>
          <w:ilvl w:val="0"/>
          <w:numId w:val="3"/>
        </w:numPr>
        <w:tabs>
          <w:tab w:pos="953" w:val="left" w:leader="none"/>
          <w:tab w:pos="954" w:val="left" w:leader="none"/>
        </w:tabs>
        <w:spacing w:line="240" w:lineRule="exact" w:before="1" w:after="0"/>
        <w:ind w:left="953" w:right="0" w:hanging="361"/>
        <w:jc w:val="left"/>
        <w:rPr>
          <w:sz w:val="16"/>
        </w:rPr>
      </w:pPr>
      <w:r>
        <w:rPr>
          <w:sz w:val="16"/>
        </w:rPr>
        <w:t>medium-term inflation expectations no longer remain sufficiently well</w:t>
      </w:r>
      <w:r>
        <w:rPr>
          <w:spacing w:val="-5"/>
          <w:sz w:val="16"/>
        </w:rPr>
        <w:t> </w:t>
      </w:r>
      <w:r>
        <w:rPr>
          <w:sz w:val="16"/>
        </w:rPr>
        <w:t>anchored;</w:t>
      </w:r>
    </w:p>
    <w:p>
      <w:pPr>
        <w:pStyle w:val="ListParagraph"/>
        <w:numPr>
          <w:ilvl w:val="0"/>
          <w:numId w:val="3"/>
        </w:numPr>
        <w:tabs>
          <w:tab w:pos="953" w:val="left" w:leader="none"/>
          <w:tab w:pos="954" w:val="left" w:leader="none"/>
        </w:tabs>
        <w:spacing w:line="235" w:lineRule="auto" w:before="0" w:after="0"/>
        <w:ind w:left="953" w:right="1808" w:hanging="360"/>
        <w:jc w:val="left"/>
        <w:rPr>
          <w:sz w:val="16"/>
        </w:rPr>
      </w:pPr>
      <w:r>
        <w:rPr>
          <w:sz w:val="16"/>
        </w:rPr>
        <w:t>the Financial Policy Committee (FPC) judges that the stance of monetary policy poses a significant threat to financial stability that cannot be contained by the substantial range of mitigating policy actions available to the FPC, the Financial Conduct Authority and the Prudential Regulation Authority in a way consistent with their</w:t>
      </w:r>
      <w:r>
        <w:rPr>
          <w:spacing w:val="-29"/>
          <w:sz w:val="16"/>
        </w:rPr>
        <w:t> </w:t>
      </w:r>
      <w:r>
        <w:rPr>
          <w:sz w:val="16"/>
        </w:rPr>
        <w:t>objectives.</w:t>
      </w:r>
    </w:p>
    <w:p>
      <w:pPr>
        <w:spacing w:before="0"/>
        <w:ind w:left="233" w:right="1223" w:firstLine="0"/>
        <w:jc w:val="left"/>
        <w:rPr>
          <w:sz w:val="16"/>
        </w:rPr>
      </w:pPr>
      <w:r>
        <w:rPr>
          <w:sz w:val="16"/>
        </w:rPr>
        <w:t>The Committee will continue to set the level of Bank Rate and the size of the asset purchase programme each month, taking these criteria into account. The action taken by the MPC if any of these knockouts were breached would depend upon its assessment at the time as to the appropriate setting of monetary policy in order to fulfil its remit to deliver price stability. There is therefore no presumption that breaching any of these knockouts would lead to an immediate increase in Bank Rate or sale of assets.</w:t>
      </w:r>
    </w:p>
    <w:p>
      <w:pPr>
        <w:pStyle w:val="BodyText"/>
        <w:spacing w:before="10"/>
        <w:rPr>
          <w:sz w:val="15"/>
        </w:rPr>
      </w:pPr>
    </w:p>
    <w:p>
      <w:pPr>
        <w:spacing w:before="1"/>
        <w:ind w:left="278" w:right="0" w:firstLine="0"/>
        <w:jc w:val="left"/>
        <w:rPr>
          <w:sz w:val="16"/>
        </w:rPr>
      </w:pPr>
      <w:r>
        <w:rPr>
          <w:sz w:val="16"/>
        </w:rPr>
        <w:t>This policy rule runs to 360 words.</w:t>
      </w:r>
    </w:p>
    <w:p>
      <w:pPr>
        <w:spacing w:after="0"/>
        <w:jc w:val="left"/>
        <w:rPr>
          <w:sz w:val="16"/>
        </w:rPr>
        <w:sectPr>
          <w:pgSz w:w="11910" w:h="16840"/>
          <w:pgMar w:header="0" w:footer="1338" w:top="1520" w:bottom="1520" w:left="900" w:right="0"/>
        </w:sectPr>
      </w:pPr>
    </w:p>
    <w:p>
      <w:pPr>
        <w:pStyle w:val="ListParagraph"/>
        <w:numPr>
          <w:ilvl w:val="1"/>
          <w:numId w:val="2"/>
        </w:numPr>
        <w:tabs>
          <w:tab w:pos="954" w:val="left" w:leader="none"/>
        </w:tabs>
        <w:spacing w:line="357" w:lineRule="auto" w:before="79" w:after="0"/>
        <w:ind w:left="953" w:right="1157" w:hanging="360"/>
        <w:jc w:val="left"/>
        <w:rPr>
          <w:sz w:val="20"/>
        </w:rPr>
      </w:pPr>
      <w:r>
        <w:rPr>
          <w:sz w:val="20"/>
        </w:rPr>
        <w:t>An assessment of what the optimal policy response to such shocks is (which means using 1-3 above to derive a policy rule that maximises some specified target</w:t>
      </w:r>
      <w:r>
        <w:rPr>
          <w:spacing w:val="-9"/>
          <w:sz w:val="20"/>
        </w:rPr>
        <w:t> </w:t>
      </w:r>
      <w:r>
        <w:rPr>
          <w:sz w:val="20"/>
        </w:rPr>
        <w:t>function).</w:t>
      </w:r>
    </w:p>
    <w:p>
      <w:pPr>
        <w:pStyle w:val="ListParagraph"/>
        <w:numPr>
          <w:ilvl w:val="1"/>
          <w:numId w:val="2"/>
        </w:numPr>
        <w:tabs>
          <w:tab w:pos="954" w:val="left" w:leader="none"/>
        </w:tabs>
        <w:spacing w:line="360" w:lineRule="auto" w:before="3" w:after="0"/>
        <w:ind w:left="953" w:right="1238" w:hanging="360"/>
        <w:jc w:val="left"/>
        <w:rPr>
          <w:sz w:val="20"/>
        </w:rPr>
      </w:pPr>
      <w:r>
        <w:rPr>
          <w:sz w:val="20"/>
        </w:rPr>
        <w:t>If policy is made by a committee you need to reach an agreement on 1-4; if it is a committee with members responsible for their own votes you somehow need to reconcile a unique path of rates (for given realisation of shocks) with individual accountability in an environment where people will take different views on the structure of the economy, its current state and the chances of various shocks hitting in the</w:t>
      </w:r>
      <w:r>
        <w:rPr>
          <w:spacing w:val="2"/>
          <w:sz w:val="20"/>
        </w:rPr>
        <w:t> </w:t>
      </w:r>
      <w:r>
        <w:rPr>
          <w:sz w:val="20"/>
        </w:rPr>
        <w:t>future.</w:t>
      </w:r>
    </w:p>
    <w:p>
      <w:pPr>
        <w:pStyle w:val="BodyText"/>
        <w:spacing w:before="11"/>
        <w:rPr>
          <w:sz w:val="29"/>
        </w:rPr>
      </w:pPr>
    </w:p>
    <w:p>
      <w:pPr>
        <w:pStyle w:val="BodyText"/>
        <w:spacing w:line="360" w:lineRule="auto"/>
        <w:ind w:left="233" w:right="1183"/>
      </w:pPr>
      <w:r>
        <w:rPr/>
        <w:t>This is a complex task. I could construct figure 4 but only with a very simplified and stylised model (which ignored a vast amount of information that any policy committee should certainly take account of) and where I chose the calibrations based on my own rather subjective assessment of the environment. For example I chose to calibrate uncertainty about slack by saying it was somewhere in the 0-4% range and that all outcomes in that range were equally likely. The MPC currently have a best collective view that slack is most likely to be around 1% – a rather different assessment. And the model I used to construct figure 4 had only four sources of uncertainty – in practice at MPC meetings we discuss many dozens of sources of uncertainty.</w:t>
      </w:r>
    </w:p>
    <w:p>
      <w:pPr>
        <w:pStyle w:val="BodyText"/>
        <w:spacing w:before="1"/>
        <w:rPr>
          <w:sz w:val="30"/>
        </w:rPr>
      </w:pPr>
    </w:p>
    <w:p>
      <w:pPr>
        <w:pStyle w:val="BodyText"/>
        <w:spacing w:line="360" w:lineRule="auto"/>
        <w:ind w:left="233" w:right="1166"/>
      </w:pPr>
      <w:r>
        <w:rPr/>
        <w:t>The MPC could nonetheless decide to use a mechanical procedure that is some sort of rough approximation to its decision making so as to produce a fan chart for interest rates. That might involve using a model with</w:t>
      </w:r>
      <w:r>
        <w:rPr>
          <w:spacing w:val="-36"/>
        </w:rPr>
        <w:t> </w:t>
      </w:r>
      <w:r>
        <w:rPr/>
        <w:t>a similar structure to that used to construct figure 4; it would have embedded in it a policy rule for setting interest rates for any given state of the economy. This would be a (pretty crude) approximation to the decision making process of any one member of a Committee.  Whether the resulting probability distribution of interest rates was a useful guide to the true chances of interest rates taking on different values is hard to judge. Whether any resulting fan chart of interest rates would be an improvement over a rougher </w:t>
      </w:r>
      <w:r>
        <w:rPr>
          <w:spacing w:val="2"/>
        </w:rPr>
        <w:t>sort </w:t>
      </w:r>
      <w:r>
        <w:rPr/>
        <w:t>of guidance – for example a statement that interest rates are expected to only increase gently from the current level over the next few years – is also</w:t>
      </w:r>
      <w:r>
        <w:rPr>
          <w:spacing w:val="-3"/>
        </w:rPr>
        <w:t> </w:t>
      </w:r>
      <w:r>
        <w:rPr/>
        <w:t>unclear.</w:t>
      </w:r>
    </w:p>
    <w:p>
      <w:pPr>
        <w:pStyle w:val="BodyText"/>
        <w:rPr>
          <w:sz w:val="30"/>
        </w:rPr>
      </w:pPr>
    </w:p>
    <w:p>
      <w:pPr>
        <w:pStyle w:val="BodyText"/>
        <w:spacing w:line="360" w:lineRule="auto"/>
        <w:ind w:left="233" w:right="1248"/>
      </w:pPr>
      <w:r>
        <w:rPr/>
        <w:t>There is no getting around the fact that constructing fan charts of interest rates that represent the MPC’s view of the probability of different paths present many problems. It involves, for example, the quantification of the chances of various events happening which may go beyond what can meaningfully be done. The apparent precision of probability statements in a world of uncertainty (not just risk) can be</w:t>
      </w:r>
      <w:r>
        <w:rPr>
          <w:spacing w:val="-19"/>
        </w:rPr>
        <w:t> </w:t>
      </w:r>
      <w:r>
        <w:rPr/>
        <w:t>misleading</w:t>
      </w:r>
      <w:r>
        <w:rPr>
          <w:vertAlign w:val="superscript"/>
        </w:rPr>
        <w:t>12</w:t>
      </w:r>
      <w:r>
        <w:rPr>
          <w:vertAlign w:val="baseline"/>
        </w:rPr>
        <w:t>.</w:t>
      </w:r>
    </w:p>
    <w:p>
      <w:pPr>
        <w:pStyle w:val="BodyText"/>
        <w:rPr>
          <w:sz w:val="30"/>
        </w:rPr>
      </w:pPr>
    </w:p>
    <w:p>
      <w:pPr>
        <w:pStyle w:val="BodyText"/>
        <w:spacing w:line="360" w:lineRule="auto" w:before="1"/>
        <w:ind w:left="233" w:right="1138"/>
      </w:pPr>
      <w:r>
        <w:rPr/>
        <w:pict>
          <v:shape style="position:absolute;margin-left:56.664001pt;margin-top:57.099888pt;width:144.050pt;height:.1pt;mso-position-horizontal-relative:page;mso-position-vertical-relative:paragraph;z-index:-251538432;mso-wrap-distance-left:0;mso-wrap-distance-right:0" coordorigin="1133,1142" coordsize="2881,0" path="m1133,1142l4014,1142e" filled="false" stroked="true" strokeweight=".47998pt" strokecolor="#000000">
            <v:path arrowok="t"/>
            <v:stroke dashstyle="solid"/>
            <w10:wrap type="topAndBottom"/>
          </v:shape>
        </w:pict>
      </w:r>
      <w:r>
        <w:rPr/>
        <w:t>More useful can be the assessment of different scenarios and the use of model to (in a rather mechanical way) find a path for interest rates which in that particular scenario delivers a path for output and inflation</w:t>
      </w:r>
      <w:r>
        <w:rPr>
          <w:spacing w:val="-33"/>
        </w:rPr>
        <w:t> </w:t>
      </w:r>
      <w:r>
        <w:rPr/>
        <w:t>with particular features. This gives an indication of the sort of policy response that might be appropriate in</w:t>
      </w:r>
      <w:r>
        <w:rPr>
          <w:spacing w:val="-21"/>
        </w:rPr>
        <w:t> </w:t>
      </w:r>
      <w:r>
        <w:rPr/>
        <w:t>a</w:t>
      </w:r>
    </w:p>
    <w:p>
      <w:pPr>
        <w:spacing w:before="27"/>
        <w:ind w:left="233" w:right="1248" w:firstLine="0"/>
        <w:jc w:val="left"/>
        <w:rPr>
          <w:sz w:val="16"/>
        </w:rPr>
      </w:pPr>
      <w:r>
        <w:rPr>
          <w:position w:val="8"/>
          <w:sz w:val="10"/>
        </w:rPr>
        <w:t>12 </w:t>
      </w:r>
      <w:r>
        <w:rPr>
          <w:sz w:val="16"/>
        </w:rPr>
        <w:t>The distinction between uncertainty and risk is one that Knight and Keynes both made. In a famous passage Keynes described what he meant by “uncertain knowledge”:</w:t>
      </w:r>
    </w:p>
    <w:p>
      <w:pPr>
        <w:spacing w:before="2"/>
        <w:ind w:left="233" w:right="1205" w:firstLine="0"/>
        <w:jc w:val="left"/>
        <w:rPr>
          <w:sz w:val="16"/>
        </w:rPr>
      </w:pPr>
      <w:r>
        <w:rPr>
          <w:sz w:val="16"/>
        </w:rPr>
        <w:t>“By ‘uncertain’ knowledge, let me explain, I do not mean merely to distinguish what is known for certain from what is only probable. The game of roulette is not subject, in this sense, to uncertainty...The sense in which I am using the term is that in which the prospect of a European war is uncertain, or the price of copper and the rate of interest twenty years hence...About these matters there is no scientific basis on which to form any calculable probability whatever. We simply do not know.” Keynes (1937).</w:t>
      </w:r>
    </w:p>
    <w:p>
      <w:pPr>
        <w:spacing w:after="0"/>
        <w:jc w:val="left"/>
        <w:rPr>
          <w:sz w:val="16"/>
        </w:rPr>
        <w:sectPr>
          <w:footerReference w:type="default" r:id="rId11"/>
          <w:pgSz w:w="11910" w:h="16840"/>
          <w:pgMar w:footer="1338" w:header="0" w:top="1520" w:bottom="1520" w:left="900" w:right="0"/>
          <w:pgNumType w:start="18"/>
        </w:sectPr>
      </w:pPr>
    </w:p>
    <w:p>
      <w:pPr>
        <w:pStyle w:val="BodyText"/>
        <w:spacing w:line="360" w:lineRule="auto" w:before="79"/>
        <w:ind w:left="233" w:right="1248"/>
      </w:pPr>
      <w:r>
        <w:rPr/>
        <w:t>specific eventuality. One possibility is something along the lines of the Riksbank’s ‘four-panel graphs’ as illustrated in their February 2012 minutes (Sveriges Riksbank 2012), or the ‘three policy paths’ used by Yellen (Yellen 2012). (See also Svensson (2013)).</w:t>
      </w:r>
    </w:p>
    <w:p>
      <w:pPr>
        <w:pStyle w:val="BodyText"/>
        <w:rPr>
          <w:sz w:val="30"/>
        </w:rPr>
      </w:pPr>
    </w:p>
    <w:p>
      <w:pPr>
        <w:pStyle w:val="BodyText"/>
        <w:ind w:left="233"/>
      </w:pPr>
      <w:r>
        <w:rPr/>
        <w:t>So what do some of the world’s major central banks do today?</w:t>
      </w:r>
    </w:p>
    <w:p>
      <w:pPr>
        <w:pStyle w:val="BodyText"/>
        <w:rPr>
          <w:sz w:val="22"/>
        </w:rPr>
      </w:pPr>
    </w:p>
    <w:p>
      <w:pPr>
        <w:pStyle w:val="BodyText"/>
        <w:spacing w:before="8"/>
        <w:rPr>
          <w:sz w:val="17"/>
        </w:rPr>
      </w:pPr>
    </w:p>
    <w:p>
      <w:pPr>
        <w:pStyle w:val="Heading3"/>
        <w:numPr>
          <w:ilvl w:val="0"/>
          <w:numId w:val="2"/>
        </w:numPr>
        <w:tabs>
          <w:tab w:pos="594" w:val="left" w:leader="none"/>
        </w:tabs>
        <w:spacing w:line="240" w:lineRule="auto" w:before="0" w:after="0"/>
        <w:ind w:left="593" w:right="0" w:hanging="361"/>
        <w:jc w:val="left"/>
      </w:pPr>
      <w:r>
        <w:rPr/>
        <w:t>Communication strategies of other central</w:t>
      </w:r>
      <w:r>
        <w:rPr>
          <w:spacing w:val="-5"/>
        </w:rPr>
        <w:t> </w:t>
      </w:r>
      <w:r>
        <w:rPr/>
        <w:t>banks</w:t>
      </w:r>
    </w:p>
    <w:p>
      <w:pPr>
        <w:pStyle w:val="BodyText"/>
        <w:rPr>
          <w:b/>
          <w:sz w:val="22"/>
        </w:rPr>
      </w:pPr>
    </w:p>
    <w:p>
      <w:pPr>
        <w:pStyle w:val="BodyText"/>
        <w:spacing w:before="1"/>
        <w:rPr>
          <w:b/>
          <w:sz w:val="18"/>
        </w:rPr>
      </w:pPr>
    </w:p>
    <w:p>
      <w:pPr>
        <w:pStyle w:val="BodyText"/>
        <w:spacing w:line="360" w:lineRule="auto"/>
        <w:ind w:left="233" w:right="1245"/>
      </w:pPr>
      <w:r>
        <w:rPr/>
        <w:t>At the Bank of England the MPC does produce forecasts of inflation and GDP with assessments of the probability of different paths over a 3 year horizon. These are conditional forecasts based on specific paths for interest rates – so do </w:t>
      </w:r>
      <w:r>
        <w:rPr>
          <w:b/>
        </w:rPr>
        <w:t>not </w:t>
      </w:r>
      <w:r>
        <w:rPr/>
        <w:t>take account of the likely response of the MPC to different outcomes. And the specific interest rate paths are not a view of the MPC or its most likely (or expected) future policy</w:t>
      </w:r>
      <w:r>
        <w:rPr>
          <w:vertAlign w:val="superscript"/>
        </w:rPr>
        <w:t>13</w:t>
      </w:r>
      <w:r>
        <w:rPr>
          <w:vertAlign w:val="baseline"/>
        </w:rPr>
        <w:t>; they are either for a constant interest rate path or the prevailing market curve. These conditioning assumptions raise well-known problems – well described by Woodford (2013).</w:t>
      </w:r>
    </w:p>
    <w:p>
      <w:pPr>
        <w:pStyle w:val="BodyText"/>
        <w:spacing w:before="3"/>
        <w:rPr>
          <w:sz w:val="30"/>
        </w:rPr>
      </w:pPr>
    </w:p>
    <w:p>
      <w:pPr>
        <w:pStyle w:val="BodyText"/>
        <w:spacing w:line="360" w:lineRule="auto"/>
        <w:ind w:left="233" w:right="1185"/>
      </w:pPr>
      <w:r>
        <w:rPr/>
        <w:t>The Fed provides different information. The members of the Federal Open Market Committee (FOMC) each provide their central projection of the appropriate Federal Funds rate target at the end of each of the next several years, as well as in the longer run. (These views are represented as individual points on a ‘dot chart’). FOMC members also provide forecasts for key economic variables – such as output growth, unemployment and inflation – based on their own individual assessment of appropriate monetary policy.</w:t>
      </w:r>
    </w:p>
    <w:p>
      <w:pPr>
        <w:pStyle w:val="BodyText"/>
        <w:spacing w:before="10"/>
        <w:rPr>
          <w:sz w:val="29"/>
        </w:rPr>
      </w:pPr>
    </w:p>
    <w:p>
      <w:pPr>
        <w:pStyle w:val="BodyText"/>
        <w:spacing w:line="360" w:lineRule="auto"/>
        <w:ind w:left="233" w:right="1138"/>
      </w:pPr>
      <w:r>
        <w:rPr/>
        <w:t>The range of dots in the FOMC’s ‘dot chart’ represents the range of committee members’ central projections for interest rates. The FOMC’s dot chart may be useful at conveying the heterogeneity of views amongst its participants; but by focusing on only central estimates, it does not reflect the uncertainty each policy-maker attach to their own assessments.</w:t>
      </w:r>
    </w:p>
    <w:p>
      <w:pPr>
        <w:pStyle w:val="BodyText"/>
        <w:spacing w:before="1"/>
        <w:rPr>
          <w:sz w:val="30"/>
        </w:rPr>
      </w:pPr>
    </w:p>
    <w:p>
      <w:pPr>
        <w:pStyle w:val="BodyText"/>
        <w:spacing w:line="360" w:lineRule="auto"/>
        <w:ind w:left="233" w:right="1248"/>
      </w:pPr>
      <w:r>
        <w:rPr/>
        <w:t>It might seem clear that to condition forecasts on policymakers’ views on what would be their own future monetary policy response is a better alternative than the Bank of England approach and that if risks around that preferred path can be quantified it provides more useful information than the FOMC dot chart. In rather different ways The Reserve Bank of New Zealand, the Norges Bank, and the Riksbank attempt to do just this. If the path of interest rates used is a reasonable approximation to the true expectation based on how the Committee will actually make decisions in the future, then this would seem a better option than using a market implied path for interest rates and would avoid some well-known problems of consistency and interpretation.</w:t>
      </w:r>
    </w:p>
    <w:p>
      <w:pPr>
        <w:pStyle w:val="BodyText"/>
        <w:spacing w:before="11"/>
        <w:rPr>
          <w:sz w:val="29"/>
        </w:rPr>
      </w:pPr>
    </w:p>
    <w:p>
      <w:pPr>
        <w:pStyle w:val="BodyText"/>
        <w:spacing w:line="360" w:lineRule="auto"/>
        <w:ind w:left="233" w:right="1774"/>
      </w:pPr>
      <w:r>
        <w:rPr/>
        <w:t>There is still the issue of how to provide probability assessments of interest rates being away from the “preferred” path. The Riksbank uses uncertainty bands based on historical forecast errors for implied</w:t>
      </w:r>
    </w:p>
    <w:p>
      <w:pPr>
        <w:pStyle w:val="BodyText"/>
        <w:spacing w:before="4"/>
        <w:rPr>
          <w:sz w:val="25"/>
        </w:rPr>
      </w:pPr>
      <w:r>
        <w:rPr/>
        <w:pict>
          <v:shape style="position:absolute;margin-left:56.664001pt;margin-top:16.779034pt;width:144.050pt;height:.1pt;mso-position-horizontal-relative:page;mso-position-vertical-relative:paragraph;z-index:-251537408;mso-wrap-distance-left:0;mso-wrap-distance-right:0" coordorigin="1133,336" coordsize="2881,0" path="m1133,336l4014,336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13 </w:t>
      </w:r>
      <w:r>
        <w:rPr>
          <w:sz w:val="16"/>
        </w:rPr>
        <w:t>A policy that will in practice be voted on by a committee whose membership will not be constant.</w:t>
      </w:r>
    </w:p>
    <w:p>
      <w:pPr>
        <w:spacing w:after="0"/>
        <w:jc w:val="left"/>
        <w:rPr>
          <w:sz w:val="16"/>
        </w:rPr>
        <w:sectPr>
          <w:footerReference w:type="default" r:id="rId12"/>
          <w:pgSz w:w="11910" w:h="16840"/>
          <w:pgMar w:footer="1338" w:header="0" w:top="1520" w:bottom="1520" w:left="900" w:right="0"/>
          <w:pgNumType w:start="19"/>
        </w:sectPr>
      </w:pPr>
    </w:p>
    <w:p>
      <w:pPr>
        <w:pStyle w:val="BodyText"/>
        <w:spacing w:line="357" w:lineRule="auto" w:before="119"/>
        <w:ind w:left="233" w:right="1418"/>
      </w:pPr>
      <w:r>
        <w:rPr/>
        <w:t>forward rates, which are adjusted to take into account the corresponding risk premium</w:t>
      </w:r>
      <w:r>
        <w:rPr>
          <w:vertAlign w:val="superscript"/>
        </w:rPr>
        <w:t>14</w:t>
      </w:r>
      <w:r>
        <w:rPr>
          <w:vertAlign w:val="baseline"/>
        </w:rPr>
        <w:t>; the Norges Bank uses fans that depend in part on model-based density forecast and in part on judgment</w:t>
      </w:r>
      <w:r>
        <w:rPr>
          <w:vertAlign w:val="superscript"/>
        </w:rPr>
        <w:t>15</w:t>
      </w:r>
      <w:r>
        <w:rPr>
          <w:vertAlign w:val="baseline"/>
        </w:rPr>
        <w:t>. For the</w:t>
      </w:r>
    </w:p>
    <w:p>
      <w:pPr>
        <w:pStyle w:val="BodyText"/>
        <w:spacing w:line="360" w:lineRule="auto" w:before="3"/>
        <w:ind w:left="233" w:right="1197"/>
      </w:pPr>
      <w:r>
        <w:rPr/>
        <w:t>Reserve Bank of New Zealand (RBNZ), the fan chart represents the uncertainty around the magnitude of</w:t>
      </w:r>
      <w:r>
        <w:rPr>
          <w:spacing w:val="-35"/>
        </w:rPr>
        <w:t> </w:t>
      </w:r>
      <w:r>
        <w:rPr/>
        <w:t>the main drivers of the economy. The RBNZ fans summarise the projected path of interest rate for a collection of a thousand scenarios</w:t>
      </w:r>
      <w:r>
        <w:rPr>
          <w:vertAlign w:val="superscript"/>
        </w:rPr>
        <w:t>16</w:t>
      </w:r>
      <w:r>
        <w:rPr>
          <w:vertAlign w:val="baseline"/>
        </w:rPr>
        <w:t>. (It is worthwhile noting that the RBNZ’s fan chart does not need to reflect the heterogeneity in views across policy makers, because in New Zealand the Governor is personally responsible for all the monetary policy decisions taken by the Bank</w:t>
      </w:r>
      <w:r>
        <w:rPr>
          <w:vertAlign w:val="superscript"/>
        </w:rPr>
        <w:t>17</w:t>
      </w:r>
      <w:r>
        <w:rPr>
          <w:vertAlign w:val="baseline"/>
        </w:rPr>
        <w:t>.) There are different ways the future paths and uncertainty bands around them can be generated, and there is no clear right way. The precise way to generate these fan charts, and what type of uncertainty could, or should, be incorporated is likely to continue to be the subject of</w:t>
      </w:r>
      <w:r>
        <w:rPr>
          <w:spacing w:val="-5"/>
          <w:vertAlign w:val="baseline"/>
        </w:rPr>
        <w:t> </w:t>
      </w:r>
      <w:r>
        <w:rPr>
          <w:vertAlign w:val="baseline"/>
        </w:rPr>
        <w:t>research.</w:t>
      </w:r>
    </w:p>
    <w:p>
      <w:pPr>
        <w:pStyle w:val="BodyText"/>
        <w:spacing w:before="10"/>
        <w:rPr>
          <w:sz w:val="29"/>
        </w:rPr>
      </w:pPr>
    </w:p>
    <w:p>
      <w:pPr>
        <w:pStyle w:val="Heading3"/>
        <w:numPr>
          <w:ilvl w:val="0"/>
          <w:numId w:val="2"/>
        </w:numPr>
        <w:tabs>
          <w:tab w:pos="594" w:val="left" w:leader="none"/>
        </w:tabs>
        <w:spacing w:line="240" w:lineRule="auto" w:before="0" w:after="0"/>
        <w:ind w:left="593" w:right="0" w:hanging="361"/>
        <w:jc w:val="left"/>
      </w:pPr>
      <w:r>
        <w:rPr/>
        <w:t>Guidance about the future path of policy in the</w:t>
      </w:r>
      <w:r>
        <w:rPr>
          <w:spacing w:val="-7"/>
        </w:rPr>
        <w:t> </w:t>
      </w:r>
      <w:r>
        <w:rPr/>
        <w:t>UK</w:t>
      </w:r>
    </w:p>
    <w:p>
      <w:pPr>
        <w:pStyle w:val="BodyText"/>
        <w:rPr>
          <w:b/>
          <w:sz w:val="22"/>
        </w:rPr>
      </w:pPr>
    </w:p>
    <w:p>
      <w:pPr>
        <w:pStyle w:val="BodyText"/>
        <w:spacing w:before="2"/>
        <w:rPr>
          <w:b/>
          <w:sz w:val="18"/>
        </w:rPr>
      </w:pPr>
    </w:p>
    <w:p>
      <w:pPr>
        <w:pStyle w:val="BodyText"/>
        <w:spacing w:line="360" w:lineRule="auto"/>
        <w:ind w:left="233" w:right="1151"/>
      </w:pPr>
      <w:r>
        <w:rPr/>
        <w:t>In different ways the MPC has for a long time provided guidance about the likely future path of policy in its publications, in speeches, interviews and evidence at the Treasury Committee. Some guidance about the future path of policy was provided in an indirect way. The Inflation Report has for many years contained forecasts for GDP and inflation that are derived under the assumption that Bank Rate would follow the profile implied by market rates. If inflation was then expected to rise above target, it was an (imperfect) indication that many on the MPC believed it would probably have to raise rates above what was implied by market rates. And vice versa, if inflation was expected to fall below target conditional on market interest rates.</w:t>
      </w:r>
    </w:p>
    <w:p>
      <w:pPr>
        <w:pStyle w:val="BodyText"/>
        <w:rPr>
          <w:sz w:val="30"/>
        </w:rPr>
      </w:pPr>
    </w:p>
    <w:p>
      <w:pPr>
        <w:pStyle w:val="BodyText"/>
        <w:spacing w:line="360" w:lineRule="auto"/>
        <w:ind w:left="233" w:right="1259"/>
      </w:pPr>
      <w:r>
        <w:rPr/>
        <w:t>This may seem to be a roundabout way of communicating the likely future path of interest rates. And as I said earlier, there are known problems of internal consistency with the conditioning path assumption behind those charts, summarised clearly in Woodford (2013). But in the years preceding the financial crisis, a period that has been described as the great moderation, it seemed to most people that the fan charts gave them a reasonable guide to what the MPC was up to and how policy might evolve. In large part this was because the path of Bank Rate implied by market interest rates usually generated a fan chart for inflation whose central path was close to the target and was fairly symmetric around it. And if market interest rates deviated materially from what the MPC thought would appropriately reflect their likely future policy stance, MPC members had plenty of opportunities in addition to producing fan charts to influence market expectations: there has never been a shortage of MPC speeches and interviews.</w:t>
      </w:r>
    </w:p>
    <w:p>
      <w:pPr>
        <w:pStyle w:val="BodyText"/>
        <w:rPr>
          <w:sz w:val="30"/>
        </w:rPr>
      </w:pPr>
    </w:p>
    <w:p>
      <w:pPr>
        <w:pStyle w:val="BodyText"/>
        <w:spacing w:line="360" w:lineRule="auto" w:before="1"/>
        <w:ind w:left="233" w:right="1248"/>
      </w:pPr>
      <w:r>
        <w:rPr/>
        <w:pict>
          <v:shape style="position:absolute;margin-left:56.664001pt;margin-top:75.459892pt;width:144.050pt;height:.1pt;mso-position-horizontal-relative:page;mso-position-vertical-relative:paragraph;z-index:-251536384;mso-wrap-distance-left:0;mso-wrap-distance-right:0" coordorigin="1133,1509" coordsize="2881,0" path="m1133,1509l4014,1509e" filled="false" stroked="true" strokeweight=".47998pt" strokecolor="#000000">
            <v:path arrowok="t"/>
            <v:stroke dashstyle="solid"/>
            <w10:wrap type="topAndBottom"/>
          </v:shape>
        </w:pict>
      </w:r>
      <w:r>
        <w:rPr/>
        <w:t>August 2013 saw the introduction of more explicit guidance about policy. Monetary policy had gone through a phase of exceptionally low interest rates and unprecedented asset purchases. With the economy starting to pick up speed again, uncertainty about how the MPC would respond to signs of a gradual economic recovery appeared particularly great. So it seemed to the MPC right to give more guidance than had been</w:t>
      </w:r>
    </w:p>
    <w:p>
      <w:pPr>
        <w:spacing w:line="195" w:lineRule="exact" w:before="30"/>
        <w:ind w:left="233" w:right="0" w:firstLine="0"/>
        <w:jc w:val="left"/>
        <w:rPr>
          <w:sz w:val="16"/>
        </w:rPr>
      </w:pPr>
      <w:r>
        <w:rPr>
          <w:position w:val="8"/>
          <w:sz w:val="10"/>
        </w:rPr>
        <w:t>14 </w:t>
      </w:r>
      <w:r>
        <w:rPr>
          <w:sz w:val="16"/>
        </w:rPr>
        <w:t>Sveriges Riksbank (2007)</w:t>
      </w:r>
    </w:p>
    <w:p>
      <w:pPr>
        <w:spacing w:line="184" w:lineRule="exact" w:before="0"/>
        <w:ind w:left="233" w:right="0" w:firstLine="0"/>
        <w:jc w:val="left"/>
        <w:rPr>
          <w:sz w:val="16"/>
        </w:rPr>
      </w:pPr>
      <w:r>
        <w:rPr>
          <w:position w:val="8"/>
          <w:sz w:val="10"/>
        </w:rPr>
        <w:t>15 </w:t>
      </w:r>
      <w:r>
        <w:rPr>
          <w:sz w:val="16"/>
        </w:rPr>
        <w:t>Gerdrup and Nicolaisen (2011)</w:t>
      </w:r>
    </w:p>
    <w:p>
      <w:pPr>
        <w:spacing w:line="185" w:lineRule="exact" w:before="0"/>
        <w:ind w:left="233" w:right="0" w:firstLine="0"/>
        <w:jc w:val="left"/>
        <w:rPr>
          <w:sz w:val="16"/>
        </w:rPr>
      </w:pPr>
      <w:r>
        <w:rPr>
          <w:position w:val="8"/>
          <w:sz w:val="10"/>
        </w:rPr>
        <w:t>16 </w:t>
      </w:r>
      <w:r>
        <w:rPr>
          <w:sz w:val="16"/>
        </w:rPr>
        <w:t>For details, please refer to the Reserve Bank of New Zealand’s Monetary Policy Statement.</w:t>
      </w:r>
    </w:p>
    <w:p>
      <w:pPr>
        <w:spacing w:line="196" w:lineRule="exact" w:before="0"/>
        <w:ind w:left="233" w:right="0" w:firstLine="0"/>
        <w:jc w:val="left"/>
        <w:rPr>
          <w:sz w:val="16"/>
        </w:rPr>
      </w:pPr>
      <w:r>
        <w:rPr>
          <w:position w:val="8"/>
          <w:sz w:val="10"/>
        </w:rPr>
        <w:t>17 </w:t>
      </w:r>
      <w:r>
        <w:rPr>
          <w:sz w:val="16"/>
        </w:rPr>
        <w:t>See: </w:t>
      </w:r>
      <w:hyperlink r:id="rId14">
        <w:r>
          <w:rPr>
            <w:sz w:val="16"/>
          </w:rPr>
          <w:t>http://www.rbnz.govt.nz/monetary_policy/about_monetary_policy/2851362.html</w:t>
        </w:r>
      </w:hyperlink>
    </w:p>
    <w:p>
      <w:pPr>
        <w:spacing w:after="0" w:line="196" w:lineRule="exact"/>
        <w:jc w:val="left"/>
        <w:rPr>
          <w:sz w:val="16"/>
        </w:rPr>
        <w:sectPr>
          <w:footerReference w:type="default" r:id="rId13"/>
          <w:pgSz w:w="11910" w:h="16840"/>
          <w:pgMar w:footer="1338" w:header="0" w:top="1480" w:bottom="1520" w:left="900" w:right="0"/>
          <w:pgNumType w:start="20"/>
        </w:sectPr>
      </w:pPr>
    </w:p>
    <w:p>
      <w:pPr>
        <w:pStyle w:val="BodyText"/>
        <w:spacing w:line="360" w:lineRule="auto" w:before="79"/>
        <w:ind w:left="233" w:right="1204"/>
      </w:pPr>
      <w:r>
        <w:rPr/>
        <w:t>given in the past. The combination of unprecedented shocks and exceptional policy meant that past actions might not be giving much information about how policy might be set. For me there was one specific risk in mid-2013. This was that at the emerging signs that the growth of GDP might be returning to levels that were closer to the long run trend for the UK, people might assume that with inflation also fairly close to target that monetary policy might quickly be returned to something that looked more normal. “Normal” might well be thought of as a level for Bank Rate of around 5% (which is the average Bank Rate since 1694 and also the average in the 10 year period between the formation of the MPC and the onset of the financial crisis – a period when inflation was close to target and growth close to the long run average for the UK).</w:t>
      </w:r>
    </w:p>
    <w:p>
      <w:pPr>
        <w:pStyle w:val="BodyText"/>
        <w:spacing w:before="10"/>
        <w:rPr>
          <w:sz w:val="29"/>
        </w:rPr>
      </w:pPr>
    </w:p>
    <w:p>
      <w:pPr>
        <w:pStyle w:val="BodyText"/>
        <w:spacing w:line="360" w:lineRule="auto"/>
        <w:ind w:left="233" w:right="1186"/>
      </w:pPr>
      <w:r>
        <w:rPr/>
        <w:t>Now the MPC is giving some qualitative judgements on most likely outcomes – saying that interest rate rises are expected to be gradual and probably to a level lower than had been seen as normal pre-crisis.</w:t>
      </w:r>
    </w:p>
    <w:p>
      <w:pPr>
        <w:pStyle w:val="BodyText"/>
        <w:rPr>
          <w:sz w:val="30"/>
        </w:rPr>
      </w:pPr>
    </w:p>
    <w:p>
      <w:pPr>
        <w:pStyle w:val="BodyText"/>
        <w:ind w:left="233"/>
      </w:pPr>
      <w:r>
        <w:rPr/>
        <w:t>Is this guidance too vague and imprecise (more vague than is optimal)? Is it open to misinterpretation?</w:t>
      </w:r>
    </w:p>
    <w:p>
      <w:pPr>
        <w:pStyle w:val="BodyText"/>
        <w:rPr>
          <w:sz w:val="22"/>
        </w:rPr>
      </w:pPr>
    </w:p>
    <w:p>
      <w:pPr>
        <w:pStyle w:val="BodyText"/>
        <w:spacing w:before="1"/>
        <w:rPr>
          <w:sz w:val="18"/>
        </w:rPr>
      </w:pPr>
    </w:p>
    <w:p>
      <w:pPr>
        <w:pStyle w:val="BodyText"/>
        <w:spacing w:line="360" w:lineRule="auto"/>
        <w:ind w:left="233" w:right="1319"/>
      </w:pPr>
      <w:r>
        <w:rPr/>
        <w:t>The MPC could try to give more information on how it will set policy; it could give some approximation to its future reaction function. But I have argued that an easy to understand reaction function will likely be too crude to accurately reflect how decisions will actually be made – so runs the risk of being more misleading than informative. It is not self-evident that some approximation to a collective reaction function (even ignoring such issues as different members having different reaction functions) is really helpful to ordinary people in understanding what the prospects are for interest rates. It is very likely that any reaction function the central bank gives will at best be a rough approximation; and the more precise you make it the more people may see it as a rule which will absolutely be followed. This is one aspect of a broader problem with guidance which is the danger that people confuse guidance with commitment.</w:t>
      </w:r>
    </w:p>
    <w:p>
      <w:pPr>
        <w:pStyle w:val="BodyText"/>
        <w:rPr>
          <w:sz w:val="30"/>
        </w:rPr>
      </w:pPr>
    </w:p>
    <w:p>
      <w:pPr>
        <w:pStyle w:val="BodyText"/>
        <w:spacing w:line="360" w:lineRule="auto"/>
        <w:ind w:left="233" w:right="1185"/>
      </w:pPr>
      <w:r>
        <w:rPr/>
        <w:t>The MPC has been at pains to stress that the guidance it gives is more an expectation than a promise. This has been true since we provided the assessment of the uses of guidance in August 2013. And yet it has been very common in the media to describe guidance in the language of promises (or time-contingent guidance):</w:t>
      </w:r>
    </w:p>
    <w:p>
      <w:pPr>
        <w:pStyle w:val="BodyText"/>
        <w:spacing w:before="1"/>
        <w:rPr>
          <w:sz w:val="30"/>
        </w:rPr>
      </w:pPr>
    </w:p>
    <w:p>
      <w:pPr>
        <w:pStyle w:val="ListParagraph"/>
        <w:numPr>
          <w:ilvl w:val="0"/>
          <w:numId w:val="4"/>
        </w:numPr>
        <w:tabs>
          <w:tab w:pos="1008" w:val="left" w:leader="none"/>
          <w:tab w:pos="1009" w:val="left" w:leader="none"/>
        </w:tabs>
        <w:spacing w:line="350" w:lineRule="auto" w:before="0" w:after="0"/>
        <w:ind w:left="953" w:right="1312" w:hanging="360"/>
        <w:jc w:val="left"/>
        <w:rPr>
          <w:sz w:val="20"/>
        </w:rPr>
      </w:pPr>
      <w:r>
        <w:rPr/>
        <w:tab/>
      </w:r>
      <w:r>
        <w:rPr>
          <w:sz w:val="20"/>
        </w:rPr>
        <w:t>“New</w:t>
      </w:r>
      <w:r>
        <w:rPr>
          <w:spacing w:val="-6"/>
          <w:sz w:val="20"/>
        </w:rPr>
        <w:t> </w:t>
      </w:r>
      <w:r>
        <w:rPr>
          <w:sz w:val="20"/>
        </w:rPr>
        <w:t>Governor</w:t>
      </w:r>
      <w:r>
        <w:rPr>
          <w:spacing w:val="-1"/>
          <w:sz w:val="20"/>
        </w:rPr>
        <w:t> </w:t>
      </w:r>
      <w:r>
        <w:rPr>
          <w:sz w:val="20"/>
        </w:rPr>
        <w:t>Mark Carney</w:t>
      </w:r>
      <w:r>
        <w:rPr>
          <w:spacing w:val="-5"/>
          <w:sz w:val="20"/>
        </w:rPr>
        <w:t> </w:t>
      </w:r>
      <w:r>
        <w:rPr>
          <w:sz w:val="20"/>
        </w:rPr>
        <w:t>announced</w:t>
      </w:r>
      <w:r>
        <w:rPr>
          <w:spacing w:val="-4"/>
          <w:sz w:val="20"/>
        </w:rPr>
        <w:t> </w:t>
      </w:r>
      <w:r>
        <w:rPr>
          <w:sz w:val="20"/>
        </w:rPr>
        <w:t>the</w:t>
      </w:r>
      <w:r>
        <w:rPr>
          <w:spacing w:val="-4"/>
          <w:sz w:val="20"/>
        </w:rPr>
        <w:t> </w:t>
      </w:r>
      <w:r>
        <w:rPr>
          <w:sz w:val="20"/>
        </w:rPr>
        <w:t>bank was</w:t>
      </w:r>
      <w:r>
        <w:rPr>
          <w:spacing w:val="-3"/>
          <w:sz w:val="20"/>
        </w:rPr>
        <w:t> </w:t>
      </w:r>
      <w:r>
        <w:rPr>
          <w:sz w:val="20"/>
        </w:rPr>
        <w:t>unlikely</w:t>
      </w:r>
      <w:r>
        <w:rPr>
          <w:spacing w:val="-6"/>
          <w:sz w:val="20"/>
        </w:rPr>
        <w:t> </w:t>
      </w:r>
      <w:r>
        <w:rPr>
          <w:sz w:val="20"/>
        </w:rPr>
        <w:t>to</w:t>
      </w:r>
      <w:r>
        <w:rPr>
          <w:spacing w:val="-2"/>
          <w:sz w:val="20"/>
        </w:rPr>
        <w:t> </w:t>
      </w:r>
      <w:r>
        <w:rPr>
          <w:sz w:val="20"/>
        </w:rPr>
        <w:t>raise</w:t>
      </w:r>
      <w:r>
        <w:rPr>
          <w:spacing w:val="-4"/>
          <w:sz w:val="20"/>
        </w:rPr>
        <w:t> </w:t>
      </w:r>
      <w:r>
        <w:rPr>
          <w:sz w:val="20"/>
        </w:rPr>
        <w:t>rates</w:t>
      </w:r>
      <w:r>
        <w:rPr>
          <w:spacing w:val="-3"/>
          <w:sz w:val="20"/>
        </w:rPr>
        <w:t> </w:t>
      </w:r>
      <w:r>
        <w:rPr>
          <w:sz w:val="20"/>
        </w:rPr>
        <w:t>until</w:t>
      </w:r>
      <w:r>
        <w:rPr>
          <w:spacing w:val="-5"/>
          <w:sz w:val="20"/>
        </w:rPr>
        <w:t> </w:t>
      </w:r>
      <w:r>
        <w:rPr>
          <w:sz w:val="20"/>
        </w:rPr>
        <w:t>the</w:t>
      </w:r>
      <w:r>
        <w:rPr>
          <w:spacing w:val="-3"/>
          <w:sz w:val="20"/>
        </w:rPr>
        <w:t> </w:t>
      </w:r>
      <w:r>
        <w:rPr>
          <w:sz w:val="20"/>
        </w:rPr>
        <w:t>end</w:t>
      </w:r>
      <w:r>
        <w:rPr>
          <w:spacing w:val="-4"/>
          <w:sz w:val="20"/>
        </w:rPr>
        <w:t> </w:t>
      </w:r>
      <w:r>
        <w:rPr>
          <w:sz w:val="20"/>
        </w:rPr>
        <w:t>of</w:t>
      </w:r>
      <w:r>
        <w:rPr>
          <w:spacing w:val="-2"/>
          <w:sz w:val="20"/>
        </w:rPr>
        <w:t> </w:t>
      </w:r>
      <w:r>
        <w:rPr>
          <w:sz w:val="20"/>
        </w:rPr>
        <w:t>2016, at the earliest.” Mirror, 7 August</w:t>
      </w:r>
      <w:r>
        <w:rPr>
          <w:spacing w:val="-3"/>
          <w:sz w:val="20"/>
        </w:rPr>
        <w:t> </w:t>
      </w:r>
      <w:r>
        <w:rPr>
          <w:sz w:val="20"/>
        </w:rPr>
        <w:t>2013</w:t>
      </w:r>
      <w:r>
        <w:rPr>
          <w:sz w:val="20"/>
          <w:vertAlign w:val="superscript"/>
        </w:rPr>
        <w:t>18</w:t>
      </w:r>
    </w:p>
    <w:p>
      <w:pPr>
        <w:pStyle w:val="BodyText"/>
        <w:spacing w:before="11"/>
        <w:rPr>
          <w:sz w:val="30"/>
        </w:rPr>
      </w:pPr>
    </w:p>
    <w:p>
      <w:pPr>
        <w:pStyle w:val="ListParagraph"/>
        <w:numPr>
          <w:ilvl w:val="0"/>
          <w:numId w:val="4"/>
        </w:numPr>
        <w:tabs>
          <w:tab w:pos="953" w:val="left" w:leader="none"/>
          <w:tab w:pos="954" w:val="left" w:leader="none"/>
        </w:tabs>
        <w:spacing w:line="350" w:lineRule="auto" w:before="0" w:after="0"/>
        <w:ind w:left="953" w:right="1249" w:hanging="360"/>
        <w:jc w:val="left"/>
        <w:rPr>
          <w:sz w:val="20"/>
        </w:rPr>
      </w:pPr>
      <w:r>
        <w:rPr>
          <w:sz w:val="20"/>
        </w:rPr>
        <w:t>“Bank on good times rolling” – “The Bank of England aims to keep interest rates at record low for as long as three years”. The Sun, 8 August</w:t>
      </w:r>
      <w:r>
        <w:rPr>
          <w:spacing w:val="-1"/>
          <w:sz w:val="20"/>
        </w:rPr>
        <w:t> </w:t>
      </w:r>
      <w:r>
        <w:rPr>
          <w:sz w:val="20"/>
        </w:rPr>
        <w:t>2013</w:t>
      </w:r>
    </w:p>
    <w:p>
      <w:pPr>
        <w:pStyle w:val="BodyText"/>
        <w:spacing w:before="10"/>
        <w:rPr>
          <w:sz w:val="30"/>
        </w:rPr>
      </w:pPr>
    </w:p>
    <w:p>
      <w:pPr>
        <w:pStyle w:val="ListParagraph"/>
        <w:numPr>
          <w:ilvl w:val="0"/>
          <w:numId w:val="4"/>
        </w:numPr>
        <w:tabs>
          <w:tab w:pos="953" w:val="left" w:leader="none"/>
          <w:tab w:pos="954" w:val="left" w:leader="none"/>
        </w:tabs>
        <w:spacing w:line="240" w:lineRule="auto" w:before="1" w:after="0"/>
        <w:ind w:left="953" w:right="0" w:hanging="361"/>
        <w:jc w:val="left"/>
        <w:rPr>
          <w:sz w:val="20"/>
        </w:rPr>
      </w:pPr>
      <w:r>
        <w:rPr>
          <w:sz w:val="20"/>
        </w:rPr>
        <w:t>“I will keep rates low for 3 years says Bank of England boss”. The Daily Express, 29 August 2013</w:t>
      </w:r>
      <w:r>
        <w:rPr>
          <w:spacing w:val="-14"/>
          <w:sz w:val="20"/>
        </w:rPr>
        <w:t> </w:t>
      </w:r>
      <w:r>
        <w:rPr>
          <w:sz w:val="20"/>
          <w:vertAlign w:val="superscript"/>
        </w:rPr>
        <w:t>19</w:t>
      </w:r>
    </w:p>
    <w:p>
      <w:pPr>
        <w:pStyle w:val="BodyText"/>
      </w:pPr>
    </w:p>
    <w:p>
      <w:pPr>
        <w:pStyle w:val="BodyText"/>
        <w:spacing w:before="4"/>
        <w:rPr>
          <w:sz w:val="25"/>
        </w:rPr>
      </w:pPr>
      <w:r>
        <w:rPr/>
        <w:pict>
          <v:shape style="position:absolute;margin-left:56.664001pt;margin-top:16.780371pt;width:144.050pt;height:.1pt;mso-position-horizontal-relative:page;mso-position-vertical-relative:paragraph;z-index:-251535360;mso-wrap-distance-left:0;mso-wrap-distance-right:0" coordorigin="1133,336" coordsize="2881,0" path="m1133,336l4014,336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18 </w:t>
      </w:r>
      <w:hyperlink r:id="rId16">
        <w:r>
          <w:rPr>
            <w:color w:val="003399"/>
            <w:sz w:val="16"/>
            <w:u w:val="single" w:color="003399"/>
          </w:rPr>
          <w:t>http://www.mirror.co.uk/money/city-news/bank-england-interest-rates-could-2137614#ixzz3DfexGCLM</w:t>
        </w:r>
      </w:hyperlink>
    </w:p>
    <w:p>
      <w:pPr>
        <w:spacing w:line="196" w:lineRule="exact" w:before="0"/>
        <w:ind w:left="233" w:right="0" w:firstLine="0"/>
        <w:jc w:val="left"/>
        <w:rPr>
          <w:sz w:val="16"/>
        </w:rPr>
      </w:pPr>
      <w:r>
        <w:rPr>
          <w:position w:val="8"/>
          <w:sz w:val="10"/>
        </w:rPr>
        <w:t>19 </w:t>
      </w:r>
      <w:hyperlink r:id="rId17">
        <w:r>
          <w:rPr>
            <w:color w:val="0000FF"/>
            <w:sz w:val="16"/>
            <w:u w:val="single" w:color="0000FF"/>
          </w:rPr>
          <w:t>http://www.express.co.uk/news/uk/425331/I-will-keep-rates-low-for-3-years-says-Bank-of-England-boss</w:t>
        </w:r>
      </w:hyperlink>
    </w:p>
    <w:p>
      <w:pPr>
        <w:spacing w:after="0" w:line="196" w:lineRule="exact"/>
        <w:jc w:val="left"/>
        <w:rPr>
          <w:sz w:val="16"/>
        </w:rPr>
        <w:sectPr>
          <w:footerReference w:type="default" r:id="rId15"/>
          <w:pgSz w:w="11910" w:h="16840"/>
          <w:pgMar w:footer="1338" w:header="0" w:top="1520" w:bottom="1520" w:left="900" w:right="0"/>
          <w:pgNumType w:start="21"/>
        </w:sectPr>
      </w:pPr>
    </w:p>
    <w:p>
      <w:pPr>
        <w:pStyle w:val="BodyText"/>
        <w:spacing w:before="79"/>
        <w:ind w:left="233"/>
      </w:pPr>
      <w:r>
        <w:rPr/>
        <w:t>The risks of interpreting guidance meant to convey expectations as commitments is not just hypothetical.</w:t>
      </w:r>
    </w:p>
    <w:p>
      <w:pPr>
        <w:pStyle w:val="BodyText"/>
        <w:rPr>
          <w:sz w:val="22"/>
        </w:rPr>
      </w:pPr>
    </w:p>
    <w:p>
      <w:pPr>
        <w:pStyle w:val="BodyText"/>
        <w:spacing w:before="8"/>
        <w:rPr>
          <w:sz w:val="17"/>
        </w:rPr>
      </w:pPr>
    </w:p>
    <w:p>
      <w:pPr>
        <w:pStyle w:val="Heading3"/>
        <w:numPr>
          <w:ilvl w:val="0"/>
          <w:numId w:val="2"/>
        </w:numPr>
        <w:tabs>
          <w:tab w:pos="594" w:val="left" w:leader="none"/>
        </w:tabs>
        <w:spacing w:line="240" w:lineRule="auto" w:before="0" w:after="0"/>
        <w:ind w:left="593" w:right="0" w:hanging="361"/>
        <w:jc w:val="left"/>
      </w:pPr>
      <w:r>
        <w:rPr/>
        <w:t>Conclusions</w:t>
      </w:r>
    </w:p>
    <w:p>
      <w:pPr>
        <w:pStyle w:val="BodyText"/>
        <w:rPr>
          <w:b/>
          <w:sz w:val="22"/>
        </w:rPr>
      </w:pPr>
    </w:p>
    <w:p>
      <w:pPr>
        <w:pStyle w:val="BodyText"/>
        <w:spacing w:before="3"/>
        <w:rPr>
          <w:b/>
          <w:sz w:val="18"/>
        </w:rPr>
      </w:pPr>
    </w:p>
    <w:p>
      <w:pPr>
        <w:pStyle w:val="BodyText"/>
        <w:spacing w:line="357" w:lineRule="auto" w:before="1"/>
        <w:ind w:left="233" w:right="1248"/>
      </w:pPr>
      <w:r>
        <w:rPr/>
        <w:t>In an ideal world (and in idealised models) the Central Bank can just explain its objectives; maybe it would also need to describe its reaction function. No more is needed.</w:t>
      </w:r>
    </w:p>
    <w:p>
      <w:pPr>
        <w:pStyle w:val="BodyText"/>
        <w:spacing w:before="3"/>
        <w:rPr>
          <w:sz w:val="30"/>
        </w:rPr>
      </w:pPr>
    </w:p>
    <w:p>
      <w:pPr>
        <w:pStyle w:val="BodyText"/>
        <w:spacing w:line="357" w:lineRule="auto" w:before="1"/>
        <w:ind w:left="233" w:right="1195"/>
      </w:pPr>
      <w:r>
        <w:rPr/>
        <w:t>But unless outsiders have as good information on the economic outlook – and can plug that into the reaction function – then they may be left floundering in attempting to assess the prospects for interest rates.</w:t>
      </w:r>
    </w:p>
    <w:p>
      <w:pPr>
        <w:pStyle w:val="BodyText"/>
        <w:spacing w:before="4"/>
        <w:rPr>
          <w:sz w:val="30"/>
        </w:rPr>
      </w:pPr>
    </w:p>
    <w:p>
      <w:pPr>
        <w:pStyle w:val="BodyText"/>
        <w:spacing w:line="360" w:lineRule="auto"/>
        <w:ind w:left="233" w:right="1248" w:firstLine="55"/>
      </w:pPr>
      <w:r>
        <w:rPr/>
        <w:t>Any reasonable approximation to a reaction function might be very complex. (Indeed it is very likely that it is; otherwise MPC meetings would be mechanical affairs lasting 5 minutes).</w:t>
      </w:r>
    </w:p>
    <w:p>
      <w:pPr>
        <w:pStyle w:val="BodyText"/>
        <w:rPr>
          <w:sz w:val="30"/>
        </w:rPr>
      </w:pPr>
    </w:p>
    <w:p>
      <w:pPr>
        <w:pStyle w:val="BodyText"/>
        <w:spacing w:line="360" w:lineRule="auto"/>
        <w:ind w:left="233" w:right="1248"/>
      </w:pPr>
      <w:r>
        <w:rPr/>
        <w:t>In light of this I believe that the central bank directly giving some assessment of the likelihood of interest rates following different paths is likely to be helpful, particularly in situations in which past action and communication is not enough to describe new trade-offs in an unusual environment.</w:t>
      </w:r>
    </w:p>
    <w:p>
      <w:pPr>
        <w:pStyle w:val="BodyText"/>
        <w:rPr>
          <w:sz w:val="30"/>
        </w:rPr>
      </w:pPr>
    </w:p>
    <w:p>
      <w:pPr>
        <w:pStyle w:val="BodyText"/>
        <w:spacing w:line="360" w:lineRule="auto"/>
        <w:ind w:left="233" w:right="1596"/>
      </w:pPr>
      <w:r>
        <w:rPr/>
        <w:t>Constructing an explicit probability distribution for the central bank’s own policy rate that is based on the realities of how policy is made and gets across a message that can be widely understood is a major challenge.</w:t>
      </w:r>
    </w:p>
    <w:p>
      <w:pPr>
        <w:pStyle w:val="BodyText"/>
        <w:rPr>
          <w:sz w:val="30"/>
        </w:rPr>
      </w:pPr>
    </w:p>
    <w:p>
      <w:pPr>
        <w:pStyle w:val="BodyText"/>
        <w:spacing w:line="360" w:lineRule="auto"/>
        <w:ind w:left="233" w:right="1286"/>
        <w:jc w:val="both"/>
      </w:pPr>
      <w:r>
        <w:rPr/>
        <w:t>Attempting to provide a specific central path with fans around it is a complex task, and may go beyond</w:t>
      </w:r>
      <w:r>
        <w:rPr>
          <w:spacing w:val="-32"/>
        </w:rPr>
        <w:t> </w:t>
      </w:r>
      <w:r>
        <w:rPr/>
        <w:t>what is feasible and useful. Spurious accuracy is unhelpful. So while I am open minded about whether the MPC should provide fan charts for interest rates, I am not convinced that is clearly a step</w:t>
      </w:r>
      <w:r>
        <w:rPr>
          <w:spacing w:val="-15"/>
        </w:rPr>
        <w:t> </w:t>
      </w:r>
      <w:r>
        <w:rPr/>
        <w:t>forward.</w:t>
      </w:r>
      <w:r>
        <w:rPr>
          <w:vertAlign w:val="superscript"/>
        </w:rPr>
        <w:t>20</w:t>
      </w:r>
    </w:p>
    <w:p>
      <w:pPr>
        <w:pStyle w:val="BodyText"/>
        <w:rPr>
          <w:sz w:val="30"/>
        </w:rPr>
      </w:pPr>
    </w:p>
    <w:p>
      <w:pPr>
        <w:pStyle w:val="BodyText"/>
        <w:spacing w:line="360" w:lineRule="auto" w:before="1"/>
        <w:ind w:left="233" w:right="1248"/>
      </w:pPr>
      <w:r>
        <w:rPr/>
        <w:t>Currently, it might be just as useful – and probably less misleading and possibly even more accurate – to give forms of guidance which are more qualitative, such as: “interest rate rises will probably be gradual and likely to be to a level below the old normal”.</w:t>
      </w:r>
    </w:p>
    <w:p>
      <w:pPr>
        <w:pStyle w:val="BodyText"/>
        <w:spacing w:before="9"/>
        <w:rPr>
          <w:sz w:val="29"/>
        </w:rPr>
      </w:pPr>
    </w:p>
    <w:p>
      <w:pPr>
        <w:pStyle w:val="BodyText"/>
        <w:ind w:left="233"/>
        <w:jc w:val="both"/>
      </w:pPr>
      <w:r>
        <w:rPr/>
        <w:t>That says something substantive; </w:t>
      </w:r>
      <w:r>
        <w:rPr>
          <w:b/>
        </w:rPr>
        <w:t>and </w:t>
      </w:r>
      <w:r>
        <w:rPr/>
        <w:t>most people can understand it.</w:t>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3"/>
        </w:rPr>
      </w:pPr>
      <w:r>
        <w:rPr/>
        <w:pict>
          <v:shape style="position:absolute;margin-left:56.664001pt;margin-top:9.91916pt;width:144.050pt;height:.1pt;mso-position-horizontal-relative:page;mso-position-vertical-relative:paragraph;z-index:-251534336;mso-wrap-distance-left:0;mso-wrap-distance-right:0" coordorigin="1133,198" coordsize="2881,0" path="m1133,198l4014,198e" filled="false" stroked="true" strokeweight=".48004pt" strokecolor="#000000">
            <v:path arrowok="t"/>
            <v:stroke dashstyle="solid"/>
            <w10:wrap type="topAndBottom"/>
          </v:shape>
        </w:pict>
      </w:r>
    </w:p>
    <w:p>
      <w:pPr>
        <w:spacing w:before="30"/>
        <w:ind w:left="233" w:right="1192" w:firstLine="0"/>
        <w:jc w:val="left"/>
        <w:rPr>
          <w:sz w:val="16"/>
        </w:rPr>
      </w:pPr>
      <w:r>
        <w:rPr>
          <w:position w:val="8"/>
          <w:sz w:val="10"/>
        </w:rPr>
        <w:t>20 </w:t>
      </w:r>
      <w:r>
        <w:rPr>
          <w:sz w:val="16"/>
        </w:rPr>
        <w:t>As Gilboa has stressed a probabilistic approach is quite useful in illustrating a broad sense of subjective uncertainty, but can be counter-productive if it forces the practitioner to impose an arbitrary degree of precision to that uncertainty. In a case where we want to communicate that interest rates are likely to rise gradually whilst also emphasising there is a significant degree of uncertainty around this expected path, a model based fan chart forces us to address the question: ‘Exactly how uncertain are you? By 1% or 2%?’ It can be difficult to provide an answer without imposing some spurious level of precision. The reality is that not all types of uncertainty can be meaningfully quantified. As Gilboa says: “The Bayesian approach is quite successful at representing knowledge, but rather poor when it comes to representing ignorance. When I try to say, within the Bayesian language, ‘I do not know’, the model asks me, ‘How much do you not know? Do you not know to degree 0.6 or to degree 0.7?’ ” Gilboa</w:t>
      </w:r>
      <w:r>
        <w:rPr>
          <w:spacing w:val="-10"/>
          <w:sz w:val="16"/>
        </w:rPr>
        <w:t> </w:t>
      </w:r>
      <w:r>
        <w:rPr>
          <w:sz w:val="16"/>
        </w:rPr>
        <w:t>(2014).</w:t>
      </w:r>
    </w:p>
    <w:p>
      <w:pPr>
        <w:spacing w:after="0"/>
        <w:jc w:val="left"/>
        <w:rPr>
          <w:sz w:val="16"/>
        </w:rPr>
        <w:sectPr>
          <w:footerReference w:type="default" r:id="rId18"/>
          <w:pgSz w:w="11910" w:h="16840"/>
          <w:pgMar w:footer="1338" w:header="0" w:top="1520" w:bottom="1520" w:left="900" w:right="0"/>
          <w:pgNumType w:start="22"/>
        </w:sectPr>
      </w:pPr>
    </w:p>
    <w:p>
      <w:pPr>
        <w:pStyle w:val="Heading1"/>
        <w:spacing w:before="77"/>
        <w:ind w:left="233"/>
      </w:pPr>
      <w:r>
        <w:rPr/>
        <w:t>References</w:t>
      </w:r>
    </w:p>
    <w:p>
      <w:pPr>
        <w:pStyle w:val="BodyText"/>
        <w:spacing w:before="4"/>
        <w:rPr>
          <w:b/>
          <w:sz w:val="34"/>
        </w:rPr>
      </w:pPr>
    </w:p>
    <w:p>
      <w:pPr>
        <w:pStyle w:val="BodyText"/>
        <w:spacing w:before="1"/>
        <w:ind w:left="233"/>
      </w:pPr>
      <w:r>
        <w:rPr>
          <w:b/>
        </w:rPr>
        <w:t>Gilboa, I. </w:t>
      </w:r>
      <w:r>
        <w:rPr/>
        <w:t>(2014) “Rationality and the Bayesian Paradigm: An Integrative Note”.</w:t>
      </w:r>
      <w:r>
        <w:rPr>
          <w:vertAlign w:val="superscript"/>
        </w:rPr>
        <w:t>21</w:t>
      </w:r>
    </w:p>
    <w:p>
      <w:pPr>
        <w:spacing w:before="118"/>
        <w:ind w:left="233" w:right="0" w:firstLine="0"/>
        <w:jc w:val="left"/>
        <w:rPr>
          <w:sz w:val="20"/>
        </w:rPr>
      </w:pPr>
      <w:r>
        <w:rPr>
          <w:b/>
          <w:sz w:val="20"/>
        </w:rPr>
        <w:t>Gerdrup, K. R., and Nicolaisen. J. </w:t>
      </w:r>
      <w:r>
        <w:rPr>
          <w:sz w:val="20"/>
        </w:rPr>
        <w:t>(2011) “On the Purpose of Models—The Norges Bank Experience.”</w:t>
      </w:r>
    </w:p>
    <w:p>
      <w:pPr>
        <w:spacing w:before="0"/>
        <w:ind w:left="233" w:right="0" w:firstLine="0"/>
        <w:jc w:val="left"/>
        <w:rPr>
          <w:sz w:val="20"/>
        </w:rPr>
      </w:pPr>
      <w:r>
        <w:rPr>
          <w:i/>
          <w:sz w:val="20"/>
        </w:rPr>
        <w:t>Norges Bank Staff Memo No. 6/2011</w:t>
      </w:r>
      <w:r>
        <w:rPr>
          <w:sz w:val="20"/>
        </w:rPr>
        <w:t>.</w:t>
      </w:r>
    </w:p>
    <w:p>
      <w:pPr>
        <w:pStyle w:val="BodyText"/>
        <w:spacing w:before="1"/>
      </w:pPr>
    </w:p>
    <w:p>
      <w:pPr>
        <w:spacing w:before="0"/>
        <w:ind w:left="233" w:right="0" w:firstLine="0"/>
        <w:jc w:val="left"/>
        <w:rPr>
          <w:i/>
          <w:sz w:val="20"/>
        </w:rPr>
      </w:pPr>
      <w:r>
        <w:rPr>
          <w:b/>
          <w:sz w:val="20"/>
        </w:rPr>
        <w:t>Keynes, J.M. </w:t>
      </w:r>
      <w:r>
        <w:rPr>
          <w:sz w:val="20"/>
        </w:rPr>
        <w:t>(1937), " The Ex Ante Theory of the Rate of Interest", </w:t>
      </w:r>
      <w:r>
        <w:rPr>
          <w:i/>
          <w:sz w:val="20"/>
        </w:rPr>
        <w:t>Collected Works of</w:t>
      </w:r>
    </w:p>
    <w:p>
      <w:pPr>
        <w:spacing w:before="0"/>
        <w:ind w:left="233" w:right="0" w:firstLine="0"/>
        <w:jc w:val="left"/>
        <w:rPr>
          <w:sz w:val="20"/>
        </w:rPr>
      </w:pPr>
      <w:r>
        <w:rPr>
          <w:i/>
          <w:sz w:val="20"/>
        </w:rPr>
        <w:t>John Maynard Keynes , vol. XIV, pp. 215-223, Macmillan, Cambridge University Press, </w:t>
      </w:r>
      <w:r>
        <w:rPr>
          <w:sz w:val="20"/>
        </w:rPr>
        <w:t>1971-1983.</w:t>
      </w:r>
    </w:p>
    <w:p>
      <w:pPr>
        <w:pStyle w:val="BodyText"/>
        <w:spacing w:before="10"/>
        <w:rPr>
          <w:sz w:val="19"/>
        </w:rPr>
      </w:pPr>
    </w:p>
    <w:p>
      <w:pPr>
        <w:spacing w:before="0"/>
        <w:ind w:left="233" w:right="1564" w:firstLine="0"/>
        <w:jc w:val="left"/>
        <w:rPr>
          <w:i/>
          <w:sz w:val="20"/>
        </w:rPr>
      </w:pPr>
      <w:r>
        <w:rPr>
          <w:b/>
          <w:sz w:val="20"/>
        </w:rPr>
        <w:t>Svensson, L. </w:t>
      </w:r>
      <w:r>
        <w:rPr>
          <w:sz w:val="20"/>
        </w:rPr>
        <w:t>(2013). “Some Lessons from Six Years of Practical Inflation Targeting”, </w:t>
      </w:r>
      <w:r>
        <w:rPr>
          <w:i/>
          <w:sz w:val="20"/>
        </w:rPr>
        <w:t>CEPR Discussion </w:t>
      </w:r>
      <w:r>
        <w:rPr>
          <w:i/>
          <w:sz w:val="20"/>
        </w:rPr>
        <w:t>Paper DP9756</w:t>
      </w:r>
    </w:p>
    <w:p>
      <w:pPr>
        <w:pStyle w:val="BodyText"/>
        <w:spacing w:before="1"/>
        <w:rPr>
          <w:i/>
        </w:rPr>
      </w:pPr>
    </w:p>
    <w:p>
      <w:pPr>
        <w:spacing w:before="0"/>
        <w:ind w:left="233" w:right="1441" w:firstLine="0"/>
        <w:jc w:val="left"/>
        <w:rPr>
          <w:sz w:val="20"/>
        </w:rPr>
      </w:pPr>
      <w:r>
        <w:rPr>
          <w:b/>
          <w:sz w:val="20"/>
        </w:rPr>
        <w:t>Sveriges Riksbank</w:t>
      </w:r>
      <w:r>
        <w:rPr>
          <w:sz w:val="20"/>
        </w:rPr>
        <w:t>. (2007). “Calculation Method for Uncertainty Bands.” </w:t>
      </w:r>
      <w:r>
        <w:rPr>
          <w:i/>
          <w:sz w:val="20"/>
        </w:rPr>
        <w:t>Monetary Policy Report </w:t>
      </w:r>
      <w:r>
        <w:rPr>
          <w:sz w:val="20"/>
        </w:rPr>
        <w:t>2007:1. </w:t>
      </w:r>
      <w:r>
        <w:rPr>
          <w:b/>
          <w:sz w:val="20"/>
        </w:rPr>
        <w:t>Sveriges Riksbank </w:t>
      </w:r>
      <w:r>
        <w:rPr>
          <w:sz w:val="20"/>
        </w:rPr>
        <w:t>(2012a), “Minutes of the monetary policy meeting, no. 1”, February 15, 2012, </w:t>
      </w:r>
      <w:hyperlink r:id="rId20">
        <w:r>
          <w:rPr>
            <w:sz w:val="20"/>
          </w:rPr>
          <w:t>www.riksbank.se.</w:t>
        </w:r>
      </w:hyperlink>
    </w:p>
    <w:p>
      <w:pPr>
        <w:spacing w:before="120"/>
        <w:ind w:left="233" w:right="1248" w:firstLine="0"/>
        <w:jc w:val="left"/>
        <w:rPr>
          <w:sz w:val="20"/>
        </w:rPr>
      </w:pPr>
      <w:r>
        <w:rPr>
          <w:b/>
          <w:sz w:val="20"/>
        </w:rPr>
        <w:t>Woodford, M. </w:t>
      </w:r>
      <w:r>
        <w:rPr>
          <w:sz w:val="20"/>
        </w:rPr>
        <w:t>(2013) “Forward Guidance by Inflation-Targeting Central Banks”, </w:t>
      </w:r>
      <w:r>
        <w:rPr>
          <w:i/>
          <w:sz w:val="20"/>
        </w:rPr>
        <w:t>CEPR Discussion Paper </w:t>
      </w:r>
      <w:r>
        <w:rPr>
          <w:i/>
          <w:sz w:val="20"/>
        </w:rPr>
        <w:t>9722</w:t>
      </w:r>
      <w:r>
        <w:rPr>
          <w:sz w:val="20"/>
        </w:rPr>
        <w:t>, November 2013.</w:t>
      </w:r>
    </w:p>
    <w:p>
      <w:pPr>
        <w:pStyle w:val="BodyText"/>
        <w:spacing w:line="242" w:lineRule="auto" w:before="121"/>
        <w:ind w:left="233" w:right="1275"/>
      </w:pPr>
      <w:r>
        <w:rPr>
          <w:b/>
        </w:rPr>
        <w:t>Yellen, Janet L. </w:t>
      </w:r>
      <w:r>
        <w:rPr/>
        <w:t>(2012), “Perspectives on Monetary Policy”, Remarks at the Boston Economic Club Dinner, Federal Reserve Bank of Boston, Boston, Massachusetts. </w:t>
      </w:r>
      <w:hyperlink r:id="rId21">
        <w:r>
          <w:rPr>
            <w:color w:val="0000FF"/>
            <w:u w:val="single" w:color="0000FF"/>
          </w:rPr>
          <w:t>www.federalreserve.gov</w:t>
        </w:r>
        <w:r>
          <w:rPr/>
          <w:t>.</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5"/>
        </w:rPr>
      </w:pPr>
      <w:r>
        <w:rPr/>
        <w:pict>
          <v:shape style="position:absolute;margin-left:56.664001pt;margin-top:16.797588pt;width:144.050pt;height:.1pt;mso-position-horizontal-relative:page;mso-position-vertical-relative:paragraph;z-index:-251533312;mso-wrap-distance-left:0;mso-wrap-distance-right:0" coordorigin="1133,336" coordsize="2881,0" path="m1133,336l4014,336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21 </w:t>
      </w:r>
      <w:r>
        <w:rPr>
          <w:sz w:val="16"/>
        </w:rPr>
        <w:t>Available at: </w:t>
      </w:r>
      <w:hyperlink r:id="rId22">
        <w:r>
          <w:rPr>
            <w:color w:val="0000FF"/>
            <w:sz w:val="16"/>
            <w:u w:val="single" w:color="0000FF"/>
          </w:rPr>
          <w:t>http://www.bankofengland.co.uk/research/Documents/pdf/gilboa_0414.pdf</w:t>
        </w:r>
      </w:hyperlink>
    </w:p>
    <w:p>
      <w:pPr>
        <w:spacing w:after="0"/>
        <w:jc w:val="left"/>
        <w:rPr>
          <w:sz w:val="16"/>
        </w:rPr>
        <w:sectPr>
          <w:footerReference w:type="default" r:id="rId19"/>
          <w:pgSz w:w="11910" w:h="16840"/>
          <w:pgMar w:footer="1338" w:header="0" w:top="1520" w:bottom="1520" w:left="900" w:right="0"/>
          <w:pgNumType w:start="23"/>
        </w:sectPr>
      </w:pPr>
    </w:p>
    <w:p>
      <w:pPr>
        <w:pStyle w:val="Heading3"/>
        <w:spacing w:before="76"/>
        <w:ind w:left="233" w:firstLine="0"/>
      </w:pPr>
      <w:r>
        <w:rPr/>
        <w:t>Annex: The Model</w:t>
      </w:r>
    </w:p>
    <w:p>
      <w:pPr>
        <w:pStyle w:val="BodyText"/>
        <w:rPr>
          <w:b/>
          <w:sz w:val="22"/>
        </w:rPr>
      </w:pPr>
    </w:p>
    <w:p>
      <w:pPr>
        <w:pStyle w:val="BodyText"/>
        <w:spacing w:before="2"/>
        <w:rPr>
          <w:b/>
          <w:sz w:val="18"/>
        </w:rPr>
      </w:pPr>
    </w:p>
    <w:p>
      <w:pPr>
        <w:pStyle w:val="BodyText"/>
        <w:spacing w:line="360" w:lineRule="auto"/>
        <w:ind w:left="233" w:right="1185"/>
      </w:pPr>
      <w:r>
        <w:rPr/>
        <w:t>The model presented below is reduced to the bare minimum. It has three parts, summarised in three equations, which describe the evolution of output, inflation and supply capacity. We aim to describe the economic environment – and crucially the uncertainty about it – in a way that is roughly consistent with the assessment made by the MPC in its latest </w:t>
      </w:r>
      <w:r>
        <w:rPr>
          <w:i/>
        </w:rPr>
        <w:t>Inflation Report </w:t>
      </w:r>
      <w:r>
        <w:rPr/>
        <w:t>and which allows an explicit calculation of optimal monetary policy.</w:t>
      </w:r>
    </w:p>
    <w:p>
      <w:pPr>
        <w:pStyle w:val="BodyText"/>
        <w:spacing w:before="10"/>
        <w:rPr>
          <w:sz w:val="29"/>
        </w:rPr>
      </w:pPr>
    </w:p>
    <w:p>
      <w:pPr>
        <w:pStyle w:val="ListParagraph"/>
        <w:numPr>
          <w:ilvl w:val="1"/>
          <w:numId w:val="2"/>
        </w:numPr>
        <w:tabs>
          <w:tab w:pos="954" w:val="left" w:leader="none"/>
          <w:tab w:pos="1450" w:val="left" w:leader="dot"/>
        </w:tabs>
        <w:spacing w:line="364" w:lineRule="auto" w:before="0" w:after="0"/>
        <w:ind w:left="953" w:right="1252" w:hanging="360"/>
        <w:jc w:val="left"/>
        <w:rPr>
          <w:sz w:val="20"/>
        </w:rPr>
      </w:pPr>
      <w:r>
        <w:rPr>
          <w:spacing w:val="2"/>
          <w:w w:val="99"/>
          <w:sz w:val="20"/>
        </w:rPr>
        <w:t>T</w:t>
      </w:r>
      <w:r>
        <w:rPr>
          <w:w w:val="99"/>
          <w:sz w:val="20"/>
        </w:rPr>
        <w:t>he</w:t>
      </w:r>
      <w:r>
        <w:rPr>
          <w:spacing w:val="-1"/>
          <w:sz w:val="20"/>
        </w:rPr>
        <w:t> </w:t>
      </w:r>
      <w:r>
        <w:rPr>
          <w:w w:val="99"/>
          <w:sz w:val="20"/>
        </w:rPr>
        <w:t>growth</w:t>
      </w:r>
      <w:r>
        <w:rPr>
          <w:spacing w:val="-1"/>
          <w:sz w:val="20"/>
        </w:rPr>
        <w:t> </w:t>
      </w:r>
      <w:r>
        <w:rPr>
          <w:w w:val="99"/>
          <w:sz w:val="20"/>
        </w:rPr>
        <w:t>ra</w:t>
      </w:r>
      <w:r>
        <w:rPr>
          <w:spacing w:val="2"/>
          <w:w w:val="99"/>
          <w:sz w:val="20"/>
        </w:rPr>
        <w:t>t</w:t>
      </w:r>
      <w:r>
        <w:rPr>
          <w:w w:val="99"/>
          <w:sz w:val="20"/>
        </w:rPr>
        <w:t>e</w:t>
      </w:r>
      <w:r>
        <w:rPr>
          <w:spacing w:val="-1"/>
          <w:sz w:val="20"/>
        </w:rPr>
        <w:t> </w:t>
      </w:r>
      <w:r>
        <w:rPr>
          <w:spacing w:val="-1"/>
          <w:w w:val="99"/>
          <w:sz w:val="20"/>
        </w:rPr>
        <w:t>o</w:t>
      </w:r>
      <w:r>
        <w:rPr>
          <w:w w:val="99"/>
          <w:sz w:val="20"/>
        </w:rPr>
        <w:t>f</w:t>
      </w:r>
      <w:r>
        <w:rPr>
          <w:spacing w:val="1"/>
          <w:sz w:val="20"/>
        </w:rPr>
        <w:t> </w:t>
      </w:r>
      <w:r>
        <w:rPr>
          <w:w w:val="99"/>
          <w:sz w:val="20"/>
        </w:rPr>
        <w:t>o</w:t>
      </w:r>
      <w:r>
        <w:rPr>
          <w:spacing w:val="-1"/>
          <w:w w:val="99"/>
          <w:sz w:val="20"/>
        </w:rPr>
        <w:t>u</w:t>
      </w:r>
      <w:r>
        <w:rPr>
          <w:spacing w:val="2"/>
          <w:w w:val="99"/>
          <w:sz w:val="20"/>
        </w:rPr>
        <w:t>t</w:t>
      </w:r>
      <w:r>
        <w:rPr>
          <w:w w:val="99"/>
          <w:sz w:val="20"/>
        </w:rPr>
        <w:t>p</w:t>
      </w:r>
      <w:r>
        <w:rPr>
          <w:spacing w:val="-1"/>
          <w:w w:val="99"/>
          <w:sz w:val="20"/>
        </w:rPr>
        <w:t>u</w:t>
      </w:r>
      <w:r>
        <w:rPr>
          <w:w w:val="99"/>
          <w:sz w:val="20"/>
        </w:rPr>
        <w:t>t</w:t>
      </w:r>
      <w:r>
        <w:rPr>
          <w:spacing w:val="-1"/>
          <w:sz w:val="20"/>
        </w:rPr>
        <w:t> </w:t>
      </w:r>
      <w:r>
        <w:rPr>
          <w:spacing w:val="4"/>
          <w:w w:val="99"/>
          <w:sz w:val="20"/>
        </w:rPr>
        <w:t>(</w:t>
      </w:r>
      <w:r>
        <w:rPr>
          <w:rFonts w:ascii="Cambria Math" w:hAnsi="Cambria Math"/>
          <w:spacing w:val="-16"/>
          <w:w w:val="253"/>
          <w:sz w:val="20"/>
        </w:rPr>
        <w:t> </w:t>
      </w:r>
      <w:r>
        <w:rPr>
          <w:rFonts w:ascii="Cambria Math" w:hAnsi="Cambria Math"/>
          <w:spacing w:val="9"/>
          <w:w w:val="99"/>
          <w:sz w:val="20"/>
        </w:rPr>
        <w:t>̇</w:t>
      </w:r>
      <w:r>
        <w:rPr>
          <w:rFonts w:ascii="Cambria Math" w:hAnsi="Cambria Math"/>
          <w:spacing w:val="13"/>
          <w:w w:val="185"/>
          <w:sz w:val="20"/>
          <w:vertAlign w:val="subscript"/>
        </w:rPr>
        <w:t> </w:t>
      </w:r>
      <w:r>
        <w:rPr>
          <w:rFonts w:ascii="Cambria Math" w:hAnsi="Cambria Math"/>
          <w:w w:val="187"/>
          <w:sz w:val="20"/>
          <w:vertAlign w:val="baseline"/>
        </w:rPr>
        <w:t> </w:t>
      </w:r>
      <w:r>
        <w:rPr>
          <w:rFonts w:ascii="Cambria Math" w:hAnsi="Cambria Math"/>
          <w:sz w:val="20"/>
          <w:vertAlign w:val="baseline"/>
        </w:rPr>
        <w:t> </w:t>
      </w:r>
      <w:r>
        <w:rPr>
          <w:w w:val="99"/>
          <w:sz w:val="20"/>
          <w:vertAlign w:val="baseline"/>
        </w:rPr>
        <w:t>d</w:t>
      </w:r>
      <w:r>
        <w:rPr>
          <w:spacing w:val="-1"/>
          <w:w w:val="99"/>
          <w:sz w:val="20"/>
          <w:vertAlign w:val="baseline"/>
        </w:rPr>
        <w:t>e</w:t>
      </w:r>
      <w:r>
        <w:rPr>
          <w:w w:val="99"/>
          <w:sz w:val="20"/>
          <w:vertAlign w:val="baseline"/>
        </w:rPr>
        <w:t>p</w:t>
      </w:r>
      <w:r>
        <w:rPr>
          <w:spacing w:val="1"/>
          <w:w w:val="99"/>
          <w:sz w:val="20"/>
          <w:vertAlign w:val="baseline"/>
        </w:rPr>
        <w:t>e</w:t>
      </w:r>
      <w:r>
        <w:rPr>
          <w:w w:val="99"/>
          <w:sz w:val="20"/>
          <w:vertAlign w:val="baseline"/>
        </w:rPr>
        <w:t>n</w:t>
      </w:r>
      <w:r>
        <w:rPr>
          <w:spacing w:val="-1"/>
          <w:w w:val="99"/>
          <w:sz w:val="20"/>
          <w:vertAlign w:val="baseline"/>
        </w:rPr>
        <w:t>d</w:t>
      </w:r>
      <w:r>
        <w:rPr>
          <w:w w:val="99"/>
          <w:sz w:val="20"/>
          <w:vertAlign w:val="baseline"/>
        </w:rPr>
        <w:t>s</w:t>
      </w:r>
      <w:r>
        <w:rPr>
          <w:sz w:val="20"/>
          <w:vertAlign w:val="baseline"/>
        </w:rPr>
        <w:t> </w:t>
      </w:r>
      <w:r>
        <w:rPr>
          <w:spacing w:val="1"/>
          <w:w w:val="99"/>
          <w:sz w:val="20"/>
          <w:vertAlign w:val="baseline"/>
        </w:rPr>
        <w:t>o</w:t>
      </w:r>
      <w:r>
        <w:rPr>
          <w:w w:val="99"/>
          <w:sz w:val="20"/>
          <w:vertAlign w:val="baseline"/>
        </w:rPr>
        <w:t>n</w:t>
      </w:r>
      <w:r>
        <w:rPr>
          <w:spacing w:val="-1"/>
          <w:sz w:val="20"/>
          <w:vertAlign w:val="baseline"/>
        </w:rPr>
        <w:t> </w:t>
      </w:r>
      <w:r>
        <w:rPr>
          <w:spacing w:val="-1"/>
          <w:w w:val="99"/>
          <w:sz w:val="20"/>
          <w:vertAlign w:val="baseline"/>
        </w:rPr>
        <w:t>t</w:t>
      </w:r>
      <w:r>
        <w:rPr>
          <w:spacing w:val="1"/>
          <w:w w:val="99"/>
          <w:sz w:val="20"/>
          <w:vertAlign w:val="baseline"/>
        </w:rPr>
        <w:t>h</w:t>
      </w:r>
      <w:r>
        <w:rPr>
          <w:w w:val="99"/>
          <w:sz w:val="20"/>
          <w:vertAlign w:val="baseline"/>
        </w:rPr>
        <w:t>e</w:t>
      </w:r>
      <w:r>
        <w:rPr>
          <w:spacing w:val="-1"/>
          <w:sz w:val="20"/>
          <w:vertAlign w:val="baseline"/>
        </w:rPr>
        <w:t> </w:t>
      </w:r>
      <w:r>
        <w:rPr>
          <w:spacing w:val="-1"/>
          <w:w w:val="99"/>
          <w:sz w:val="20"/>
          <w:vertAlign w:val="baseline"/>
        </w:rPr>
        <w:t>d</w:t>
      </w:r>
      <w:r>
        <w:rPr>
          <w:spacing w:val="1"/>
          <w:w w:val="99"/>
          <w:sz w:val="20"/>
          <w:vertAlign w:val="baseline"/>
        </w:rPr>
        <w:t>e</w:t>
      </w:r>
      <w:r>
        <w:rPr>
          <w:spacing w:val="1"/>
          <w:w w:val="99"/>
          <w:sz w:val="20"/>
          <w:vertAlign w:val="baseline"/>
        </w:rPr>
        <w:t>v</w:t>
      </w:r>
      <w:r>
        <w:rPr>
          <w:spacing w:val="-1"/>
          <w:w w:val="99"/>
          <w:sz w:val="20"/>
          <w:vertAlign w:val="baseline"/>
        </w:rPr>
        <w:t>i</w:t>
      </w:r>
      <w:r>
        <w:rPr>
          <w:w w:val="99"/>
          <w:sz w:val="20"/>
          <w:vertAlign w:val="baseline"/>
        </w:rPr>
        <w:t>a</w:t>
      </w:r>
      <w:r>
        <w:rPr>
          <w:spacing w:val="1"/>
          <w:w w:val="99"/>
          <w:sz w:val="20"/>
          <w:vertAlign w:val="baseline"/>
        </w:rPr>
        <w:t>t</w:t>
      </w:r>
      <w:r>
        <w:rPr>
          <w:spacing w:val="-1"/>
          <w:w w:val="99"/>
          <w:sz w:val="20"/>
          <w:vertAlign w:val="baseline"/>
        </w:rPr>
        <w:t>i</w:t>
      </w:r>
      <w:r>
        <w:rPr>
          <w:w w:val="99"/>
          <w:sz w:val="20"/>
          <w:vertAlign w:val="baseline"/>
        </w:rPr>
        <w:t>on</w:t>
      </w:r>
      <w:r>
        <w:rPr>
          <w:spacing w:val="1"/>
          <w:sz w:val="20"/>
          <w:vertAlign w:val="baseline"/>
        </w:rPr>
        <w:t> </w:t>
      </w:r>
      <w:r>
        <w:rPr>
          <w:spacing w:val="1"/>
          <w:w w:val="99"/>
          <w:sz w:val="20"/>
          <w:vertAlign w:val="baseline"/>
        </w:rPr>
        <w:t>o</w:t>
      </w:r>
      <w:r>
        <w:rPr>
          <w:w w:val="99"/>
          <w:sz w:val="20"/>
          <w:vertAlign w:val="baseline"/>
        </w:rPr>
        <w:t>f</w:t>
      </w:r>
      <w:r>
        <w:rPr>
          <w:spacing w:val="1"/>
          <w:sz w:val="20"/>
          <w:vertAlign w:val="baseline"/>
        </w:rPr>
        <w:t> </w:t>
      </w:r>
      <w:r>
        <w:rPr>
          <w:w w:val="99"/>
          <w:sz w:val="20"/>
          <w:vertAlign w:val="baseline"/>
        </w:rPr>
        <w:t>t</w:t>
      </w:r>
      <w:r>
        <w:rPr>
          <w:spacing w:val="-1"/>
          <w:w w:val="99"/>
          <w:sz w:val="20"/>
          <w:vertAlign w:val="baseline"/>
        </w:rPr>
        <w:t>h</w:t>
      </w:r>
      <w:r>
        <w:rPr>
          <w:w w:val="99"/>
          <w:sz w:val="20"/>
          <w:vertAlign w:val="baseline"/>
        </w:rPr>
        <w:t>e</w:t>
      </w:r>
      <w:r>
        <w:rPr>
          <w:spacing w:val="-1"/>
          <w:sz w:val="20"/>
          <w:vertAlign w:val="baseline"/>
        </w:rPr>
        <w:t> </w:t>
      </w:r>
      <w:r>
        <w:rPr>
          <w:w w:val="99"/>
          <w:sz w:val="20"/>
          <w:vertAlign w:val="baseline"/>
        </w:rPr>
        <w:t>real</w:t>
      </w:r>
      <w:r>
        <w:rPr>
          <w:spacing w:val="3"/>
          <w:sz w:val="20"/>
          <w:vertAlign w:val="baseline"/>
        </w:rPr>
        <w:t> </w:t>
      </w:r>
      <w:r>
        <w:rPr>
          <w:spacing w:val="-1"/>
          <w:w w:val="99"/>
          <w:sz w:val="20"/>
          <w:vertAlign w:val="baseline"/>
        </w:rPr>
        <w:t>i</w:t>
      </w:r>
      <w:r>
        <w:rPr>
          <w:w w:val="99"/>
          <w:sz w:val="20"/>
          <w:vertAlign w:val="baseline"/>
        </w:rPr>
        <w:t>n</w:t>
      </w:r>
      <w:r>
        <w:rPr>
          <w:spacing w:val="1"/>
          <w:w w:val="99"/>
          <w:sz w:val="20"/>
          <w:vertAlign w:val="baseline"/>
        </w:rPr>
        <w:t>t</w:t>
      </w:r>
      <w:r>
        <w:rPr>
          <w:w w:val="99"/>
          <w:sz w:val="20"/>
          <w:vertAlign w:val="baseline"/>
        </w:rPr>
        <w:t>ere</w:t>
      </w:r>
      <w:r>
        <w:rPr>
          <w:spacing w:val="1"/>
          <w:w w:val="99"/>
          <w:sz w:val="20"/>
          <w:vertAlign w:val="baseline"/>
        </w:rPr>
        <w:t>s</w:t>
      </w:r>
      <w:r>
        <w:rPr>
          <w:w w:val="99"/>
          <w:sz w:val="20"/>
          <w:vertAlign w:val="baseline"/>
        </w:rPr>
        <w:t>t</w:t>
      </w:r>
      <w:r>
        <w:rPr>
          <w:spacing w:val="-1"/>
          <w:sz w:val="20"/>
          <w:vertAlign w:val="baseline"/>
        </w:rPr>
        <w:t> </w:t>
      </w:r>
      <w:r>
        <w:rPr>
          <w:w w:val="99"/>
          <w:sz w:val="20"/>
          <w:vertAlign w:val="baseline"/>
        </w:rPr>
        <w:t>rate</w:t>
      </w:r>
      <w:r>
        <w:rPr>
          <w:spacing w:val="1"/>
          <w:sz w:val="20"/>
          <w:vertAlign w:val="baseline"/>
        </w:rPr>
        <w:t> </w:t>
      </w:r>
      <w:r>
        <w:rPr>
          <w:spacing w:val="1"/>
          <w:w w:val="99"/>
          <w:sz w:val="20"/>
          <w:vertAlign w:val="baseline"/>
        </w:rPr>
        <w:t>f</w:t>
      </w:r>
      <w:r>
        <w:rPr>
          <w:w w:val="99"/>
          <w:sz w:val="20"/>
          <w:vertAlign w:val="baseline"/>
        </w:rPr>
        <w:t>r</w:t>
      </w:r>
      <w:r>
        <w:rPr>
          <w:spacing w:val="-3"/>
          <w:w w:val="99"/>
          <w:sz w:val="20"/>
          <w:vertAlign w:val="baseline"/>
        </w:rPr>
        <w:t>o</w:t>
      </w:r>
      <w:r>
        <w:rPr>
          <w:w w:val="99"/>
          <w:sz w:val="20"/>
          <w:vertAlign w:val="baseline"/>
        </w:rPr>
        <w:t>m</w:t>
      </w:r>
      <w:r>
        <w:rPr>
          <w:spacing w:val="4"/>
          <w:sz w:val="20"/>
          <w:vertAlign w:val="baseline"/>
        </w:rPr>
        <w:t> </w:t>
      </w:r>
      <w:r>
        <w:rPr>
          <w:spacing w:val="-2"/>
          <w:w w:val="99"/>
          <w:sz w:val="20"/>
          <w:vertAlign w:val="baseline"/>
        </w:rPr>
        <w:t>i</w:t>
      </w:r>
      <w:r>
        <w:rPr>
          <w:w w:val="99"/>
          <w:sz w:val="20"/>
          <w:vertAlign w:val="baseline"/>
        </w:rPr>
        <w:t>ts</w:t>
      </w:r>
      <w:r>
        <w:rPr>
          <w:sz w:val="20"/>
          <w:vertAlign w:val="baseline"/>
        </w:rPr>
        <w:t> </w:t>
      </w:r>
      <w:r>
        <w:rPr>
          <w:w w:val="99"/>
          <w:sz w:val="20"/>
          <w:vertAlign w:val="baseline"/>
        </w:rPr>
        <w:t>n</w:t>
      </w:r>
      <w:r>
        <w:rPr>
          <w:spacing w:val="-1"/>
          <w:w w:val="99"/>
          <w:sz w:val="20"/>
          <w:vertAlign w:val="baseline"/>
        </w:rPr>
        <w:t>a</w:t>
      </w:r>
      <w:r>
        <w:rPr>
          <w:w w:val="99"/>
          <w:sz w:val="20"/>
          <w:vertAlign w:val="baseline"/>
        </w:rPr>
        <w:t>tur</w:t>
      </w:r>
      <w:r>
        <w:rPr>
          <w:spacing w:val="2"/>
          <w:w w:val="99"/>
          <w:sz w:val="20"/>
          <w:vertAlign w:val="baseline"/>
        </w:rPr>
        <w:t>a</w:t>
      </w:r>
      <w:r>
        <w:rPr>
          <w:w w:val="99"/>
          <w:sz w:val="20"/>
          <w:vertAlign w:val="baseline"/>
        </w:rPr>
        <w:t>l</w:t>
      </w:r>
      <w:r>
        <w:rPr>
          <w:spacing w:val="-2"/>
          <w:sz w:val="20"/>
          <w:vertAlign w:val="baseline"/>
        </w:rPr>
        <w:t> </w:t>
      </w:r>
      <w:r>
        <w:rPr>
          <w:spacing w:val="1"/>
          <w:w w:val="99"/>
          <w:sz w:val="20"/>
          <w:vertAlign w:val="baseline"/>
        </w:rPr>
        <w:t>l</w:t>
      </w:r>
      <w:r>
        <w:rPr>
          <w:w w:val="99"/>
          <w:sz w:val="20"/>
          <w:vertAlign w:val="baseline"/>
        </w:rPr>
        <w:t>ev</w:t>
      </w:r>
      <w:r>
        <w:rPr>
          <w:w w:val="99"/>
          <w:sz w:val="20"/>
          <w:vertAlign w:val="baseline"/>
        </w:rPr>
        <w:t>el </w:t>
      </w:r>
      <w:r>
        <w:rPr>
          <w:sz w:val="20"/>
          <w:vertAlign w:val="baseline"/>
        </w:rPr>
        <w:t>(</w:t>
        <w:tab/>
        <w:t>The real interest rate is the nominal rate, set by the central bank and denoted </w:t>
      </w:r>
      <w:r>
        <w:rPr>
          <w:spacing w:val="10"/>
          <w:sz w:val="20"/>
          <w:vertAlign w:val="baseline"/>
        </w:rPr>
        <w:t>( </w:t>
      </w:r>
      <w:r>
        <w:rPr>
          <w:sz w:val="20"/>
          <w:vertAlign w:val="baseline"/>
        </w:rPr>
        <w:t>),</w:t>
      </w:r>
      <w:r>
        <w:rPr>
          <w:spacing w:val="-18"/>
          <w:sz w:val="20"/>
          <w:vertAlign w:val="baseline"/>
        </w:rPr>
        <w:t> </w:t>
      </w:r>
      <w:r>
        <w:rPr>
          <w:sz w:val="20"/>
          <w:vertAlign w:val="baseline"/>
        </w:rPr>
        <w:t>minus</w:t>
      </w:r>
    </w:p>
    <w:p>
      <w:pPr>
        <w:pStyle w:val="BodyText"/>
        <w:spacing w:line="362" w:lineRule="auto" w:before="2"/>
        <w:ind w:left="953" w:right="1248"/>
      </w:pPr>
      <w:r>
        <w:rPr/>
        <w:t>inflation ( ). (We assume that this dependence is linear but allow both the constant and the slope coefficient to be uncertain.</w:t>
      </w:r>
    </w:p>
    <w:p>
      <w:pPr>
        <w:pStyle w:val="BodyText"/>
        <w:tabs>
          <w:tab w:pos="6714" w:val="left" w:leader="none"/>
        </w:tabs>
        <w:spacing w:line="234" w:lineRule="exact"/>
        <w:ind w:left="233"/>
      </w:pPr>
      <w:r>
        <w:rPr>
          <w:rFonts w:ascii="Cambria Math" w:hAnsi="Cambria Math"/>
          <w:spacing w:val="-16"/>
          <w:w w:val="253"/>
        </w:rPr>
        <w:t> </w:t>
      </w:r>
      <w:r>
        <w:rPr>
          <w:rFonts w:ascii="Cambria Math" w:hAnsi="Cambria Math"/>
          <w:spacing w:val="9"/>
          <w:w w:val="99"/>
        </w:rPr>
        <w:t>̇</w:t>
      </w:r>
      <w:r>
        <w:rPr>
          <w:rFonts w:ascii="Cambria Math" w:hAnsi="Cambria Math"/>
          <w:w w:val="185"/>
          <w:vertAlign w:val="subscript"/>
        </w:rPr>
        <w:t> </w:t>
      </w:r>
      <w:r>
        <w:rPr>
          <w:rFonts w:ascii="Cambria Math" w:hAnsi="Cambria Math"/>
          <w:vertAlign w:val="baseline"/>
        </w:rPr>
        <w:t> </w:t>
      </w:r>
      <w:r>
        <w:rPr>
          <w:rFonts w:ascii="Cambria Math" w:hAnsi="Cambria Math"/>
          <w:spacing w:val="-20"/>
          <w:vertAlign w:val="baseline"/>
        </w:rPr>
        <w:t> </w:t>
      </w:r>
      <w:r>
        <w:rPr>
          <w:rFonts w:ascii="Cambria Math" w:hAnsi="Cambria Math"/>
          <w:w w:val="337"/>
          <w:vertAlign w:val="baseline"/>
        </w:rPr>
        <w:t> </w:t>
      </w:r>
      <w:r>
        <w:rPr>
          <w:rFonts w:ascii="Cambria Math" w:hAnsi="Cambria Math"/>
          <w:vertAlign w:val="baseline"/>
        </w:rPr>
        <w:t> </w:t>
      </w:r>
      <w:r>
        <w:rPr>
          <w:rFonts w:ascii="Cambria Math" w:hAnsi="Cambria Math"/>
          <w:spacing w:val="12"/>
          <w:vertAlign w:val="baseline"/>
        </w:rPr>
        <w:t> </w:t>
      </w:r>
      <w:r>
        <w:rPr>
          <w:rFonts w:ascii="Cambria Math" w:hAnsi="Cambria Math"/>
          <w:spacing w:val="-13"/>
          <w:w w:val="274"/>
          <w:vertAlign w:val="baseline"/>
        </w:rPr>
        <w:t> </w:t>
      </w:r>
      <w:r>
        <w:rPr>
          <w:rFonts w:ascii="Cambria Math" w:hAnsi="Cambria Math"/>
          <w:w w:val="243"/>
          <w:vertAlign w:val="subscript"/>
        </w:rPr>
        <w:t> </w:t>
      </w:r>
      <w:r>
        <w:rPr>
          <w:rFonts w:ascii="Cambria Math" w:hAnsi="Cambria Math"/>
          <w:spacing w:val="9"/>
          <w:vertAlign w:val="baseline"/>
        </w:rPr>
        <w:t> </w:t>
      </w:r>
      <w:r>
        <w:rPr>
          <w:rFonts w:ascii="Cambria Math" w:hAnsi="Cambria Math"/>
          <w:w w:val="337"/>
          <w:vertAlign w:val="baseline"/>
        </w:rPr>
        <w:t> </w:t>
      </w:r>
      <w:r>
        <w:rPr>
          <w:rFonts w:ascii="Cambria Math" w:hAnsi="Cambria Math"/>
          <w:vertAlign w:val="baseline"/>
        </w:rPr>
        <w:t>  </w:t>
      </w:r>
      <w:r>
        <w:rPr>
          <w:rFonts w:ascii="Cambria Math" w:hAnsi="Cambria Math"/>
          <w:spacing w:val="-18"/>
          <w:w w:val="274"/>
          <w:vertAlign w:val="baseline"/>
        </w:rPr>
        <w:t> </w:t>
      </w:r>
      <w:r>
        <w:rPr>
          <w:rFonts w:ascii="Cambria Math" w:hAnsi="Cambria Math"/>
          <w:spacing w:val="8"/>
          <w:w w:val="243"/>
          <w:vertAlign w:val="subscript"/>
        </w:rPr>
        <w:t> </w:t>
      </w:r>
      <w:r>
        <w:rPr>
          <w:rFonts w:ascii="Cambria Math" w:hAnsi="Cambria Math"/>
          <w:spacing w:val="1"/>
          <w:w w:val="187"/>
          <w:vertAlign w:val="baseline"/>
        </w:rPr>
        <w:t> </w:t>
      </w:r>
      <w:r>
        <w:rPr>
          <w:rFonts w:ascii="Cambria Math" w:hAnsi="Cambria Math"/>
          <w:spacing w:val="-1"/>
          <w:w w:val="143"/>
          <w:vertAlign w:val="baseline"/>
        </w:rPr>
        <w:t> </w:t>
      </w:r>
      <w:r>
        <w:rPr>
          <w:rFonts w:ascii="Cambria Math" w:hAnsi="Cambria Math"/>
          <w:spacing w:val="5"/>
          <w:w w:val="185"/>
          <w:vertAlign w:val="subscript"/>
        </w:rPr>
        <w:t> </w:t>
      </w:r>
      <w:r>
        <w:rPr>
          <w:rFonts w:ascii="Cambria Math" w:hAnsi="Cambria Math"/>
          <w:spacing w:val="-1"/>
          <w:w w:val="306"/>
          <w:vertAlign w:val="subscript"/>
        </w:rPr>
        <w:t> </w:t>
      </w:r>
      <w:r>
        <w:rPr>
          <w:rFonts w:ascii="Cambria Math" w:hAnsi="Cambria Math"/>
          <w:w w:val="243"/>
          <w:vertAlign w:val="subscript"/>
        </w:rPr>
        <w:t> </w:t>
      </w:r>
      <w:r>
        <w:rPr>
          <w:rFonts w:ascii="Cambria Math" w:hAnsi="Cambria Math"/>
          <w:spacing w:val="9"/>
          <w:vertAlign w:val="baseline"/>
        </w:rPr>
        <w:t> </w:t>
      </w:r>
      <w:r>
        <w:rPr>
          <w:rFonts w:ascii="Cambria Math" w:hAnsi="Cambria Math"/>
          <w:w w:val="337"/>
          <w:vertAlign w:val="baseline"/>
        </w:rPr>
        <w:t> </w:t>
      </w:r>
      <w:r>
        <w:rPr>
          <w:rFonts w:ascii="Cambria Math" w:hAnsi="Cambria Math"/>
          <w:spacing w:val="1"/>
          <w:vertAlign w:val="baseline"/>
        </w:rPr>
        <w:t> </w:t>
      </w:r>
      <w:r>
        <w:rPr>
          <w:rFonts w:ascii="Cambria Math" w:hAnsi="Cambria Math"/>
          <w:spacing w:val="-1"/>
          <w:w w:val="268"/>
          <w:vertAlign w:val="baseline"/>
        </w:rPr>
        <w:t> </w:t>
      </w:r>
      <w:r>
        <w:rPr>
          <w:rFonts w:ascii="Cambria Math" w:hAnsi="Cambria Math"/>
          <w:spacing w:val="3"/>
          <w:w w:val="185"/>
          <w:vertAlign w:val="subscript"/>
        </w:rPr>
        <w:t> </w:t>
      </w:r>
      <w:r>
        <w:rPr>
          <w:rFonts w:ascii="Cambria Math" w:hAnsi="Cambria Math"/>
          <w:spacing w:val="1"/>
          <w:w w:val="306"/>
          <w:vertAlign w:val="subscript"/>
        </w:rPr>
        <w:t> </w:t>
      </w:r>
      <w:r>
        <w:rPr>
          <w:rFonts w:ascii="Cambria Math" w:hAnsi="Cambria Math"/>
          <w:w w:val="243"/>
          <w:vertAlign w:val="subscript"/>
        </w:rPr>
        <w:t> </w:t>
      </w:r>
      <w:r>
        <w:rPr>
          <w:rFonts w:ascii="Cambria Math" w:hAnsi="Cambria Math"/>
          <w:spacing w:val="7"/>
          <w:vertAlign w:val="baseline"/>
        </w:rPr>
        <w:t> </w:t>
      </w:r>
      <w:r>
        <w:rPr>
          <w:rFonts w:ascii="Cambria Math" w:hAnsi="Cambria Math"/>
          <w:w w:val="337"/>
          <w:vertAlign w:val="baseline"/>
        </w:rPr>
        <w:t> </w:t>
      </w:r>
      <w:r>
        <w:rPr>
          <w:rFonts w:ascii="Cambria Math" w:hAnsi="Cambria Math"/>
          <w:spacing w:val="2"/>
          <w:vertAlign w:val="baseline"/>
        </w:rPr>
        <w:t> </w:t>
      </w:r>
      <w:r>
        <w:rPr>
          <w:rFonts w:ascii="Cambria Math" w:hAnsi="Cambria Math"/>
          <w:spacing w:val="10"/>
          <w:w w:val="215"/>
          <w:vertAlign w:val="baseline"/>
        </w:rPr>
        <w:t> </w:t>
      </w:r>
      <w:r>
        <w:rPr>
          <w:rFonts w:ascii="Cambria Math" w:hAnsi="Cambria Math"/>
          <w:spacing w:val="7"/>
          <w:w w:val="218"/>
          <w:position w:val="7"/>
          <w:sz w:val="14"/>
          <w:vertAlign w:val="baseline"/>
        </w:rPr>
        <w:t> </w:t>
      </w:r>
      <w:r>
        <w:rPr>
          <w:rFonts w:ascii="Cambria Math" w:hAnsi="Cambria Math"/>
          <w:w w:val="187"/>
          <w:vertAlign w:val="baseline"/>
        </w:rPr>
        <w:t> </w:t>
      </w:r>
      <w:r>
        <w:rPr>
          <w:rFonts w:ascii="Cambria Math" w:hAnsi="Cambria Math"/>
          <w:vertAlign w:val="baseline"/>
        </w:rPr>
        <w:tab/>
      </w:r>
      <w:r>
        <w:rPr>
          <w:w w:val="99"/>
          <w:vertAlign w:val="baseline"/>
        </w:rPr>
        <w:t>(</w:t>
      </w:r>
      <w:r>
        <w:rPr>
          <w:w w:val="99"/>
          <w:vertAlign w:val="baseline"/>
        </w:rPr>
        <w:t>1)</w:t>
      </w:r>
    </w:p>
    <w:p>
      <w:pPr>
        <w:pStyle w:val="BodyText"/>
        <w:spacing w:before="2"/>
        <w:rPr>
          <w:sz w:val="40"/>
        </w:rPr>
      </w:pPr>
    </w:p>
    <w:p>
      <w:pPr>
        <w:pStyle w:val="ListParagraph"/>
        <w:numPr>
          <w:ilvl w:val="1"/>
          <w:numId w:val="2"/>
        </w:numPr>
        <w:tabs>
          <w:tab w:pos="954" w:val="left" w:leader="none"/>
        </w:tabs>
        <w:spacing w:line="360" w:lineRule="auto" w:before="0" w:after="0"/>
        <w:ind w:left="953" w:right="1863" w:hanging="360"/>
        <w:jc w:val="left"/>
        <w:rPr>
          <w:sz w:val="20"/>
        </w:rPr>
      </w:pPr>
      <w:r>
        <w:rPr>
          <w:sz w:val="20"/>
        </w:rPr>
        <w:t>Inflation depends on the output gap via a Phillips curve. </w:t>
      </w:r>
      <w:r>
        <w:rPr>
          <w:spacing w:val="4"/>
          <w:sz w:val="20"/>
        </w:rPr>
        <w:t>We </w:t>
      </w:r>
      <w:r>
        <w:rPr>
          <w:sz w:val="20"/>
        </w:rPr>
        <w:t>constrain the constant such that inflation remains at target when the output gap is</w:t>
      </w:r>
      <w:r>
        <w:rPr>
          <w:spacing w:val="-2"/>
          <w:sz w:val="20"/>
        </w:rPr>
        <w:t> </w:t>
      </w:r>
      <w:r>
        <w:rPr>
          <w:sz w:val="20"/>
        </w:rPr>
        <w:t>zero.</w:t>
      </w:r>
    </w:p>
    <w:p>
      <w:pPr>
        <w:pStyle w:val="BodyText"/>
        <w:tabs>
          <w:tab w:pos="6714" w:val="left" w:leader="none"/>
        </w:tabs>
        <w:spacing w:before="4"/>
        <w:ind w:left="233"/>
      </w:pPr>
      <w:r>
        <w:rPr>
          <w:rFonts w:ascii="Cambria Math"/>
          <w:spacing w:val="-1"/>
          <w:w w:val="268"/>
        </w:rPr>
        <w:t> </w:t>
      </w:r>
      <w:r>
        <w:rPr>
          <w:rFonts w:ascii="Cambria Math"/>
          <w:w w:val="185"/>
          <w:vertAlign w:val="subscript"/>
        </w:rPr>
        <w:t> </w:t>
      </w:r>
      <w:r>
        <w:rPr>
          <w:rFonts w:ascii="Cambria Math"/>
          <w:vertAlign w:val="baseline"/>
        </w:rPr>
        <w:t> </w:t>
      </w:r>
      <w:r>
        <w:rPr>
          <w:rFonts w:ascii="Cambria Math"/>
          <w:spacing w:val="-20"/>
          <w:vertAlign w:val="baseline"/>
        </w:rPr>
        <w:t> </w:t>
      </w:r>
      <w:r>
        <w:rPr>
          <w:rFonts w:ascii="Cambria Math"/>
          <w:w w:val="337"/>
          <w:vertAlign w:val="baseline"/>
        </w:rPr>
        <w:t> </w:t>
      </w:r>
      <w:r>
        <w:rPr>
          <w:rFonts w:ascii="Cambria Math"/>
          <w:vertAlign w:val="baseline"/>
        </w:rPr>
        <w:t> </w:t>
      </w:r>
      <w:r>
        <w:rPr>
          <w:rFonts w:ascii="Cambria Math"/>
          <w:spacing w:val="12"/>
          <w:vertAlign w:val="baseline"/>
        </w:rPr>
        <w:t> </w:t>
      </w:r>
      <w:r>
        <w:rPr>
          <w:rFonts w:ascii="Cambria Math"/>
          <w:spacing w:val="11"/>
          <w:w w:val="268"/>
          <w:vertAlign w:val="baseline"/>
        </w:rPr>
        <w:t> </w:t>
      </w:r>
      <w:r>
        <w:rPr>
          <w:rFonts w:ascii="Cambria Math"/>
          <w:spacing w:val="9"/>
          <w:w w:val="218"/>
          <w:position w:val="7"/>
          <w:sz w:val="14"/>
          <w:vertAlign w:val="baseline"/>
        </w:rPr>
        <w:t> </w:t>
      </w:r>
      <w:r>
        <w:rPr>
          <w:rFonts w:ascii="Cambria Math"/>
          <w:spacing w:val="-2"/>
          <w:w w:val="187"/>
          <w:position w:val="1"/>
          <w:vertAlign w:val="baseline"/>
        </w:rPr>
        <w:t> </w:t>
      </w:r>
      <w:r>
        <w:rPr>
          <w:rFonts w:ascii="Cambria Math"/>
          <w:w w:val="250"/>
          <w:vertAlign w:val="baseline"/>
        </w:rPr>
        <w:t> </w:t>
      </w:r>
      <w:r>
        <w:rPr>
          <w:rFonts w:ascii="Cambria Math"/>
          <w:spacing w:val="1"/>
          <w:vertAlign w:val="baseline"/>
        </w:rPr>
        <w:t> </w:t>
      </w:r>
      <w:r>
        <w:rPr>
          <w:rFonts w:ascii="Cambria Math"/>
          <w:w w:val="337"/>
          <w:vertAlign w:val="baseline"/>
        </w:rPr>
        <w:t> </w:t>
      </w:r>
      <w:r>
        <w:rPr>
          <w:rFonts w:ascii="Cambria Math"/>
          <w:spacing w:val="1"/>
          <w:vertAlign w:val="baseline"/>
        </w:rPr>
        <w:t> </w:t>
      </w:r>
      <w:r>
        <w:rPr>
          <w:rFonts w:ascii="Cambria Math"/>
          <w:spacing w:val="-5"/>
          <w:w w:val="271"/>
          <w:vertAlign w:val="baseline"/>
        </w:rPr>
        <w:t> </w:t>
      </w:r>
      <w:r>
        <w:rPr>
          <w:rFonts w:ascii="Cambria Math"/>
          <w:spacing w:val="8"/>
          <w:w w:val="243"/>
          <w:vertAlign w:val="subscript"/>
        </w:rPr>
        <w:t> </w:t>
      </w:r>
      <w:r>
        <w:rPr>
          <w:rFonts w:ascii="Cambria Math"/>
          <w:w w:val="187"/>
          <w:position w:val="1"/>
          <w:vertAlign w:val="baseline"/>
        </w:rPr>
        <w:t> </w:t>
      </w:r>
      <w:r>
        <w:rPr>
          <w:rFonts w:ascii="Cambria Math"/>
          <w:position w:val="1"/>
          <w:vertAlign w:val="baseline"/>
        </w:rPr>
        <w:t> </w:t>
      </w:r>
      <w:r>
        <w:rPr>
          <w:rFonts w:ascii="Cambria Math"/>
          <w:w w:val="337"/>
          <w:vertAlign w:val="baseline"/>
        </w:rPr>
        <w:t> </w:t>
      </w:r>
      <w:r>
        <w:rPr>
          <w:rFonts w:ascii="Cambria Math"/>
          <w:spacing w:val="1"/>
          <w:vertAlign w:val="baseline"/>
        </w:rPr>
        <w:t> </w:t>
      </w:r>
      <w:r>
        <w:rPr>
          <w:rFonts w:ascii="Cambria Math"/>
          <w:spacing w:val="-5"/>
          <w:w w:val="271"/>
          <w:vertAlign w:val="baseline"/>
        </w:rPr>
        <w:t> </w:t>
      </w:r>
      <w:r>
        <w:rPr>
          <w:rFonts w:ascii="Cambria Math"/>
          <w:spacing w:val="8"/>
          <w:w w:val="243"/>
          <w:vertAlign w:val="subscript"/>
        </w:rPr>
        <w:t> </w:t>
      </w:r>
      <w:r>
        <w:rPr>
          <w:rFonts w:ascii="Cambria Math"/>
          <w:spacing w:val="-1"/>
          <w:w w:val="268"/>
          <w:vertAlign w:val="baseline"/>
        </w:rPr>
        <w:t> </w:t>
      </w:r>
      <w:r>
        <w:rPr>
          <w:rFonts w:ascii="Cambria Math"/>
          <w:spacing w:val="5"/>
          <w:w w:val="185"/>
          <w:vertAlign w:val="subscript"/>
        </w:rPr>
        <w:t> </w:t>
      </w:r>
      <w:r>
        <w:rPr>
          <w:rFonts w:ascii="Cambria Math"/>
          <w:spacing w:val="-1"/>
          <w:w w:val="306"/>
          <w:vertAlign w:val="subscript"/>
        </w:rPr>
        <w:t> </w:t>
      </w:r>
      <w:r>
        <w:rPr>
          <w:rFonts w:ascii="Cambria Math"/>
          <w:w w:val="243"/>
          <w:vertAlign w:val="subscript"/>
        </w:rPr>
        <w:t> </w:t>
      </w:r>
      <w:r>
        <w:rPr>
          <w:rFonts w:ascii="Cambria Math"/>
          <w:spacing w:val="10"/>
          <w:vertAlign w:val="baseline"/>
        </w:rPr>
        <w:t> </w:t>
      </w:r>
      <w:r>
        <w:rPr>
          <w:rFonts w:ascii="Cambria Math"/>
          <w:w w:val="337"/>
          <w:vertAlign w:val="baseline"/>
        </w:rPr>
        <w:t> </w:t>
      </w:r>
      <w:r>
        <w:rPr>
          <w:rFonts w:ascii="Cambria Math"/>
          <w:vertAlign w:val="baseline"/>
        </w:rPr>
        <w:t>  </w:t>
      </w:r>
      <w:r>
        <w:rPr>
          <w:rFonts w:ascii="Cambria Math"/>
          <w:w w:val="271"/>
          <w:vertAlign w:val="baseline"/>
        </w:rPr>
        <w:t> </w:t>
      </w:r>
      <w:r>
        <w:rPr>
          <w:rFonts w:ascii="Cambria Math"/>
          <w:spacing w:val="8"/>
          <w:w w:val="243"/>
          <w:vertAlign w:val="subscript"/>
        </w:rPr>
        <w:t> </w:t>
      </w:r>
      <w:r>
        <w:rPr>
          <w:rFonts w:ascii="Cambria Math"/>
          <w:spacing w:val="1"/>
          <w:w w:val="187"/>
          <w:vertAlign w:val="baseline"/>
        </w:rPr>
        <w:t> </w:t>
      </w:r>
      <w:r>
        <w:rPr>
          <w:rFonts w:ascii="Cambria Math"/>
          <w:spacing w:val="-1"/>
          <w:w w:val="263"/>
          <w:vertAlign w:val="baseline"/>
        </w:rPr>
        <w:t>  </w:t>
      </w:r>
      <w:r>
        <w:rPr>
          <w:rFonts w:ascii="Cambria Math"/>
          <w:spacing w:val="-6"/>
          <w:w w:val="263"/>
          <w:vertAlign w:val="baseline"/>
        </w:rPr>
        <w:t> </w:t>
      </w:r>
      <w:r>
        <w:rPr>
          <w:rFonts w:ascii="Cambria Math"/>
          <w:spacing w:val="5"/>
          <w:w w:val="185"/>
          <w:vertAlign w:val="subscript"/>
        </w:rPr>
        <w:t> </w:t>
      </w:r>
      <w:r>
        <w:rPr>
          <w:rFonts w:ascii="Cambria Math"/>
          <w:spacing w:val="-1"/>
          <w:w w:val="306"/>
          <w:vertAlign w:val="subscript"/>
        </w:rPr>
        <w:t> </w:t>
      </w:r>
      <w:r>
        <w:rPr>
          <w:rFonts w:ascii="Cambria Math"/>
          <w:spacing w:val="10"/>
          <w:w w:val="243"/>
          <w:vertAlign w:val="subscript"/>
        </w:rPr>
        <w:t> </w:t>
      </w:r>
      <w:r>
        <w:rPr>
          <w:rFonts w:ascii="Cambria Math"/>
          <w:w w:val="187"/>
          <w:vertAlign w:val="baseline"/>
        </w:rPr>
        <w:t> </w:t>
      </w:r>
      <w:r>
        <w:rPr>
          <w:rFonts w:ascii="Cambria Math"/>
          <w:vertAlign w:val="baseline"/>
        </w:rPr>
        <w:tab/>
      </w:r>
      <w:r>
        <w:rPr>
          <w:vertAlign w:val="baseline"/>
        </w:rPr>
        <w:t>(2)</w:t>
      </w:r>
    </w:p>
    <w:p>
      <w:pPr>
        <w:pStyle w:val="BodyText"/>
        <w:spacing w:line="367" w:lineRule="auto" w:before="120"/>
        <w:ind w:left="233" w:right="1792"/>
      </w:pPr>
      <w:r>
        <w:rPr>
          <w:rFonts w:ascii="Cambria Math"/>
          <w:w w:val="263"/>
        </w:rPr>
        <w:t>   </w:t>
      </w:r>
      <w:r>
        <w:rPr>
          <w:rFonts w:ascii="Cambria Math"/>
          <w:w w:val="185"/>
          <w:vertAlign w:val="subscript"/>
        </w:rPr>
        <w:t> </w:t>
      </w:r>
      <w:r>
        <w:rPr>
          <w:rFonts w:ascii="Cambria Math"/>
          <w:w w:val="306"/>
          <w:vertAlign w:val="subscript"/>
        </w:rPr>
        <w:t> </w:t>
      </w:r>
      <w:r>
        <w:rPr>
          <w:rFonts w:ascii="Cambria Math"/>
          <w:w w:val="243"/>
          <w:vertAlign w:val="subscript"/>
        </w:rPr>
        <w:t> </w:t>
      </w:r>
      <w:r>
        <w:rPr>
          <w:rFonts w:ascii="Cambria Math"/>
          <w:vertAlign w:val="baseline"/>
        </w:rPr>
        <w:t> </w:t>
      </w:r>
      <w:r>
        <w:rPr>
          <w:vertAlign w:val="baseline"/>
        </w:rPr>
        <w:t>stands for the output gap in the economy in quarter t-1, defined as output ( relative to supply capacity ( .</w:t>
      </w:r>
    </w:p>
    <w:p>
      <w:pPr>
        <w:pStyle w:val="BodyText"/>
        <w:spacing w:before="9"/>
        <w:rPr>
          <w:sz w:val="29"/>
        </w:rPr>
      </w:pPr>
    </w:p>
    <w:p>
      <w:pPr>
        <w:pStyle w:val="ListParagraph"/>
        <w:numPr>
          <w:ilvl w:val="1"/>
          <w:numId w:val="2"/>
        </w:numPr>
        <w:tabs>
          <w:tab w:pos="954" w:val="left" w:leader="none"/>
        </w:tabs>
        <w:spacing w:line="360" w:lineRule="auto" w:before="0" w:after="0"/>
        <w:ind w:left="953" w:right="1227" w:hanging="360"/>
        <w:jc w:val="left"/>
        <w:rPr>
          <w:sz w:val="20"/>
        </w:rPr>
      </w:pPr>
      <w:r>
        <w:rPr>
          <w:sz w:val="20"/>
        </w:rPr>
        <w:t>The growth of the economy’s supply capacity is a weighted average of the mean growth rate of output and its actual growth rate: above-average demand growth stimulates supply growth, and vice versa. </w:t>
      </w:r>
      <w:r>
        <w:rPr>
          <w:spacing w:val="4"/>
          <w:sz w:val="20"/>
        </w:rPr>
        <w:t>We </w:t>
      </w:r>
      <w:r>
        <w:rPr>
          <w:sz w:val="20"/>
        </w:rPr>
        <w:t>allow the extent to which supply growth responds to output growth to be</w:t>
      </w:r>
      <w:r>
        <w:rPr>
          <w:spacing w:val="-35"/>
          <w:sz w:val="20"/>
        </w:rPr>
        <w:t> </w:t>
      </w:r>
      <w:r>
        <w:rPr>
          <w:sz w:val="20"/>
        </w:rPr>
        <w:t>uncertain.</w:t>
      </w:r>
    </w:p>
    <w:p>
      <w:pPr>
        <w:pStyle w:val="BodyText"/>
        <w:spacing w:before="7"/>
        <w:rPr>
          <w:sz w:val="29"/>
        </w:rPr>
      </w:pPr>
    </w:p>
    <w:p>
      <w:pPr>
        <w:pStyle w:val="BodyText"/>
        <w:tabs>
          <w:tab w:pos="6714" w:val="left" w:leader="none"/>
        </w:tabs>
        <w:ind w:left="233"/>
      </w:pPr>
      <w:r>
        <w:rPr/>
        <w:pict>
          <v:shape style="position:absolute;margin-left:61.944pt;margin-top:5.548595pt;width:3.1pt;height:8.2pt;mso-position-horizontal-relative:page;mso-position-vertical-relative:paragraph;z-index:-253887488" type="#_x0000_t202" filled="false" stroked="false">
            <v:textbox inset="0,0,0,0">
              <w:txbxContent>
                <w:p>
                  <w:pPr>
                    <w:spacing w:line="163" w:lineRule="exact" w:before="0"/>
                    <w:ind w:left="0" w:right="0" w:firstLine="0"/>
                    <w:jc w:val="left"/>
                    <w:rPr>
                      <w:rFonts w:ascii="Cambria Math"/>
                      <w:sz w:val="14"/>
                    </w:rPr>
                  </w:pPr>
                  <w:r>
                    <w:rPr>
                      <w:rFonts w:ascii="Cambria Math"/>
                      <w:w w:val="198"/>
                      <w:sz w:val="14"/>
                    </w:rPr>
                    <w:t> </w:t>
                  </w:r>
                </w:p>
              </w:txbxContent>
            </v:textbox>
            <w10:wrap type="none"/>
          </v:shape>
        </w:pict>
      </w:r>
      <w:r>
        <w:rPr>
          <w:rFonts w:ascii="Cambria Math" w:hAnsi="Cambria Math"/>
          <w:spacing w:val="-16"/>
          <w:w w:val="253"/>
        </w:rPr>
        <w:t> </w:t>
      </w:r>
      <w:r>
        <w:rPr>
          <w:rFonts w:ascii="Cambria Math" w:hAnsi="Cambria Math"/>
          <w:w w:val="99"/>
        </w:rPr>
        <w:t>̇</w:t>
      </w:r>
      <w:r>
        <w:rPr>
          <w:rFonts w:ascii="Cambria Math" w:hAnsi="Cambria Math"/>
          <w:spacing w:val="-13"/>
        </w:rPr>
        <w:t> </w:t>
      </w:r>
      <w:r>
        <w:rPr>
          <w:rFonts w:ascii="Cambria Math" w:hAnsi="Cambria Math"/>
          <w:w w:val="249"/>
          <w:position w:val="8"/>
          <w:sz w:val="14"/>
        </w:rPr>
        <w:t> </w:t>
      </w:r>
      <w:r>
        <w:rPr>
          <w:rFonts w:ascii="Cambria Math" w:hAnsi="Cambria Math"/>
          <w:position w:val="8"/>
          <w:sz w:val="14"/>
        </w:rPr>
        <w:t> </w:t>
      </w:r>
      <w:r>
        <w:rPr>
          <w:rFonts w:ascii="Cambria Math" w:hAnsi="Cambria Math"/>
          <w:spacing w:val="5"/>
          <w:position w:val="8"/>
          <w:sz w:val="14"/>
        </w:rPr>
        <w:t> </w:t>
      </w:r>
      <w:r>
        <w:rPr>
          <w:rFonts w:ascii="Cambria Math" w:hAnsi="Cambria Math"/>
          <w:w w:val="337"/>
        </w:rPr>
        <w:t> </w:t>
      </w:r>
      <w:r>
        <w:rPr>
          <w:rFonts w:ascii="Cambria Math" w:hAnsi="Cambria Math"/>
          <w:spacing w:val="11"/>
        </w:rPr>
        <w:t> </w:t>
      </w:r>
      <w:r>
        <w:rPr>
          <w:rFonts w:ascii="Cambria Math" w:hAnsi="Cambria Math"/>
          <w:spacing w:val="-9"/>
          <w:w w:val="243"/>
        </w:rPr>
        <w:t> </w:t>
      </w:r>
      <w:r>
        <w:rPr>
          <w:rFonts w:ascii="Cambria Math" w:hAnsi="Cambria Math"/>
          <w:spacing w:val="8"/>
          <w:w w:val="243"/>
          <w:vertAlign w:val="subscript"/>
        </w:rPr>
        <w:t> </w:t>
      </w:r>
      <w:r>
        <w:rPr>
          <w:rFonts w:ascii="Cambria Math" w:hAnsi="Cambria Math"/>
          <w:spacing w:val="-16"/>
          <w:w w:val="253"/>
          <w:vertAlign w:val="baseline"/>
        </w:rPr>
        <w:t> </w:t>
      </w:r>
      <w:r>
        <w:rPr>
          <w:rFonts w:ascii="Cambria Math" w:hAnsi="Cambria Math"/>
          <w:spacing w:val="9"/>
          <w:w w:val="99"/>
          <w:vertAlign w:val="baseline"/>
        </w:rPr>
        <w:t>̇</w:t>
      </w:r>
      <w:r>
        <w:rPr>
          <w:rFonts w:ascii="Cambria Math" w:hAnsi="Cambria Math"/>
          <w:w w:val="185"/>
          <w:vertAlign w:val="subscript"/>
        </w:rPr>
        <w:t> </w:t>
      </w:r>
      <w:r>
        <w:rPr>
          <w:rFonts w:ascii="Cambria Math" w:hAnsi="Cambria Math"/>
          <w:spacing w:val="12"/>
          <w:vertAlign w:val="baseline"/>
        </w:rPr>
        <w:t> </w:t>
      </w:r>
      <w:r>
        <w:rPr>
          <w:rFonts w:ascii="Cambria Math" w:hAnsi="Cambria Math"/>
          <w:w w:val="337"/>
          <w:vertAlign w:val="baseline"/>
        </w:rPr>
        <w:t> </w:t>
      </w:r>
      <w:r>
        <w:rPr>
          <w:rFonts w:ascii="Cambria Math" w:hAnsi="Cambria Math"/>
          <w:vertAlign w:val="baseline"/>
        </w:rPr>
        <w:t>  </w:t>
      </w:r>
      <w:r>
        <w:rPr>
          <w:rFonts w:ascii="Cambria Math" w:hAnsi="Cambria Math"/>
          <w:spacing w:val="-2"/>
          <w:w w:val="187"/>
          <w:position w:val="1"/>
          <w:vertAlign w:val="baseline"/>
        </w:rPr>
        <w:t> </w:t>
      </w:r>
      <w:r>
        <w:rPr>
          <w:rFonts w:ascii="Cambria Math" w:hAnsi="Cambria Math"/>
          <w:w w:val="250"/>
          <w:vertAlign w:val="baseline"/>
        </w:rPr>
        <w:t> </w:t>
      </w:r>
      <w:r>
        <w:rPr>
          <w:rFonts w:ascii="Cambria Math" w:hAnsi="Cambria Math"/>
          <w:spacing w:val="1"/>
          <w:vertAlign w:val="baseline"/>
        </w:rPr>
        <w:t> </w:t>
      </w:r>
      <w:r>
        <w:rPr>
          <w:rFonts w:ascii="Cambria Math" w:hAnsi="Cambria Math"/>
          <w:w w:val="337"/>
          <w:vertAlign w:val="baseline"/>
        </w:rPr>
        <w:t> </w:t>
      </w:r>
      <w:r>
        <w:rPr>
          <w:rFonts w:ascii="Cambria Math" w:hAnsi="Cambria Math"/>
          <w:spacing w:val="1"/>
          <w:vertAlign w:val="baseline"/>
        </w:rPr>
        <w:t> </w:t>
      </w:r>
      <w:r>
        <w:rPr>
          <w:rFonts w:ascii="Cambria Math" w:hAnsi="Cambria Math"/>
          <w:spacing w:val="-9"/>
          <w:w w:val="243"/>
          <w:vertAlign w:val="baseline"/>
        </w:rPr>
        <w:t> </w:t>
      </w:r>
      <w:r>
        <w:rPr>
          <w:rFonts w:ascii="Cambria Math" w:hAnsi="Cambria Math"/>
          <w:spacing w:val="8"/>
          <w:w w:val="243"/>
          <w:vertAlign w:val="subscript"/>
        </w:rPr>
        <w:t> </w:t>
      </w:r>
      <w:r>
        <w:rPr>
          <w:rFonts w:ascii="Cambria Math" w:hAnsi="Cambria Math"/>
          <w:spacing w:val="-2"/>
          <w:w w:val="187"/>
          <w:position w:val="1"/>
          <w:vertAlign w:val="baseline"/>
        </w:rPr>
        <w:t> </w:t>
      </w:r>
      <w:r>
        <w:rPr>
          <w:rFonts w:ascii="Cambria Math" w:hAnsi="Cambria Math"/>
          <w:spacing w:val="10"/>
          <w:w w:val="282"/>
          <w:vertAlign w:val="baseline"/>
        </w:rPr>
        <w:t> </w:t>
      </w:r>
      <w:r>
        <w:rPr>
          <w:rFonts w:ascii="Cambria Math" w:hAnsi="Cambria Math"/>
          <w:spacing w:val="-1"/>
          <w:w w:val="99"/>
          <w:position w:val="1"/>
          <w:vertAlign w:val="baseline"/>
        </w:rPr>
        <w:t>[</w:t>
      </w:r>
      <w:r>
        <w:rPr>
          <w:rFonts w:ascii="Cambria Math" w:hAnsi="Cambria Math"/>
          <w:spacing w:val="-13"/>
          <w:w w:val="274"/>
          <w:vertAlign w:val="baseline"/>
        </w:rPr>
        <w:t> </w:t>
      </w:r>
      <w:r>
        <w:rPr>
          <w:rFonts w:ascii="Cambria Math" w:hAnsi="Cambria Math"/>
          <w:spacing w:val="8"/>
          <w:w w:val="243"/>
          <w:vertAlign w:val="subscript"/>
        </w:rPr>
        <w:t> </w:t>
      </w:r>
      <w:r>
        <w:rPr>
          <w:rFonts w:ascii="Cambria Math" w:hAnsi="Cambria Math"/>
          <w:w w:val="99"/>
          <w:position w:val="1"/>
          <w:vertAlign w:val="baseline"/>
        </w:rPr>
        <w:t>]</w:t>
      </w:r>
      <w:r>
        <w:rPr>
          <w:rFonts w:ascii="Cambria Math" w:hAnsi="Cambria Math"/>
          <w:position w:val="1"/>
          <w:vertAlign w:val="baseline"/>
        </w:rPr>
        <w:tab/>
      </w:r>
      <w:r>
        <w:rPr>
          <w:w w:val="99"/>
          <w:vertAlign w:val="baseline"/>
        </w:rPr>
        <w:t>(</w:t>
      </w:r>
      <w:r>
        <w:rPr>
          <w:w w:val="99"/>
          <w:vertAlign w:val="baseline"/>
        </w:rPr>
        <w:t>3)</w:t>
      </w:r>
    </w:p>
    <w:p>
      <w:pPr>
        <w:pStyle w:val="BodyText"/>
        <w:spacing w:before="1"/>
        <w:rPr>
          <w:sz w:val="40"/>
        </w:rPr>
      </w:pPr>
    </w:p>
    <w:p>
      <w:pPr>
        <w:pStyle w:val="BodyText"/>
        <w:spacing w:line="360" w:lineRule="auto" w:before="1"/>
        <w:ind w:left="233" w:right="1248"/>
      </w:pPr>
      <w:r>
        <w:rPr/>
        <w:t>The central bank’s objectives are summarised by a standard loss function, according to which the central bank would like to avoid deviations of inflation from its inflation target, and deviations of output from supply:</w:t>
      </w:r>
    </w:p>
    <w:p>
      <w:pPr>
        <w:pStyle w:val="BodyText"/>
        <w:spacing w:before="2"/>
      </w:pPr>
    </w:p>
    <w:p>
      <w:pPr>
        <w:spacing w:after="0"/>
        <w:sectPr>
          <w:pgSz w:w="11910" w:h="16840"/>
          <w:pgMar w:header="0" w:footer="1338" w:top="1520" w:bottom="1520" w:left="900" w:right="0"/>
        </w:sectPr>
      </w:pPr>
    </w:p>
    <w:p>
      <w:pPr>
        <w:spacing w:line="141" w:lineRule="exact" w:before="99"/>
        <w:ind w:left="790" w:right="0" w:firstLine="0"/>
        <w:jc w:val="left"/>
        <w:rPr>
          <w:rFonts w:ascii="Cambria Math"/>
          <w:sz w:val="14"/>
        </w:rPr>
      </w:pPr>
      <w:r>
        <w:rPr/>
        <w:pict>
          <v:shape style="position:absolute;margin-left:56.664001pt;margin-top:5.497415pt;width:27.85pt;height:12.05pt;mso-position-horizontal-relative:page;mso-position-vertical-relative:paragraph;z-index:251785216" type="#_x0000_t202" filled="false" stroked="false">
            <v:textbox inset="0,0,0,0">
              <w:txbxContent>
                <w:p>
                  <w:pPr>
                    <w:pStyle w:val="BodyText"/>
                    <w:spacing w:line="231" w:lineRule="exact"/>
                    <w:rPr>
                      <w:rFonts w:ascii="Cambria Math" w:hAnsi="Cambria Math"/>
                    </w:rPr>
                  </w:pPr>
                  <w:r>
                    <w:rPr>
                      <w:rFonts w:ascii="Cambria Math" w:hAnsi="Cambria Math"/>
                      <w:w w:val="240"/>
                    </w:rPr>
                    <w:t> </w:t>
                  </w:r>
                  <w:r>
                    <w:rPr>
                      <w:rFonts w:ascii="Cambria Math" w:hAnsi="Cambria Math"/>
                    </w:rPr>
                    <w:t> </w:t>
                  </w:r>
                  <w:r>
                    <w:rPr>
                      <w:rFonts w:ascii="Cambria Math" w:hAnsi="Cambria Math"/>
                      <w:w w:val="337"/>
                    </w:rPr>
                    <w:t> </w:t>
                  </w:r>
                  <w:r>
                    <w:rPr>
                      <w:rFonts w:ascii="Cambria Math" w:hAnsi="Cambria Math"/>
                    </w:rPr>
                    <w:t>  </w:t>
                  </w:r>
                  <w:r>
                    <w:rPr>
                      <w:rFonts w:ascii="Cambria Math" w:hAnsi="Cambria Math"/>
                      <w:position w:val="1"/>
                    </w:rPr>
                    <w:t>∑</w:t>
                  </w:r>
                </w:p>
              </w:txbxContent>
            </v:textbox>
            <w10:wrap type="none"/>
          </v:shape>
        </w:pict>
      </w:r>
      <w:r>
        <w:rPr>
          <w:rFonts w:ascii="Cambria Math"/>
          <w:w w:val="277"/>
          <w:sz w:val="14"/>
        </w:rPr>
        <w:t> </w:t>
      </w:r>
    </w:p>
    <w:p>
      <w:pPr>
        <w:spacing w:line="141" w:lineRule="exact" w:before="0"/>
        <w:ind w:left="790" w:right="0" w:firstLine="0"/>
        <w:jc w:val="left"/>
        <w:rPr>
          <w:rFonts w:ascii="Cambria Math"/>
          <w:sz w:val="14"/>
        </w:rPr>
      </w:pPr>
      <w:r>
        <w:rPr>
          <w:rFonts w:ascii="Cambria Math"/>
          <w:spacing w:val="3"/>
          <w:w w:val="198"/>
          <w:sz w:val="14"/>
        </w:rPr>
        <w:t> </w:t>
      </w:r>
      <w:r>
        <w:rPr>
          <w:rFonts w:ascii="Cambria Math"/>
          <w:spacing w:val="1"/>
          <w:w w:val="328"/>
          <w:sz w:val="14"/>
        </w:rPr>
        <w:t> </w:t>
      </w:r>
      <w:r>
        <w:rPr>
          <w:rFonts w:ascii="Cambria Math"/>
          <w:w w:val="261"/>
          <w:sz w:val="14"/>
        </w:rPr>
        <w:t> </w:t>
      </w:r>
    </w:p>
    <w:p>
      <w:pPr>
        <w:pStyle w:val="BodyText"/>
        <w:tabs>
          <w:tab w:pos="6356" w:val="left" w:leader="none"/>
        </w:tabs>
        <w:spacing w:before="117"/>
        <w:ind w:left="-8"/>
      </w:pPr>
      <w:r>
        <w:rPr/>
        <w:br w:type="column"/>
      </w:r>
      <w:r>
        <w:rPr>
          <w:rFonts w:ascii="Cambria Math"/>
          <w:spacing w:val="6"/>
          <w:w w:val="274"/>
        </w:rPr>
        <w:t> </w:t>
      </w:r>
      <w:r>
        <w:rPr>
          <w:rFonts w:ascii="Cambria Math"/>
          <w:spacing w:val="13"/>
          <w:w w:val="198"/>
          <w:position w:val="7"/>
          <w:sz w:val="14"/>
        </w:rPr>
        <w:t> </w:t>
      </w:r>
      <w:r>
        <w:rPr>
          <w:rFonts w:ascii="Cambria Math"/>
        </w:rPr>
        <w:t>[     </w:t>
      </w:r>
      <w:r>
        <w:rPr>
          <w:rFonts w:ascii="Cambria Math"/>
          <w:vertAlign w:val="subscript"/>
        </w:rPr>
        <w:t>  </w:t>
      </w:r>
      <w:r>
        <w:rPr>
          <w:rFonts w:ascii="Cambria Math"/>
          <w:vertAlign w:val="baseline"/>
        </w:rPr>
        <w:t>         </w:t>
      </w:r>
      <w:r>
        <w:rPr>
          <w:rFonts w:ascii="Cambria Math"/>
          <w:position w:val="7"/>
          <w:vertAlign w:val="baseline"/>
        </w:rPr>
        <w:t> </w:t>
      </w:r>
      <w:r>
        <w:rPr>
          <w:rFonts w:ascii="Cambria Math"/>
          <w:vertAlign w:val="baseline"/>
        </w:rPr>
        <w:t>  </w:t>
      </w:r>
      <w:r>
        <w:rPr>
          <w:rFonts w:ascii="Cambria Math"/>
          <w:position w:val="7"/>
          <w:vertAlign w:val="baseline"/>
        </w:rPr>
        <w:t>      </w:t>
      </w:r>
      <w:r>
        <w:rPr>
          <w:rFonts w:ascii="Cambria Math"/>
          <w:vertAlign w:val="baseline"/>
        </w:rPr>
        <w:t>            </w:t>
      </w:r>
      <w:r>
        <w:rPr>
          <w:rFonts w:ascii="Cambria Math"/>
          <w:vertAlign w:val="subscript"/>
        </w:rPr>
        <w:t>  </w:t>
      </w:r>
      <w:r>
        <w:rPr>
          <w:rFonts w:ascii="Cambria Math"/>
          <w:vertAlign w:val="baseline"/>
        </w:rPr>
        <w:t>  </w:t>
      </w:r>
      <w:r>
        <w:rPr>
          <w:rFonts w:ascii="Cambria Math"/>
          <w:position w:val="7"/>
          <w:vertAlign w:val="baseline"/>
        </w:rPr>
        <w:t> </w:t>
      </w:r>
      <w:r>
        <w:rPr>
          <w:rFonts w:ascii="Cambria Math"/>
          <w:spacing w:val="3"/>
          <w:position w:val="7"/>
          <w:vertAlign w:val="baseline"/>
        </w:rPr>
        <w:t> </w:t>
      </w:r>
      <w:r>
        <w:rPr>
          <w:vertAlign w:val="baseline"/>
        </w:rPr>
        <w:t>]</w:t>
        <w:tab/>
        <w:t>(4)</w:t>
      </w:r>
    </w:p>
    <w:p>
      <w:pPr>
        <w:spacing w:after="0"/>
        <w:sectPr>
          <w:type w:val="continuous"/>
          <w:pgSz w:w="11910" w:h="16840"/>
          <w:pgMar w:top="1180" w:bottom="1520" w:left="900" w:right="0"/>
          <w:cols w:num="2" w:equalWidth="0">
            <w:col w:w="1039" w:space="40"/>
            <w:col w:w="9931"/>
          </w:cols>
        </w:sectPr>
      </w:pPr>
    </w:p>
    <w:p>
      <w:pPr>
        <w:pStyle w:val="BodyText"/>
        <w:spacing w:before="6"/>
        <w:rPr>
          <w:sz w:val="29"/>
        </w:rPr>
      </w:pPr>
    </w:p>
    <w:p>
      <w:pPr>
        <w:pStyle w:val="BodyText"/>
        <w:spacing w:before="93"/>
        <w:ind w:left="233"/>
      </w:pPr>
      <w:r>
        <w:rPr/>
        <w:t>It sets monetary policy according to a linear Taylor rule:</w:t>
      </w:r>
    </w:p>
    <w:p>
      <w:pPr>
        <w:pStyle w:val="BodyText"/>
        <w:rPr>
          <w:sz w:val="22"/>
        </w:rPr>
      </w:pPr>
    </w:p>
    <w:p>
      <w:pPr>
        <w:pStyle w:val="BodyText"/>
        <w:spacing w:before="4"/>
        <w:rPr>
          <w:sz w:val="18"/>
        </w:rPr>
      </w:pPr>
    </w:p>
    <w:p>
      <w:pPr>
        <w:pStyle w:val="BodyText"/>
        <w:tabs>
          <w:tab w:pos="7434" w:val="left" w:leader="none"/>
        </w:tabs>
        <w:ind w:left="233"/>
      </w:pPr>
      <w:r>
        <w:rPr>
          <w:rFonts w:ascii="Cambria Math"/>
          <w:spacing w:val="-1"/>
          <w:w w:val="143"/>
        </w:rPr>
        <w:t> </w:t>
      </w:r>
      <w:r>
        <w:rPr>
          <w:rFonts w:ascii="Cambria Math"/>
          <w:w w:val="185"/>
          <w:vertAlign w:val="subscript"/>
        </w:rPr>
        <w:t> </w:t>
      </w:r>
      <w:r>
        <w:rPr>
          <w:rFonts w:ascii="Cambria Math"/>
          <w:vertAlign w:val="baseline"/>
        </w:rPr>
        <w:t> </w:t>
      </w:r>
      <w:r>
        <w:rPr>
          <w:rFonts w:ascii="Cambria Math"/>
          <w:spacing w:val="-20"/>
          <w:vertAlign w:val="baseline"/>
        </w:rPr>
        <w:t> </w:t>
      </w:r>
      <w:r>
        <w:rPr>
          <w:rFonts w:ascii="Cambria Math"/>
          <w:w w:val="337"/>
          <w:vertAlign w:val="baseline"/>
        </w:rPr>
        <w:t> </w:t>
      </w:r>
      <w:r>
        <w:rPr>
          <w:rFonts w:ascii="Cambria Math"/>
          <w:spacing w:val="13"/>
          <w:vertAlign w:val="baseline"/>
        </w:rPr>
        <w:t> </w:t>
      </w:r>
      <w:r>
        <w:rPr>
          <w:rFonts w:ascii="Cambria Math"/>
          <w:spacing w:val="-1"/>
          <w:w w:val="207"/>
          <w:vertAlign w:val="baseline"/>
        </w:rPr>
        <w:t> </w:t>
      </w:r>
      <w:r>
        <w:rPr>
          <w:rFonts w:ascii="Cambria Math"/>
          <w:w w:val="243"/>
          <w:vertAlign w:val="subscript"/>
        </w:rPr>
        <w:t> </w:t>
      </w:r>
      <w:r>
        <w:rPr>
          <w:rFonts w:ascii="Cambria Math"/>
          <w:spacing w:val="9"/>
          <w:vertAlign w:val="baseline"/>
        </w:rPr>
        <w:t> </w:t>
      </w:r>
      <w:r>
        <w:rPr>
          <w:rFonts w:ascii="Cambria Math"/>
          <w:w w:val="337"/>
          <w:vertAlign w:val="baseline"/>
        </w:rPr>
        <w:t> </w:t>
      </w:r>
      <w:r>
        <w:rPr>
          <w:rFonts w:ascii="Cambria Math"/>
          <w:vertAlign w:val="baseline"/>
        </w:rPr>
        <w:t>  </w:t>
      </w:r>
      <w:r>
        <w:rPr>
          <w:rFonts w:ascii="Cambria Math"/>
          <w:spacing w:val="-6"/>
          <w:w w:val="207"/>
          <w:vertAlign w:val="baseline"/>
        </w:rPr>
        <w:t> </w:t>
      </w:r>
      <w:r>
        <w:rPr>
          <w:rFonts w:ascii="Cambria Math"/>
          <w:spacing w:val="8"/>
          <w:w w:val="243"/>
          <w:vertAlign w:val="subscript"/>
        </w:rPr>
        <w:t> </w:t>
      </w:r>
      <w:r>
        <w:rPr>
          <w:rFonts w:ascii="Cambria Math"/>
          <w:spacing w:val="1"/>
          <w:w w:val="187"/>
          <w:vertAlign w:val="baseline"/>
        </w:rPr>
        <w:t> </w:t>
      </w:r>
      <w:r>
        <w:rPr>
          <w:rFonts w:ascii="Cambria Math"/>
          <w:spacing w:val="-1"/>
          <w:w w:val="268"/>
          <w:vertAlign w:val="baseline"/>
        </w:rPr>
        <w:t> </w:t>
      </w:r>
      <w:r>
        <w:rPr>
          <w:rFonts w:ascii="Cambria Math"/>
          <w:spacing w:val="5"/>
          <w:w w:val="185"/>
          <w:vertAlign w:val="subscript"/>
        </w:rPr>
        <w:t> </w:t>
      </w:r>
      <w:r>
        <w:rPr>
          <w:rFonts w:ascii="Cambria Math"/>
          <w:spacing w:val="-1"/>
          <w:w w:val="306"/>
          <w:vertAlign w:val="subscript"/>
        </w:rPr>
        <w:t> </w:t>
      </w:r>
      <w:r>
        <w:rPr>
          <w:rFonts w:ascii="Cambria Math"/>
          <w:w w:val="243"/>
          <w:vertAlign w:val="subscript"/>
        </w:rPr>
        <w:t> </w:t>
      </w:r>
      <w:r>
        <w:rPr>
          <w:rFonts w:ascii="Cambria Math"/>
          <w:spacing w:val="9"/>
          <w:vertAlign w:val="baseline"/>
        </w:rPr>
        <w:t> </w:t>
      </w:r>
      <w:r>
        <w:rPr>
          <w:rFonts w:ascii="Cambria Math"/>
          <w:w w:val="337"/>
          <w:vertAlign w:val="baseline"/>
        </w:rPr>
        <w:t> </w:t>
      </w:r>
      <w:r>
        <w:rPr>
          <w:rFonts w:ascii="Cambria Math"/>
          <w:vertAlign w:val="baseline"/>
        </w:rPr>
        <w:t>  </w:t>
      </w:r>
      <w:r>
        <w:rPr>
          <w:rFonts w:ascii="Cambria Math"/>
          <w:spacing w:val="11"/>
          <w:w w:val="268"/>
          <w:vertAlign w:val="baseline"/>
        </w:rPr>
        <w:t> </w:t>
      </w:r>
      <w:r>
        <w:rPr>
          <w:rFonts w:ascii="Cambria Math"/>
          <w:spacing w:val="9"/>
          <w:w w:val="218"/>
          <w:position w:val="7"/>
          <w:sz w:val="14"/>
          <w:vertAlign w:val="baseline"/>
        </w:rPr>
        <w:t> </w:t>
      </w:r>
      <w:r>
        <w:rPr>
          <w:rFonts w:ascii="Cambria Math"/>
          <w:w w:val="187"/>
          <w:vertAlign w:val="baseline"/>
        </w:rPr>
        <w:t> </w:t>
      </w:r>
      <w:r>
        <w:rPr>
          <w:rFonts w:ascii="Cambria Math"/>
          <w:vertAlign w:val="baseline"/>
        </w:rPr>
        <w:t> </w:t>
      </w:r>
      <w:r>
        <w:rPr>
          <w:rFonts w:ascii="Cambria Math"/>
          <w:w w:val="337"/>
          <w:vertAlign w:val="baseline"/>
        </w:rPr>
        <w:t> </w:t>
      </w:r>
      <w:r>
        <w:rPr>
          <w:rFonts w:ascii="Cambria Math"/>
          <w:vertAlign w:val="baseline"/>
        </w:rPr>
        <w:t> </w:t>
      </w:r>
      <w:r>
        <w:rPr>
          <w:rFonts w:ascii="Cambria Math"/>
          <w:spacing w:val="1"/>
          <w:vertAlign w:val="baseline"/>
        </w:rPr>
        <w:t> </w:t>
      </w:r>
      <w:r>
        <w:rPr>
          <w:rFonts w:ascii="Cambria Math"/>
          <w:spacing w:val="-1"/>
          <w:w w:val="207"/>
          <w:vertAlign w:val="baseline"/>
        </w:rPr>
        <w:t> </w:t>
      </w:r>
      <w:r>
        <w:rPr>
          <w:rFonts w:ascii="Cambria Math"/>
          <w:spacing w:val="8"/>
          <w:w w:val="243"/>
          <w:vertAlign w:val="subscript"/>
        </w:rPr>
        <w:t> </w:t>
      </w:r>
      <w:r>
        <w:rPr>
          <w:rFonts w:ascii="Cambria Math"/>
          <w:spacing w:val="1"/>
          <w:w w:val="187"/>
          <w:vertAlign w:val="baseline"/>
        </w:rPr>
        <w:t> </w:t>
      </w:r>
      <w:r>
        <w:rPr>
          <w:rFonts w:ascii="Cambria Math"/>
          <w:spacing w:val="-1"/>
          <w:w w:val="263"/>
          <w:vertAlign w:val="baseline"/>
        </w:rPr>
        <w:t>  </w:t>
      </w:r>
      <w:r>
        <w:rPr>
          <w:rFonts w:ascii="Cambria Math"/>
          <w:spacing w:val="-8"/>
          <w:w w:val="263"/>
          <w:vertAlign w:val="baseline"/>
        </w:rPr>
        <w:t> </w:t>
      </w:r>
      <w:r>
        <w:rPr>
          <w:rFonts w:ascii="Cambria Math"/>
          <w:spacing w:val="8"/>
          <w:w w:val="185"/>
          <w:vertAlign w:val="subscript"/>
        </w:rPr>
        <w:t> </w:t>
      </w:r>
      <w:r>
        <w:rPr>
          <w:rFonts w:ascii="Cambria Math"/>
          <w:spacing w:val="-1"/>
          <w:w w:val="306"/>
          <w:vertAlign w:val="subscript"/>
        </w:rPr>
        <w:t> </w:t>
      </w:r>
      <w:r>
        <w:rPr>
          <w:rFonts w:ascii="Cambria Math"/>
          <w:spacing w:val="8"/>
          <w:w w:val="243"/>
          <w:vertAlign w:val="subscript"/>
        </w:rPr>
        <w:t> </w:t>
      </w:r>
      <w:r>
        <w:rPr>
          <w:rFonts w:ascii="Cambria Math"/>
          <w:w w:val="187"/>
          <w:vertAlign w:val="baseline"/>
        </w:rPr>
        <w:t> </w:t>
      </w:r>
      <w:r>
        <w:rPr>
          <w:rFonts w:ascii="Cambria Math"/>
          <w:vertAlign w:val="baseline"/>
        </w:rPr>
        <w:tab/>
      </w:r>
      <w:r>
        <w:rPr>
          <w:vertAlign w:val="baseline"/>
        </w:rPr>
        <w:t>(5)</w:t>
      </w:r>
    </w:p>
    <w:p>
      <w:pPr>
        <w:pStyle w:val="BodyText"/>
        <w:spacing w:before="6"/>
        <w:rPr>
          <w:sz w:val="40"/>
        </w:rPr>
      </w:pPr>
    </w:p>
    <w:p>
      <w:pPr>
        <w:pStyle w:val="BodyText"/>
        <w:spacing w:line="362" w:lineRule="auto"/>
        <w:ind w:left="233" w:right="1232"/>
      </w:pPr>
      <w:r>
        <w:rPr>
          <w:spacing w:val="3"/>
        </w:rPr>
        <w:t>We </w:t>
      </w:r>
      <w:r>
        <w:rPr/>
        <w:t>assume that the central bank chooses the parameters</w:t>
      </w:r>
      <w:r>
        <w:rPr>
          <w:vertAlign w:val="baseline"/>
        </w:rPr>
        <w:t> of this rule ex ante, before knowing the realisation of the uncertain parameters, in order to minimise the expected value of the loss function (4). (For ease of interpretation of the results, we constrain the constant,</w:t>
      </w:r>
      <w:r>
        <w:rPr>
          <w:vertAlign w:val="subscript"/>
        </w:rPr>
        <w:t> </w:t>
      </w:r>
      <w:r>
        <w:rPr>
          <w:vertAlign w:val="baseline"/>
        </w:rPr>
        <w:t>, to be equal to the sum of the</w:t>
      </w:r>
      <w:r>
        <w:rPr>
          <w:spacing w:val="-12"/>
          <w:vertAlign w:val="baseline"/>
        </w:rPr>
        <w:t> </w:t>
      </w:r>
      <w:r>
        <w:rPr>
          <w:vertAlign w:val="baseline"/>
        </w:rPr>
        <w:t>inflation</w:t>
      </w:r>
    </w:p>
    <w:p>
      <w:pPr>
        <w:spacing w:after="0" w:line="362" w:lineRule="auto"/>
        <w:sectPr>
          <w:type w:val="continuous"/>
          <w:pgSz w:w="11910" w:h="16840"/>
          <w:pgMar w:top="1180" w:bottom="1520" w:left="900" w:right="0"/>
        </w:sectPr>
      </w:pPr>
    </w:p>
    <w:p>
      <w:pPr>
        <w:pStyle w:val="BodyText"/>
        <w:spacing w:line="360" w:lineRule="auto" w:before="101"/>
        <w:ind w:left="233" w:right="1305"/>
      </w:pPr>
      <w:r>
        <w:rPr/>
        <w:t>target</w:t>
      </w:r>
      <w:r>
        <w:rPr>
          <w:position w:val="7"/>
        </w:rPr>
        <w:t>  </w:t>
      </w:r>
      <w:r>
        <w:rPr/>
        <w:t>and the neutral real rate </w:t>
      </w:r>
      <w:r>
        <w:rPr>
          <w:spacing w:val="4"/>
        </w:rPr>
        <w:t>( </w:t>
      </w:r>
      <w:r>
        <w:rPr>
          <w:spacing w:val="4"/>
          <w:position w:val="7"/>
        </w:rPr>
        <w:t> </w:t>
      </w:r>
      <w:r>
        <w:rPr>
          <w:spacing w:val="4"/>
        </w:rPr>
        <w:t> </w:t>
      </w:r>
      <w:r>
        <w:rPr/>
        <w:t>; this is close to the optimum that an unconditional minimisation delivers.) </w:t>
      </w:r>
      <w:r>
        <w:rPr>
          <w:spacing w:val="4"/>
        </w:rPr>
        <w:t>We </w:t>
      </w:r>
      <w:r>
        <w:rPr/>
        <w:t>solve this minimisation problem numerically by computing the evolution of the economy over 50 quarters for each of 20000 different realisations of each random variable, and then taking averages</w:t>
      </w:r>
      <w:r>
        <w:rPr>
          <w:spacing w:val="-30"/>
        </w:rPr>
        <w:t> </w:t>
      </w:r>
      <w:r>
        <w:rPr/>
        <w:t>over the associated losses. </w:t>
      </w:r>
      <w:r>
        <w:rPr>
          <w:spacing w:val="4"/>
        </w:rPr>
        <w:t>We </w:t>
      </w:r>
      <w:r>
        <w:rPr/>
        <w:t>assume that the economy is not hit by any shocks. The endogenous variables are uncertain only because the values of some parameters and of the initial output gap are</w:t>
      </w:r>
      <w:r>
        <w:rPr>
          <w:spacing w:val="-10"/>
        </w:rPr>
        <w:t> </w:t>
      </w:r>
      <w:r>
        <w:rPr/>
        <w:t>uncertain.</w:t>
      </w:r>
    </w:p>
    <w:p>
      <w:pPr>
        <w:pStyle w:val="BodyText"/>
        <w:spacing w:before="1"/>
        <w:rPr>
          <w:sz w:val="30"/>
        </w:rPr>
      </w:pPr>
    </w:p>
    <w:p>
      <w:pPr>
        <w:spacing w:before="1"/>
        <w:ind w:left="233" w:right="0" w:firstLine="0"/>
        <w:jc w:val="left"/>
        <w:rPr>
          <w:sz w:val="20"/>
        </w:rPr>
      </w:pPr>
      <w:r>
        <w:rPr>
          <w:b/>
          <w:sz w:val="20"/>
        </w:rPr>
        <w:t>Table 1</w:t>
      </w:r>
      <w:r>
        <w:rPr>
          <w:sz w:val="20"/>
        </w:rPr>
        <w:t>: Calibration of the model</w:t>
      </w:r>
    </w:p>
    <w:p>
      <w:pPr>
        <w:pStyle w:val="BodyText"/>
      </w:pPr>
    </w:p>
    <w:p>
      <w:pPr>
        <w:pStyle w:val="BodyText"/>
        <w:spacing w:before="4"/>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03"/>
        <w:gridCol w:w="3863"/>
      </w:tblGrid>
      <w:tr>
        <w:trPr>
          <w:trHeight w:val="345" w:hRule="atLeast"/>
        </w:trPr>
        <w:tc>
          <w:tcPr>
            <w:tcW w:w="9466" w:type="dxa"/>
            <w:gridSpan w:val="2"/>
          </w:tcPr>
          <w:p>
            <w:pPr>
              <w:pStyle w:val="TableParagraph"/>
              <w:spacing w:line="225" w:lineRule="exact"/>
              <w:ind w:left="108"/>
              <w:rPr>
                <w:b/>
                <w:sz w:val="20"/>
              </w:rPr>
            </w:pPr>
            <w:r>
              <w:rPr>
                <w:b/>
                <w:sz w:val="20"/>
              </w:rPr>
              <w:t>Uncertain parameters</w:t>
            </w:r>
          </w:p>
        </w:tc>
      </w:tr>
      <w:tr>
        <w:trPr>
          <w:trHeight w:val="352" w:hRule="atLeast"/>
        </w:trPr>
        <w:tc>
          <w:tcPr>
            <w:tcW w:w="5603" w:type="dxa"/>
          </w:tcPr>
          <w:p>
            <w:pPr>
              <w:pStyle w:val="TableParagraph"/>
              <w:spacing w:line="229" w:lineRule="exact"/>
              <w:ind w:left="108"/>
              <w:rPr>
                <w:sz w:val="20"/>
              </w:rPr>
            </w:pPr>
            <w:r>
              <w:rPr>
                <w:sz w:val="20"/>
              </w:rPr>
              <w:t>Quarterly growth rate of output at unchanged policy </w:t>
            </w:r>
            <w:r>
              <w:rPr>
                <w:spacing w:val="7"/>
                <w:sz w:val="20"/>
              </w:rPr>
              <w:t>(</w:t>
            </w:r>
            <w:r>
              <w:rPr>
                <w:spacing w:val="7"/>
                <w:sz w:val="20"/>
                <w:vertAlign w:val="subscript"/>
              </w:rPr>
              <w:t> </w:t>
            </w:r>
            <w:r>
              <w:rPr>
                <w:sz w:val="20"/>
                <w:vertAlign w:val="baseline"/>
              </w:rPr>
              <w:t>)</w:t>
            </w:r>
          </w:p>
        </w:tc>
        <w:tc>
          <w:tcPr>
            <w:tcW w:w="3863" w:type="dxa"/>
          </w:tcPr>
          <w:p>
            <w:pPr>
              <w:pStyle w:val="TableParagraph"/>
              <w:spacing w:line="227" w:lineRule="exact"/>
              <w:ind w:left="107"/>
              <w:rPr>
                <w:sz w:val="20"/>
              </w:rPr>
            </w:pPr>
            <w:r>
              <w:rPr>
                <w:sz w:val="20"/>
              </w:rPr>
              <w:t>Distributed uniformly in [0 ; 1.3%]</w:t>
            </w:r>
          </w:p>
        </w:tc>
      </w:tr>
      <w:tr>
        <w:trPr>
          <w:trHeight w:val="696" w:hRule="atLeast"/>
        </w:trPr>
        <w:tc>
          <w:tcPr>
            <w:tcW w:w="5603" w:type="dxa"/>
          </w:tcPr>
          <w:p>
            <w:pPr>
              <w:pStyle w:val="TableParagraph"/>
              <w:spacing w:line="227" w:lineRule="exact"/>
              <w:ind w:left="108"/>
              <w:rPr>
                <w:sz w:val="20"/>
              </w:rPr>
            </w:pPr>
            <w:r>
              <w:rPr>
                <w:sz w:val="20"/>
              </w:rPr>
              <w:t>Impact of changes in monetary policy on the quarterly</w:t>
            </w:r>
          </w:p>
          <w:p>
            <w:pPr>
              <w:pStyle w:val="TableParagraph"/>
              <w:spacing w:before="118"/>
              <w:ind w:left="108"/>
              <w:rPr>
                <w:sz w:val="20"/>
              </w:rPr>
            </w:pPr>
            <w:r>
              <w:rPr>
                <w:sz w:val="20"/>
              </w:rPr>
              <w:t>growth rate of output (</w:t>
            </w:r>
            <w:r>
              <w:rPr>
                <w:sz w:val="20"/>
                <w:vertAlign w:val="subscript"/>
              </w:rPr>
              <w:t> </w:t>
            </w:r>
            <w:r>
              <w:rPr>
                <w:sz w:val="20"/>
                <w:vertAlign w:val="baseline"/>
              </w:rPr>
              <w:t>)</w:t>
            </w:r>
          </w:p>
        </w:tc>
        <w:tc>
          <w:tcPr>
            <w:tcW w:w="3863" w:type="dxa"/>
          </w:tcPr>
          <w:p>
            <w:pPr>
              <w:pStyle w:val="TableParagraph"/>
              <w:spacing w:line="227" w:lineRule="exact"/>
              <w:ind w:left="107"/>
              <w:rPr>
                <w:sz w:val="20"/>
              </w:rPr>
            </w:pPr>
            <w:r>
              <w:rPr>
                <w:sz w:val="20"/>
              </w:rPr>
              <w:t>Distributed uniformly in [-1 ; -0.1]</w:t>
            </w:r>
          </w:p>
        </w:tc>
      </w:tr>
      <w:tr>
        <w:trPr>
          <w:trHeight w:val="697" w:hRule="atLeast"/>
        </w:trPr>
        <w:tc>
          <w:tcPr>
            <w:tcW w:w="5603" w:type="dxa"/>
          </w:tcPr>
          <w:p>
            <w:pPr>
              <w:pStyle w:val="TableParagraph"/>
              <w:spacing w:line="229" w:lineRule="exact"/>
              <w:ind w:left="108"/>
              <w:rPr>
                <w:sz w:val="20"/>
              </w:rPr>
            </w:pPr>
            <w:r>
              <w:rPr>
                <w:sz w:val="20"/>
              </w:rPr>
              <w:t>Impact of the deviation of the growth rate of demand from its</w:t>
            </w:r>
          </w:p>
          <w:p>
            <w:pPr>
              <w:pStyle w:val="TableParagraph"/>
              <w:spacing w:before="115"/>
              <w:ind w:left="108"/>
              <w:rPr>
                <w:sz w:val="20"/>
              </w:rPr>
            </w:pPr>
            <w:r>
              <w:rPr>
                <w:sz w:val="20"/>
              </w:rPr>
              <w:t>expected value on supply capacity (</w:t>
            </w:r>
            <w:r>
              <w:rPr>
                <w:sz w:val="20"/>
                <w:vertAlign w:val="subscript"/>
              </w:rPr>
              <w:t> </w:t>
            </w:r>
            <w:r>
              <w:rPr>
                <w:sz w:val="20"/>
                <w:vertAlign w:val="baseline"/>
              </w:rPr>
              <w:t>)</w:t>
            </w:r>
          </w:p>
        </w:tc>
        <w:tc>
          <w:tcPr>
            <w:tcW w:w="3863" w:type="dxa"/>
          </w:tcPr>
          <w:p>
            <w:pPr>
              <w:pStyle w:val="TableParagraph"/>
              <w:spacing w:line="229" w:lineRule="exact"/>
              <w:ind w:left="107"/>
              <w:rPr>
                <w:sz w:val="20"/>
              </w:rPr>
            </w:pPr>
            <w:r>
              <w:rPr>
                <w:sz w:val="20"/>
              </w:rPr>
              <w:t>Distributed uniformly in [0 ; 0.8]</w:t>
            </w:r>
          </w:p>
        </w:tc>
      </w:tr>
      <w:tr>
        <w:trPr>
          <w:trHeight w:val="352" w:hRule="atLeast"/>
        </w:trPr>
        <w:tc>
          <w:tcPr>
            <w:tcW w:w="5603" w:type="dxa"/>
          </w:tcPr>
          <w:p>
            <w:pPr>
              <w:pStyle w:val="TableParagraph"/>
              <w:spacing w:line="229" w:lineRule="exact"/>
              <w:ind w:left="108"/>
              <w:rPr>
                <w:sz w:val="20"/>
              </w:rPr>
            </w:pPr>
            <w:r>
              <w:rPr>
                <w:sz w:val="20"/>
              </w:rPr>
              <w:t>Initial output gap (</w:t>
            </w:r>
            <w:r>
              <w:rPr>
                <w:sz w:val="20"/>
                <w:vertAlign w:val="subscript"/>
              </w:rPr>
              <w:t> </w:t>
            </w:r>
            <w:r>
              <w:rPr>
                <w:sz w:val="20"/>
                <w:vertAlign w:val="baseline"/>
              </w:rPr>
              <w:t>)</w:t>
            </w:r>
          </w:p>
        </w:tc>
        <w:tc>
          <w:tcPr>
            <w:tcW w:w="3863" w:type="dxa"/>
          </w:tcPr>
          <w:p>
            <w:pPr>
              <w:pStyle w:val="TableParagraph"/>
              <w:spacing w:line="227" w:lineRule="exact"/>
              <w:ind w:left="107"/>
              <w:rPr>
                <w:sz w:val="20"/>
              </w:rPr>
            </w:pPr>
            <w:r>
              <w:rPr>
                <w:sz w:val="20"/>
              </w:rPr>
              <w:t>Distributed uniformly in [0 ; 4%]</w:t>
            </w:r>
          </w:p>
        </w:tc>
      </w:tr>
      <w:tr>
        <w:trPr>
          <w:trHeight w:val="342" w:hRule="atLeast"/>
        </w:trPr>
        <w:tc>
          <w:tcPr>
            <w:tcW w:w="5603" w:type="dxa"/>
          </w:tcPr>
          <w:p>
            <w:pPr>
              <w:pStyle w:val="TableParagraph"/>
              <w:rPr>
                <w:rFonts w:ascii="Times New Roman"/>
                <w:sz w:val="18"/>
              </w:rPr>
            </w:pPr>
          </w:p>
        </w:tc>
        <w:tc>
          <w:tcPr>
            <w:tcW w:w="3863" w:type="dxa"/>
          </w:tcPr>
          <w:p>
            <w:pPr>
              <w:pStyle w:val="TableParagraph"/>
              <w:rPr>
                <w:rFonts w:ascii="Times New Roman"/>
                <w:sz w:val="18"/>
              </w:rPr>
            </w:pPr>
          </w:p>
        </w:tc>
      </w:tr>
      <w:tr>
        <w:trPr>
          <w:trHeight w:val="345" w:hRule="atLeast"/>
        </w:trPr>
        <w:tc>
          <w:tcPr>
            <w:tcW w:w="9466" w:type="dxa"/>
            <w:gridSpan w:val="2"/>
          </w:tcPr>
          <w:p>
            <w:pPr>
              <w:pStyle w:val="TableParagraph"/>
              <w:spacing w:line="227" w:lineRule="exact"/>
              <w:ind w:left="108"/>
              <w:rPr>
                <w:b/>
                <w:sz w:val="20"/>
              </w:rPr>
            </w:pPr>
            <w:r>
              <w:rPr>
                <w:b/>
                <w:sz w:val="20"/>
              </w:rPr>
              <w:t>Certain parameters</w:t>
            </w:r>
          </w:p>
        </w:tc>
      </w:tr>
      <w:tr>
        <w:trPr>
          <w:trHeight w:val="352" w:hRule="atLeast"/>
        </w:trPr>
        <w:tc>
          <w:tcPr>
            <w:tcW w:w="5603" w:type="dxa"/>
          </w:tcPr>
          <w:p>
            <w:pPr>
              <w:pStyle w:val="TableParagraph"/>
              <w:spacing w:line="229" w:lineRule="exact"/>
              <w:ind w:left="108"/>
              <w:rPr>
                <w:sz w:val="20"/>
              </w:rPr>
            </w:pPr>
            <w:r>
              <w:rPr>
                <w:sz w:val="20"/>
              </w:rPr>
              <w:t>Quarterly growth rate of supply capacity (</w:t>
            </w:r>
            <w:r>
              <w:rPr>
                <w:sz w:val="20"/>
                <w:vertAlign w:val="subscript"/>
              </w:rPr>
              <w:t> </w:t>
            </w:r>
            <w:r>
              <w:rPr>
                <w:sz w:val="20"/>
                <w:vertAlign w:val="baseline"/>
              </w:rPr>
              <w:t>)</w:t>
            </w:r>
          </w:p>
        </w:tc>
        <w:tc>
          <w:tcPr>
            <w:tcW w:w="3863" w:type="dxa"/>
          </w:tcPr>
          <w:p>
            <w:pPr>
              <w:pStyle w:val="TableParagraph"/>
              <w:spacing w:line="227" w:lineRule="exact"/>
              <w:ind w:left="107"/>
              <w:rPr>
                <w:sz w:val="20"/>
              </w:rPr>
            </w:pPr>
            <w:r>
              <w:rPr>
                <w:sz w:val="20"/>
              </w:rPr>
              <w:t>0.65%</w:t>
            </w:r>
          </w:p>
        </w:tc>
      </w:tr>
      <w:tr>
        <w:trPr>
          <w:trHeight w:val="352" w:hRule="atLeast"/>
        </w:trPr>
        <w:tc>
          <w:tcPr>
            <w:tcW w:w="5603" w:type="dxa"/>
          </w:tcPr>
          <w:p>
            <w:pPr>
              <w:pStyle w:val="TableParagraph"/>
              <w:spacing w:line="229" w:lineRule="exact"/>
              <w:ind w:left="108"/>
              <w:rPr>
                <w:sz w:val="20"/>
              </w:rPr>
            </w:pPr>
            <w:r>
              <w:rPr>
                <w:sz w:val="20"/>
              </w:rPr>
              <w:t>Inflation inertia coefficient (</w:t>
            </w:r>
            <w:r>
              <w:rPr>
                <w:sz w:val="20"/>
                <w:vertAlign w:val="subscript"/>
              </w:rPr>
              <w:t> </w:t>
            </w:r>
            <w:r>
              <w:rPr>
                <w:sz w:val="20"/>
                <w:vertAlign w:val="baseline"/>
              </w:rPr>
              <w:t>)</w:t>
            </w:r>
          </w:p>
        </w:tc>
        <w:tc>
          <w:tcPr>
            <w:tcW w:w="3863" w:type="dxa"/>
          </w:tcPr>
          <w:p>
            <w:pPr>
              <w:pStyle w:val="TableParagraph"/>
              <w:spacing w:line="227" w:lineRule="exact"/>
              <w:ind w:left="107"/>
              <w:rPr>
                <w:sz w:val="20"/>
              </w:rPr>
            </w:pPr>
            <w:r>
              <w:rPr>
                <w:sz w:val="20"/>
              </w:rPr>
              <w:t>0.95 (quarterly)</w:t>
            </w:r>
          </w:p>
        </w:tc>
      </w:tr>
      <w:tr>
        <w:trPr>
          <w:trHeight w:val="350" w:hRule="atLeast"/>
        </w:trPr>
        <w:tc>
          <w:tcPr>
            <w:tcW w:w="5603" w:type="dxa"/>
          </w:tcPr>
          <w:p>
            <w:pPr>
              <w:pStyle w:val="TableParagraph"/>
              <w:spacing w:line="229" w:lineRule="exact"/>
              <w:ind w:left="108"/>
              <w:rPr>
                <w:sz w:val="20"/>
              </w:rPr>
            </w:pPr>
            <w:r>
              <w:rPr>
                <w:sz w:val="20"/>
              </w:rPr>
              <w:t>Inflation in period t=0 (</w:t>
            </w:r>
            <w:r>
              <w:rPr>
                <w:sz w:val="20"/>
                <w:vertAlign w:val="subscript"/>
              </w:rPr>
              <w:t> </w:t>
            </w:r>
            <w:r>
              <w:rPr>
                <w:sz w:val="20"/>
                <w:vertAlign w:val="baseline"/>
              </w:rPr>
              <w:t>)</w:t>
            </w:r>
          </w:p>
        </w:tc>
        <w:tc>
          <w:tcPr>
            <w:tcW w:w="3863" w:type="dxa"/>
          </w:tcPr>
          <w:p>
            <w:pPr>
              <w:pStyle w:val="TableParagraph"/>
              <w:spacing w:line="227" w:lineRule="exact"/>
              <w:ind w:left="107"/>
              <w:rPr>
                <w:sz w:val="20"/>
              </w:rPr>
            </w:pPr>
            <w:r>
              <w:rPr>
                <w:sz w:val="20"/>
              </w:rPr>
              <w:t>1.9% p.a.</w:t>
            </w:r>
          </w:p>
        </w:tc>
      </w:tr>
      <w:tr>
        <w:trPr>
          <w:trHeight w:val="352" w:hRule="atLeast"/>
        </w:trPr>
        <w:tc>
          <w:tcPr>
            <w:tcW w:w="5603" w:type="dxa"/>
          </w:tcPr>
          <w:p>
            <w:pPr>
              <w:pStyle w:val="TableParagraph"/>
              <w:spacing w:before="2"/>
              <w:ind w:left="108"/>
              <w:rPr>
                <w:sz w:val="20"/>
              </w:rPr>
            </w:pPr>
            <w:r>
              <w:rPr>
                <w:sz w:val="20"/>
              </w:rPr>
              <w:t>Slope of the Phillips curve (</w:t>
            </w:r>
            <w:r>
              <w:rPr>
                <w:sz w:val="20"/>
                <w:vertAlign w:val="subscript"/>
              </w:rPr>
              <w:t> </w:t>
            </w:r>
            <w:r>
              <w:rPr>
                <w:sz w:val="20"/>
                <w:vertAlign w:val="baseline"/>
              </w:rPr>
              <w:t>)</w:t>
            </w:r>
          </w:p>
        </w:tc>
        <w:tc>
          <w:tcPr>
            <w:tcW w:w="3863" w:type="dxa"/>
          </w:tcPr>
          <w:p>
            <w:pPr>
              <w:pStyle w:val="TableParagraph"/>
              <w:spacing w:line="229" w:lineRule="exact"/>
              <w:ind w:left="107"/>
              <w:rPr>
                <w:sz w:val="20"/>
              </w:rPr>
            </w:pPr>
            <w:r>
              <w:rPr>
                <w:sz w:val="20"/>
              </w:rPr>
              <w:t>-0.1</w:t>
            </w:r>
          </w:p>
        </w:tc>
      </w:tr>
      <w:tr>
        <w:trPr>
          <w:trHeight w:val="352" w:hRule="atLeast"/>
        </w:trPr>
        <w:tc>
          <w:tcPr>
            <w:tcW w:w="5603" w:type="dxa"/>
          </w:tcPr>
          <w:p>
            <w:pPr>
              <w:pStyle w:val="TableParagraph"/>
              <w:spacing w:line="229" w:lineRule="exact"/>
              <w:ind w:left="108"/>
              <w:rPr>
                <w:sz w:val="20"/>
              </w:rPr>
            </w:pPr>
            <w:r>
              <w:rPr>
                <w:sz w:val="20"/>
              </w:rPr>
              <w:t>Neutral level of the real interest rate </w:t>
            </w:r>
            <w:r>
              <w:rPr>
                <w:spacing w:val="6"/>
                <w:sz w:val="20"/>
              </w:rPr>
              <w:t>(</w:t>
            </w:r>
            <w:r>
              <w:rPr>
                <w:spacing w:val="6"/>
                <w:position w:val="7"/>
                <w:sz w:val="20"/>
              </w:rPr>
              <w:t> </w:t>
            </w:r>
            <w:r>
              <w:rPr>
                <w:sz w:val="20"/>
              </w:rPr>
              <w:t>)</w:t>
            </w:r>
          </w:p>
        </w:tc>
        <w:tc>
          <w:tcPr>
            <w:tcW w:w="3863" w:type="dxa"/>
          </w:tcPr>
          <w:p>
            <w:pPr>
              <w:pStyle w:val="TableParagraph"/>
              <w:spacing w:line="227" w:lineRule="exact"/>
              <w:ind w:left="107"/>
              <w:rPr>
                <w:sz w:val="20"/>
              </w:rPr>
            </w:pPr>
            <w:r>
              <w:rPr>
                <w:sz w:val="20"/>
              </w:rPr>
              <w:t>1.5% p.a.</w:t>
            </w:r>
          </w:p>
        </w:tc>
      </w:tr>
    </w:tbl>
    <w:p>
      <w:pPr>
        <w:pStyle w:val="BodyText"/>
        <w:spacing w:before="6"/>
        <w:rPr>
          <w:sz w:val="21"/>
        </w:rPr>
      </w:pPr>
    </w:p>
    <w:p>
      <w:pPr>
        <w:pStyle w:val="Heading3"/>
        <w:spacing w:before="93"/>
        <w:ind w:left="233" w:firstLine="0"/>
      </w:pPr>
      <w:r>
        <w:rPr/>
        <w:t>Scenario analysis: Commitment vs rule-based policy making</w:t>
      </w:r>
    </w:p>
    <w:p>
      <w:pPr>
        <w:pStyle w:val="BodyText"/>
        <w:spacing w:line="360" w:lineRule="auto" w:before="118"/>
        <w:ind w:left="233" w:right="1248"/>
      </w:pPr>
      <w:r>
        <w:rPr/>
        <w:t>In Figure A1 and A2 below I illustrate the economic outcomes that would prevail under specific scenarios if the central bank were to commit to the median path of Bank Rates illustrated in Figure 4. This is contrasted with the case where the central bank can respond in each period according to the mechanically derived optimal policy rule, taking into account the uncertainty around the parameters.</w:t>
      </w:r>
    </w:p>
    <w:p>
      <w:pPr>
        <w:spacing w:after="0" w:line="360" w:lineRule="auto"/>
        <w:sectPr>
          <w:pgSz w:w="11910" w:h="16840"/>
          <w:pgMar w:header="0" w:footer="1338" w:top="1500" w:bottom="1520" w:left="900" w:right="0"/>
        </w:sectPr>
      </w:pPr>
    </w:p>
    <w:p>
      <w:pPr>
        <w:pStyle w:val="BodyText"/>
      </w:pPr>
    </w:p>
    <w:p>
      <w:pPr>
        <w:pStyle w:val="BodyText"/>
        <w:spacing w:before="4"/>
        <w:rPr>
          <w:sz w:val="16"/>
        </w:rPr>
      </w:pPr>
    </w:p>
    <w:p>
      <w:pPr>
        <w:pStyle w:val="BodyText"/>
        <w:tabs>
          <w:tab w:pos="5860" w:val="left" w:leader="none"/>
        </w:tabs>
        <w:spacing w:line="554" w:lineRule="auto" w:before="93"/>
        <w:ind w:left="100" w:right="1704"/>
      </w:pPr>
      <w:r>
        <w:rPr/>
        <w:drawing>
          <wp:anchor distT="0" distB="0" distL="0" distR="0" allowOverlap="1" layoutInCell="1" locked="0" behindDoc="1" simplePos="0" relativeHeight="249431040">
            <wp:simplePos x="0" y="0"/>
            <wp:positionH relativeFrom="page">
              <wp:posOffset>914400</wp:posOffset>
            </wp:positionH>
            <wp:positionV relativeFrom="paragraph">
              <wp:posOffset>567053</wp:posOffset>
            </wp:positionV>
            <wp:extent cx="8270621" cy="457708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4" cstate="print"/>
                    <a:stretch>
                      <a:fillRect/>
                    </a:stretch>
                  </pic:blipFill>
                  <pic:spPr>
                    <a:xfrm>
                      <a:off x="0" y="0"/>
                      <a:ext cx="8270621" cy="4577080"/>
                    </a:xfrm>
                    <a:prstGeom prst="rect">
                      <a:avLst/>
                    </a:prstGeom>
                  </pic:spPr>
                </pic:pic>
              </a:graphicData>
            </a:graphic>
          </wp:anchor>
        </w:drawing>
      </w:r>
      <w:r>
        <w:rPr>
          <w:b/>
        </w:rPr>
        <w:t>Figure A1: </w:t>
      </w:r>
      <w:r>
        <w:rPr/>
        <w:t>Commitment to a specific policy path vs rule-based policy making under scenario of robust growth and low output</w:t>
      </w:r>
      <w:r>
        <w:rPr>
          <w:spacing w:val="-36"/>
        </w:rPr>
        <w:t> </w:t>
      </w:r>
      <w:r>
        <w:rPr/>
        <w:t>gap Scenario 1:   </w:t>
      </w:r>
      <w:r>
        <w:rPr>
          <w:vertAlign w:val="subscript"/>
        </w:rPr>
        <w:t>  </w:t>
      </w:r>
      <w:r>
        <w:rPr>
          <w:vertAlign w:val="baseline"/>
        </w:rPr>
        <w:t>                 ;   </w:t>
      </w:r>
      <w:r>
        <w:rPr>
          <w:vertAlign w:val="subscript"/>
        </w:rPr>
        <w:t> </w:t>
      </w:r>
      <w:r>
        <w:rPr>
          <w:vertAlign w:val="baseline"/>
        </w:rPr>
        <w:t>           </w:t>
      </w:r>
      <w:r>
        <w:rPr>
          <w:spacing w:val="7"/>
          <w:vertAlign w:val="baseline"/>
        </w:rPr>
        <w:t> </w:t>
      </w:r>
      <w:r>
        <w:rPr>
          <w:vertAlign w:val="baseline"/>
        </w:rPr>
        <w:t>;   </w:t>
      </w:r>
      <w:r>
        <w:rPr>
          <w:vertAlign w:val="subscript"/>
        </w:rPr>
        <w:t> </w:t>
      </w:r>
      <w:r>
        <w:rPr>
          <w:spacing w:val="9"/>
          <w:vertAlign w:val="subscript"/>
        </w:rPr>
        <w:t> </w:t>
      </w:r>
      <w:r>
        <w:rPr>
          <w:vertAlign w:val="baseline"/>
        </w:rPr>
        <w:t>=0.5;</w:t>
        <w:tab/>
        <w:t>[Commitment leads to rising</w:t>
      </w:r>
      <w:r>
        <w:rPr>
          <w:spacing w:val="-4"/>
          <w:vertAlign w:val="baseline"/>
        </w:rPr>
        <w:t> </w:t>
      </w:r>
      <w:r>
        <w:rPr>
          <w:vertAlign w:val="baseline"/>
        </w:rPr>
        <w:t>inflation]</w:t>
      </w:r>
    </w:p>
    <w:p>
      <w:pPr>
        <w:spacing w:after="0" w:line="554" w:lineRule="auto"/>
        <w:sectPr>
          <w:footerReference w:type="default" r:id="rId23"/>
          <w:pgSz w:w="16840" w:h="11910" w:orient="landscape"/>
          <w:pgMar w:footer="1415" w:header="0" w:top="1100" w:bottom="1600" w:left="1340" w:right="2260"/>
          <w:pgNumType w:start="26"/>
        </w:sectPr>
      </w:pPr>
    </w:p>
    <w:p>
      <w:pPr>
        <w:pStyle w:val="BodyText"/>
      </w:pPr>
    </w:p>
    <w:p>
      <w:pPr>
        <w:pStyle w:val="BodyText"/>
        <w:spacing w:before="4"/>
        <w:rPr>
          <w:sz w:val="16"/>
        </w:rPr>
      </w:pPr>
    </w:p>
    <w:p>
      <w:pPr>
        <w:pStyle w:val="BodyText"/>
        <w:tabs>
          <w:tab w:pos="5860" w:val="left" w:leader="none"/>
        </w:tabs>
        <w:spacing w:line="554" w:lineRule="auto" w:before="93"/>
        <w:ind w:left="100" w:right="1782"/>
      </w:pPr>
      <w:r>
        <w:rPr/>
        <w:drawing>
          <wp:anchor distT="0" distB="0" distL="0" distR="0" allowOverlap="1" layoutInCell="1" locked="0" behindDoc="1" simplePos="0" relativeHeight="249432064">
            <wp:simplePos x="0" y="0"/>
            <wp:positionH relativeFrom="page">
              <wp:posOffset>914400</wp:posOffset>
            </wp:positionH>
            <wp:positionV relativeFrom="paragraph">
              <wp:posOffset>567053</wp:posOffset>
            </wp:positionV>
            <wp:extent cx="8249666" cy="460883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25" cstate="print"/>
                    <a:stretch>
                      <a:fillRect/>
                    </a:stretch>
                  </pic:blipFill>
                  <pic:spPr>
                    <a:xfrm>
                      <a:off x="0" y="0"/>
                      <a:ext cx="8249666" cy="4608830"/>
                    </a:xfrm>
                    <a:prstGeom prst="rect">
                      <a:avLst/>
                    </a:prstGeom>
                  </pic:spPr>
                </pic:pic>
              </a:graphicData>
            </a:graphic>
          </wp:anchor>
        </w:drawing>
      </w:r>
      <w:r>
        <w:rPr>
          <w:b/>
        </w:rPr>
        <w:t>Figure A2: </w:t>
      </w:r>
      <w:r>
        <w:rPr/>
        <w:t>Commitment to a specific policy path vs rule-based policy making under scenario of slow growth and high output</w:t>
      </w:r>
      <w:r>
        <w:rPr>
          <w:spacing w:val="-34"/>
        </w:rPr>
        <w:t> </w:t>
      </w:r>
      <w:r>
        <w:rPr/>
        <w:t>gap Scenario 2:   </w:t>
      </w:r>
      <w:r>
        <w:rPr>
          <w:vertAlign w:val="subscript"/>
        </w:rPr>
        <w:t> </w:t>
      </w:r>
      <w:r>
        <w:rPr>
          <w:vertAlign w:val="baseline"/>
        </w:rPr>
        <w:t>              ;   </w:t>
      </w:r>
      <w:r>
        <w:rPr>
          <w:vertAlign w:val="subscript"/>
        </w:rPr>
        <w:t> </w:t>
      </w:r>
      <w:r>
        <w:rPr>
          <w:vertAlign w:val="baseline"/>
        </w:rPr>
        <w:t>           </w:t>
      </w:r>
      <w:r>
        <w:rPr>
          <w:spacing w:val="6"/>
          <w:vertAlign w:val="baseline"/>
        </w:rPr>
        <w:t> </w:t>
      </w:r>
      <w:r>
        <w:rPr>
          <w:vertAlign w:val="baseline"/>
        </w:rPr>
        <w:t>;   </w:t>
      </w:r>
      <w:r>
        <w:rPr>
          <w:vertAlign w:val="subscript"/>
        </w:rPr>
        <w:t> </w:t>
      </w:r>
      <w:r>
        <w:rPr>
          <w:spacing w:val="9"/>
          <w:vertAlign w:val="subscript"/>
        </w:rPr>
        <w:t> </w:t>
      </w:r>
      <w:r>
        <w:rPr>
          <w:vertAlign w:val="baseline"/>
        </w:rPr>
        <w:t>=0.5;</w:t>
        <w:tab/>
        <w:t>[Commitment leads to</w:t>
      </w:r>
      <w:r>
        <w:rPr>
          <w:spacing w:val="-3"/>
          <w:vertAlign w:val="baseline"/>
        </w:rPr>
        <w:t> </w:t>
      </w:r>
      <w:r>
        <w:rPr>
          <w:vertAlign w:val="baseline"/>
        </w:rPr>
        <w:t>deflation]</w:t>
      </w:r>
    </w:p>
    <w:sectPr>
      <w:pgSz w:w="16840" w:h="11910" w:orient="landscape"/>
      <w:pgMar w:header="0" w:footer="1415" w:top="1100" w:bottom="1600" w:left="1340" w:right="2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134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401241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7pt;height:13.15pt;mso-position-horizontal-relative:page;mso-position-vertical-relative:page;z-index:-2540113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776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9765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22</w:t>
                </w:r>
                <w:r>
                  <w:rPr/>
                  <w:fldChar w:fldCharType="end"/>
                </w:r>
              </w:p>
            </w:txbxContent>
          </v:textbox>
          <w10:wrap type="none"/>
        </v:shape>
      </w:pict>
    </w:r>
    <w:r>
      <w:rPr/>
      <w:pict>
        <v:shape style="position:absolute;margin-left:43.400002pt;margin-top:771.999451pt;width:466.9pt;height:13.15pt;mso-position-horizontal-relative:page;mso-position-vertical-relative:page;z-index:-2539755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974528" type="#_x0000_t202" filled="false" stroked="false">
          <v:textbox inset="0,0,0,0">
            <w:txbxContent>
              <w:p>
                <w:pPr>
                  <w:pStyle w:val="BodyText"/>
                  <w:spacing w:before="12"/>
                  <w:ind w:left="20"/>
                </w:pPr>
                <w:r>
                  <w:rPr/>
                  <w:t>22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735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9724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23</w:t>
                </w:r>
                <w:r>
                  <w:rPr/>
                  <w:fldChar w:fldCharType="end"/>
                </w:r>
              </w:p>
            </w:txbxContent>
          </v:textbox>
          <w10:wrap type="none"/>
        </v:shape>
      </w:pict>
    </w:r>
    <w:r>
      <w:rPr/>
      <w:pict>
        <v:shape style="position:absolute;margin-left:43.400002pt;margin-top:771.999451pt;width:466.9pt;height:13.15pt;mso-position-horizontal-relative:page;mso-position-vertical-relative:page;z-index:-2539714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970432" type="#_x0000_t202" filled="false" stroked="false">
          <v:textbox inset="0,0,0,0">
            <w:txbxContent>
              <w:p>
                <w:pPr>
                  <w:pStyle w:val="BodyText"/>
                  <w:spacing w:before="12"/>
                  <w:ind w:left="20"/>
                </w:pPr>
                <w:r>
                  <w:rPr/>
                  <w:t>23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162.259995pt;margin-top:514.559998pt;width:517.5500pt;height:.25pt;mso-position-horizontal-relative:page;mso-position-vertical-relative:page;z-index:-253969408" coordorigin="3245,10291" coordsize="10351,5">
          <v:line style="position:absolute" from="3245,10294" to="12887,10294" stroked="true" strokeweight=".23999pt" strokecolor="#000000">
            <v:stroke dashstyle="solid"/>
          </v:line>
          <v:rect style="position:absolute;left:12887;top:10291;width:5;height:5" filled="true" fillcolor="#000000" stroked="false">
            <v:fill type="solid"/>
          </v:rect>
          <v:line style="position:absolute" from="12892,10294" to="13595,10294" stroked="true" strokeweight=".23999pt" strokecolor="#000000">
            <v:stroke dashstyle="solid"/>
          </v:line>
          <w10:wrap type="none"/>
        </v:group>
      </w:pict>
    </w:r>
    <w:r>
      <w:rPr/>
      <w:pict>
        <v:shape style="position:absolute;margin-left:646.75pt;margin-top:513.770935pt;width:7pt;height:3.1pt;mso-position-horizontal-relative:page;mso-position-vertical-relative:page;z-index:-2539683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26</w:t>
                </w:r>
                <w:r>
                  <w:rPr/>
                  <w:fldChar w:fldCharType="end"/>
                </w:r>
              </w:p>
            </w:txbxContent>
          </v:textbox>
          <w10:wrap type="none"/>
        </v:shape>
      </w:pict>
    </w:r>
    <w:r>
      <w:rPr/>
      <w:pict>
        <v:shape style="position:absolute;margin-left:166.660004pt;margin-top:525.543457pt;width:466.9pt;height:13.15pt;mso-position-horizontal-relative:page;mso-position-vertical-relative:page;z-index:-2539673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662.219971pt;margin-top:526.743469pt;width:13.05pt;height:13.15pt;mso-position-horizontal-relative:page;mso-position-vertical-relative:page;z-index:-253966336" type="#_x0000_t202" filled="false" stroked="false">
          <v:textbox inset="0,0,0,0">
            <w:txbxContent>
              <w:p>
                <w:pPr>
                  <w:pStyle w:val="BodyText"/>
                  <w:spacing w:before="12"/>
                  <w:ind w:left="20"/>
                </w:pPr>
                <w:r>
                  <w:rPr/>
                  <w:t>26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103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00934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40083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00729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06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00524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40042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00320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002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0011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40001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99910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98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9970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39960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995008" type="#_x0000_t202" filled="false" stroked="false">
          <v:textbox inset="0,0,0,0">
            <w:txbxContent>
              <w:p>
                <w:pPr>
                  <w:pStyle w:val="BodyText"/>
                  <w:spacing w:before="12"/>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939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99296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466.9pt;height:13.15pt;mso-position-horizontal-relative:page;mso-position-vertical-relative:page;z-index:-2539919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990912" type="#_x0000_t202" filled="false" stroked="false">
          <v:textbox inset="0,0,0,0">
            <w:txbxContent>
              <w:p>
                <w:pPr>
                  <w:pStyle w:val="BodyText"/>
                  <w:spacing w:before="12"/>
                  <w:ind w:left="20"/>
                </w:pPr>
                <w:r>
                  <w:rPr/>
                  <w:t>18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898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9888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466.9pt;height:13.15pt;mso-position-horizontal-relative:page;mso-position-vertical-relative:page;z-index:-2539878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986816" type="#_x0000_t202" filled="false" stroked="false">
          <v:textbox inset="0,0,0,0">
            <w:txbxContent>
              <w:p>
                <w:pPr>
                  <w:pStyle w:val="BodyText"/>
                  <w:spacing w:before="12"/>
                  <w:ind w:left="20"/>
                </w:pPr>
                <w:r>
                  <w:rPr/>
                  <w:t>19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857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9847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43.400002pt;margin-top:771.999451pt;width:466.9pt;height:13.15pt;mso-position-horizontal-relative:page;mso-position-vertical-relative:page;z-index:-2539837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982720" type="#_x0000_t202" filled="false" stroked="false">
          <v:textbox inset="0,0,0,0">
            <w:txbxContent>
              <w:p>
                <w:pPr>
                  <w:pStyle w:val="BodyText"/>
                  <w:spacing w:before="12"/>
                  <w:ind w:left="20"/>
                </w:pPr>
                <w:r>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9816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9806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43.400002pt;margin-top:771.999451pt;width:466.9pt;height:13.15pt;mso-position-horizontal-relative:page;mso-position-vertical-relative:page;z-index:-2539796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978624" type="#_x0000_t202" filled="false" stroked="false">
          <v:textbox inset="0,0,0,0">
            <w:txbxContent>
              <w:p>
                <w:pPr>
                  <w:pStyle w:val="BodyText"/>
                  <w:spacing w:before="12"/>
                  <w:ind w:left="20"/>
                </w:pPr>
                <w:r>
                  <w:rPr/>
                  <w:t>21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953" w:hanging="416"/>
      </w:pPr>
      <w:rPr>
        <w:rFonts w:hint="default" w:ascii="Symbol" w:hAnsi="Symbol" w:eastAsia="Symbol" w:cs="Symbol"/>
        <w:w w:val="99"/>
        <w:sz w:val="20"/>
        <w:szCs w:val="20"/>
        <w:lang w:val="en-gb" w:eastAsia="en-gb" w:bidi="en-gb"/>
      </w:rPr>
    </w:lvl>
    <w:lvl w:ilvl="1">
      <w:start w:val="0"/>
      <w:numFmt w:val="bullet"/>
      <w:lvlText w:val="•"/>
      <w:lvlJc w:val="left"/>
      <w:pPr>
        <w:ind w:left="1964" w:hanging="416"/>
      </w:pPr>
      <w:rPr>
        <w:rFonts w:hint="default"/>
        <w:lang w:val="en-gb" w:eastAsia="en-gb" w:bidi="en-gb"/>
      </w:rPr>
    </w:lvl>
    <w:lvl w:ilvl="2">
      <w:start w:val="0"/>
      <w:numFmt w:val="bullet"/>
      <w:lvlText w:val="•"/>
      <w:lvlJc w:val="left"/>
      <w:pPr>
        <w:ind w:left="2969" w:hanging="416"/>
      </w:pPr>
      <w:rPr>
        <w:rFonts w:hint="default"/>
        <w:lang w:val="en-gb" w:eastAsia="en-gb" w:bidi="en-gb"/>
      </w:rPr>
    </w:lvl>
    <w:lvl w:ilvl="3">
      <w:start w:val="0"/>
      <w:numFmt w:val="bullet"/>
      <w:lvlText w:val="•"/>
      <w:lvlJc w:val="left"/>
      <w:pPr>
        <w:ind w:left="3973" w:hanging="416"/>
      </w:pPr>
      <w:rPr>
        <w:rFonts w:hint="default"/>
        <w:lang w:val="en-gb" w:eastAsia="en-gb" w:bidi="en-gb"/>
      </w:rPr>
    </w:lvl>
    <w:lvl w:ilvl="4">
      <w:start w:val="0"/>
      <w:numFmt w:val="bullet"/>
      <w:lvlText w:val="•"/>
      <w:lvlJc w:val="left"/>
      <w:pPr>
        <w:ind w:left="4978" w:hanging="416"/>
      </w:pPr>
      <w:rPr>
        <w:rFonts w:hint="default"/>
        <w:lang w:val="en-gb" w:eastAsia="en-gb" w:bidi="en-gb"/>
      </w:rPr>
    </w:lvl>
    <w:lvl w:ilvl="5">
      <w:start w:val="0"/>
      <w:numFmt w:val="bullet"/>
      <w:lvlText w:val="•"/>
      <w:lvlJc w:val="left"/>
      <w:pPr>
        <w:ind w:left="5983" w:hanging="416"/>
      </w:pPr>
      <w:rPr>
        <w:rFonts w:hint="default"/>
        <w:lang w:val="en-gb" w:eastAsia="en-gb" w:bidi="en-gb"/>
      </w:rPr>
    </w:lvl>
    <w:lvl w:ilvl="6">
      <w:start w:val="0"/>
      <w:numFmt w:val="bullet"/>
      <w:lvlText w:val="•"/>
      <w:lvlJc w:val="left"/>
      <w:pPr>
        <w:ind w:left="6987" w:hanging="416"/>
      </w:pPr>
      <w:rPr>
        <w:rFonts w:hint="default"/>
        <w:lang w:val="en-gb" w:eastAsia="en-gb" w:bidi="en-gb"/>
      </w:rPr>
    </w:lvl>
    <w:lvl w:ilvl="7">
      <w:start w:val="0"/>
      <w:numFmt w:val="bullet"/>
      <w:lvlText w:val="•"/>
      <w:lvlJc w:val="left"/>
      <w:pPr>
        <w:ind w:left="7992" w:hanging="416"/>
      </w:pPr>
      <w:rPr>
        <w:rFonts w:hint="default"/>
        <w:lang w:val="en-gb" w:eastAsia="en-gb" w:bidi="en-gb"/>
      </w:rPr>
    </w:lvl>
    <w:lvl w:ilvl="8">
      <w:start w:val="0"/>
      <w:numFmt w:val="bullet"/>
      <w:lvlText w:val="•"/>
      <w:lvlJc w:val="left"/>
      <w:pPr>
        <w:ind w:left="8997" w:hanging="416"/>
      </w:pPr>
      <w:rPr>
        <w:rFonts w:hint="default"/>
        <w:lang w:val="en-gb" w:eastAsia="en-gb" w:bidi="en-gb"/>
      </w:rPr>
    </w:lvl>
  </w:abstractNum>
  <w:abstractNum w:abstractNumId="2">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964" w:hanging="360"/>
      </w:pPr>
      <w:rPr>
        <w:rFonts w:hint="default"/>
        <w:lang w:val="en-gb" w:eastAsia="en-gb" w:bidi="en-gb"/>
      </w:rPr>
    </w:lvl>
    <w:lvl w:ilvl="2">
      <w:start w:val="0"/>
      <w:numFmt w:val="bullet"/>
      <w:lvlText w:val="•"/>
      <w:lvlJc w:val="left"/>
      <w:pPr>
        <w:ind w:left="2969" w:hanging="360"/>
      </w:pPr>
      <w:rPr>
        <w:rFonts w:hint="default"/>
        <w:lang w:val="en-gb" w:eastAsia="en-gb" w:bidi="en-gb"/>
      </w:rPr>
    </w:lvl>
    <w:lvl w:ilvl="3">
      <w:start w:val="0"/>
      <w:numFmt w:val="bullet"/>
      <w:lvlText w:val="•"/>
      <w:lvlJc w:val="left"/>
      <w:pPr>
        <w:ind w:left="3973" w:hanging="360"/>
      </w:pPr>
      <w:rPr>
        <w:rFonts w:hint="default"/>
        <w:lang w:val="en-gb" w:eastAsia="en-gb" w:bidi="en-gb"/>
      </w:rPr>
    </w:lvl>
    <w:lvl w:ilvl="4">
      <w:start w:val="0"/>
      <w:numFmt w:val="bullet"/>
      <w:lvlText w:val="•"/>
      <w:lvlJc w:val="left"/>
      <w:pPr>
        <w:ind w:left="4978" w:hanging="360"/>
      </w:pPr>
      <w:rPr>
        <w:rFonts w:hint="default"/>
        <w:lang w:val="en-gb" w:eastAsia="en-gb" w:bidi="en-gb"/>
      </w:rPr>
    </w:lvl>
    <w:lvl w:ilvl="5">
      <w:start w:val="0"/>
      <w:numFmt w:val="bullet"/>
      <w:lvlText w:val="•"/>
      <w:lvlJc w:val="left"/>
      <w:pPr>
        <w:ind w:left="5983" w:hanging="360"/>
      </w:pPr>
      <w:rPr>
        <w:rFonts w:hint="default"/>
        <w:lang w:val="en-gb" w:eastAsia="en-gb" w:bidi="en-gb"/>
      </w:rPr>
    </w:lvl>
    <w:lvl w:ilvl="6">
      <w:start w:val="0"/>
      <w:numFmt w:val="bullet"/>
      <w:lvlText w:val="•"/>
      <w:lvlJc w:val="left"/>
      <w:pPr>
        <w:ind w:left="6987" w:hanging="360"/>
      </w:pPr>
      <w:rPr>
        <w:rFonts w:hint="default"/>
        <w:lang w:val="en-gb" w:eastAsia="en-gb" w:bidi="en-gb"/>
      </w:rPr>
    </w:lvl>
    <w:lvl w:ilvl="7">
      <w:start w:val="0"/>
      <w:numFmt w:val="bullet"/>
      <w:lvlText w:val="•"/>
      <w:lvlJc w:val="left"/>
      <w:pPr>
        <w:ind w:left="7992" w:hanging="360"/>
      </w:pPr>
      <w:rPr>
        <w:rFonts w:hint="default"/>
        <w:lang w:val="en-gb" w:eastAsia="en-gb" w:bidi="en-gb"/>
      </w:rPr>
    </w:lvl>
    <w:lvl w:ilvl="8">
      <w:start w:val="0"/>
      <w:numFmt w:val="bullet"/>
      <w:lvlText w:val="•"/>
      <w:lvlJc w:val="left"/>
      <w:pPr>
        <w:ind w:left="8997" w:hanging="360"/>
      </w:pPr>
      <w:rPr>
        <w:rFonts w:hint="default"/>
        <w:lang w:val="en-gb" w:eastAsia="en-gb" w:bidi="en-gb"/>
      </w:rPr>
    </w:lvl>
  </w:abstractNum>
  <w:abstractNum w:abstractNumId="1">
    <w:multiLevelType w:val="hybridMultilevel"/>
    <w:lvl w:ilvl="0">
      <w:start w:val="1"/>
      <w:numFmt w:val="decimal"/>
      <w:lvlText w:val="%1."/>
      <w:lvlJc w:val="left"/>
      <w:pPr>
        <w:ind w:left="233" w:hanging="277"/>
        <w:jc w:val="left"/>
      </w:pPr>
      <w:rPr>
        <w:rFonts w:hint="default"/>
        <w:w w:val="99"/>
        <w:lang w:val="en-gb" w:eastAsia="en-gb" w:bidi="en-gb"/>
      </w:rPr>
    </w:lvl>
    <w:lvl w:ilvl="1">
      <w:start w:val="1"/>
      <w:numFmt w:val="decimal"/>
      <w:lvlText w:val="%2."/>
      <w:lvlJc w:val="left"/>
      <w:pPr>
        <w:ind w:left="953" w:hanging="360"/>
        <w:jc w:val="left"/>
      </w:pPr>
      <w:rPr>
        <w:rFonts w:hint="default" w:ascii="Arial" w:hAnsi="Arial" w:eastAsia="Arial" w:cs="Arial"/>
        <w:spacing w:val="-1"/>
        <w:w w:val="99"/>
        <w:sz w:val="20"/>
        <w:szCs w:val="20"/>
        <w:lang w:val="en-gb" w:eastAsia="en-gb" w:bidi="en-gb"/>
      </w:rPr>
    </w:lvl>
    <w:lvl w:ilvl="2">
      <w:start w:val="0"/>
      <w:numFmt w:val="bullet"/>
      <w:lvlText w:val="•"/>
      <w:lvlJc w:val="left"/>
      <w:pPr>
        <w:ind w:left="2076" w:hanging="360"/>
      </w:pPr>
      <w:rPr>
        <w:rFonts w:hint="default"/>
        <w:lang w:val="en-gb" w:eastAsia="en-gb" w:bidi="en-gb"/>
      </w:rPr>
    </w:lvl>
    <w:lvl w:ilvl="3">
      <w:start w:val="0"/>
      <w:numFmt w:val="bullet"/>
      <w:lvlText w:val="•"/>
      <w:lvlJc w:val="left"/>
      <w:pPr>
        <w:ind w:left="3192" w:hanging="360"/>
      </w:pPr>
      <w:rPr>
        <w:rFonts w:hint="default"/>
        <w:lang w:val="en-gb" w:eastAsia="en-gb" w:bidi="en-gb"/>
      </w:rPr>
    </w:lvl>
    <w:lvl w:ilvl="4">
      <w:start w:val="0"/>
      <w:numFmt w:val="bullet"/>
      <w:lvlText w:val="•"/>
      <w:lvlJc w:val="left"/>
      <w:pPr>
        <w:ind w:left="4308" w:hanging="360"/>
      </w:pPr>
      <w:rPr>
        <w:rFonts w:hint="default"/>
        <w:lang w:val="en-gb" w:eastAsia="en-gb" w:bidi="en-gb"/>
      </w:rPr>
    </w:lvl>
    <w:lvl w:ilvl="5">
      <w:start w:val="0"/>
      <w:numFmt w:val="bullet"/>
      <w:lvlText w:val="•"/>
      <w:lvlJc w:val="left"/>
      <w:pPr>
        <w:ind w:left="5425" w:hanging="360"/>
      </w:pPr>
      <w:rPr>
        <w:rFonts w:hint="default"/>
        <w:lang w:val="en-gb" w:eastAsia="en-gb" w:bidi="en-gb"/>
      </w:rPr>
    </w:lvl>
    <w:lvl w:ilvl="6">
      <w:start w:val="0"/>
      <w:numFmt w:val="bullet"/>
      <w:lvlText w:val="•"/>
      <w:lvlJc w:val="left"/>
      <w:pPr>
        <w:ind w:left="6541" w:hanging="360"/>
      </w:pPr>
      <w:rPr>
        <w:rFonts w:hint="default"/>
        <w:lang w:val="en-gb" w:eastAsia="en-gb" w:bidi="en-gb"/>
      </w:rPr>
    </w:lvl>
    <w:lvl w:ilvl="7">
      <w:start w:val="0"/>
      <w:numFmt w:val="bullet"/>
      <w:lvlText w:val="•"/>
      <w:lvlJc w:val="left"/>
      <w:pPr>
        <w:ind w:left="7657" w:hanging="360"/>
      </w:pPr>
      <w:rPr>
        <w:rFonts w:hint="default"/>
        <w:lang w:val="en-gb" w:eastAsia="en-gb" w:bidi="en-gb"/>
      </w:rPr>
    </w:lvl>
    <w:lvl w:ilvl="8">
      <w:start w:val="0"/>
      <w:numFmt w:val="bullet"/>
      <w:lvlText w:val="•"/>
      <w:lvlJc w:val="left"/>
      <w:pPr>
        <w:ind w:left="8773" w:hanging="360"/>
      </w:pPr>
      <w:rPr>
        <w:rFonts w:hint="default"/>
        <w:lang w:val="en-gb" w:eastAsia="en-gb" w:bidi="en-gb"/>
      </w:rPr>
    </w:lvl>
  </w:abstractNum>
  <w:abstractNum w:abstractNumId="0">
    <w:multiLevelType w:val="hybridMultilevel"/>
    <w:lvl w:ilvl="0">
      <w:start w:val="1"/>
      <w:numFmt w:val="decimal"/>
      <w:lvlText w:val="%1."/>
      <w:lvlJc w:val="left"/>
      <w:pPr>
        <w:ind w:left="593"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640" w:hanging="360"/>
      </w:pPr>
      <w:rPr>
        <w:rFonts w:hint="default"/>
        <w:lang w:val="en-gb" w:eastAsia="en-gb" w:bidi="en-gb"/>
      </w:rPr>
    </w:lvl>
    <w:lvl w:ilvl="2">
      <w:start w:val="0"/>
      <w:numFmt w:val="bullet"/>
      <w:lvlText w:val="•"/>
      <w:lvlJc w:val="left"/>
      <w:pPr>
        <w:ind w:left="2681" w:hanging="360"/>
      </w:pPr>
      <w:rPr>
        <w:rFonts w:hint="default"/>
        <w:lang w:val="en-gb" w:eastAsia="en-gb" w:bidi="en-gb"/>
      </w:rPr>
    </w:lvl>
    <w:lvl w:ilvl="3">
      <w:start w:val="0"/>
      <w:numFmt w:val="bullet"/>
      <w:lvlText w:val="•"/>
      <w:lvlJc w:val="left"/>
      <w:pPr>
        <w:ind w:left="3721" w:hanging="360"/>
      </w:pPr>
      <w:rPr>
        <w:rFonts w:hint="default"/>
        <w:lang w:val="en-gb" w:eastAsia="en-gb" w:bidi="en-gb"/>
      </w:rPr>
    </w:lvl>
    <w:lvl w:ilvl="4">
      <w:start w:val="0"/>
      <w:numFmt w:val="bullet"/>
      <w:lvlText w:val="•"/>
      <w:lvlJc w:val="left"/>
      <w:pPr>
        <w:ind w:left="4762" w:hanging="360"/>
      </w:pPr>
      <w:rPr>
        <w:rFonts w:hint="default"/>
        <w:lang w:val="en-gb" w:eastAsia="en-gb" w:bidi="en-gb"/>
      </w:rPr>
    </w:lvl>
    <w:lvl w:ilvl="5">
      <w:start w:val="0"/>
      <w:numFmt w:val="bullet"/>
      <w:lvlText w:val="•"/>
      <w:lvlJc w:val="left"/>
      <w:pPr>
        <w:ind w:left="5803" w:hanging="360"/>
      </w:pPr>
      <w:rPr>
        <w:rFonts w:hint="default"/>
        <w:lang w:val="en-gb" w:eastAsia="en-gb" w:bidi="en-gb"/>
      </w:rPr>
    </w:lvl>
    <w:lvl w:ilvl="6">
      <w:start w:val="0"/>
      <w:numFmt w:val="bullet"/>
      <w:lvlText w:val="•"/>
      <w:lvlJc w:val="left"/>
      <w:pPr>
        <w:ind w:left="6843" w:hanging="360"/>
      </w:pPr>
      <w:rPr>
        <w:rFonts w:hint="default"/>
        <w:lang w:val="en-gb" w:eastAsia="en-gb" w:bidi="en-gb"/>
      </w:rPr>
    </w:lvl>
    <w:lvl w:ilvl="7">
      <w:start w:val="0"/>
      <w:numFmt w:val="bullet"/>
      <w:lvlText w:val="•"/>
      <w:lvlJc w:val="left"/>
      <w:pPr>
        <w:ind w:left="7884" w:hanging="360"/>
      </w:pPr>
      <w:rPr>
        <w:rFonts w:hint="default"/>
        <w:lang w:val="en-gb" w:eastAsia="en-gb" w:bidi="en-gb"/>
      </w:rPr>
    </w:lvl>
    <w:lvl w:ilvl="8">
      <w:start w:val="0"/>
      <w:numFmt w:val="bullet"/>
      <w:lvlText w:val="•"/>
      <w:lvlJc w:val="left"/>
      <w:pPr>
        <w:ind w:left="8925" w:hanging="360"/>
      </w:pPr>
      <w:rPr>
        <w:rFonts w:hint="default"/>
        <w:lang w:val="en-gb" w:eastAsia="en-gb" w:bidi="en-gb"/>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0"/>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233"/>
      <w:outlineLvl w:val="2"/>
    </w:pPr>
    <w:rPr>
      <w:rFonts w:ascii="Arial" w:hAnsi="Arial" w:eastAsia="Arial" w:cs="Arial"/>
      <w:sz w:val="24"/>
      <w:szCs w:val="24"/>
      <w:lang w:val="en-gb" w:eastAsia="en-gb" w:bidi="en-gb"/>
    </w:rPr>
  </w:style>
  <w:style w:styleId="Heading3" w:type="paragraph">
    <w:name w:val="Heading 3"/>
    <w:basedOn w:val="Normal"/>
    <w:uiPriority w:val="1"/>
    <w:qFormat/>
    <w:pPr>
      <w:ind w:left="593" w:hanging="361"/>
      <w:outlineLvl w:val="3"/>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36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hyperlink" Target="http://www.rbnz.govt.nz/monetary_policy/about_monetary_policy/2851362.html" TargetMode="External"/><Relationship Id="rId15" Type="http://schemas.openxmlformats.org/officeDocument/2006/relationships/footer" Target="footer9.xml"/><Relationship Id="rId16" Type="http://schemas.openxmlformats.org/officeDocument/2006/relationships/hyperlink" Target="http://www.mirror.co.uk/money/city-news/bank-england-interest-rates-could-2137614#ixzz3DfexGCLM" TargetMode="External"/><Relationship Id="rId17" Type="http://schemas.openxmlformats.org/officeDocument/2006/relationships/hyperlink" Target="http://www.express.co.uk/news/uk/425331/I-will-keep-rates-low-for-3-years-says-Bank-of-England-boss" TargetMode="Externa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hyperlink" Target="http://www.riksbank.se/" TargetMode="External"/><Relationship Id="rId21" Type="http://schemas.openxmlformats.org/officeDocument/2006/relationships/hyperlink" Target="http://www.federalreserve.gov/" TargetMode="External"/><Relationship Id="rId22" Type="http://schemas.openxmlformats.org/officeDocument/2006/relationships/hyperlink" Target="http://www.bankofengland.co.uk/research/Documents/pdf/gilboa_0414.pdf" TargetMode="External"/><Relationship Id="rId23" Type="http://schemas.openxmlformats.org/officeDocument/2006/relationships/footer" Target="footer12.xm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Mensch tracht, und Gott lacht: Giving guidance on future monetary policy - speech by David Miles</dc:title>
  <dcterms:created xsi:type="dcterms:W3CDTF">2020-06-02T17:54:49Z</dcterms:created>
  <dcterms:modified xsi:type="dcterms:W3CDTF">2020-06-02T17:54:49Z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2014-09-30T00:00:00Z</vt:filetime>
  </property>
  <property fmtid="{D5CDD505-2E9C-101B-9397-08002B2CF9AE}" pid="3" name="LastSaved">
    <vt:filetime>2020-06-02T00:00:00Z</vt:filetime>
  </property>
</Properties>
</file>