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bookmarkStart w:name="_bookmark0" w:id="1"/>
      <w:bookmarkEnd w:id="1"/>
      <w:r>
        <w:rPr/>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and the Exchange Rate</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John Vickers, Executive Director and Chief Economist, Bank of England</w:t>
      </w:r>
    </w:p>
    <w:p>
      <w:pPr>
        <w:pStyle w:val="BodyText"/>
        <w:rPr>
          <w:rFonts w:ascii="Arial"/>
          <w:sz w:val="26"/>
        </w:rPr>
      </w:pPr>
    </w:p>
    <w:p>
      <w:pPr>
        <w:pStyle w:val="BodyText"/>
        <w:rPr>
          <w:rFonts w:ascii="Arial"/>
          <w:sz w:val="22"/>
        </w:rPr>
      </w:pPr>
    </w:p>
    <w:p>
      <w:pPr>
        <w:pStyle w:val="BodyText"/>
        <w:spacing w:line="360" w:lineRule="auto"/>
        <w:ind w:left="352" w:right="5162"/>
        <w:rPr>
          <w:rFonts w:ascii="Arial"/>
        </w:rPr>
      </w:pPr>
      <w:r>
        <w:rPr>
          <w:rFonts w:ascii="Arial"/>
        </w:rPr>
        <w:t>At the Agricultural Engineers Association 18 April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04" w:firstLine="0"/>
        <w:jc w:val="left"/>
        <w:rPr>
          <w:rFonts w:ascii="Arial"/>
          <w:sz w:val="20"/>
        </w:rPr>
      </w:pPr>
      <w:r>
        <w:rPr>
          <w:rFonts w:ascii="Arial"/>
          <w:sz w:val="20"/>
        </w:rPr>
        <w:t>This paper is the basis for a speech to the 125th anniversary conference of the Agricultural Engineers Association in London on 18 April 2000. Richard Harrison contributed much to this paper, particularly the Annex, and so did Phil Evans. I am grateful also to a number of other colleagues at the Bank of England for helpful comments and discussions, but of course I am responsible for all views expressed in the paper.</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pPr>
      <w:bookmarkStart w:name="Introduction" w:id="2"/>
      <w:bookmarkEnd w:id="2"/>
      <w:r>
        <w:rPr>
          <w:b w:val="0"/>
        </w:rPr>
      </w:r>
      <w:r>
        <w:rPr/>
        <w:t>Introduction</w:t>
      </w:r>
    </w:p>
    <w:p>
      <w:pPr>
        <w:pStyle w:val="BodyText"/>
        <w:rPr>
          <w:b/>
          <w:sz w:val="26"/>
        </w:rPr>
      </w:pPr>
    </w:p>
    <w:p>
      <w:pPr>
        <w:pStyle w:val="BodyText"/>
        <w:spacing w:before="5"/>
        <w:rPr>
          <w:b/>
          <w:sz w:val="23"/>
        </w:rPr>
      </w:pPr>
    </w:p>
    <w:p>
      <w:pPr>
        <w:pStyle w:val="BodyText"/>
        <w:spacing w:line="369" w:lineRule="auto"/>
        <w:ind w:left="140"/>
      </w:pPr>
      <w:r>
        <w:rPr/>
        <w:t>Mr President, it is a great honour to be invited to speak at this conference celebrating the 125</w:t>
      </w:r>
      <w:r>
        <w:rPr>
          <w:vertAlign w:val="superscript"/>
        </w:rPr>
        <w:t>th</w:t>
      </w:r>
      <w:r>
        <w:rPr>
          <w:vertAlign w:val="baseline"/>
        </w:rPr>
        <w:t> anniversary of your Association, and I would first like to express my thanks, and those of the Bank, for the opportunity to do so.</w:t>
      </w:r>
    </w:p>
    <w:p>
      <w:pPr>
        <w:pStyle w:val="BodyText"/>
        <w:spacing w:before="10"/>
        <w:rPr>
          <w:sz w:val="36"/>
        </w:rPr>
      </w:pPr>
    </w:p>
    <w:p>
      <w:pPr>
        <w:pStyle w:val="BodyText"/>
        <w:spacing w:line="367" w:lineRule="auto"/>
        <w:ind w:left="140" w:right="162"/>
      </w:pPr>
      <w:r>
        <w:rPr/>
        <w:t>When </w:t>
      </w:r>
      <w:r>
        <w:rPr>
          <w:spacing w:val="-3"/>
        </w:rPr>
        <w:t>your </w:t>
      </w:r>
      <w:r>
        <w:rPr/>
        <w:t>Association was founded in 1875, between a fifth and a quarter of the British workforce was in agriculture. Now that figure is about 2%, though with many more people dependent on agriculture within rural communities and supplying industries. The long-run decrease in the proportion of the population in agriculture is in part a reflection of positive factors</w:t>
      </w:r>
      <w:r>
        <w:rPr>
          <w:rFonts w:ascii="Symbol" w:hAnsi="Symbol"/>
        </w:rPr>
        <w:t></w:t>
      </w:r>
      <w:r>
        <w:rPr/>
        <w:t>the productivity gains that have been achieved in farming and the fact that, as incomes have risen generally, a smaller share of income needs to be spent on agricultural products. More, however, is spent on other activities served by members of </w:t>
      </w:r>
      <w:r>
        <w:rPr>
          <w:spacing w:val="-3"/>
        </w:rPr>
        <w:t>your </w:t>
      </w:r>
      <w:r>
        <w:rPr/>
        <w:t>Association</w:t>
      </w:r>
      <w:r>
        <w:rPr>
          <w:rFonts w:ascii="Symbol" w:hAnsi="Symbol"/>
        </w:rPr>
        <w:t></w:t>
      </w:r>
      <w:r>
        <w:rPr/>
        <w:t>for example outdoor and sports activities such as golf. But since the Monetary Policy Committee is said to possess just one golf club, I am not sure that we are very good</w:t>
      </w:r>
      <w:r>
        <w:rPr>
          <w:spacing w:val="-19"/>
        </w:rPr>
        <w:t> </w:t>
      </w:r>
      <w:r>
        <w:rPr/>
        <w:t>customers.</w:t>
      </w:r>
    </w:p>
    <w:p>
      <w:pPr>
        <w:pStyle w:val="BodyText"/>
        <w:spacing w:before="8"/>
        <w:rPr>
          <w:sz w:val="37"/>
        </w:rPr>
      </w:pPr>
    </w:p>
    <w:p>
      <w:pPr>
        <w:pStyle w:val="BodyText"/>
        <w:spacing w:line="369" w:lineRule="auto"/>
        <w:ind w:left="140" w:right="219"/>
      </w:pPr>
      <w:r>
        <w:rPr/>
        <w:t>The last few years, however, have been marked by a severe combination of negative factors for agriculture and its supplying industries, especially those in manufacturing. Agricultural prices have been very depressed globally. Acute pressures have resulted from the BSE crisis. And the exchange rate, which rose more than 20% from mid-1996 to mid-1997, has since strengthened further, particularly in relation to the euro. All in all the MAFF index of agricultural prices has fallen by around 30% since mid- 1996</w:t>
      </w:r>
      <w:r>
        <w:rPr>
          <w:rFonts w:ascii="Symbol" w:hAnsi="Symbol"/>
        </w:rPr>
        <w:t></w:t>
      </w:r>
      <w:r>
        <w:rPr/>
        <w:t>see Chart 1.</w:t>
      </w:r>
    </w:p>
    <w:p>
      <w:pPr>
        <w:pStyle w:val="BodyText"/>
        <w:rPr>
          <w:sz w:val="22"/>
        </w:rPr>
      </w:pPr>
    </w:p>
    <w:p>
      <w:pPr>
        <w:spacing w:before="91"/>
        <w:ind w:left="176" w:right="0" w:firstLine="0"/>
        <w:jc w:val="left"/>
        <w:rPr>
          <w:b/>
          <w:sz w:val="20"/>
        </w:rPr>
      </w:pPr>
      <w:r>
        <w:rPr>
          <w:b/>
          <w:sz w:val="20"/>
        </w:rPr>
        <w:t>Chart 1</w:t>
      </w:r>
    </w:p>
    <w:p>
      <w:pPr>
        <w:pStyle w:val="BodyText"/>
        <w:rPr>
          <w:b/>
          <w:sz w:val="20"/>
        </w:rPr>
      </w:pPr>
    </w:p>
    <w:p>
      <w:pPr>
        <w:spacing w:after="0"/>
        <w:rPr>
          <w:sz w:val="20"/>
        </w:rPr>
        <w:sectPr>
          <w:footerReference w:type="default" r:id="rId7"/>
          <w:pgSz w:w="11900" w:h="16840"/>
          <w:pgMar w:footer="738" w:header="0" w:top="1080" w:bottom="920" w:left="1560" w:right="1560"/>
          <w:pgNumType w:start="2"/>
        </w:sectPr>
      </w:pPr>
    </w:p>
    <w:p>
      <w:pPr>
        <w:pStyle w:val="BodyText"/>
        <w:spacing w:before="5"/>
        <w:rPr>
          <w:b/>
          <w:sz w:val="20"/>
        </w:rPr>
      </w:pPr>
    </w:p>
    <w:p>
      <w:pPr>
        <w:spacing w:before="0"/>
        <w:ind w:left="142" w:right="0" w:firstLine="0"/>
        <w:jc w:val="left"/>
        <w:rPr>
          <w:b/>
          <w:sz w:val="16"/>
        </w:rPr>
      </w:pPr>
      <w:r>
        <w:rPr>
          <w:b/>
          <w:spacing w:val="-4"/>
          <w:sz w:val="16"/>
        </w:rPr>
        <w:t>MAFF </w:t>
      </w:r>
      <w:r>
        <w:rPr>
          <w:b/>
          <w:spacing w:val="-5"/>
          <w:sz w:val="16"/>
        </w:rPr>
        <w:t>index </w:t>
      </w:r>
      <w:r>
        <w:rPr>
          <w:b/>
          <w:sz w:val="16"/>
        </w:rPr>
        <w:t>of </w:t>
      </w:r>
      <w:r>
        <w:rPr>
          <w:b/>
          <w:spacing w:val="-7"/>
          <w:sz w:val="16"/>
        </w:rPr>
        <w:t>agricultural </w:t>
      </w:r>
      <w:r>
        <w:rPr>
          <w:b/>
          <w:spacing w:val="-5"/>
          <w:sz w:val="16"/>
        </w:rPr>
        <w:t>prices</w:t>
      </w:r>
    </w:p>
    <w:p>
      <w:pPr>
        <w:pStyle w:val="BodyText"/>
        <w:rPr>
          <w:b/>
          <w:sz w:val="12"/>
        </w:rPr>
      </w:pPr>
      <w:r>
        <w:rPr/>
        <w:br w:type="column"/>
      </w:r>
      <w:r>
        <w:rPr>
          <w:b/>
          <w:sz w:val="12"/>
        </w:rPr>
      </w:r>
    </w:p>
    <w:p>
      <w:pPr>
        <w:pStyle w:val="BodyText"/>
        <w:rPr>
          <w:b/>
          <w:sz w:val="12"/>
        </w:rPr>
      </w:pPr>
    </w:p>
    <w:p>
      <w:pPr>
        <w:spacing w:before="71"/>
        <w:ind w:left="142" w:right="0" w:firstLine="0"/>
        <w:jc w:val="left"/>
        <w:rPr>
          <w:sz w:val="11"/>
        </w:rPr>
      </w:pPr>
      <w:r>
        <w:rPr>
          <w:sz w:val="11"/>
        </w:rPr>
        <w:t>Index 1990 =100</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6"/>
        <w:rPr>
          <w:sz w:val="13"/>
        </w:rPr>
      </w:pPr>
    </w:p>
    <w:p>
      <w:pPr>
        <w:spacing w:before="1"/>
        <w:ind w:left="-12" w:right="0" w:firstLine="0"/>
        <w:jc w:val="left"/>
        <w:rPr>
          <w:sz w:val="11"/>
        </w:rPr>
      </w:pPr>
      <w:r>
        <w:rPr>
          <w:spacing w:val="3"/>
          <w:sz w:val="11"/>
        </w:rPr>
        <w:t>110</w:t>
      </w:r>
    </w:p>
    <w:p>
      <w:pPr>
        <w:pStyle w:val="BodyText"/>
        <w:spacing w:before="3"/>
        <w:rPr>
          <w:sz w:val="10"/>
        </w:rPr>
      </w:pPr>
    </w:p>
    <w:p>
      <w:pPr>
        <w:spacing w:before="0"/>
        <w:ind w:left="-12" w:right="0" w:firstLine="0"/>
        <w:jc w:val="left"/>
        <w:rPr>
          <w:sz w:val="11"/>
        </w:rPr>
      </w:pPr>
      <w:r>
        <w:rPr>
          <w:spacing w:val="3"/>
          <w:sz w:val="11"/>
        </w:rPr>
        <w:t>105</w:t>
      </w:r>
    </w:p>
    <w:p>
      <w:pPr>
        <w:pStyle w:val="BodyText"/>
        <w:spacing w:before="3"/>
        <w:rPr>
          <w:sz w:val="10"/>
        </w:rPr>
      </w:pPr>
    </w:p>
    <w:p>
      <w:pPr>
        <w:spacing w:before="0"/>
        <w:ind w:left="-12" w:right="0" w:firstLine="0"/>
        <w:jc w:val="left"/>
        <w:rPr>
          <w:sz w:val="11"/>
        </w:rPr>
      </w:pPr>
      <w:r>
        <w:rPr>
          <w:spacing w:val="3"/>
          <w:sz w:val="11"/>
        </w:rPr>
        <w:t>100</w:t>
      </w:r>
    </w:p>
    <w:p>
      <w:pPr>
        <w:spacing w:after="0"/>
        <w:jc w:val="left"/>
        <w:rPr>
          <w:sz w:val="11"/>
        </w:rPr>
        <w:sectPr>
          <w:type w:val="continuous"/>
          <w:pgSz w:w="11900" w:h="16840"/>
          <w:pgMar w:top="1180" w:bottom="280" w:left="1560" w:right="1560"/>
          <w:cols w:num="3" w:equalWidth="0">
            <w:col w:w="2440" w:space="65"/>
            <w:col w:w="945" w:space="40"/>
            <w:col w:w="5290"/>
          </w:cols>
        </w:sectPr>
      </w:pPr>
    </w:p>
    <w:p>
      <w:pPr>
        <w:pStyle w:val="BodyText"/>
        <w:spacing w:before="4"/>
        <w:rPr>
          <w:sz w:val="11"/>
        </w:rPr>
      </w:pPr>
    </w:p>
    <w:p>
      <w:pPr>
        <w:spacing w:before="0"/>
        <w:ind w:left="0" w:right="1701" w:firstLine="0"/>
        <w:jc w:val="center"/>
        <w:rPr>
          <w:sz w:val="11"/>
        </w:rPr>
      </w:pPr>
      <w:r>
        <w:rPr/>
        <w:pict>
          <v:group style="position:absolute;margin-left:90.870758pt;margin-top:-33.684311pt;width:158.550pt;height:123.6pt;mso-position-horizontal-relative:page;mso-position-vertical-relative:paragraph;z-index:251660288" coordorigin="1817,-674" coordsize="3171,2472">
            <v:shape style="position:absolute;left:1822;top:-673;width:3166;height:2470" coordorigin="1822,-672" coordsize="3166,2470" path="m4959,-672l4959,1797m4959,1797l4988,1797m4959,1552l4988,1552m4959,1308l4988,1308m4959,1053l4988,1053m4959,808l4988,808m4959,564l4988,564m4959,319l4988,319m4959,72l4988,72m4959,-183l4988,-183m4959,-428l4988,-428m4959,-672l4988,-672m1822,1797l4959,1797m1822,1797l1822,1766m2144,1797l2144,1766m2454,1797l2454,1766m2775,1797l2775,1766m3085,1797l3085,1766m3406,1797l3406,1766m3716,1797l3716,1766m4038,1797l4038,1766m4357,1797l4357,1766m4669,1797l4669,1766e" filled="false" stroked="true" strokeweight=".12pt" strokecolor="#000000">
              <v:path arrowok="t"/>
              <v:stroke dashstyle="solid"/>
            </v:shape>
            <v:line style="position:absolute" from="1822,482" to="1854,420" stroked="true" strokeweight=".502224pt" strokecolor="#000080">
              <v:stroke dashstyle="solid"/>
            </v:line>
            <v:line style="position:absolute" from="1854,420" to="1873,348" stroked="true" strokeweight=".500974pt" strokecolor="#000080">
              <v:stroke dashstyle="solid"/>
            </v:line>
            <v:shape style="position:absolute;left:1890;top:5875;width:2348;height:1104" coordorigin="1890,5876" coordsize="2348,1104" path="m1873,348l1902,379m1902,379l1933,492m1933,492l1952,573m1952,573l1983,451m1983,451l2002,532m2002,532l2034,564m2034,564l2062,645m2062,645l2084,736m2084,736l2113,664m2113,664l2144,592m2144,592l2163,482m2163,482l2194,470m2194,470l2214,501m2214,501l2242,552m2242,552l2274,420m2274,420l2293,511m2293,511l2324,655m2324,655l2353,705m2353,705l2374,624m2374,624l2403,633m2403,633l2425,532m2425,532l2454,460m2454,460l2485,379m2485,379l2504,388m2504,388l2533,400m2533,400l2564,492m2564,492l2583,624m2583,624l2614,429m2614,429l2643,552m2643,552l2665,564m2665,564l2694,511m2694,511l2715,564m2715,564l2744,451m2744,451l2775,379m2775,379l2794,256m2794,256l2826,134m2826,134l2854,112m2854,112l2874,153m2874,153l2905,165m2905,165l2924,112m2924,112l2955,288m2955,288l2984,429m2984,429l3006,429m3006,429l3034,523m3034,523l3066,451m3066,451l3085,532m3085,532l3116,460m3116,460l3145,348m3145,348l3166,297m3166,297l3195,165m3195,165l3214,144m3214,144l3246,247m3246,247l3274,247m3274,247l3296,165m3296,165l3325,307m3325,307l3356,165m3356,165l3375,72m3375,72l3406,-80m3406,-80l3426,-224m3426,-224l3457,-315m3457,-315l3486,-296m3486,-296l3507,-243m3507,-243l3536,-51m3536,-51l3567,-10m3567,-10l3586,-80m3586,-80l3615,-243m3615,-243l3637,-202m3637,-202l3666,-214m3666,-214l3697,-315m3697,-315l3716,-315m3716,-315l3747,-365m3747,-365l3776,-377m3776,-377l3798,-315m3798,-315l3826,-173m3826,-173l3858,-192m3858,-192l3877,-120m3877,-120l3908,72m3908,72l3927,144m3927,144l3956,256m3956,256l3987,235m3987,235l4006,194m4006,194l4038,206m4038,206l4066,319m4066,319l4088,360m4088,360l4117,592m4117,592l4138,633m4138,633l4167,482m4167,482l4198,492e" filled="false" stroked="true" strokeweight=".505025pt" strokecolor="#000080">
              <v:path arrowok="t"/>
              <v:stroke dashstyle="solid"/>
            </v:shape>
            <v:line style="position:absolute" from="4208,487" to="4208,691" stroked="true" strokeweight="1.460533pt" strokecolor="#000080">
              <v:stroke dashstyle="solid"/>
            </v:line>
            <v:shape style="position:absolute;left:4256;top:5300;width:698;height:626" coordorigin="4257,5300" coordsize="698,626" path="m4218,686l4246,705m4246,705l4278,828m4278,828l4297,849m4297,849l4328,868m4328,868l4357,919m4357,919l4379,940m4379,940l4407,931m4407,931l4429,991m4429,991l4458,931m4458,931l4489,828m4489,828l4508,808m4508,808l4539,960m4539,960l4568,1135m4568,1135l4587,1104m4587,1104l4618,1032m4618,1032l4638,940m4638,940l4669,940m4669,940l4698,868m4698,868l4719,878m4719,878l4748,972m4748,972l4779,1063m4779,1063l4799,1154m4799,1154l4830,1104m4830,1104l4849,1135m4849,1135l4880,1245m4880,1245l4909,1317e" filled="false" stroked="true" strokeweight=".505025pt" strokecolor="#000080">
              <v:path arrowok="t"/>
              <v:stroke dashstyle="solid"/>
            </v:shape>
            <v:line style="position:absolute" from="4909,1317" to="4928,1245" stroked="true" strokeweight=".500974pt" strokecolor="#000080">
              <v:stroke dashstyle="solid"/>
            </v:line>
            <v:line style="position:absolute" from="4928,1245" to="4959,1267" stroked="true" strokeweight=".506671pt" strokecolor="#000080">
              <v:stroke dashstyle="solid"/>
            </v:line>
            <w10:wrap type="none"/>
          </v:group>
        </w:pict>
      </w:r>
      <w:r>
        <w:rPr>
          <w:spacing w:val="3"/>
          <w:sz w:val="11"/>
        </w:rPr>
        <w:t>95</w:t>
      </w:r>
    </w:p>
    <w:p>
      <w:pPr>
        <w:pStyle w:val="BodyText"/>
        <w:spacing w:before="3"/>
        <w:rPr>
          <w:sz w:val="10"/>
        </w:rPr>
      </w:pPr>
    </w:p>
    <w:p>
      <w:pPr>
        <w:spacing w:before="0"/>
        <w:ind w:left="0" w:right="1701" w:firstLine="0"/>
        <w:jc w:val="center"/>
        <w:rPr>
          <w:sz w:val="11"/>
        </w:rPr>
      </w:pPr>
      <w:r>
        <w:rPr>
          <w:spacing w:val="3"/>
          <w:sz w:val="11"/>
        </w:rPr>
        <w:t>90</w:t>
      </w:r>
    </w:p>
    <w:p>
      <w:pPr>
        <w:pStyle w:val="BodyText"/>
        <w:spacing w:before="4"/>
        <w:rPr>
          <w:sz w:val="10"/>
        </w:rPr>
      </w:pPr>
    </w:p>
    <w:p>
      <w:pPr>
        <w:spacing w:before="0"/>
        <w:ind w:left="0" w:right="1701" w:firstLine="0"/>
        <w:jc w:val="center"/>
        <w:rPr>
          <w:sz w:val="11"/>
        </w:rPr>
      </w:pPr>
      <w:r>
        <w:rPr>
          <w:spacing w:val="3"/>
          <w:sz w:val="11"/>
        </w:rPr>
        <w:t>85</w:t>
      </w:r>
    </w:p>
    <w:p>
      <w:pPr>
        <w:pStyle w:val="BodyText"/>
        <w:spacing w:before="3"/>
        <w:rPr>
          <w:sz w:val="10"/>
        </w:rPr>
      </w:pPr>
    </w:p>
    <w:p>
      <w:pPr>
        <w:spacing w:before="0"/>
        <w:ind w:left="0" w:right="1701" w:firstLine="0"/>
        <w:jc w:val="center"/>
        <w:rPr>
          <w:sz w:val="11"/>
        </w:rPr>
      </w:pPr>
      <w:r>
        <w:rPr>
          <w:spacing w:val="3"/>
          <w:sz w:val="11"/>
        </w:rPr>
        <w:t>80</w:t>
      </w:r>
    </w:p>
    <w:p>
      <w:pPr>
        <w:pStyle w:val="BodyText"/>
        <w:spacing w:before="3"/>
        <w:rPr>
          <w:sz w:val="10"/>
        </w:rPr>
      </w:pPr>
    </w:p>
    <w:p>
      <w:pPr>
        <w:spacing w:before="0"/>
        <w:ind w:left="0" w:right="1701" w:firstLine="0"/>
        <w:jc w:val="center"/>
        <w:rPr>
          <w:sz w:val="11"/>
        </w:rPr>
      </w:pPr>
      <w:r>
        <w:rPr>
          <w:spacing w:val="3"/>
          <w:sz w:val="11"/>
        </w:rPr>
        <w:t>75</w:t>
      </w:r>
    </w:p>
    <w:p>
      <w:pPr>
        <w:pStyle w:val="BodyText"/>
        <w:spacing w:before="2"/>
        <w:rPr>
          <w:sz w:val="11"/>
        </w:rPr>
      </w:pPr>
    </w:p>
    <w:p>
      <w:pPr>
        <w:spacing w:before="0"/>
        <w:ind w:left="0" w:right="1701" w:firstLine="0"/>
        <w:jc w:val="center"/>
        <w:rPr>
          <w:sz w:val="11"/>
        </w:rPr>
      </w:pPr>
      <w:r>
        <w:rPr>
          <w:spacing w:val="3"/>
          <w:sz w:val="11"/>
        </w:rPr>
        <w:t>70</w:t>
      </w:r>
    </w:p>
    <w:p>
      <w:pPr>
        <w:pStyle w:val="BodyText"/>
        <w:spacing w:before="3"/>
        <w:rPr>
          <w:sz w:val="10"/>
        </w:rPr>
      </w:pPr>
    </w:p>
    <w:p>
      <w:pPr>
        <w:spacing w:before="0"/>
        <w:ind w:left="0" w:right="1701" w:firstLine="0"/>
        <w:jc w:val="center"/>
        <w:rPr>
          <w:sz w:val="11"/>
        </w:rPr>
      </w:pPr>
      <w:r>
        <w:rPr>
          <w:spacing w:val="3"/>
          <w:sz w:val="11"/>
        </w:rPr>
        <w:t>65</w:t>
      </w:r>
    </w:p>
    <w:p>
      <w:pPr>
        <w:pStyle w:val="BodyText"/>
        <w:spacing w:before="3"/>
        <w:rPr>
          <w:sz w:val="10"/>
        </w:rPr>
      </w:pPr>
    </w:p>
    <w:p>
      <w:pPr>
        <w:spacing w:before="0"/>
        <w:ind w:left="0" w:right="1701" w:firstLine="0"/>
        <w:jc w:val="center"/>
        <w:rPr>
          <w:sz w:val="11"/>
        </w:rPr>
      </w:pPr>
      <w:r>
        <w:rPr>
          <w:spacing w:val="3"/>
          <w:sz w:val="11"/>
        </w:rPr>
        <w:t>60</w:t>
      </w:r>
    </w:p>
    <w:p>
      <w:pPr>
        <w:spacing w:before="37"/>
        <w:ind w:left="0" w:right="5406" w:firstLine="0"/>
        <w:jc w:val="center"/>
        <w:rPr>
          <w:sz w:val="11"/>
        </w:rPr>
      </w:pPr>
      <w:r>
        <w:rPr>
          <w:sz w:val="11"/>
        </w:rPr>
        <w:t>1990 1991 1992 1993 1994 1995 1996 1997 1998 1999</w:t>
      </w:r>
    </w:p>
    <w:p>
      <w:pPr>
        <w:spacing w:after="0"/>
        <w:jc w:val="center"/>
        <w:rPr>
          <w:sz w:val="11"/>
        </w:rPr>
        <w:sectPr>
          <w:type w:val="continuous"/>
          <w:pgSz w:w="11900" w:h="16840"/>
          <w:pgMar w:top="1180" w:bottom="280" w:left="1560" w:right="1560"/>
        </w:sectPr>
      </w:pPr>
    </w:p>
    <w:p>
      <w:pPr>
        <w:pStyle w:val="BodyText"/>
        <w:spacing w:line="369" w:lineRule="auto" w:before="64"/>
        <w:ind w:left="140" w:right="268"/>
      </w:pPr>
      <w:r>
        <w:rPr/>
        <w:t>It is the exchange rate, and its relation to monetary policy, that I would like to discuss today. The success, or otherwise, of monetary policy should be judged by the record of price stability, for it is by securing and maintaining price stability that monetary policy can best make its contribution to conditions for economic success more generally.</w:t>
      </w:r>
    </w:p>
    <w:p>
      <w:pPr>
        <w:pStyle w:val="BodyText"/>
        <w:spacing w:before="9"/>
        <w:rPr>
          <w:sz w:val="36"/>
        </w:rPr>
      </w:pPr>
    </w:p>
    <w:p>
      <w:pPr>
        <w:pStyle w:val="BodyText"/>
        <w:spacing w:line="369" w:lineRule="auto" w:before="1"/>
        <w:ind w:left="140" w:right="137"/>
      </w:pPr>
      <w:r>
        <w:rPr/>
        <w:t>You will see from Chart 2 that Britain’s record of price stability since 1875 is decidedly mixed. Over 125 years the price level, as best we can measure it, has risen more than 40-fold. In the inflation generation from 1967-92, the price level rose more than eight- fold in the space of 25 years</w:t>
      </w:r>
      <w:r>
        <w:rPr>
          <w:rFonts w:ascii="Symbol" w:hAnsi="Symbol"/>
        </w:rPr>
        <w:t></w:t>
      </w:r>
      <w:r>
        <w:rPr/>
        <w:t>an average annual inflation rate of around 9%</w:t>
      </w:r>
      <w:r>
        <w:rPr>
          <w:rFonts w:ascii="Symbol" w:hAnsi="Symbol"/>
        </w:rPr>
        <w:t></w:t>
      </w:r>
      <w:r>
        <w:rPr/>
        <w:t>see Chart</w:t>
      </w:r>
    </w:p>
    <w:p>
      <w:pPr>
        <w:pStyle w:val="BodyText"/>
        <w:spacing w:line="367" w:lineRule="auto"/>
        <w:ind w:left="140"/>
      </w:pPr>
      <w:r>
        <w:rPr/>
        <w:t>3. Inflation then was volatile as well as high, and so too were interest rates and hence borrowing costs. The long-run decline in sterling’s exchange rate over the same period</w:t>
      </w:r>
      <w:r>
        <w:rPr>
          <w:rFonts w:ascii="Symbol" w:hAnsi="Symbol"/>
        </w:rPr>
        <w:t></w:t>
      </w:r>
      <w:r>
        <w:rPr/>
        <w:t>see Chart 4</w:t>
      </w:r>
      <w:r>
        <w:rPr>
          <w:rFonts w:ascii="Symbol" w:hAnsi="Symbol"/>
        </w:rPr>
        <w:t></w:t>
      </w:r>
      <w:r>
        <w:rPr/>
        <w:t>is in large part a reflection of the UK’s relatively poor inflation record.</w:t>
      </w:r>
    </w:p>
    <w:p>
      <w:pPr>
        <w:pStyle w:val="BodyText"/>
        <w:rPr>
          <w:sz w:val="20"/>
        </w:rPr>
      </w:pPr>
    </w:p>
    <w:p>
      <w:pPr>
        <w:pStyle w:val="BodyText"/>
        <w:spacing w:before="1"/>
        <w:rPr>
          <w:sz w:val="23"/>
        </w:rPr>
      </w:pPr>
    </w:p>
    <w:p>
      <w:pPr>
        <w:tabs>
          <w:tab w:pos="4783" w:val="left" w:leader="none"/>
        </w:tabs>
        <w:spacing w:before="91"/>
        <w:ind w:left="176" w:right="0" w:firstLine="0"/>
        <w:jc w:val="left"/>
        <w:rPr>
          <w:b/>
          <w:sz w:val="20"/>
        </w:rPr>
      </w:pPr>
      <w:r>
        <w:rPr>
          <w:b/>
          <w:sz w:val="20"/>
        </w:rPr>
        <w:t>Chart</w:t>
      </w:r>
      <w:r>
        <w:rPr>
          <w:b/>
          <w:spacing w:val="-1"/>
          <w:sz w:val="20"/>
        </w:rPr>
        <w:t> </w:t>
      </w:r>
      <w:r>
        <w:rPr>
          <w:b/>
          <w:sz w:val="20"/>
        </w:rPr>
        <w:t>2</w:t>
        <w:tab/>
        <w:t>Chart 3</w:t>
      </w:r>
    </w:p>
    <w:p>
      <w:pPr>
        <w:pStyle w:val="BodyText"/>
        <w:spacing w:before="9"/>
        <w:rPr>
          <w:b/>
          <w:sz w:val="26"/>
        </w:rPr>
      </w:pPr>
    </w:p>
    <w:p>
      <w:pPr>
        <w:spacing w:after="0"/>
        <w:rPr>
          <w:sz w:val="26"/>
        </w:rPr>
        <w:sectPr>
          <w:pgSz w:w="11900" w:h="16840"/>
          <w:pgMar w:header="0" w:footer="738" w:top="1500" w:bottom="920" w:left="1560" w:right="1560"/>
        </w:sectPr>
      </w:pPr>
    </w:p>
    <w:p>
      <w:pPr>
        <w:tabs>
          <w:tab w:pos="3075" w:val="left" w:leader="none"/>
        </w:tabs>
        <w:spacing w:before="92"/>
        <w:ind w:left="317" w:right="0" w:firstLine="0"/>
        <w:jc w:val="left"/>
        <w:rPr>
          <w:sz w:val="12"/>
        </w:rPr>
      </w:pPr>
      <w:r>
        <w:rPr>
          <w:b/>
          <w:sz w:val="18"/>
        </w:rPr>
        <w:t>UK price</w:t>
      </w:r>
      <w:r>
        <w:rPr>
          <w:b/>
          <w:spacing w:val="-3"/>
          <w:sz w:val="18"/>
        </w:rPr>
        <w:t> </w:t>
      </w:r>
      <w:r>
        <w:rPr>
          <w:b/>
          <w:sz w:val="18"/>
        </w:rPr>
        <w:t>level</w:t>
        <w:tab/>
      </w:r>
      <w:r>
        <w:rPr>
          <w:position w:val="4"/>
          <w:sz w:val="12"/>
        </w:rPr>
        <w:t>1875 =</w:t>
      </w:r>
      <w:r>
        <w:rPr>
          <w:spacing w:val="1"/>
          <w:position w:val="4"/>
          <w:sz w:val="12"/>
        </w:rPr>
        <w:t> </w:t>
      </w:r>
      <w:r>
        <w:rPr>
          <w:position w:val="4"/>
          <w:sz w:val="12"/>
        </w:rPr>
        <w:t>1</w:t>
      </w:r>
    </w:p>
    <w:p>
      <w:pPr>
        <w:spacing w:before="73"/>
        <w:ind w:left="0" w:right="38" w:firstLine="0"/>
        <w:jc w:val="right"/>
        <w:rPr>
          <w:sz w:val="12"/>
        </w:rPr>
      </w:pPr>
      <w:r>
        <w:rPr/>
        <w:pict>
          <v:group style="position:absolute;margin-left:89.380997pt;margin-top:7.751951pt;width:163.1pt;height:115.1pt;mso-position-horizontal-relative:page;mso-position-vertical-relative:paragraph;z-index:251661312" coordorigin="1788,155" coordsize="3262,2302">
            <v:shape style="position:absolute;left:5016;top:156;width:32;height:2300" coordorigin="5017,156" coordsize="32,2300" path="m5017,156l5017,2455,5048,2455e" filled="false" stroked="true" strokeweight=".12pt" strokecolor="#000000">
              <v:path arrowok="t"/>
              <v:stroke dashstyle="solid"/>
            </v:shape>
            <v:line style="position:absolute" from="5016,2197" to="5049,2197" stroked="true" strokeweight=".24pt" strokecolor="#000000">
              <v:stroke dashstyle="solid"/>
            </v:line>
            <v:shape style="position:absolute;left:5016;top:1692;width:32;height:248" coordorigin="5017,1692" coordsize="32,248" path="m5017,1939l5048,1939m5017,1692l5048,1692e" filled="false" stroked="true" strokeweight=".12pt" strokecolor="#000000">
              <v:path arrowok="t"/>
              <v:stroke dashstyle="solid"/>
            </v:shape>
            <v:line style="position:absolute" from="5016,1434" to="5049,1434" stroked="true" strokeweight=".24pt" strokecolor="#000000">
              <v:stroke dashstyle="solid"/>
            </v:line>
            <v:line style="position:absolute" from="5017,1176" to="5048,1176" stroked="true" strokeweight=".12pt" strokecolor="#000000">
              <v:stroke dashstyle="solid"/>
            </v:line>
            <v:line style="position:absolute" from="5016,918" to="5049,918" stroked="true" strokeweight=".24pt" strokecolor="#000000">
              <v:stroke dashstyle="solid"/>
            </v:line>
            <v:line style="position:absolute" from="5017,672" to="5048,672" stroked="true" strokeweight=".12pt" strokecolor="#000000">
              <v:stroke dashstyle="solid"/>
            </v:line>
            <v:line style="position:absolute" from="5016,414" to="5049,414" stroked="true" strokeweight=".24pt" strokecolor="#000000">
              <v:stroke dashstyle="solid"/>
            </v:line>
            <v:shape style="position:absolute;left:1793;top:156;width:3255;height:2300" coordorigin="1794,156" coordsize="3255,2300" path="m5017,156l5048,156m1794,2455l5017,2455m1794,2455l1794,2419m2048,2455l2048,2419e" filled="false" stroked="true" strokeweight=".12pt" strokecolor="#000000">
              <v:path arrowok="t"/>
              <v:stroke dashstyle="solid"/>
            </v:shape>
            <v:shape style="position:absolute;left:2313;top:2418;width:509;height:39" coordorigin="2313,2418" coordsize="509,39" path="m2313,2418l2313,2457m2568,2418l2568,2457m2822,2418l2822,2457e" filled="false" stroked="true" strokeweight=".24pt" strokecolor="#000000">
              <v:path arrowok="t"/>
              <v:stroke dashstyle="solid"/>
            </v:shape>
            <v:shape style="position:absolute;left:3087;top:2419;width:509;height:36" coordorigin="3087,2419" coordsize="509,36" path="m3087,2455l3087,2419m3342,2455l3342,2419m3596,2455l3596,2419e" filled="false" stroked="true" strokeweight=".12pt" strokecolor="#000000">
              <v:path arrowok="t"/>
              <v:stroke dashstyle="solid"/>
            </v:shape>
            <v:shape style="position:absolute;left:3861;top:2418;width:509;height:39" coordorigin="3861,2418" coordsize="509,39" path="m3861,2418l3861,2457m4116,2418l4116,2457m4370,2418l4370,2457e" filled="false" stroked="true" strokeweight=".24pt" strokecolor="#000000">
              <v:path arrowok="t"/>
              <v:stroke dashstyle="solid"/>
            </v:shape>
            <v:shape style="position:absolute;left:4635;top:2419;width:255;height:36" coordorigin="4635,2419" coordsize="255,36" path="m4635,2455l4635,2419m4890,2455l4890,2419e" filled="false" stroked="true" strokeweight=".12pt" strokecolor="#000000">
              <v:path arrowok="t"/>
              <v:stroke dashstyle="solid"/>
            </v:shape>
            <v:shape style="position:absolute;left:1793;top:297;width:3202;height:2122" coordorigin="1794,298" coordsize="3202,2122" path="m1794,2407l2079,2407,2101,2419,2132,2419,2154,2407,2228,2407,2259,2419,2461,2419,2492,2407,2566,2407,2588,2419,2619,2407,2802,2407,2821,2398,2854,2386,2876,2374,2907,2362,2929,2350,2948,2338,2982,2350,3003,2374,3183,2374,3214,2386,3447,2386,3469,2374,3500,2362,3649,2362,3680,2350,3723,2350,3754,2338,3776,2326,3829,2326,3860,2314,3882,2302,3934,2302,3956,2292,3990,2292,4009,2280,4042,2280,4062,2268,4083,2268,4117,2256,4136,2244,4170,2244,4189,2232,4222,2220,4244,2208,4263,2187,4297,2163,4318,2139,4350,2091,4371,1997,4402,1927,4424,1834,4446,1786,4477,1704,4498,1575,4530,1469,4551,1375,4582,1330,4604,1270,4635,1212,4657,1164,4678,1119,4710,1059,4731,977,4762,859,4784,742,4815,672,4837,615,4858,567,4890,521,4911,461,4942,403,4964,355,4995,298e" filled="false" stroked="true" strokeweight=".6pt" strokecolor="#000080">
              <v:path arrowok="t"/>
              <v:stroke dashstyle="solid"/>
            </v:shape>
            <w10:wrap type="none"/>
          </v:group>
        </w:pict>
      </w:r>
      <w:r>
        <w:rPr>
          <w:sz w:val="12"/>
        </w:rPr>
        <w:t>45</w:t>
      </w:r>
    </w:p>
    <w:p>
      <w:pPr>
        <w:pStyle w:val="BodyText"/>
        <w:spacing w:before="3"/>
        <w:rPr>
          <w:sz w:val="10"/>
        </w:rPr>
      </w:pPr>
    </w:p>
    <w:p>
      <w:pPr>
        <w:spacing w:before="1"/>
        <w:ind w:left="0" w:right="38" w:firstLine="0"/>
        <w:jc w:val="right"/>
        <w:rPr>
          <w:sz w:val="12"/>
        </w:rPr>
      </w:pPr>
      <w:r>
        <w:rPr>
          <w:sz w:val="12"/>
        </w:rPr>
        <w:t>40</w:t>
      </w:r>
    </w:p>
    <w:p>
      <w:pPr>
        <w:pStyle w:val="BodyText"/>
        <w:spacing w:before="6"/>
        <w:rPr>
          <w:sz w:val="10"/>
        </w:rPr>
      </w:pPr>
    </w:p>
    <w:p>
      <w:pPr>
        <w:spacing w:before="0"/>
        <w:ind w:left="0" w:right="38" w:firstLine="0"/>
        <w:jc w:val="right"/>
        <w:rPr>
          <w:sz w:val="12"/>
        </w:rPr>
      </w:pPr>
      <w:r>
        <w:rPr>
          <w:sz w:val="12"/>
        </w:rPr>
        <w:t>35</w:t>
      </w:r>
    </w:p>
    <w:p>
      <w:pPr>
        <w:spacing w:before="107"/>
        <w:ind w:left="0" w:right="38" w:firstLine="0"/>
        <w:jc w:val="right"/>
        <w:rPr>
          <w:sz w:val="12"/>
        </w:rPr>
      </w:pPr>
      <w:r>
        <w:rPr>
          <w:sz w:val="12"/>
        </w:rPr>
        <w:t>30</w:t>
      </w:r>
    </w:p>
    <w:p>
      <w:pPr>
        <w:pStyle w:val="BodyText"/>
        <w:spacing w:before="6"/>
        <w:rPr>
          <w:sz w:val="10"/>
        </w:rPr>
      </w:pPr>
    </w:p>
    <w:p>
      <w:pPr>
        <w:spacing w:before="0"/>
        <w:ind w:left="0" w:right="38" w:firstLine="0"/>
        <w:jc w:val="right"/>
        <w:rPr>
          <w:sz w:val="12"/>
        </w:rPr>
      </w:pPr>
      <w:r>
        <w:rPr>
          <w:sz w:val="12"/>
        </w:rPr>
        <w:t>25</w:t>
      </w:r>
    </w:p>
    <w:p>
      <w:pPr>
        <w:pStyle w:val="BodyText"/>
        <w:spacing w:before="3"/>
        <w:rPr>
          <w:sz w:val="10"/>
        </w:rPr>
      </w:pPr>
    </w:p>
    <w:p>
      <w:pPr>
        <w:spacing w:before="1"/>
        <w:ind w:left="0" w:right="38" w:firstLine="0"/>
        <w:jc w:val="right"/>
        <w:rPr>
          <w:sz w:val="12"/>
        </w:rPr>
      </w:pPr>
      <w:r>
        <w:rPr>
          <w:sz w:val="12"/>
        </w:rPr>
        <w:t>20</w:t>
      </w:r>
    </w:p>
    <w:p>
      <w:pPr>
        <w:pStyle w:val="BodyText"/>
        <w:spacing w:before="6"/>
        <w:rPr>
          <w:sz w:val="10"/>
        </w:rPr>
      </w:pPr>
    </w:p>
    <w:p>
      <w:pPr>
        <w:spacing w:before="0"/>
        <w:ind w:left="0" w:right="38" w:firstLine="0"/>
        <w:jc w:val="right"/>
        <w:rPr>
          <w:sz w:val="12"/>
        </w:rPr>
      </w:pPr>
      <w:r>
        <w:rPr>
          <w:sz w:val="12"/>
        </w:rPr>
        <w:t>15</w:t>
      </w:r>
    </w:p>
    <w:p>
      <w:pPr>
        <w:pStyle w:val="BodyText"/>
        <w:spacing w:before="5"/>
        <w:rPr>
          <w:sz w:val="9"/>
        </w:rPr>
      </w:pPr>
    </w:p>
    <w:p>
      <w:pPr>
        <w:spacing w:before="1"/>
        <w:ind w:left="0" w:right="38" w:firstLine="0"/>
        <w:jc w:val="right"/>
        <w:rPr>
          <w:sz w:val="12"/>
        </w:rPr>
      </w:pPr>
      <w:r>
        <w:rPr>
          <w:sz w:val="12"/>
        </w:rPr>
        <w:t>10</w:t>
      </w:r>
    </w:p>
    <w:p>
      <w:pPr>
        <w:pStyle w:val="BodyText"/>
        <w:spacing w:before="3"/>
        <w:rPr>
          <w:sz w:val="10"/>
        </w:rPr>
      </w:pPr>
    </w:p>
    <w:p>
      <w:pPr>
        <w:spacing w:before="0"/>
        <w:ind w:left="0" w:right="98" w:firstLine="0"/>
        <w:jc w:val="right"/>
        <w:rPr>
          <w:sz w:val="12"/>
        </w:rPr>
      </w:pPr>
      <w:r>
        <w:rPr>
          <w:sz w:val="12"/>
        </w:rPr>
        <w:t>5</w:t>
      </w:r>
    </w:p>
    <w:p>
      <w:pPr>
        <w:pStyle w:val="BodyText"/>
        <w:spacing w:before="6"/>
        <w:rPr>
          <w:sz w:val="10"/>
        </w:rPr>
      </w:pPr>
    </w:p>
    <w:p>
      <w:pPr>
        <w:spacing w:before="1"/>
        <w:ind w:left="0" w:right="98" w:firstLine="0"/>
        <w:jc w:val="right"/>
        <w:rPr>
          <w:sz w:val="12"/>
        </w:rPr>
      </w:pPr>
      <w:r>
        <w:rPr>
          <w:sz w:val="12"/>
        </w:rPr>
        <w:t>0</w:t>
      </w:r>
    </w:p>
    <w:p>
      <w:pPr>
        <w:spacing w:before="112"/>
        <w:ind w:left="317" w:right="0" w:firstLine="0"/>
        <w:jc w:val="left"/>
        <w:rPr>
          <w:b/>
          <w:sz w:val="18"/>
        </w:rPr>
      </w:pPr>
      <w:r>
        <w:rPr/>
        <w:br w:type="column"/>
      </w:r>
      <w:r>
        <w:rPr>
          <w:b/>
          <w:sz w:val="18"/>
        </w:rPr>
        <w:t>UK price inflation</w:t>
      </w:r>
    </w:p>
    <w:p>
      <w:pPr>
        <w:pStyle w:val="BodyText"/>
        <w:spacing w:before="9"/>
        <w:rPr>
          <w:b/>
          <w:sz w:val="16"/>
        </w:rPr>
      </w:pPr>
      <w:r>
        <w:rPr/>
        <w:br w:type="column"/>
      </w:r>
      <w:r>
        <w:rPr>
          <w:b/>
          <w:sz w:val="16"/>
        </w:rPr>
      </w:r>
    </w:p>
    <w:p>
      <w:pPr>
        <w:spacing w:line="160" w:lineRule="atLeast" w:before="1"/>
        <w:ind w:left="317" w:right="251" w:firstLine="0"/>
        <w:jc w:val="left"/>
        <w:rPr>
          <w:sz w:val="12"/>
        </w:rPr>
      </w:pPr>
      <w:r>
        <w:rPr>
          <w:sz w:val="12"/>
        </w:rPr>
        <w:t>Percentage change on a year earlier</w:t>
      </w:r>
    </w:p>
    <w:p>
      <w:pPr>
        <w:spacing w:line="109" w:lineRule="exact" w:before="0"/>
        <w:ind w:left="1400" w:right="0" w:firstLine="0"/>
        <w:jc w:val="left"/>
        <w:rPr>
          <w:sz w:val="12"/>
        </w:rPr>
      </w:pPr>
      <w:r>
        <w:rPr/>
        <w:pict>
          <v:group style="position:absolute;margin-left:337.781006pt;margin-top:2.282555pt;width:164.55pt;height:116.9pt;mso-position-horizontal-relative:page;mso-position-vertical-relative:paragraph;z-index:251662336" coordorigin="6756,46" coordsize="3291,2338">
            <v:shape style="position:absolute;left:10008;top:46;width:36;height:2336" coordorigin="10009,47" coordsize="36,2336" path="m10009,47l10009,2382,10045,2382e" filled="false" stroked="true" strokeweight=".12pt" strokecolor="#000000">
              <v:path arrowok="t"/>
              <v:stroke dashstyle="solid"/>
            </v:shape>
            <v:shape style="position:absolute;left:10007;top:1219;width:39;height:776" coordorigin="10008,1219" coordsize="39,776" path="m10008,1994l10046,1994m10008,1608l10046,1608m10008,1219l10046,1219e" filled="false" stroked="true" strokeweight=".24pt" strokecolor="#000000">
              <v:path arrowok="t"/>
              <v:stroke dashstyle="solid"/>
            </v:shape>
            <v:line style="position:absolute" from="10009,822" to="10045,822" stroked="true" strokeweight=".12pt" strokecolor="#000000">
              <v:stroke dashstyle="solid"/>
            </v:line>
            <v:shape style="position:absolute;left:10007;top:48;width:39;height:387" coordorigin="10008,48" coordsize="39,387" path="m10008,434l10046,434m10008,48l10046,48e" filled="false" stroked="true" strokeweight=".24pt" strokecolor="#000000">
              <v:path arrowok="t"/>
              <v:stroke dashstyle="solid"/>
            </v:shape>
            <v:shape style="position:absolute;left:6761;top:2348;width:3248;height:34" coordorigin="6762,2348" coordsize="3248,34" path="m6762,2382l10009,2382m6762,2382l6762,2348m7225,2382l7225,2348e" filled="false" stroked="true" strokeweight=".12pt" strokecolor="#000000">
              <v:path arrowok="t"/>
              <v:stroke dashstyle="solid"/>
            </v:shape>
            <v:line style="position:absolute" from="7689,2347" to="7689,2383" stroked="true" strokeweight=".24pt" strokecolor="#000000">
              <v:stroke dashstyle="solid"/>
            </v:line>
            <v:shape style="position:absolute;left:8153;top:2348;width:464;height:34" coordorigin="8154,2348" coordsize="464,34" path="m8154,2382l8154,2348m8617,2382l8617,2348e" filled="false" stroked="true" strokeweight=".12pt" strokecolor="#000000">
              <v:path arrowok="t"/>
              <v:stroke dashstyle="solid"/>
            </v:shape>
            <v:shape style="position:absolute;left:9081;top:2347;width:917;height:36" coordorigin="9081,2347" coordsize="917,36" path="m9081,2347l9081,2383m9535,2347l9535,2383m9998,2347l9998,2383e" filled="false" stroked="true" strokeweight=".24pt" strokecolor="#000000">
              <v:path arrowok="t"/>
              <v:stroke dashstyle="solid"/>
            </v:shape>
            <v:shape style="position:absolute;left:6761;top:284;width:3224;height:1968" coordorigin="6762,284" coordsize="3224,1968" path="m6762,2005l6786,1984,6810,2015,6834,2036,6855,2048,6879,2070,6903,2080,6927,2092,6951,2092,6975,2178,6999,2252,7023,2219,7047,2166,7071,2058,7095,1940,7119,1928,7129,1909,7153,1940,7177,1984,7201,1972,7225,1993,7249,1940,7273,1844,7297,1789,7321,1715,7345,1597,7369,1607,7393,1672,7414,1758,7438,1909,7462,1888,7486,1768,7510,1768,7534,1650,7546,1650,7570,1597,7594,1369,7618,1165,7666,973,7690,810,7712,467,7736,284,7760,380,7784,606,7808,1122,7832,1307,7856,1220,7880,1112,7904,1038,7928,1081,7952,1328,7964,1585,7986,1736,8010,1758,8034,1768,8058,1703,8082,1640,8106,1199,8154,983,8178,791,8202,1187,8226,1273,8250,1381,8271,1434,8295,1468,8319,1446,8343,1554,8367,1681,8391,1780,8403,1854,8427,1888,8451,2027,8475,1993,8499,2005,8523,2027,8547,2005,8569,2048,8593,2058,8617,2005,8641,1962,8665,1962,8689,1972,8713,2027,8737,2123,8785,2123,8809,2092,8821,2101,8842,2101,8866,2070,8890,2092,8914,2036,8938,1984,8962,1984,8986,1940,9010,1919,9034,1928,9058,1909,9082,1897,9106,1746,9128,1681,9152,1660,9176,1715,9200,1854,9224,1897,9236,1940,9260,1940,9284,1972,9308,2058,9332,2092,9356,2123,9380,2166,9404,2144,9426,2178,9450,2166,9474,2200,9498,2209,9522,2209,9546,2166,9570,2166,9594,2156,9642,2156,9654,2166,9678,2156,9699,2135,9747,2178,9771,2156,9795,2166,9819,2188,9843,2144,9867,2178,9891,2188,9915,2178,9939,2209,9985,2209e" filled="false" stroked="true" strokeweight=".6pt" strokecolor="#000080">
              <v:path arrowok="t"/>
              <v:stroke dashstyle="solid"/>
            </v:shape>
            <w10:wrap type="none"/>
          </v:group>
        </w:pict>
      </w:r>
      <w:r>
        <w:rPr>
          <w:sz w:val="12"/>
        </w:rPr>
        <w:t>30</w:t>
      </w:r>
    </w:p>
    <w:p>
      <w:pPr>
        <w:pStyle w:val="BodyText"/>
        <w:rPr>
          <w:sz w:val="12"/>
        </w:rPr>
      </w:pPr>
    </w:p>
    <w:p>
      <w:pPr>
        <w:pStyle w:val="BodyText"/>
        <w:spacing w:before="6"/>
        <w:rPr>
          <w:sz w:val="9"/>
        </w:rPr>
      </w:pPr>
    </w:p>
    <w:p>
      <w:pPr>
        <w:spacing w:before="1"/>
        <w:ind w:left="0" w:right="113" w:firstLine="0"/>
        <w:jc w:val="right"/>
        <w:rPr>
          <w:sz w:val="12"/>
        </w:rPr>
      </w:pPr>
      <w:r>
        <w:rPr>
          <w:sz w:val="12"/>
        </w:rPr>
        <w:t>25</w:t>
      </w:r>
    </w:p>
    <w:p>
      <w:pPr>
        <w:pStyle w:val="BodyText"/>
        <w:rPr>
          <w:sz w:val="12"/>
        </w:rPr>
      </w:pPr>
    </w:p>
    <w:p>
      <w:pPr>
        <w:pStyle w:val="BodyText"/>
        <w:spacing w:before="6"/>
        <w:rPr>
          <w:sz w:val="9"/>
        </w:rPr>
      </w:pPr>
    </w:p>
    <w:p>
      <w:pPr>
        <w:spacing w:before="1"/>
        <w:ind w:left="0" w:right="113" w:firstLine="0"/>
        <w:jc w:val="right"/>
        <w:rPr>
          <w:sz w:val="12"/>
        </w:rPr>
      </w:pPr>
      <w:r>
        <w:rPr>
          <w:sz w:val="12"/>
        </w:rPr>
        <w:t>20</w:t>
      </w:r>
    </w:p>
    <w:p>
      <w:pPr>
        <w:pStyle w:val="BodyText"/>
        <w:rPr>
          <w:sz w:val="12"/>
        </w:rPr>
      </w:pPr>
    </w:p>
    <w:p>
      <w:pPr>
        <w:pStyle w:val="BodyText"/>
        <w:spacing w:before="7"/>
        <w:rPr>
          <w:sz w:val="10"/>
        </w:rPr>
      </w:pPr>
    </w:p>
    <w:p>
      <w:pPr>
        <w:spacing w:before="0"/>
        <w:ind w:left="0" w:right="113" w:firstLine="0"/>
        <w:jc w:val="right"/>
        <w:rPr>
          <w:sz w:val="12"/>
        </w:rPr>
      </w:pPr>
      <w:r>
        <w:rPr>
          <w:sz w:val="12"/>
        </w:rPr>
        <w:t>15</w:t>
      </w:r>
    </w:p>
    <w:p>
      <w:pPr>
        <w:pStyle w:val="BodyText"/>
        <w:rPr>
          <w:sz w:val="12"/>
        </w:rPr>
      </w:pPr>
    </w:p>
    <w:p>
      <w:pPr>
        <w:pStyle w:val="BodyText"/>
        <w:spacing w:before="9"/>
        <w:rPr>
          <w:sz w:val="9"/>
        </w:rPr>
      </w:pPr>
    </w:p>
    <w:p>
      <w:pPr>
        <w:spacing w:before="0"/>
        <w:ind w:left="0" w:right="113" w:firstLine="0"/>
        <w:jc w:val="right"/>
        <w:rPr>
          <w:sz w:val="12"/>
        </w:rPr>
      </w:pPr>
      <w:r>
        <w:rPr>
          <w:sz w:val="12"/>
        </w:rPr>
        <w:t>10</w:t>
      </w:r>
    </w:p>
    <w:p>
      <w:pPr>
        <w:pStyle w:val="BodyText"/>
        <w:rPr>
          <w:sz w:val="12"/>
        </w:rPr>
      </w:pPr>
    </w:p>
    <w:p>
      <w:pPr>
        <w:pStyle w:val="BodyText"/>
        <w:spacing w:before="7"/>
        <w:rPr>
          <w:sz w:val="9"/>
        </w:rPr>
      </w:pPr>
    </w:p>
    <w:p>
      <w:pPr>
        <w:spacing w:before="0"/>
        <w:ind w:left="0" w:right="173" w:firstLine="0"/>
        <w:jc w:val="right"/>
        <w:rPr>
          <w:sz w:val="12"/>
        </w:rPr>
      </w:pPr>
      <w:r>
        <w:rPr>
          <w:sz w:val="12"/>
        </w:rPr>
        <w:t>5</w:t>
      </w:r>
    </w:p>
    <w:p>
      <w:pPr>
        <w:spacing w:after="0"/>
        <w:jc w:val="right"/>
        <w:rPr>
          <w:sz w:val="12"/>
        </w:rPr>
        <w:sectPr>
          <w:type w:val="continuous"/>
          <w:pgSz w:w="11900" w:h="16840"/>
          <w:pgMar w:top="1180" w:bottom="280" w:left="1560" w:right="1560"/>
          <w:cols w:num="3" w:equalWidth="0">
            <w:col w:w="3704" w:space="859"/>
            <w:col w:w="1757" w:space="825"/>
            <w:col w:w="1635"/>
          </w:cols>
        </w:sectPr>
      </w:pPr>
    </w:p>
    <w:p>
      <w:pPr>
        <w:tabs>
          <w:tab w:pos="754" w:val="left" w:leader="none"/>
          <w:tab w:pos="1399" w:val="left" w:leader="none"/>
          <w:tab w:pos="2035" w:val="left" w:leader="none"/>
          <w:tab w:pos="2683" w:val="left" w:leader="none"/>
          <w:tab w:pos="3329" w:val="left" w:leader="none"/>
        </w:tabs>
        <w:spacing w:before="49"/>
        <w:ind w:left="106" w:right="0" w:firstLine="0"/>
        <w:jc w:val="left"/>
        <w:rPr>
          <w:sz w:val="12"/>
        </w:rPr>
      </w:pPr>
      <w:r>
        <w:rPr>
          <w:sz w:val="12"/>
        </w:rPr>
        <w:t>1875</w:t>
        <w:tab/>
        <w:t>1900</w:t>
        <w:tab/>
        <w:t>1925</w:t>
        <w:tab/>
        <w:t>1950</w:t>
        <w:tab/>
        <w:t>1975</w:t>
        <w:tab/>
        <w:t>2000</w:t>
      </w:r>
    </w:p>
    <w:p>
      <w:pPr>
        <w:spacing w:before="8"/>
        <w:ind w:left="0" w:right="173" w:firstLine="0"/>
        <w:jc w:val="right"/>
        <w:rPr>
          <w:sz w:val="12"/>
        </w:rPr>
      </w:pPr>
      <w:r>
        <w:rPr/>
        <w:br w:type="column"/>
      </w:r>
      <w:r>
        <w:rPr>
          <w:sz w:val="12"/>
        </w:rPr>
        <w:t>0</w:t>
      </w:r>
    </w:p>
    <w:p>
      <w:pPr>
        <w:tabs>
          <w:tab w:pos="465" w:val="left" w:leader="none"/>
          <w:tab w:pos="928" w:val="left" w:leader="none"/>
          <w:tab w:pos="1391" w:val="left" w:leader="none"/>
          <w:tab w:pos="1857" w:val="left" w:leader="none"/>
          <w:tab w:pos="2320" w:val="left" w:leader="none"/>
          <w:tab w:pos="2786" w:val="left" w:leader="none"/>
          <w:tab w:pos="3249" w:val="left" w:leader="none"/>
        </w:tabs>
        <w:spacing w:before="35"/>
        <w:ind w:left="0" w:right="230" w:firstLine="0"/>
        <w:jc w:val="right"/>
        <w:rPr>
          <w:sz w:val="12"/>
        </w:rPr>
      </w:pPr>
      <w:r>
        <w:rPr>
          <w:sz w:val="12"/>
        </w:rPr>
        <w:t>1965</w:t>
        <w:tab/>
        <w:t>1970</w:t>
        <w:tab/>
        <w:t>1975</w:t>
        <w:tab/>
        <w:t>1980</w:t>
        <w:tab/>
        <w:t>1985</w:t>
        <w:tab/>
        <w:t>1990</w:t>
        <w:tab/>
        <w:t>1995</w:t>
        <w:tab/>
        <w:t>2000</w:t>
      </w:r>
    </w:p>
    <w:p>
      <w:pPr>
        <w:spacing w:after="0"/>
        <w:jc w:val="right"/>
        <w:rPr>
          <w:sz w:val="12"/>
        </w:rPr>
        <w:sectPr>
          <w:type w:val="continuous"/>
          <w:pgSz w:w="11900" w:h="16840"/>
          <w:pgMar w:top="1180" w:bottom="280" w:left="1560" w:right="1560"/>
          <w:cols w:num="2" w:equalWidth="0">
            <w:col w:w="3610" w:space="1341"/>
            <w:col w:w="3829"/>
          </w:cols>
        </w:sectPr>
      </w:pPr>
    </w:p>
    <w:p>
      <w:pPr>
        <w:pStyle w:val="BodyText"/>
        <w:spacing w:before="8"/>
        <w:rPr>
          <w:sz w:val="19"/>
        </w:rPr>
      </w:pPr>
    </w:p>
    <w:p>
      <w:pPr>
        <w:pStyle w:val="BodyText"/>
        <w:spacing w:line="369" w:lineRule="auto" w:before="90"/>
        <w:ind w:left="140"/>
      </w:pPr>
      <w:r>
        <w:rPr/>
        <w:t>But the inflation record more recently has been rather different. After sterling left the European Exchange Rate Mechanism in the autumn of 1992, inflation targeting was adopted as the framework for UK monetary policy. Previous frameworks based on monetary targets and exchange rate targets had not proved to be entirely successful or sustainable. Since June 1997, interest rates have been set by the Bank of England’s Monetary Policy Committee. Our paramount objective, set by Government, is the 2½% target for inflation.</w:t>
      </w:r>
    </w:p>
    <w:p>
      <w:pPr>
        <w:pStyle w:val="BodyText"/>
        <w:rPr>
          <w:sz w:val="20"/>
        </w:rPr>
      </w:pPr>
    </w:p>
    <w:p>
      <w:pPr>
        <w:pStyle w:val="BodyText"/>
        <w:rPr>
          <w:sz w:val="20"/>
        </w:rPr>
      </w:pPr>
    </w:p>
    <w:p>
      <w:pPr>
        <w:pStyle w:val="BodyText"/>
        <w:spacing w:before="3"/>
      </w:pPr>
    </w:p>
    <w:p>
      <w:pPr>
        <w:spacing w:before="91"/>
        <w:ind w:left="320" w:right="0" w:firstLine="0"/>
        <w:jc w:val="left"/>
        <w:rPr>
          <w:b/>
          <w:sz w:val="20"/>
        </w:rPr>
      </w:pPr>
      <w:r>
        <w:rPr>
          <w:b/>
          <w:sz w:val="20"/>
        </w:rPr>
        <w:t>Chart 4</w:t>
      </w:r>
    </w:p>
    <w:p>
      <w:pPr>
        <w:spacing w:after="0"/>
        <w:jc w:val="left"/>
        <w:rPr>
          <w:sz w:val="20"/>
        </w:rPr>
        <w:sectPr>
          <w:type w:val="continuous"/>
          <w:pgSz w:w="11900" w:h="16840"/>
          <w:pgMar w:top="1180" w:bottom="280" w:left="1560" w:right="1560"/>
        </w:sectPr>
      </w:pPr>
    </w:p>
    <w:p>
      <w:pPr>
        <w:pStyle w:val="BodyText"/>
        <w:spacing w:before="1"/>
        <w:rPr>
          <w:b/>
          <w:sz w:val="14"/>
        </w:rPr>
      </w:pPr>
    </w:p>
    <w:p>
      <w:pPr>
        <w:spacing w:before="1"/>
        <w:ind w:left="0" w:right="1125" w:firstLine="0"/>
        <w:jc w:val="center"/>
        <w:rPr>
          <w:sz w:val="14"/>
        </w:rPr>
      </w:pPr>
      <w:r>
        <w:rPr/>
        <w:pict>
          <v:group style="position:absolute;margin-left:94.121002pt;margin-top:.604905pt;width:168.3pt;height:137pt;mso-position-horizontal-relative:page;mso-position-vertical-relative:paragraph;z-index:251666432" coordorigin="1882,12" coordsize="3366,2740">
            <v:shape style="position:absolute;left:1889;top:86;width:3358;height:2664" coordorigin="1890,86" coordsize="3358,2664" path="m5206,86l5206,2750,5247,2750m5206,2373l5247,2373m5206,1985l5247,1985m5206,1605l5247,1605m5206,1229l5247,1229m5206,852l5247,852m5206,463l5247,463m5206,86l5247,86m1890,2750l5206,2750m1890,2750l1890,2714e" filled="false" stroked="true" strokeweight=".12pt" strokecolor="#000000">
              <v:path arrowok="t"/>
              <v:stroke dashstyle="solid"/>
            </v:shape>
            <v:line style="position:absolute" from="2155,2713" to="2155,2751" stroked="true" strokeweight=".24pt" strokecolor="#000000">
              <v:stroke dashstyle="solid"/>
            </v:line>
            <v:shape style="position:absolute;left:2420;top:2714;width:528;height:36" coordorigin="2420,2714" coordsize="528,36" path="m2420,2750l2420,2714m2684,2750l2684,2714m2948,2750l2948,2714e" filled="false" stroked="true" strokeweight=".12pt" strokecolor="#000000">
              <v:path arrowok="t"/>
              <v:stroke dashstyle="solid"/>
            </v:shape>
            <v:line style="position:absolute" from="3213,2713" to="3213,2751" stroked="true" strokeweight=".24pt" strokecolor="#000000">
              <v:stroke dashstyle="solid"/>
            </v:line>
            <v:line style="position:absolute" from="3478,2750" to="3478,2714" stroked="true" strokeweight=".12pt" strokecolor="#000000">
              <v:stroke dashstyle="solid"/>
            </v:line>
            <v:shape style="position:absolute;left:3743;top:2712;width:264;height:39" coordorigin="3744,2713" coordsize="264,39" path="m3744,2713l3744,2751m4008,2713l4008,2751e" filled="false" stroked="true" strokeweight=".24pt" strokecolor="#000000">
              <v:path arrowok="t"/>
              <v:stroke dashstyle="solid"/>
            </v:shape>
            <v:shape style="position:absolute;left:4272;top:2714;width:264;height:36" coordorigin="4273,2714" coordsize="264,36" path="m4273,2750l4273,2714m4537,2750l4537,2714e" filled="false" stroked="true" strokeweight=".12pt" strokecolor="#000000">
              <v:path arrowok="t"/>
              <v:stroke dashstyle="solid"/>
            </v:shape>
            <v:line style="position:absolute" from="4802,2713" to="4802,2751" stroked="true" strokeweight=".24pt" strokecolor="#000000">
              <v:stroke dashstyle="solid"/>
            </v:line>
            <v:line style="position:absolute" from="5066,2713" to="5066,2751" stroked="true" strokeweight=".24pt" strokecolor="#000000">
              <v:stroke dashstyle="solid"/>
            </v:line>
            <v:shape style="position:absolute;left:1889;top:1677;width:3317;height:860" coordorigin="1890,1677" coordsize="3317,860" path="m1890,1689l1904,1677,1904,1689,1916,1689,1916,1699,1930,1699,1930,1723,1945,1747,1945,1783,1959,1759,1959,1807,1974,1819,2000,1819,2014,1831,2029,1831,2029,1819,2043,1831,2070,1831,2084,1819,2098,1831,2125,1831,2125,1819,2139,1819,2139,1831,2154,1831,2168,1819,2168,1831,2182,1831,2182,1819,2197,1819,2197,1831,2209,1831,2209,1819,2223,1831,2238,1831,2238,1819,2278,1819,2278,1831,2293,1831,2293,1819,2307,1819,2307,1831,2322,1819,2336,1831,2348,1819,2377,1819,2377,1831,2391,1831,2391,1819,2461,1819,2475,1831,2475,1819,2487,1819,2487,1831,2530,1831,2530,1819,2571,1819,2571,1831,2586,1819,2641,1819,2641,1831,2655,1831,2670,1819,2698,1819,2698,1831,2739,1831,2754,1819,2754,1831,2768,1831,2768,1819,2823,1819,2838,1831,2864,1831,2864,1819,2878,1819,2893,1831,2893,1819,2907,1819,2907,1831,2919,1831,2934,1819,2934,1783,2948,1819,2948,1831,2962,1841,2962,1853,2977,1853,2977,1841,3061,1841,3061,1865,3073,1937,3073,1982,3087,2066,3087,2006,3102,2054,3102,2090,3116,2018,3116,2006,3130,2054,3130,1982,3142,1925,3142,1901,3157,1889,3157,1853,3171,1865,3171,1877,3186,1913,3186,1937,3200,1925,3200,1901,3212,1877,3212,1841,3226,1831,3241,1831,3255,1819,3255,1831,3282,1831,3282,1819,3296,1819,3310,1831,3339,1831,3339,1819,3351,1819,3351,1831,3366,1819,3366,1831,3380,1831,3394,1841,3394,2054,3409,2078,3409,2042,3409,2090,3423,2112,3423,2102,3435,2006,3435,1877,3450,1807,3450,1783,3464,1783,3464,1795,3478,1807,3478,1831,3493,1819,3493,1807,3505,1819,3505,1807,3519,1807,3519,1795,3534,1819,3562,1795,3562,1807,3574,1819,3574,1853,3589,1853,3603,1913,3603,1994,3618,2006,3618,2090,3632,1994,3632,1982,3855,1982,3867,2066,3867,2220,3951,2220,3951,2208,3966,2220,3980,2220,3994,2208,3994,2220,4076,2220,4090,2208,4105,2220,4342,2220,4342,2253,4357,2289,4453,2289,4453,2277,4467,2253,4482,2289,4482,2301,4482,2289,4496,2265,4496,2277,4508,2301,4508,2313,4522,2289,4522,2301,4537,2301,4537,2289,4551,2301,4551,2349,4566,2361,4566,2373,4580,2407,4592,2431,4592,2419,4606,2419,4606,2407,4621,2385,4621,2395,4635,2385,4635,2373,4650,2361,4650,2349,4662,2325,4662,2337,4676,2325,4676,2313,4690,2301,4690,2289,4705,2313,4705,2349,4719,2395,4731,2395,4731,2407,4746,2419,4746,2455,4760,2455,4760,2467,4774,2467,4774,2479,4789,2479,4789,2503,4801,2515,4801,2537,4815,2515,4815,2491,4844,2467,4858,2479,4858,2455,4870,2443,4870,2419,4885,2407,4885,2395,4899,2431,4899,2407,4914,2419,4914,2443,4928,2443,4940,2431,4954,2395,4954,2385,4969,2385,4969,2419,4983,2431,4983,2407,4998,2407,5012,2385,5012,2467,5024,2455,5024,2467,5053,2467,5053,2455,5067,2443,5082,2443,5082,2455,5108,2455,5122,2443,5137,2443,5137,2431,5163,2431,5178,2443,5206,2443e" filled="false" stroked="true" strokeweight=".72pt" strokecolor="#000080">
              <v:path arrowok="t"/>
              <v:stroke dashstyle="solid"/>
            </v:shape>
            <v:shape style="position:absolute;left:4064;top:496;width:1143;height:1829" coordorigin="4064,497" coordsize="1143,1829" path="m4064,509l4076,521,4076,509,4090,497,4119,521,4119,509,4134,509,4134,521,4160,521,4160,509,4174,521,4174,638,4189,626,4189,605,4203,617,4203,605,4215,617,4230,626,4244,626,4244,638,4258,626,4258,638,4273,638,4287,626,4287,617,4299,617,4299,605,4314,617,4314,626,4328,638,4342,638,4342,626,4357,909,4357,933,4369,921,4369,945,4383,933,4398,933,4412,1063,4412,1087,4426,1099,4438,1075,4453,1075,4453,1169,4467,1169,4482,1265,4482,1322,4496,1406,4496,1641,4508,1617,4508,1557,4522,1617,4522,1581,4537,1605,4537,1687,4551,1687,4551,1699,4566,1735,4566,1747,4578,1865,4578,1889,4592,2030,4592,1958,4606,1982,4606,1994,4606,1958,4621,1970,4621,2030,4635,1994,4635,2054,4650,2042,4650,2006,4662,1958,4662,2042,4676,1994,4676,1970,4690,1958,4690,1865,4705,1795,4705,1853,4719,1877,4719,1958,4731,1925,4731,1949,4746,1937,4746,2030,4760,2018,4760,1982,4774,1994,4789,2030,4801,2042,4801,2066,4815,2018,4815,1994,4830,2030,4830,2112,4844,2112,4844,2160,4858,2196,4858,2217,4870,2184,4885,2184,4885,2148,4899,2136,4899,2148,4914,2124,4914,2148,4928,2160,4928,2196,4940,2208,4940,2229,4954,2184,4969,2196,4969,2184,4998,2208,4998,2196,5012,2208,5012,2289,5024,2277,5024,2253,5038,2277,5038,2253,5053,2265,5053,2289,5067,2277,5067,2289,5082,2325,5094,2325,5108,2313,5122,2277,5122,2253,5137,2217,5137,2172,5137,2196,5151,2184,5163,2196,5163,2217,5178,2208,5178,2184,5192,2184,5192,2172,5206,2136e" filled="false" stroked="true" strokeweight=".72pt" strokecolor="#ff00ff">
              <v:path arrowok="t"/>
              <v:stroke dashstyle="solid"/>
            </v:shape>
            <v:shape style="position:absolute;left:1901;top:12;width:2587;height:200" type="#_x0000_t202" filled="false" stroked="false">
              <v:textbox inset="0,0,0,0">
                <w:txbxContent>
                  <w:p>
                    <w:pPr>
                      <w:spacing w:line="199" w:lineRule="exact" w:before="0"/>
                      <w:ind w:left="0" w:right="0" w:firstLine="0"/>
                      <w:jc w:val="left"/>
                      <w:rPr>
                        <w:b/>
                        <w:sz w:val="18"/>
                      </w:rPr>
                    </w:pPr>
                    <w:r>
                      <w:rPr>
                        <w:b/>
                        <w:sz w:val="18"/>
                      </w:rPr>
                      <w:t>Dollar-sterling and mark-sterling</w:t>
                    </w:r>
                  </w:p>
                </w:txbxContent>
              </v:textbox>
              <w10:wrap type="none"/>
            </v:shape>
            <v:shape style="position:absolute;left:3838;top:998;width:306;height:155" type="#_x0000_t202" filled="false" stroked="false">
              <v:textbox inset="0,0,0,0">
                <w:txbxContent>
                  <w:p>
                    <w:pPr>
                      <w:spacing w:line="154" w:lineRule="exact" w:before="0"/>
                      <w:ind w:left="0" w:right="0" w:firstLine="0"/>
                      <w:jc w:val="left"/>
                      <w:rPr>
                        <w:sz w:val="14"/>
                      </w:rPr>
                    </w:pPr>
                    <w:r>
                      <w:rPr>
                        <w:sz w:val="14"/>
                      </w:rPr>
                      <w:t>mark</w:t>
                    </w:r>
                  </w:p>
                </w:txbxContent>
              </v:textbox>
              <w10:wrap type="none"/>
            </v:shape>
            <v:shape style="position:absolute;left:2405;top:1517;width:345;height:155" type="#_x0000_t202" filled="false" stroked="false">
              <v:textbox inset="0,0,0,0">
                <w:txbxContent>
                  <w:p>
                    <w:pPr>
                      <w:spacing w:line="154" w:lineRule="exact" w:before="0"/>
                      <w:ind w:left="0" w:right="0" w:firstLine="0"/>
                      <w:jc w:val="left"/>
                      <w:rPr>
                        <w:sz w:val="14"/>
                      </w:rPr>
                    </w:pPr>
                    <w:r>
                      <w:rPr>
                        <w:sz w:val="14"/>
                      </w:rPr>
                      <w:t>dollar</w:t>
                    </w:r>
                  </w:p>
                </w:txbxContent>
              </v:textbox>
              <w10:wrap type="none"/>
            </v:shape>
            <w10:wrap type="none"/>
          </v:group>
        </w:pict>
      </w:r>
      <w:bookmarkStart w:name="The exchange rate: four questions" w:id="3"/>
      <w:bookmarkEnd w:id="3"/>
      <w:r>
        <w:rPr/>
      </w:r>
      <w:r>
        <w:rPr>
          <w:sz w:val="14"/>
        </w:rPr>
        <w:t>14</w:t>
      </w:r>
    </w:p>
    <w:p>
      <w:pPr>
        <w:pStyle w:val="BodyText"/>
        <w:spacing w:before="9"/>
        <w:rPr>
          <w:sz w:val="10"/>
        </w:rPr>
      </w:pPr>
    </w:p>
    <w:p>
      <w:pPr>
        <w:spacing w:before="94"/>
        <w:ind w:left="0" w:right="1125" w:firstLine="0"/>
        <w:jc w:val="center"/>
        <w:rPr>
          <w:sz w:val="14"/>
        </w:rPr>
      </w:pPr>
      <w:r>
        <w:rPr>
          <w:sz w:val="14"/>
        </w:rPr>
        <w:t>12</w:t>
      </w:r>
    </w:p>
    <w:p>
      <w:pPr>
        <w:pStyle w:val="BodyText"/>
        <w:spacing w:before="5"/>
        <w:rPr>
          <w:sz w:val="11"/>
        </w:rPr>
      </w:pPr>
    </w:p>
    <w:p>
      <w:pPr>
        <w:spacing w:before="94"/>
        <w:ind w:left="0" w:right="1125" w:firstLine="0"/>
        <w:jc w:val="center"/>
        <w:rPr>
          <w:sz w:val="14"/>
        </w:rPr>
      </w:pPr>
      <w:r>
        <w:rPr>
          <w:sz w:val="14"/>
        </w:rPr>
        <w:t>10</w:t>
      </w:r>
    </w:p>
    <w:p>
      <w:pPr>
        <w:pStyle w:val="BodyText"/>
        <w:spacing w:before="9"/>
        <w:rPr>
          <w:sz w:val="10"/>
        </w:rPr>
      </w:pPr>
    </w:p>
    <w:p>
      <w:pPr>
        <w:spacing w:before="94"/>
        <w:ind w:left="0" w:right="1194" w:firstLine="0"/>
        <w:jc w:val="center"/>
        <w:rPr>
          <w:sz w:val="14"/>
        </w:rPr>
      </w:pPr>
      <w:r>
        <w:rPr>
          <w:w w:val="99"/>
          <w:sz w:val="14"/>
        </w:rPr>
        <w:t>8</w:t>
      </w:r>
    </w:p>
    <w:p>
      <w:pPr>
        <w:pStyle w:val="BodyText"/>
        <w:spacing w:before="7"/>
        <w:rPr>
          <w:sz w:val="10"/>
        </w:rPr>
      </w:pPr>
    </w:p>
    <w:p>
      <w:pPr>
        <w:spacing w:before="94"/>
        <w:ind w:left="0" w:right="1194" w:firstLine="0"/>
        <w:jc w:val="center"/>
        <w:rPr>
          <w:sz w:val="14"/>
        </w:rPr>
      </w:pPr>
      <w:r>
        <w:rPr>
          <w:w w:val="99"/>
          <w:sz w:val="14"/>
        </w:rPr>
        <w:t>6</w:t>
      </w:r>
    </w:p>
    <w:p>
      <w:pPr>
        <w:pStyle w:val="BodyText"/>
        <w:spacing w:before="7"/>
        <w:rPr>
          <w:sz w:val="10"/>
        </w:rPr>
      </w:pPr>
    </w:p>
    <w:p>
      <w:pPr>
        <w:spacing w:before="94"/>
        <w:ind w:left="0" w:right="1194" w:firstLine="0"/>
        <w:jc w:val="center"/>
        <w:rPr>
          <w:sz w:val="14"/>
        </w:rPr>
      </w:pPr>
      <w:r>
        <w:rPr>
          <w:w w:val="99"/>
          <w:sz w:val="14"/>
        </w:rPr>
        <w:t>4</w:t>
      </w:r>
    </w:p>
    <w:p>
      <w:pPr>
        <w:pStyle w:val="BodyText"/>
        <w:spacing w:before="7"/>
        <w:rPr>
          <w:sz w:val="11"/>
        </w:rPr>
      </w:pPr>
    </w:p>
    <w:p>
      <w:pPr>
        <w:spacing w:before="94"/>
        <w:ind w:left="0" w:right="1194" w:firstLine="0"/>
        <w:jc w:val="center"/>
        <w:rPr>
          <w:sz w:val="14"/>
        </w:rPr>
      </w:pPr>
      <w:r>
        <w:rPr>
          <w:w w:val="99"/>
          <w:sz w:val="14"/>
        </w:rPr>
        <w:t>2</w:t>
      </w:r>
    </w:p>
    <w:p>
      <w:pPr>
        <w:pStyle w:val="BodyText"/>
        <w:spacing w:before="7"/>
        <w:rPr>
          <w:sz w:val="10"/>
        </w:rPr>
      </w:pPr>
    </w:p>
    <w:p>
      <w:pPr>
        <w:spacing w:before="94"/>
        <w:ind w:left="0" w:right="4951" w:firstLine="0"/>
        <w:jc w:val="right"/>
        <w:rPr>
          <w:sz w:val="14"/>
        </w:rPr>
      </w:pPr>
      <w:r>
        <w:rPr>
          <w:w w:val="99"/>
          <w:sz w:val="14"/>
        </w:rPr>
        <w:t>0</w:t>
      </w:r>
    </w:p>
    <w:p>
      <w:pPr>
        <w:tabs>
          <w:tab w:pos="655" w:val="left" w:leader="none"/>
          <w:tab w:pos="1310" w:val="left" w:leader="none"/>
          <w:tab w:pos="1977" w:val="left" w:leader="none"/>
          <w:tab w:pos="2632" w:val="left" w:leader="none"/>
          <w:tab w:pos="3302" w:val="left" w:leader="none"/>
        </w:tabs>
        <w:spacing w:before="28"/>
        <w:ind w:left="0" w:right="5021" w:firstLine="0"/>
        <w:jc w:val="right"/>
        <w:rPr>
          <w:sz w:val="14"/>
        </w:rPr>
      </w:pPr>
      <w:r>
        <w:rPr>
          <w:sz w:val="14"/>
        </w:rPr>
        <w:t>1875</w:t>
        <w:tab/>
        <w:t>1900</w:t>
        <w:tab/>
        <w:t>1925</w:t>
        <w:tab/>
        <w:t>1950</w:t>
        <w:tab/>
        <w:t>1975</w:t>
        <w:tab/>
      </w:r>
      <w:r>
        <w:rPr>
          <w:w w:val="95"/>
          <w:sz w:val="14"/>
        </w:rPr>
        <w:t>2000</w:t>
      </w:r>
    </w:p>
    <w:p>
      <w:pPr>
        <w:pStyle w:val="BodyText"/>
        <w:rPr>
          <w:sz w:val="20"/>
        </w:rPr>
      </w:pPr>
    </w:p>
    <w:p>
      <w:pPr>
        <w:pStyle w:val="BodyText"/>
        <w:spacing w:before="3"/>
        <w:rPr>
          <w:sz w:val="25"/>
        </w:rPr>
      </w:pPr>
    </w:p>
    <w:p>
      <w:pPr>
        <w:pStyle w:val="BodyText"/>
        <w:spacing w:line="367" w:lineRule="auto" w:before="90"/>
        <w:ind w:left="140" w:right="151"/>
      </w:pPr>
      <w:r>
        <w:rPr/>
        <w:t>Chart 5 shows that, since 1993, annual inflation (on the RPIX measure) has averaged 2.7% and has </w:t>
      </w:r>
      <w:r>
        <w:rPr>
          <w:spacing w:val="-2"/>
        </w:rPr>
        <w:t>stayed </w:t>
      </w:r>
      <w:r>
        <w:rPr/>
        <w:t>within a range from 2% to 3½%. Short-term interest rates have also been lower</w:t>
      </w:r>
      <w:r>
        <w:rPr>
          <w:rFonts w:ascii="Symbol" w:hAnsi="Symbol"/>
        </w:rPr>
        <w:t></w:t>
      </w:r>
      <w:r>
        <w:rPr/>
        <w:t>between 5% and 7½%</w:t>
      </w:r>
      <w:r>
        <w:rPr>
          <w:rFonts w:ascii="Symbol" w:hAnsi="Symbol"/>
        </w:rPr>
        <w:t></w:t>
      </w:r>
      <w:r>
        <w:rPr/>
        <w:t>and less variable than for many </w:t>
      </w:r>
      <w:r>
        <w:rPr>
          <w:spacing w:val="-2"/>
        </w:rPr>
        <w:t>years, </w:t>
      </w:r>
      <w:r>
        <w:rPr/>
        <w:t>and long-term rates have declined very substantially. Moreover, growth in the economy </w:t>
      </w:r>
      <w:r>
        <w:rPr>
          <w:i/>
        </w:rPr>
        <w:t>as a </w:t>
      </w:r>
      <w:r>
        <w:rPr>
          <w:i/>
        </w:rPr>
        <w:t>whole </w:t>
      </w:r>
      <w:r>
        <w:rPr/>
        <w:t>has been reasonably strong and stable by comparison with the past, and unemployment has fallen to 20-year lows. The period of inflation targeting has been a period of good macroeconomic</w:t>
      </w:r>
      <w:r>
        <w:rPr>
          <w:spacing w:val="-6"/>
        </w:rPr>
        <w:t> </w:t>
      </w:r>
      <w:r>
        <w:rPr/>
        <w:t>performance.</w:t>
      </w:r>
    </w:p>
    <w:p>
      <w:pPr>
        <w:pStyle w:val="BodyText"/>
        <w:spacing w:before="3"/>
        <w:rPr>
          <w:sz w:val="23"/>
        </w:rPr>
      </w:pPr>
    </w:p>
    <w:p>
      <w:pPr>
        <w:spacing w:before="91"/>
        <w:ind w:left="176" w:right="0" w:firstLine="0"/>
        <w:jc w:val="left"/>
        <w:rPr>
          <w:b/>
          <w:sz w:val="20"/>
        </w:rPr>
      </w:pPr>
      <w:r>
        <w:rPr>
          <w:b/>
          <w:sz w:val="20"/>
        </w:rPr>
        <w:t>Chart 5</w:t>
      </w:r>
    </w:p>
    <w:p>
      <w:pPr>
        <w:pStyle w:val="BodyText"/>
        <w:rPr>
          <w:b/>
          <w:sz w:val="20"/>
        </w:rPr>
      </w:pPr>
    </w:p>
    <w:p>
      <w:pPr>
        <w:pStyle w:val="BodyText"/>
        <w:spacing w:before="8"/>
        <w:rPr>
          <w:b/>
          <w:sz w:val="20"/>
        </w:rPr>
      </w:pPr>
    </w:p>
    <w:p>
      <w:pPr>
        <w:spacing w:after="0"/>
        <w:rPr>
          <w:sz w:val="20"/>
        </w:rPr>
        <w:sectPr>
          <w:pgSz w:w="11900" w:h="16840"/>
          <w:pgMar w:header="0" w:footer="738" w:top="1600" w:bottom="920" w:left="1560" w:right="1560"/>
        </w:sectPr>
      </w:pPr>
    </w:p>
    <w:p>
      <w:pPr>
        <w:spacing w:before="98"/>
        <w:ind w:left="269" w:right="0" w:firstLine="0"/>
        <w:jc w:val="left"/>
        <w:rPr>
          <w:b/>
          <w:sz w:val="17"/>
        </w:rPr>
      </w:pPr>
      <w:r>
        <w:rPr>
          <w:b/>
          <w:w w:val="105"/>
          <w:sz w:val="17"/>
        </w:rPr>
        <w:t>UK price inflation</w:t>
      </w:r>
    </w:p>
    <w:p>
      <w:pPr>
        <w:pStyle w:val="BodyText"/>
        <w:spacing w:before="7"/>
        <w:rPr>
          <w:b/>
          <w:sz w:val="17"/>
        </w:rPr>
      </w:pPr>
      <w:r>
        <w:rPr/>
        <w:br w:type="column"/>
      </w:r>
      <w:r>
        <w:rPr>
          <w:b/>
          <w:sz w:val="17"/>
        </w:rPr>
      </w:r>
    </w:p>
    <w:p>
      <w:pPr>
        <w:spacing w:line="288" w:lineRule="auto" w:before="0"/>
        <w:ind w:left="269" w:right="4675" w:firstLine="0"/>
        <w:jc w:val="left"/>
        <w:rPr>
          <w:sz w:val="12"/>
        </w:rPr>
      </w:pPr>
      <w:r>
        <w:rPr>
          <w:sz w:val="12"/>
        </w:rPr>
        <w:t>Percentage change on a year earlier</w:t>
      </w:r>
    </w:p>
    <w:p>
      <w:pPr>
        <w:spacing w:after="0" w:line="288" w:lineRule="auto"/>
        <w:jc w:val="left"/>
        <w:rPr>
          <w:sz w:val="12"/>
        </w:rPr>
        <w:sectPr>
          <w:type w:val="continuous"/>
          <w:pgSz w:w="11900" w:h="16840"/>
          <w:pgMar w:top="1180" w:bottom="280" w:left="1560" w:right="1560"/>
          <w:cols w:num="2" w:equalWidth="0">
            <w:col w:w="1680" w:space="840"/>
            <w:col w:w="6260"/>
          </w:cols>
        </w:sectPr>
      </w:pPr>
    </w:p>
    <w:p>
      <w:pPr>
        <w:spacing w:line="81" w:lineRule="exact" w:before="0"/>
        <w:ind w:left="0" w:right="952" w:firstLine="0"/>
        <w:jc w:val="center"/>
        <w:rPr>
          <w:sz w:val="12"/>
        </w:rPr>
      </w:pPr>
      <w:r>
        <w:rPr/>
        <w:pict>
          <v:group style="position:absolute;margin-left:100.060997pt;margin-top:1.227803pt;width:167.25pt;height:119.9pt;mso-position-horizontal-relative:page;mso-position-vertical-relative:paragraph;z-index:251667456" coordorigin="2001,25" coordsize="3345,2398">
            <v:shape style="position:absolute;left:2002;top:25;width:3344;height:2396" coordorigin="2002,26" coordsize="3344,2396" path="m5310,26l5310,2421m5310,2421l5346,2421m5310,2179l5346,2179m5310,1939l5346,1939m5310,1706l5346,1706m5310,1466l5346,1466m5310,1223l5346,1223m5310,981l5346,981m5310,739l5346,739m5310,508l5346,508m5310,266l5346,266m5310,26l5346,26m2002,2421l5310,2421m2002,2421l2002,2387m2662,2421l2662,2387m3308,2421l3308,2387m3968,2421l3968,2387m4628,2421l4628,2387m5286,2421l5286,2387e" filled="false" stroked="true" strokeweight=".12pt" strokecolor="#000000">
              <v:path arrowok="t"/>
              <v:stroke dashstyle="solid"/>
            </v:shape>
            <v:line style="position:absolute" from="2014,938" to="2094,474" stroked="true" strokeweight=".576658pt" strokecolor="#000080">
              <v:stroke dashstyle="solid"/>
            </v:line>
            <v:shape style="position:absolute;left:2041;top:11981;width:3047;height:1738" coordorigin="2041,11981" coordsize="3047,1738" path="m2094,474l2175,278m2175,278l2257,210m2257,210l2348,376m2348,376l2430,806m2430,806l2511,926m2511,926l2593,1058m2593,1058l2672,1070m2672,1070l2754,1156m2754,1156l2835,1410m2835,1410l2917,1530m2917,1530l2996,1619m2996,1619l3078,1739m3078,1739l3159,1684m3159,1684l3251,1782m3251,1782l3332,1773m3332,1773l3414,1838m3414,1838l3495,1905m3495,1905l3575,1883m3575,1883l3656,1761m3656,1761l3738,1773m3738,1773l3817,1718m3817,1718l3899,1718m3899,1718l3980,1730m3980,1730l4062,1751m4062,1751l4153,1730m4153,1730l4235,1653m4235,1653l4316,1739m4316,1739l4395,1806m4395,1806l4477,1739m4477,1739l4559,1761m4559,1761l4640,1806m4640,1806l4719,1706m4719,1706l4801,1806m4801,1806l4964,1806m4964,1806l5055,1883m5055,1883l5137,1905m5137,1905l5219,1893e" filled="false" stroked="true" strokeweight=".563197pt" strokecolor="#000080">
              <v:path arrowok="t"/>
              <v:stroke dashstyle="solid"/>
            </v:shape>
            <w10:wrap type="none"/>
          </v:group>
        </w:pict>
      </w:r>
      <w:r>
        <w:rPr>
          <w:sz w:val="12"/>
        </w:rPr>
        <w:t>10</w:t>
      </w:r>
    </w:p>
    <w:p>
      <w:pPr>
        <w:spacing w:before="104"/>
        <w:ind w:left="0" w:right="4874" w:firstLine="0"/>
        <w:jc w:val="right"/>
        <w:rPr>
          <w:sz w:val="12"/>
        </w:rPr>
      </w:pPr>
      <w:r>
        <w:rPr>
          <w:w w:val="100"/>
          <w:sz w:val="12"/>
        </w:rPr>
        <w:t>9</w:t>
      </w:r>
    </w:p>
    <w:p>
      <w:pPr>
        <w:spacing w:before="105"/>
        <w:ind w:left="0" w:right="4874" w:firstLine="0"/>
        <w:jc w:val="right"/>
        <w:rPr>
          <w:sz w:val="12"/>
        </w:rPr>
      </w:pPr>
      <w:r>
        <w:rPr>
          <w:w w:val="100"/>
          <w:sz w:val="12"/>
        </w:rPr>
        <w:t>8</w:t>
      </w:r>
    </w:p>
    <w:p>
      <w:pPr>
        <w:spacing w:before="92"/>
        <w:ind w:left="0" w:right="4874" w:firstLine="0"/>
        <w:jc w:val="right"/>
        <w:rPr>
          <w:sz w:val="12"/>
        </w:rPr>
      </w:pPr>
      <w:r>
        <w:rPr>
          <w:w w:val="100"/>
          <w:sz w:val="12"/>
        </w:rPr>
        <w:t>7</w:t>
      </w:r>
    </w:p>
    <w:p>
      <w:pPr>
        <w:spacing w:before="104"/>
        <w:ind w:left="0" w:right="4874" w:firstLine="0"/>
        <w:jc w:val="right"/>
        <w:rPr>
          <w:sz w:val="12"/>
        </w:rPr>
      </w:pPr>
      <w:r>
        <w:rPr>
          <w:w w:val="100"/>
          <w:sz w:val="12"/>
        </w:rPr>
        <w:t>6</w:t>
      </w:r>
    </w:p>
    <w:p>
      <w:pPr>
        <w:spacing w:before="105"/>
        <w:ind w:left="0" w:right="4874" w:firstLine="0"/>
        <w:jc w:val="right"/>
        <w:rPr>
          <w:sz w:val="12"/>
        </w:rPr>
      </w:pPr>
      <w:r>
        <w:rPr>
          <w:w w:val="100"/>
          <w:sz w:val="12"/>
        </w:rPr>
        <w:t>5</w:t>
      </w:r>
    </w:p>
    <w:p>
      <w:pPr>
        <w:spacing w:before="104"/>
        <w:ind w:left="0" w:right="4874" w:firstLine="0"/>
        <w:jc w:val="right"/>
        <w:rPr>
          <w:sz w:val="12"/>
        </w:rPr>
      </w:pPr>
      <w:r>
        <w:rPr>
          <w:w w:val="100"/>
          <w:sz w:val="12"/>
        </w:rPr>
        <w:t>4</w:t>
      </w:r>
    </w:p>
    <w:p>
      <w:pPr>
        <w:spacing w:before="102"/>
        <w:ind w:left="0" w:right="4874" w:firstLine="0"/>
        <w:jc w:val="right"/>
        <w:rPr>
          <w:sz w:val="12"/>
        </w:rPr>
      </w:pPr>
      <w:r>
        <w:rPr>
          <w:w w:val="100"/>
          <w:sz w:val="12"/>
        </w:rPr>
        <w:t>3</w:t>
      </w:r>
    </w:p>
    <w:p>
      <w:pPr>
        <w:spacing w:before="95"/>
        <w:ind w:left="0" w:right="4874" w:firstLine="0"/>
        <w:jc w:val="right"/>
        <w:rPr>
          <w:sz w:val="12"/>
        </w:rPr>
      </w:pPr>
      <w:r>
        <w:rPr>
          <w:w w:val="100"/>
          <w:sz w:val="12"/>
        </w:rPr>
        <w:t>2</w:t>
      </w:r>
    </w:p>
    <w:p>
      <w:pPr>
        <w:spacing w:before="102"/>
        <w:ind w:left="0" w:right="4874" w:firstLine="0"/>
        <w:jc w:val="right"/>
        <w:rPr>
          <w:sz w:val="12"/>
        </w:rPr>
      </w:pPr>
      <w:r>
        <w:rPr>
          <w:w w:val="100"/>
          <w:sz w:val="12"/>
        </w:rPr>
        <w:t>1</w:t>
      </w:r>
    </w:p>
    <w:p>
      <w:pPr>
        <w:spacing w:before="104"/>
        <w:ind w:left="0" w:right="4874" w:firstLine="0"/>
        <w:jc w:val="right"/>
        <w:rPr>
          <w:sz w:val="12"/>
        </w:rPr>
      </w:pPr>
      <w:r>
        <w:rPr>
          <w:w w:val="100"/>
          <w:sz w:val="12"/>
        </w:rPr>
        <w:t>0</w:t>
      </w:r>
    </w:p>
    <w:p>
      <w:pPr>
        <w:tabs>
          <w:tab w:pos="659" w:val="left" w:leader="none"/>
          <w:tab w:pos="1317" w:val="left" w:leader="none"/>
          <w:tab w:pos="1965" w:val="left" w:leader="none"/>
          <w:tab w:pos="2625" w:val="left" w:leader="none"/>
          <w:tab w:pos="3283" w:val="left" w:leader="none"/>
        </w:tabs>
        <w:spacing w:before="38"/>
        <w:ind w:left="0" w:right="4901" w:firstLine="0"/>
        <w:jc w:val="right"/>
        <w:rPr>
          <w:sz w:val="12"/>
        </w:rPr>
      </w:pPr>
      <w:r>
        <w:rPr>
          <w:spacing w:val="6"/>
          <w:sz w:val="12"/>
        </w:rPr>
        <w:t>1990</w:t>
        <w:tab/>
        <w:t>1992</w:t>
        <w:tab/>
        <w:t>1994</w:t>
        <w:tab/>
        <w:t>1996</w:t>
        <w:tab/>
        <w:t>1998</w:t>
        <w:tab/>
      </w:r>
      <w:r>
        <w:rPr>
          <w:spacing w:val="9"/>
          <w:sz w:val="12"/>
        </w:rPr>
        <w:t>2000</w:t>
      </w:r>
    </w:p>
    <w:p>
      <w:pPr>
        <w:pStyle w:val="BodyText"/>
        <w:rPr>
          <w:sz w:val="20"/>
        </w:rPr>
      </w:pPr>
    </w:p>
    <w:p>
      <w:pPr>
        <w:pStyle w:val="BodyText"/>
        <w:rPr>
          <w:sz w:val="20"/>
        </w:rPr>
      </w:pPr>
    </w:p>
    <w:p>
      <w:pPr>
        <w:pStyle w:val="BodyText"/>
        <w:spacing w:before="8"/>
        <w:rPr>
          <w:sz w:val="27"/>
        </w:rPr>
      </w:pPr>
    </w:p>
    <w:p>
      <w:pPr>
        <w:pStyle w:val="Heading1"/>
        <w:spacing w:before="90"/>
      </w:pPr>
      <w:r>
        <w:rPr/>
        <w:t>The exchange rate: four questions</w:t>
      </w:r>
    </w:p>
    <w:p>
      <w:pPr>
        <w:pStyle w:val="BodyText"/>
        <w:rPr>
          <w:b/>
          <w:sz w:val="26"/>
        </w:rPr>
      </w:pPr>
    </w:p>
    <w:p>
      <w:pPr>
        <w:pStyle w:val="BodyText"/>
        <w:spacing w:before="5"/>
        <w:rPr>
          <w:b/>
          <w:sz w:val="23"/>
        </w:rPr>
      </w:pPr>
    </w:p>
    <w:p>
      <w:pPr>
        <w:pStyle w:val="BodyText"/>
        <w:spacing w:line="367" w:lineRule="auto"/>
        <w:ind w:left="140"/>
      </w:pPr>
      <w:r>
        <w:rPr/>
        <w:t>What has </w:t>
      </w:r>
      <w:r>
        <w:rPr>
          <w:i/>
        </w:rPr>
        <w:t>not </w:t>
      </w:r>
      <w:r>
        <w:rPr/>
        <w:t>been stable over this period, as you know all too well, is the exchange rate</w:t>
      </w:r>
      <w:r>
        <w:rPr>
          <w:rFonts w:ascii="Symbol" w:hAnsi="Symbol"/>
        </w:rPr>
        <w:t></w:t>
      </w:r>
      <w:r>
        <w:rPr/>
        <w:t>see Chart 6</w:t>
      </w:r>
      <w:r>
        <w:rPr>
          <w:rFonts w:ascii="Symbol" w:hAnsi="Symbol"/>
        </w:rPr>
        <w:t></w:t>
      </w:r>
      <w:r>
        <w:rPr/>
        <w:t>in particular the exchange rate against the euro and its predecessor</w:t>
      </w:r>
    </w:p>
    <w:p>
      <w:pPr>
        <w:spacing w:after="0" w:line="367" w:lineRule="auto"/>
        <w:sectPr>
          <w:type w:val="continuous"/>
          <w:pgSz w:w="11900" w:h="16840"/>
          <w:pgMar w:top="1180" w:bottom="280" w:left="1560" w:right="1560"/>
        </w:sectPr>
      </w:pPr>
    </w:p>
    <w:p>
      <w:pPr>
        <w:pStyle w:val="BodyText"/>
        <w:spacing w:line="369" w:lineRule="auto" w:before="79"/>
        <w:ind w:left="140"/>
      </w:pPr>
      <w:bookmarkStart w:name="How does the exchange rate affect moneta" w:id="4"/>
      <w:bookmarkEnd w:id="4"/>
      <w:r>
        <w:rPr/>
      </w:r>
      <w:r>
        <w:rPr/>
        <w:t>currencies. I propose to address the rest of my remarks today to four questions about monetary policy and the exchange rate:</w:t>
      </w:r>
    </w:p>
    <w:p>
      <w:pPr>
        <w:pStyle w:val="BodyText"/>
        <w:spacing w:before="7"/>
        <w:rPr>
          <w:sz w:val="36"/>
        </w:rPr>
      </w:pPr>
    </w:p>
    <w:p>
      <w:pPr>
        <w:pStyle w:val="ListParagraph"/>
        <w:numPr>
          <w:ilvl w:val="0"/>
          <w:numId w:val="1"/>
        </w:numPr>
        <w:tabs>
          <w:tab w:pos="499" w:val="left" w:leader="none"/>
          <w:tab w:pos="501" w:val="left" w:leader="none"/>
        </w:tabs>
        <w:spacing w:line="240" w:lineRule="auto" w:before="0" w:after="0"/>
        <w:ind w:left="500" w:right="0" w:hanging="361"/>
        <w:jc w:val="left"/>
        <w:rPr>
          <w:sz w:val="24"/>
        </w:rPr>
      </w:pPr>
      <w:r>
        <w:rPr>
          <w:sz w:val="24"/>
        </w:rPr>
        <w:t>How</w:t>
      </w:r>
      <w:r>
        <w:rPr>
          <w:spacing w:val="-6"/>
          <w:sz w:val="24"/>
        </w:rPr>
        <w:t> </w:t>
      </w:r>
      <w:r>
        <w:rPr>
          <w:sz w:val="24"/>
        </w:rPr>
        <w:t>does</w:t>
      </w:r>
      <w:r>
        <w:rPr>
          <w:spacing w:val="-6"/>
          <w:sz w:val="24"/>
        </w:rPr>
        <w:t> </w:t>
      </w:r>
      <w:r>
        <w:rPr>
          <w:sz w:val="24"/>
        </w:rPr>
        <w:t>the</w:t>
      </w:r>
      <w:r>
        <w:rPr>
          <w:spacing w:val="-6"/>
          <w:sz w:val="24"/>
        </w:rPr>
        <w:t> </w:t>
      </w:r>
      <w:r>
        <w:rPr>
          <w:sz w:val="24"/>
        </w:rPr>
        <w:t>exchange</w:t>
      </w:r>
      <w:r>
        <w:rPr>
          <w:spacing w:val="-6"/>
          <w:sz w:val="24"/>
        </w:rPr>
        <w:t> </w:t>
      </w:r>
      <w:r>
        <w:rPr>
          <w:sz w:val="24"/>
        </w:rPr>
        <w:t>rate</w:t>
      </w:r>
      <w:r>
        <w:rPr>
          <w:spacing w:val="-6"/>
          <w:sz w:val="24"/>
        </w:rPr>
        <w:t> </w:t>
      </w:r>
      <w:r>
        <w:rPr>
          <w:sz w:val="24"/>
        </w:rPr>
        <w:t>affect</w:t>
      </w:r>
      <w:r>
        <w:rPr>
          <w:spacing w:val="-5"/>
          <w:sz w:val="24"/>
        </w:rPr>
        <w:t> </w:t>
      </w:r>
      <w:r>
        <w:rPr>
          <w:sz w:val="24"/>
        </w:rPr>
        <w:t>monetary</w:t>
      </w:r>
      <w:r>
        <w:rPr>
          <w:spacing w:val="-13"/>
          <w:sz w:val="24"/>
        </w:rPr>
        <w:t> </w:t>
      </w:r>
      <w:r>
        <w:rPr>
          <w:sz w:val="24"/>
        </w:rPr>
        <w:t>policy?</w:t>
      </w:r>
    </w:p>
    <w:p>
      <w:pPr>
        <w:pStyle w:val="ListParagraph"/>
        <w:numPr>
          <w:ilvl w:val="0"/>
          <w:numId w:val="1"/>
        </w:numPr>
        <w:tabs>
          <w:tab w:pos="499" w:val="left" w:leader="none"/>
          <w:tab w:pos="501" w:val="left" w:leader="none"/>
        </w:tabs>
        <w:spacing w:line="240" w:lineRule="auto" w:before="146" w:after="0"/>
        <w:ind w:left="500" w:right="0" w:hanging="361"/>
        <w:jc w:val="left"/>
        <w:rPr>
          <w:sz w:val="24"/>
        </w:rPr>
      </w:pPr>
      <w:r>
        <w:rPr>
          <w:sz w:val="24"/>
        </w:rPr>
        <w:t>How</w:t>
      </w:r>
      <w:r>
        <w:rPr>
          <w:spacing w:val="-5"/>
          <w:sz w:val="24"/>
        </w:rPr>
        <w:t> </w:t>
      </w:r>
      <w:r>
        <w:rPr>
          <w:sz w:val="24"/>
        </w:rPr>
        <w:t>does</w:t>
      </w:r>
      <w:r>
        <w:rPr>
          <w:spacing w:val="-5"/>
          <w:sz w:val="24"/>
        </w:rPr>
        <w:t> </w:t>
      </w:r>
      <w:r>
        <w:rPr>
          <w:sz w:val="24"/>
        </w:rPr>
        <w:t>monetary</w:t>
      </w:r>
      <w:r>
        <w:rPr>
          <w:spacing w:val="-12"/>
          <w:sz w:val="24"/>
        </w:rPr>
        <w:t> </w:t>
      </w:r>
      <w:r>
        <w:rPr>
          <w:sz w:val="24"/>
        </w:rPr>
        <w:t>policy</w:t>
      </w:r>
      <w:r>
        <w:rPr>
          <w:spacing w:val="-12"/>
          <w:sz w:val="24"/>
        </w:rPr>
        <w:t> </w:t>
      </w:r>
      <w:r>
        <w:rPr>
          <w:sz w:val="24"/>
        </w:rPr>
        <w:t>affect</w:t>
      </w:r>
      <w:r>
        <w:rPr>
          <w:spacing w:val="-4"/>
          <w:sz w:val="24"/>
        </w:rPr>
        <w:t> </w:t>
      </w:r>
      <w:r>
        <w:rPr>
          <w:sz w:val="24"/>
        </w:rPr>
        <w:t>the</w:t>
      </w:r>
      <w:r>
        <w:rPr>
          <w:spacing w:val="-5"/>
          <w:sz w:val="24"/>
        </w:rPr>
        <w:t> </w:t>
      </w:r>
      <w:r>
        <w:rPr>
          <w:sz w:val="24"/>
        </w:rPr>
        <w:t>exchange</w:t>
      </w:r>
      <w:r>
        <w:rPr>
          <w:spacing w:val="-5"/>
          <w:sz w:val="24"/>
        </w:rPr>
        <w:t> </w:t>
      </w:r>
      <w:r>
        <w:rPr>
          <w:sz w:val="24"/>
        </w:rPr>
        <w:t>rate?</w:t>
      </w:r>
    </w:p>
    <w:p>
      <w:pPr>
        <w:pStyle w:val="ListParagraph"/>
        <w:numPr>
          <w:ilvl w:val="0"/>
          <w:numId w:val="1"/>
        </w:numPr>
        <w:tabs>
          <w:tab w:pos="499" w:val="left" w:leader="none"/>
          <w:tab w:pos="501" w:val="left" w:leader="none"/>
        </w:tabs>
        <w:spacing w:line="240" w:lineRule="auto" w:before="145" w:after="0"/>
        <w:ind w:left="500" w:right="0" w:hanging="361"/>
        <w:jc w:val="left"/>
        <w:rPr>
          <w:sz w:val="24"/>
        </w:rPr>
      </w:pPr>
      <w:r>
        <w:rPr>
          <w:sz w:val="24"/>
        </w:rPr>
        <w:t>Why has sterling been so</w:t>
      </w:r>
      <w:r>
        <w:rPr>
          <w:spacing w:val="-16"/>
          <w:sz w:val="24"/>
        </w:rPr>
        <w:t> </w:t>
      </w:r>
      <w:r>
        <w:rPr>
          <w:sz w:val="24"/>
        </w:rPr>
        <w:t>strong?</w:t>
      </w:r>
    </w:p>
    <w:p>
      <w:pPr>
        <w:pStyle w:val="ListParagraph"/>
        <w:numPr>
          <w:ilvl w:val="0"/>
          <w:numId w:val="1"/>
        </w:numPr>
        <w:tabs>
          <w:tab w:pos="499" w:val="left" w:leader="none"/>
          <w:tab w:pos="501" w:val="left" w:leader="none"/>
        </w:tabs>
        <w:spacing w:line="240" w:lineRule="auto" w:before="145" w:after="0"/>
        <w:ind w:left="500" w:right="0" w:hanging="361"/>
        <w:jc w:val="left"/>
        <w:rPr>
          <w:sz w:val="24"/>
        </w:rPr>
      </w:pPr>
      <w:r>
        <w:rPr>
          <w:sz w:val="24"/>
        </w:rPr>
        <w:t>Where is sterling</w:t>
      </w:r>
      <w:r>
        <w:rPr>
          <w:spacing w:val="-5"/>
          <w:sz w:val="24"/>
        </w:rPr>
        <w:t> </w:t>
      </w:r>
      <w:r>
        <w:rPr>
          <w:sz w:val="24"/>
        </w:rPr>
        <w:t>heading?</w:t>
      </w:r>
    </w:p>
    <w:p>
      <w:pPr>
        <w:pStyle w:val="BodyText"/>
        <w:rPr>
          <w:sz w:val="20"/>
        </w:rPr>
      </w:pPr>
    </w:p>
    <w:p>
      <w:pPr>
        <w:pStyle w:val="BodyText"/>
        <w:rPr>
          <w:sz w:val="20"/>
        </w:rPr>
      </w:pPr>
    </w:p>
    <w:p>
      <w:pPr>
        <w:pStyle w:val="BodyText"/>
        <w:rPr>
          <w:sz w:val="20"/>
        </w:rPr>
      </w:pPr>
    </w:p>
    <w:p>
      <w:pPr>
        <w:pStyle w:val="BodyText"/>
        <w:spacing w:before="8"/>
        <w:rPr>
          <w:sz w:val="27"/>
        </w:rPr>
      </w:pPr>
    </w:p>
    <w:p>
      <w:pPr>
        <w:spacing w:before="91"/>
        <w:ind w:left="176" w:right="0" w:firstLine="0"/>
        <w:jc w:val="left"/>
        <w:rPr>
          <w:b/>
          <w:sz w:val="20"/>
        </w:rPr>
      </w:pPr>
      <w:r>
        <w:rPr>
          <w:b/>
          <w:sz w:val="20"/>
        </w:rPr>
        <w:t>Chart 6</w:t>
      </w:r>
    </w:p>
    <w:p>
      <w:pPr>
        <w:pStyle w:val="BodyText"/>
        <w:spacing w:before="3"/>
        <w:rPr>
          <w:b/>
          <w:sz w:val="28"/>
        </w:rPr>
      </w:pPr>
    </w:p>
    <w:p>
      <w:pPr>
        <w:spacing w:after="0"/>
        <w:rPr>
          <w:sz w:val="28"/>
        </w:rPr>
        <w:sectPr>
          <w:pgSz w:w="11900" w:h="16840"/>
          <w:pgMar w:header="0" w:footer="738" w:top="1060" w:bottom="920" w:left="1560" w:right="1560"/>
        </w:sectPr>
      </w:pPr>
    </w:p>
    <w:p>
      <w:pPr>
        <w:spacing w:before="99"/>
        <w:ind w:left="264" w:right="0" w:firstLine="0"/>
        <w:jc w:val="left"/>
        <w:rPr>
          <w:b/>
          <w:sz w:val="15"/>
        </w:rPr>
      </w:pPr>
      <w:r>
        <w:rPr/>
        <w:pict>
          <v:group style="position:absolute;margin-left:95.796501pt;margin-top:11.837959pt;width:141.15pt;height:115.4pt;mso-position-horizontal-relative:page;mso-position-vertical-relative:paragraph;z-index:251669504" coordorigin="1916,237" coordsize="2823,2308">
            <v:shape style="position:absolute;left:1915;top:369;width:2823;height:2175" type="#_x0000_t75" stroked="false">
              <v:imagedata r:id="rId8" o:title=""/>
            </v:shape>
            <v:shape style="position:absolute;left:4112;top:236;width:488;height:266" type="#_x0000_t202" filled="false" stroked="false">
              <v:textbox inset="0,0,0,0">
                <w:txbxContent>
                  <w:p>
                    <w:pPr>
                      <w:spacing w:line="304" w:lineRule="auto" w:before="2"/>
                      <w:ind w:left="0" w:right="0" w:firstLine="108"/>
                      <w:jc w:val="left"/>
                      <w:rPr>
                        <w:sz w:val="10"/>
                      </w:rPr>
                    </w:pPr>
                    <w:r>
                      <w:rPr>
                        <w:w w:val="110"/>
                        <w:sz w:val="10"/>
                      </w:rPr>
                      <w:t>Index </w:t>
                    </w:r>
                    <w:r>
                      <w:rPr>
                        <w:w w:val="105"/>
                        <w:sz w:val="10"/>
                      </w:rPr>
                      <w:t>1990=100</w:t>
                    </w:r>
                  </w:p>
                </w:txbxContent>
              </v:textbox>
              <w10:wrap type="none"/>
            </v:shape>
            <w10:wrap type="none"/>
          </v:group>
        </w:pict>
      </w:r>
      <w:r>
        <w:rPr>
          <w:b/>
          <w:w w:val="105"/>
          <w:sz w:val="15"/>
        </w:rPr>
        <w:t>£ ERI since 1990</w:t>
      </w:r>
    </w:p>
    <w:p>
      <w:pPr>
        <w:pStyle w:val="BodyText"/>
        <w:rPr>
          <w:b/>
          <w:sz w:val="12"/>
        </w:rPr>
      </w:pPr>
      <w:r>
        <w:rPr/>
        <w:br w:type="column"/>
      </w:r>
      <w:r>
        <w:rPr>
          <w:b/>
          <w:sz w:val="12"/>
        </w:rPr>
      </w:r>
    </w:p>
    <w:p>
      <w:pPr>
        <w:pStyle w:val="BodyText"/>
        <w:spacing w:before="8"/>
        <w:rPr>
          <w:b/>
          <w:sz w:val="14"/>
        </w:rPr>
      </w:pPr>
    </w:p>
    <w:p>
      <w:pPr>
        <w:spacing w:before="0"/>
        <w:ind w:left="264" w:right="0" w:firstLine="0"/>
        <w:jc w:val="left"/>
        <w:rPr>
          <w:sz w:val="10"/>
        </w:rPr>
      </w:pPr>
      <w:r>
        <w:rPr>
          <w:w w:val="110"/>
          <w:sz w:val="10"/>
        </w:rPr>
        <w:t>115</w:t>
      </w:r>
    </w:p>
    <w:p>
      <w:pPr>
        <w:spacing w:after="0"/>
        <w:jc w:val="left"/>
        <w:rPr>
          <w:sz w:val="10"/>
        </w:rPr>
        <w:sectPr>
          <w:type w:val="continuous"/>
          <w:pgSz w:w="11900" w:h="16840"/>
          <w:pgMar w:top="1180" w:bottom="280" w:left="1560" w:right="1560"/>
          <w:cols w:num="2" w:equalWidth="0">
            <w:col w:w="1420" w:space="1541"/>
            <w:col w:w="5819"/>
          </w:cols>
        </w:sectPr>
      </w:pPr>
    </w:p>
    <w:p>
      <w:pPr>
        <w:pStyle w:val="BodyText"/>
        <w:spacing w:before="3"/>
        <w:rPr>
          <w:sz w:val="17"/>
        </w:rPr>
      </w:pPr>
    </w:p>
    <w:p>
      <w:pPr>
        <w:spacing w:before="1"/>
        <w:ind w:left="0" w:right="2153" w:firstLine="0"/>
        <w:jc w:val="center"/>
        <w:rPr>
          <w:sz w:val="10"/>
        </w:rPr>
      </w:pPr>
      <w:r>
        <w:rPr>
          <w:spacing w:val="3"/>
          <w:w w:val="110"/>
          <w:sz w:val="10"/>
        </w:rPr>
        <w:t>110</w:t>
      </w:r>
    </w:p>
    <w:p>
      <w:pPr>
        <w:pStyle w:val="BodyText"/>
        <w:spacing w:before="3"/>
        <w:rPr>
          <w:sz w:val="16"/>
        </w:rPr>
      </w:pPr>
    </w:p>
    <w:p>
      <w:pPr>
        <w:spacing w:before="0"/>
        <w:ind w:left="0" w:right="2153" w:firstLine="0"/>
        <w:jc w:val="center"/>
        <w:rPr>
          <w:sz w:val="10"/>
        </w:rPr>
      </w:pPr>
      <w:r>
        <w:rPr>
          <w:spacing w:val="3"/>
          <w:w w:val="110"/>
          <w:sz w:val="10"/>
        </w:rPr>
        <w:t>105</w:t>
      </w:r>
    </w:p>
    <w:p>
      <w:pPr>
        <w:pStyle w:val="BodyText"/>
        <w:spacing w:before="1"/>
        <w:rPr>
          <w:sz w:val="17"/>
        </w:rPr>
      </w:pPr>
    </w:p>
    <w:p>
      <w:pPr>
        <w:spacing w:before="1"/>
        <w:ind w:left="0" w:right="2153" w:firstLine="0"/>
        <w:jc w:val="center"/>
        <w:rPr>
          <w:sz w:val="10"/>
        </w:rPr>
      </w:pPr>
      <w:r>
        <w:rPr>
          <w:spacing w:val="3"/>
          <w:w w:val="110"/>
          <w:sz w:val="10"/>
        </w:rPr>
        <w:t>100</w:t>
      </w:r>
    </w:p>
    <w:p>
      <w:pPr>
        <w:pStyle w:val="BodyText"/>
        <w:spacing w:before="3"/>
        <w:rPr>
          <w:sz w:val="17"/>
        </w:rPr>
      </w:pPr>
    </w:p>
    <w:p>
      <w:pPr>
        <w:spacing w:before="1"/>
        <w:ind w:left="0" w:right="2205" w:firstLine="0"/>
        <w:jc w:val="center"/>
        <w:rPr>
          <w:sz w:val="10"/>
        </w:rPr>
      </w:pPr>
      <w:r>
        <w:rPr>
          <w:spacing w:val="6"/>
          <w:w w:val="110"/>
          <w:sz w:val="10"/>
        </w:rPr>
        <w:t>95</w:t>
      </w:r>
    </w:p>
    <w:p>
      <w:pPr>
        <w:pStyle w:val="BodyText"/>
        <w:spacing w:before="1"/>
        <w:rPr>
          <w:sz w:val="17"/>
        </w:rPr>
      </w:pPr>
    </w:p>
    <w:p>
      <w:pPr>
        <w:spacing w:before="0"/>
        <w:ind w:left="0" w:right="2205" w:firstLine="0"/>
        <w:jc w:val="center"/>
        <w:rPr>
          <w:sz w:val="10"/>
        </w:rPr>
      </w:pPr>
      <w:r>
        <w:rPr>
          <w:spacing w:val="6"/>
          <w:w w:val="110"/>
          <w:sz w:val="10"/>
        </w:rPr>
        <w:t>90</w:t>
      </w:r>
    </w:p>
    <w:p>
      <w:pPr>
        <w:pStyle w:val="BodyText"/>
        <w:spacing w:before="6"/>
        <w:rPr>
          <w:sz w:val="16"/>
        </w:rPr>
      </w:pPr>
    </w:p>
    <w:p>
      <w:pPr>
        <w:spacing w:before="0"/>
        <w:ind w:left="0" w:right="2205" w:firstLine="0"/>
        <w:jc w:val="center"/>
        <w:rPr>
          <w:sz w:val="10"/>
        </w:rPr>
      </w:pPr>
      <w:r>
        <w:rPr>
          <w:spacing w:val="6"/>
          <w:w w:val="110"/>
          <w:sz w:val="10"/>
        </w:rPr>
        <w:t>85</w:t>
      </w:r>
    </w:p>
    <w:p>
      <w:pPr>
        <w:pStyle w:val="BodyText"/>
        <w:spacing w:before="1"/>
        <w:rPr>
          <w:sz w:val="17"/>
        </w:rPr>
      </w:pPr>
    </w:p>
    <w:p>
      <w:pPr>
        <w:spacing w:before="0"/>
        <w:ind w:left="0" w:right="2205" w:firstLine="0"/>
        <w:jc w:val="center"/>
        <w:rPr>
          <w:sz w:val="10"/>
        </w:rPr>
      </w:pPr>
      <w:r>
        <w:rPr>
          <w:spacing w:val="6"/>
          <w:w w:val="110"/>
          <w:sz w:val="10"/>
        </w:rPr>
        <w:t>80</w:t>
      </w:r>
    </w:p>
    <w:p>
      <w:pPr>
        <w:tabs>
          <w:tab w:pos="537" w:val="left" w:leader="none"/>
          <w:tab w:pos="1084" w:val="left" w:leader="none"/>
          <w:tab w:pos="1622" w:val="left" w:leader="none"/>
          <w:tab w:pos="2169" w:val="left" w:leader="none"/>
          <w:tab w:pos="2707" w:val="left" w:leader="none"/>
        </w:tabs>
        <w:spacing w:before="41"/>
        <w:ind w:left="0" w:right="5350" w:firstLine="0"/>
        <w:jc w:val="center"/>
        <w:rPr>
          <w:sz w:val="10"/>
        </w:rPr>
      </w:pPr>
      <w:r>
        <w:rPr>
          <w:spacing w:val="3"/>
          <w:w w:val="110"/>
          <w:sz w:val="10"/>
        </w:rPr>
        <w:t>1990</w:t>
        <w:tab/>
        <w:t>1992</w:t>
        <w:tab/>
        <w:t>1994</w:t>
        <w:tab/>
        <w:t>1996</w:t>
        <w:tab/>
        <w:t>1998</w:t>
        <w:tab/>
        <w:t>2000</w:t>
      </w:r>
    </w:p>
    <w:p>
      <w:pPr>
        <w:pStyle w:val="BodyText"/>
        <w:spacing w:before="5"/>
        <w:rPr>
          <w:sz w:val="28"/>
        </w:rPr>
      </w:pPr>
    </w:p>
    <w:p>
      <w:pPr>
        <w:spacing w:before="90"/>
        <w:ind w:left="140" w:right="0" w:firstLine="0"/>
        <w:jc w:val="left"/>
        <w:rPr>
          <w:i/>
          <w:sz w:val="24"/>
        </w:rPr>
      </w:pPr>
      <w:r>
        <w:rPr>
          <w:i/>
          <w:sz w:val="24"/>
        </w:rPr>
        <w:t>How does the exchange rate affect monetary policy?</w:t>
      </w:r>
    </w:p>
    <w:p>
      <w:pPr>
        <w:pStyle w:val="BodyText"/>
        <w:rPr>
          <w:i/>
          <w:sz w:val="26"/>
        </w:rPr>
      </w:pPr>
    </w:p>
    <w:p>
      <w:pPr>
        <w:pStyle w:val="BodyText"/>
        <w:spacing w:before="10"/>
        <w:rPr>
          <w:i/>
          <w:sz w:val="23"/>
        </w:rPr>
      </w:pPr>
    </w:p>
    <w:p>
      <w:pPr>
        <w:pStyle w:val="BodyText"/>
        <w:spacing w:line="369" w:lineRule="auto"/>
        <w:ind w:left="140"/>
      </w:pPr>
      <w:r>
        <w:rPr/>
        <w:t>As stated above, the paramount objective of monetary policy is price stability as defined by the inflation target. The exchange rate is not an </w:t>
      </w:r>
      <w:r>
        <w:rPr>
          <w:i/>
        </w:rPr>
        <w:t>objective </w:t>
      </w:r>
      <w:r>
        <w:rPr/>
        <w:t>of monetary policy.</w:t>
      </w:r>
    </w:p>
    <w:p>
      <w:pPr>
        <w:pStyle w:val="BodyText"/>
        <w:spacing w:line="367" w:lineRule="auto"/>
        <w:ind w:left="140" w:right="150"/>
      </w:pPr>
      <w:r>
        <w:rPr/>
        <w:t>Monetary policy has one main instrument</w:t>
      </w:r>
      <w:r>
        <w:rPr>
          <w:rFonts w:ascii="Symbol" w:hAnsi="Symbol"/>
        </w:rPr>
        <w:t></w:t>
      </w:r>
      <w:r>
        <w:rPr/>
        <w:t>the short-term official interest rate</w:t>
      </w:r>
      <w:r>
        <w:rPr>
          <w:rFonts w:ascii="Symbol" w:hAnsi="Symbol"/>
        </w:rPr>
        <w:t></w:t>
      </w:r>
      <w:r>
        <w:rPr/>
        <w:t>and must therefore have one paramount objective. One instrument cannot achieve more than one target. The exchange rate is however a major factor in the setting of monetary policy to achieve the inflation target, especially in an economy so open to international trade as the</w:t>
      </w:r>
      <w:r>
        <w:rPr>
          <w:spacing w:val="-4"/>
        </w:rPr>
        <w:t> </w:t>
      </w:r>
      <w:r>
        <w:rPr/>
        <w:t>UK.</w:t>
      </w:r>
    </w:p>
    <w:p>
      <w:pPr>
        <w:pStyle w:val="BodyText"/>
        <w:spacing w:before="3"/>
        <w:rPr>
          <w:sz w:val="37"/>
        </w:rPr>
      </w:pPr>
    </w:p>
    <w:p>
      <w:pPr>
        <w:pStyle w:val="BodyText"/>
        <w:spacing w:before="1"/>
        <w:ind w:left="140"/>
      </w:pPr>
      <w:r>
        <w:rPr/>
        <w:t>The exchange rate affects inflation via two main channels:</w:t>
      </w:r>
    </w:p>
    <w:p>
      <w:pPr>
        <w:pStyle w:val="ListParagraph"/>
        <w:numPr>
          <w:ilvl w:val="0"/>
          <w:numId w:val="1"/>
        </w:numPr>
        <w:tabs>
          <w:tab w:pos="499" w:val="left" w:leader="none"/>
          <w:tab w:pos="501" w:val="left" w:leader="none"/>
        </w:tabs>
        <w:spacing w:line="240" w:lineRule="auto" w:before="146" w:after="0"/>
        <w:ind w:left="500" w:right="0" w:hanging="361"/>
        <w:jc w:val="left"/>
        <w:rPr>
          <w:sz w:val="24"/>
        </w:rPr>
      </w:pPr>
      <w:r>
        <w:rPr>
          <w:sz w:val="24"/>
        </w:rPr>
        <w:t>The price channel</w:t>
      </w:r>
      <w:r>
        <w:rPr>
          <w:rFonts w:ascii="Symbol" w:hAnsi="Symbol"/>
          <w:sz w:val="24"/>
        </w:rPr>
        <w:t></w:t>
      </w:r>
      <w:r>
        <w:rPr>
          <w:sz w:val="24"/>
        </w:rPr>
        <w:t>higher sterling makes imports</w:t>
      </w:r>
      <w:r>
        <w:rPr>
          <w:spacing w:val="-9"/>
          <w:sz w:val="24"/>
        </w:rPr>
        <w:t> </w:t>
      </w:r>
      <w:r>
        <w:rPr>
          <w:sz w:val="24"/>
        </w:rPr>
        <w:t>cheaper</w:t>
      </w:r>
    </w:p>
    <w:p>
      <w:pPr>
        <w:pStyle w:val="ListParagraph"/>
        <w:numPr>
          <w:ilvl w:val="0"/>
          <w:numId w:val="1"/>
        </w:numPr>
        <w:tabs>
          <w:tab w:pos="499" w:val="left" w:leader="none"/>
          <w:tab w:pos="501" w:val="left" w:leader="none"/>
        </w:tabs>
        <w:spacing w:line="367" w:lineRule="auto" w:before="150" w:after="0"/>
        <w:ind w:left="500" w:right="260" w:hanging="360"/>
        <w:jc w:val="left"/>
        <w:rPr>
          <w:sz w:val="24"/>
        </w:rPr>
      </w:pPr>
      <w:r>
        <w:rPr>
          <w:sz w:val="24"/>
        </w:rPr>
        <w:t>The demand channel</w:t>
      </w:r>
      <w:r>
        <w:rPr>
          <w:rFonts w:ascii="Symbol" w:hAnsi="Symbol"/>
          <w:sz w:val="24"/>
        </w:rPr>
        <w:t></w:t>
      </w:r>
      <w:r>
        <w:rPr>
          <w:sz w:val="24"/>
        </w:rPr>
        <w:t>higher sterling tends to reduce export demand and increase import</w:t>
      </w:r>
      <w:r>
        <w:rPr>
          <w:spacing w:val="-7"/>
          <w:sz w:val="24"/>
        </w:rPr>
        <w:t> </w:t>
      </w:r>
      <w:r>
        <w:rPr>
          <w:sz w:val="24"/>
        </w:rPr>
        <w:t>penetration,</w:t>
      </w:r>
      <w:r>
        <w:rPr>
          <w:spacing w:val="-7"/>
          <w:sz w:val="24"/>
        </w:rPr>
        <w:t> </w:t>
      </w:r>
      <w:r>
        <w:rPr>
          <w:sz w:val="24"/>
        </w:rPr>
        <w:t>thereby</w:t>
      </w:r>
      <w:r>
        <w:rPr>
          <w:spacing w:val="-13"/>
          <w:sz w:val="24"/>
        </w:rPr>
        <w:t> </w:t>
      </w:r>
      <w:r>
        <w:rPr>
          <w:sz w:val="24"/>
        </w:rPr>
        <w:t>reducing</w:t>
      </w:r>
      <w:r>
        <w:rPr>
          <w:spacing w:val="-9"/>
          <w:sz w:val="24"/>
        </w:rPr>
        <w:t> </w:t>
      </w:r>
      <w:r>
        <w:rPr>
          <w:sz w:val="24"/>
        </w:rPr>
        <w:t>pressure</w:t>
      </w:r>
      <w:r>
        <w:rPr>
          <w:spacing w:val="-6"/>
          <w:sz w:val="24"/>
        </w:rPr>
        <w:t> </w:t>
      </w:r>
      <w:r>
        <w:rPr>
          <w:sz w:val="24"/>
        </w:rPr>
        <w:t>of</w:t>
      </w:r>
      <w:r>
        <w:rPr>
          <w:spacing w:val="-7"/>
          <w:sz w:val="24"/>
        </w:rPr>
        <w:t> </w:t>
      </w:r>
      <w:r>
        <w:rPr>
          <w:sz w:val="24"/>
        </w:rPr>
        <w:t>overall</w:t>
      </w:r>
      <w:r>
        <w:rPr>
          <w:spacing w:val="-7"/>
          <w:sz w:val="24"/>
        </w:rPr>
        <w:t> </w:t>
      </w:r>
      <w:r>
        <w:rPr>
          <w:sz w:val="24"/>
        </w:rPr>
        <w:t>demand</w:t>
      </w:r>
      <w:r>
        <w:rPr>
          <w:spacing w:val="-7"/>
          <w:sz w:val="24"/>
        </w:rPr>
        <w:t> </w:t>
      </w:r>
      <w:r>
        <w:rPr>
          <w:sz w:val="24"/>
        </w:rPr>
        <w:t>on</w:t>
      </w:r>
      <w:r>
        <w:rPr>
          <w:spacing w:val="-6"/>
          <w:sz w:val="24"/>
        </w:rPr>
        <w:t> </w:t>
      </w:r>
      <w:r>
        <w:rPr>
          <w:sz w:val="24"/>
        </w:rPr>
        <w:t>supply</w:t>
      </w:r>
      <w:r>
        <w:rPr>
          <w:spacing w:val="-13"/>
          <w:sz w:val="24"/>
        </w:rPr>
        <w:t> </w:t>
      </w:r>
      <w:r>
        <w:rPr>
          <w:sz w:val="24"/>
        </w:rPr>
        <w:t>capacity in the economy, and hence inflationary</w:t>
      </w:r>
      <w:r>
        <w:rPr>
          <w:spacing w:val="-44"/>
          <w:sz w:val="24"/>
        </w:rPr>
        <w:t> </w:t>
      </w:r>
      <w:r>
        <w:rPr>
          <w:sz w:val="24"/>
        </w:rPr>
        <w:t>pressure (e.g. in the labour market).</w:t>
      </w:r>
    </w:p>
    <w:p>
      <w:pPr>
        <w:spacing w:after="0" w:line="367" w:lineRule="auto"/>
        <w:jc w:val="left"/>
        <w:rPr>
          <w:sz w:val="24"/>
        </w:rPr>
        <w:sectPr>
          <w:type w:val="continuous"/>
          <w:pgSz w:w="11900" w:h="16840"/>
          <w:pgMar w:top="1180" w:bottom="280" w:left="1560" w:right="1560"/>
        </w:sectPr>
      </w:pPr>
    </w:p>
    <w:p>
      <w:pPr>
        <w:pStyle w:val="BodyText"/>
        <w:spacing w:line="369" w:lineRule="auto" w:before="79"/>
        <w:ind w:left="140" w:right="137"/>
      </w:pPr>
      <w:bookmarkStart w:name="How does monetary policy affect the exch" w:id="5"/>
      <w:bookmarkEnd w:id="5"/>
      <w:r>
        <w:rPr/>
      </w:r>
      <w:r>
        <w:rPr/>
        <w:t>The strength of sterling, together with the weakness of world demand following the financial crises of 1997-8, has dampened inflation via these channels in the past few years, and the UK’s trade position has deteriorated considerably. Even so, inflation has not been far below target, indicating that domestic inflationary pressures have needed to moderate.</w:t>
      </w:r>
    </w:p>
    <w:p>
      <w:pPr>
        <w:pStyle w:val="BodyText"/>
        <w:spacing w:before="9"/>
        <w:rPr>
          <w:sz w:val="36"/>
        </w:rPr>
      </w:pPr>
    </w:p>
    <w:p>
      <w:pPr>
        <w:pStyle w:val="BodyText"/>
        <w:spacing w:line="367" w:lineRule="auto" w:before="1"/>
        <w:ind w:left="140" w:right="137"/>
      </w:pPr>
      <w:r>
        <w:rPr/>
        <w:t>But there is no automatic link from the exchange rate to monetary policy. One cannot simply say that the exchange rate does this or that to inflation without considering the causes of movements in the exchange rate. So if asked ‘Would interest rates have been higher if sterling had been weaker?’, it is correct but not completely helpful to say ‘Yes, other things being equal’. Other things rarely are. For example, if, as some feared, the UK economy had spent 1999 in recession</w:t>
      </w:r>
      <w:r>
        <w:rPr>
          <w:rFonts w:ascii="Symbol" w:hAnsi="Symbol"/>
        </w:rPr>
        <w:t></w:t>
      </w:r>
      <w:r>
        <w:rPr/>
        <w:t>rather than growing by 3% over the year</w:t>
      </w:r>
      <w:r>
        <w:rPr>
          <w:rFonts w:ascii="Symbol" w:hAnsi="Symbol"/>
        </w:rPr>
        <w:t></w:t>
      </w:r>
      <w:r>
        <w:rPr/>
        <w:t>then it is quite possible that sterling </w:t>
      </w:r>
      <w:r>
        <w:rPr>
          <w:i/>
        </w:rPr>
        <w:t>and </w:t>
      </w:r>
      <w:r>
        <w:rPr/>
        <w:t>interest rates would have been lower.</w:t>
      </w:r>
    </w:p>
    <w:p>
      <w:pPr>
        <w:pStyle w:val="BodyText"/>
        <w:rPr>
          <w:sz w:val="37"/>
        </w:rPr>
      </w:pPr>
    </w:p>
    <w:p>
      <w:pPr>
        <w:spacing w:before="0"/>
        <w:ind w:left="140" w:right="0" w:firstLine="0"/>
        <w:jc w:val="left"/>
        <w:rPr>
          <w:i/>
          <w:sz w:val="24"/>
        </w:rPr>
      </w:pPr>
      <w:r>
        <w:rPr>
          <w:i/>
          <w:sz w:val="24"/>
        </w:rPr>
        <w:t>How does monetary policy affect the exchange rate?</w:t>
      </w:r>
    </w:p>
    <w:p>
      <w:pPr>
        <w:pStyle w:val="BodyText"/>
        <w:rPr>
          <w:i/>
          <w:sz w:val="26"/>
        </w:rPr>
      </w:pPr>
    </w:p>
    <w:p>
      <w:pPr>
        <w:pStyle w:val="BodyText"/>
        <w:spacing w:before="10"/>
        <w:rPr>
          <w:i/>
          <w:sz w:val="23"/>
        </w:rPr>
      </w:pPr>
    </w:p>
    <w:p>
      <w:pPr>
        <w:pStyle w:val="BodyText"/>
        <w:ind w:left="140"/>
      </w:pPr>
      <w:r>
        <w:rPr/>
        <w:t>Here we need to distinguish between</w:t>
      </w:r>
    </w:p>
    <w:p>
      <w:pPr>
        <w:pStyle w:val="ListParagraph"/>
        <w:numPr>
          <w:ilvl w:val="0"/>
          <w:numId w:val="1"/>
        </w:numPr>
        <w:tabs>
          <w:tab w:pos="499" w:val="left" w:leader="none"/>
          <w:tab w:pos="501" w:val="left" w:leader="none"/>
        </w:tabs>
        <w:spacing w:line="240" w:lineRule="auto" w:before="146" w:after="0"/>
        <w:ind w:left="500" w:right="0" w:hanging="361"/>
        <w:jc w:val="left"/>
        <w:rPr>
          <w:sz w:val="24"/>
        </w:rPr>
      </w:pPr>
      <w:r>
        <w:rPr>
          <w:sz w:val="24"/>
        </w:rPr>
        <w:t>the exchange rate in the everyday sense of the term</w:t>
      </w:r>
      <w:r>
        <w:rPr>
          <w:rFonts w:ascii="Symbol" w:hAnsi="Symbol"/>
          <w:sz w:val="24"/>
        </w:rPr>
        <w:t></w:t>
      </w:r>
      <w:r>
        <w:rPr>
          <w:sz w:val="24"/>
        </w:rPr>
        <w:t>e.g. dollars per</w:t>
      </w:r>
      <w:r>
        <w:rPr>
          <w:spacing w:val="-43"/>
          <w:sz w:val="24"/>
        </w:rPr>
        <w:t> </w:t>
      </w:r>
      <w:r>
        <w:rPr>
          <w:sz w:val="24"/>
        </w:rPr>
        <w:t>pound</w:t>
      </w:r>
      <w:r>
        <w:rPr>
          <w:rFonts w:ascii="Symbol" w:hAnsi="Symbol"/>
          <w:sz w:val="24"/>
        </w:rPr>
        <w:t></w:t>
      </w:r>
      <w:r>
        <w:rPr>
          <w:sz w:val="24"/>
        </w:rPr>
        <w:t>the</w:t>
      </w:r>
    </w:p>
    <w:p>
      <w:pPr>
        <w:spacing w:before="153"/>
        <w:ind w:left="500" w:right="0" w:firstLine="0"/>
        <w:jc w:val="left"/>
        <w:rPr>
          <w:sz w:val="24"/>
        </w:rPr>
      </w:pPr>
      <w:r>
        <w:rPr>
          <w:i/>
          <w:sz w:val="24"/>
        </w:rPr>
        <w:t>nominal </w:t>
      </w:r>
      <w:r>
        <w:rPr>
          <w:sz w:val="24"/>
        </w:rPr>
        <w:t>exchange rate, and</w:t>
      </w:r>
    </w:p>
    <w:p>
      <w:pPr>
        <w:pStyle w:val="ListParagraph"/>
        <w:numPr>
          <w:ilvl w:val="0"/>
          <w:numId w:val="1"/>
        </w:numPr>
        <w:tabs>
          <w:tab w:pos="499" w:val="left" w:leader="none"/>
          <w:tab w:pos="501" w:val="left" w:leader="none"/>
        </w:tabs>
        <w:spacing w:line="362" w:lineRule="auto" w:before="146" w:after="0"/>
        <w:ind w:left="500" w:right="435" w:hanging="360"/>
        <w:jc w:val="left"/>
        <w:rPr>
          <w:sz w:val="24"/>
        </w:rPr>
      </w:pPr>
      <w:r>
        <w:rPr>
          <w:sz w:val="24"/>
        </w:rPr>
        <w:t>the</w:t>
      </w:r>
      <w:r>
        <w:rPr>
          <w:spacing w:val="-5"/>
          <w:sz w:val="24"/>
        </w:rPr>
        <w:t> </w:t>
      </w:r>
      <w:r>
        <w:rPr>
          <w:i/>
          <w:sz w:val="24"/>
        </w:rPr>
        <w:t>real</w:t>
      </w:r>
      <w:r>
        <w:rPr>
          <w:i/>
          <w:spacing w:val="-4"/>
          <w:sz w:val="24"/>
        </w:rPr>
        <w:t> </w:t>
      </w:r>
      <w:r>
        <w:rPr>
          <w:sz w:val="24"/>
        </w:rPr>
        <w:t>exchange</w:t>
      </w:r>
      <w:r>
        <w:rPr>
          <w:spacing w:val="-4"/>
          <w:sz w:val="24"/>
        </w:rPr>
        <w:t> </w:t>
      </w:r>
      <w:r>
        <w:rPr>
          <w:sz w:val="24"/>
        </w:rPr>
        <w:t>rate</w:t>
      </w:r>
      <w:r>
        <w:rPr>
          <w:rFonts w:ascii="Symbol" w:hAnsi="Symbol"/>
          <w:sz w:val="24"/>
        </w:rPr>
        <w:t></w:t>
      </w:r>
      <w:r>
        <w:rPr>
          <w:sz w:val="24"/>
        </w:rPr>
        <w:t>the</w:t>
      </w:r>
      <w:r>
        <w:rPr>
          <w:spacing w:val="-4"/>
          <w:sz w:val="24"/>
        </w:rPr>
        <w:t> </w:t>
      </w:r>
      <w:r>
        <w:rPr>
          <w:sz w:val="24"/>
        </w:rPr>
        <w:t>exchange</w:t>
      </w:r>
      <w:r>
        <w:rPr>
          <w:spacing w:val="-5"/>
          <w:sz w:val="24"/>
        </w:rPr>
        <w:t> </w:t>
      </w:r>
      <w:r>
        <w:rPr>
          <w:sz w:val="24"/>
        </w:rPr>
        <w:t>rate</w:t>
      </w:r>
      <w:r>
        <w:rPr>
          <w:spacing w:val="-4"/>
          <w:sz w:val="24"/>
        </w:rPr>
        <w:t> </w:t>
      </w:r>
      <w:r>
        <w:rPr>
          <w:sz w:val="24"/>
        </w:rPr>
        <w:t>adjusted</w:t>
      </w:r>
      <w:r>
        <w:rPr>
          <w:spacing w:val="-5"/>
          <w:sz w:val="24"/>
        </w:rPr>
        <w:t> </w:t>
      </w:r>
      <w:r>
        <w:rPr>
          <w:sz w:val="24"/>
        </w:rPr>
        <w:t>for</w:t>
      </w:r>
      <w:r>
        <w:rPr>
          <w:spacing w:val="-4"/>
          <w:sz w:val="24"/>
        </w:rPr>
        <w:t> </w:t>
      </w:r>
      <w:r>
        <w:rPr>
          <w:sz w:val="24"/>
        </w:rPr>
        <w:t>differences</w:t>
      </w:r>
      <w:r>
        <w:rPr>
          <w:spacing w:val="-5"/>
          <w:sz w:val="24"/>
        </w:rPr>
        <w:t> </w:t>
      </w:r>
      <w:r>
        <w:rPr>
          <w:sz w:val="24"/>
        </w:rPr>
        <w:t>in</w:t>
      </w:r>
      <w:r>
        <w:rPr>
          <w:spacing w:val="-3"/>
          <w:sz w:val="24"/>
        </w:rPr>
        <w:t> </w:t>
      </w:r>
      <w:r>
        <w:rPr>
          <w:sz w:val="24"/>
        </w:rPr>
        <w:t>price</w:t>
      </w:r>
      <w:r>
        <w:rPr>
          <w:spacing w:val="-5"/>
          <w:sz w:val="24"/>
        </w:rPr>
        <w:t> </w:t>
      </w:r>
      <w:r>
        <w:rPr>
          <w:sz w:val="24"/>
        </w:rPr>
        <w:t>or</w:t>
      </w:r>
      <w:r>
        <w:rPr>
          <w:spacing w:val="-4"/>
          <w:sz w:val="24"/>
        </w:rPr>
        <w:t> </w:t>
      </w:r>
      <w:r>
        <w:rPr>
          <w:sz w:val="24"/>
        </w:rPr>
        <w:t>cost levels between countries</w:t>
      </w:r>
      <w:r>
        <w:rPr>
          <w:rFonts w:ascii="Symbol" w:hAnsi="Symbol"/>
          <w:sz w:val="24"/>
        </w:rPr>
        <w:t></w:t>
      </w:r>
      <w:r>
        <w:rPr>
          <w:sz w:val="24"/>
        </w:rPr>
        <w:t>which is what matters for business competitiveness in international</w:t>
      </w:r>
      <w:r>
        <w:rPr>
          <w:spacing w:val="-1"/>
          <w:sz w:val="24"/>
        </w:rPr>
        <w:t> </w:t>
      </w:r>
      <w:r>
        <w:rPr>
          <w:sz w:val="24"/>
        </w:rPr>
        <w:t>markets.</w:t>
      </w:r>
    </w:p>
    <w:p>
      <w:pPr>
        <w:pStyle w:val="BodyText"/>
        <w:spacing w:before="10"/>
        <w:rPr>
          <w:sz w:val="37"/>
        </w:rPr>
      </w:pPr>
    </w:p>
    <w:p>
      <w:pPr>
        <w:pStyle w:val="BodyText"/>
        <w:spacing w:line="367" w:lineRule="auto"/>
        <w:ind w:left="140" w:right="219"/>
      </w:pPr>
      <w:r>
        <w:rPr/>
        <w:t>Over time, countries with looser monetary policies than others tend to have falling nominal exchange rates and higher inflation rates. As we saw earlier, this was the UK experience over most of the past few decades. The higher inflation means that the real exchange rate does not decline with the nominal exchange rate. For business, higher costs offset the exchange rate fall. Loose monetary policy, far from helping business, brings with it the costs</w:t>
      </w:r>
      <w:r>
        <w:rPr>
          <w:rFonts w:ascii="Symbol" w:hAnsi="Symbol"/>
        </w:rPr>
        <w:t></w:t>
      </w:r>
      <w:r>
        <w:rPr/>
        <w:t>of uncertainty, instability and arbitrary shifts in wealth</w:t>
      </w:r>
      <w:r>
        <w:rPr>
          <w:rFonts w:ascii="Symbol" w:hAnsi="Symbol"/>
        </w:rPr>
        <w:t></w:t>
      </w:r>
      <w:r>
        <w:rPr/>
        <w:t>that go with high and variable inflation.</w:t>
      </w:r>
    </w:p>
    <w:p>
      <w:pPr>
        <w:pStyle w:val="BodyText"/>
        <w:spacing w:before="9"/>
        <w:rPr>
          <w:sz w:val="37"/>
        </w:rPr>
      </w:pPr>
    </w:p>
    <w:p>
      <w:pPr>
        <w:pStyle w:val="BodyText"/>
        <w:spacing w:line="369" w:lineRule="auto"/>
        <w:ind w:left="140" w:right="162"/>
      </w:pPr>
      <w:r>
        <w:rPr/>
        <w:t>In the short run, however, the exchange rate can shift for all sorts of reasons, some of them at times frankly inexplicable. Other things being equal (again), tighter monetary policy tends to go with a stronger exchange rate. Loosely speaking (but with major</w:t>
      </w:r>
    </w:p>
    <w:p>
      <w:pPr>
        <w:spacing w:after="0" w:line="369" w:lineRule="auto"/>
        <w:sectPr>
          <w:pgSz w:w="11900" w:h="16840"/>
          <w:pgMar w:header="0" w:footer="738" w:top="1060" w:bottom="920" w:left="1560" w:right="1560"/>
        </w:sectPr>
      </w:pPr>
    </w:p>
    <w:p>
      <w:pPr>
        <w:pStyle w:val="BodyText"/>
        <w:spacing w:line="369" w:lineRule="auto" w:before="79"/>
        <w:ind w:left="140"/>
      </w:pPr>
      <w:bookmarkStart w:name="Why has sterling been so strong?" w:id="6"/>
      <w:bookmarkEnd w:id="6"/>
      <w:r>
        <w:rPr/>
      </w:r>
      <w:r>
        <w:rPr/>
        <w:t>qualifications discussed below), higher interest rate currencies will tend to attract investment funds to the point where the currencies reach a point from which they are expected to decline in such a way as to offset their interest rate premium. Only then are expected investor returns across currencies equalized. It follows, for example, that in a country with credible monetary policy, if signs of inflationary pressure appear, market interest rates and the exchange rate may go up together.</w:t>
      </w:r>
    </w:p>
    <w:p>
      <w:pPr>
        <w:pStyle w:val="BodyText"/>
        <w:spacing w:before="9"/>
        <w:rPr>
          <w:sz w:val="36"/>
        </w:rPr>
      </w:pPr>
    </w:p>
    <w:p>
      <w:pPr>
        <w:pStyle w:val="BodyText"/>
        <w:spacing w:line="369" w:lineRule="auto"/>
        <w:ind w:left="140" w:right="179"/>
      </w:pPr>
      <w:r>
        <w:rPr/>
        <w:t>For very short maturities (e.g. a week or two), market interest rates move fairly closely in line with the official interest rate set by the MPC. But that is not so beyond the very short term, because market interest rates reflect, among other things, expectations of </w:t>
      </w:r>
      <w:r>
        <w:rPr>
          <w:i/>
        </w:rPr>
        <w:t>future </w:t>
      </w:r>
      <w:r>
        <w:rPr/>
        <w:t>official rates. MPC interest rate decisions, if anticipated, should not by themselves much affect market interest rates or exchange rates. Neither is it always clear how unanticipated decisions affect the markets. For example, if the MPC had not tightened</w:t>
      </w:r>
      <w:r>
        <w:rPr>
          <w:spacing w:val="-7"/>
        </w:rPr>
        <w:t> </w:t>
      </w:r>
      <w:r>
        <w:rPr/>
        <w:t>policy</w:t>
      </w:r>
      <w:r>
        <w:rPr>
          <w:spacing w:val="-13"/>
        </w:rPr>
        <w:t> </w:t>
      </w:r>
      <w:r>
        <w:rPr/>
        <w:t>pre-emptively</w:t>
      </w:r>
      <w:r>
        <w:rPr>
          <w:spacing w:val="-13"/>
        </w:rPr>
        <w:t> </w:t>
      </w:r>
      <w:r>
        <w:rPr/>
        <w:t>since</w:t>
      </w:r>
      <w:r>
        <w:rPr>
          <w:spacing w:val="-6"/>
        </w:rPr>
        <w:t> </w:t>
      </w:r>
      <w:r>
        <w:rPr/>
        <w:t>last</w:t>
      </w:r>
      <w:r>
        <w:rPr>
          <w:spacing w:val="-6"/>
        </w:rPr>
        <w:t> </w:t>
      </w:r>
      <w:r>
        <w:rPr/>
        <w:t>September,</w:t>
      </w:r>
      <w:r>
        <w:rPr>
          <w:spacing w:val="-7"/>
        </w:rPr>
        <w:t> </w:t>
      </w:r>
      <w:r>
        <w:rPr/>
        <w:t>the</w:t>
      </w:r>
      <w:r>
        <w:rPr>
          <w:spacing w:val="-6"/>
        </w:rPr>
        <w:t> </w:t>
      </w:r>
      <w:r>
        <w:rPr/>
        <w:t>market</w:t>
      </w:r>
      <w:r>
        <w:rPr>
          <w:spacing w:val="-7"/>
        </w:rPr>
        <w:t> </w:t>
      </w:r>
      <w:r>
        <w:rPr/>
        <w:t>might</w:t>
      </w:r>
      <w:r>
        <w:rPr>
          <w:spacing w:val="-6"/>
        </w:rPr>
        <w:t> </w:t>
      </w:r>
      <w:r>
        <w:rPr/>
        <w:t>now</w:t>
      </w:r>
      <w:r>
        <w:rPr>
          <w:spacing w:val="-7"/>
        </w:rPr>
        <w:t> </w:t>
      </w:r>
      <w:r>
        <w:rPr/>
        <w:t>be</w:t>
      </w:r>
      <w:r>
        <w:rPr>
          <w:spacing w:val="-6"/>
        </w:rPr>
        <w:t> </w:t>
      </w:r>
      <w:r>
        <w:rPr/>
        <w:t>expecting higher </w:t>
      </w:r>
      <w:r>
        <w:rPr>
          <w:i/>
        </w:rPr>
        <w:t>future </w:t>
      </w:r>
      <w:r>
        <w:rPr/>
        <w:t>official interest rates than it now does, and this would be reflected in market interest and exchange rates. And when the MPC cut interest rates by 2½% between the autumn of 1998 and the summer of 1999, sterling strengthened rather than weakened against the</w:t>
      </w:r>
      <w:r>
        <w:rPr>
          <w:spacing w:val="-3"/>
        </w:rPr>
        <w:t> </w:t>
      </w:r>
      <w:r>
        <w:rPr/>
        <w:t>euro.</w:t>
      </w:r>
    </w:p>
    <w:p>
      <w:pPr>
        <w:pStyle w:val="BodyText"/>
        <w:spacing w:before="5"/>
      </w:pPr>
    </w:p>
    <w:p>
      <w:pPr>
        <w:pStyle w:val="BodyText"/>
        <w:spacing w:line="369" w:lineRule="auto"/>
        <w:ind w:left="140"/>
      </w:pPr>
      <w:r>
        <w:rPr/>
        <w:t>It follows that a policy of cutting interest rates in an attempt to get sterling down would have no guarantee of achieving its aim. Sterling might decline if the MPC was thought, contrary to its statutory duty, to be aiming for inflation above target. But inflation, including inflation of business costs, would then rise. Any temporary relief that such a decline in sterling might bring to those most exposed to international competition would be fleeting, and all would lose from the resulting price instability. We have been there before.</w:t>
      </w:r>
    </w:p>
    <w:p>
      <w:pPr>
        <w:pStyle w:val="BodyText"/>
        <w:spacing w:before="10"/>
        <w:rPr>
          <w:sz w:val="36"/>
        </w:rPr>
      </w:pPr>
    </w:p>
    <w:p>
      <w:pPr>
        <w:spacing w:before="0"/>
        <w:ind w:left="140" w:right="0" w:firstLine="0"/>
        <w:jc w:val="left"/>
        <w:rPr>
          <w:i/>
          <w:sz w:val="24"/>
        </w:rPr>
      </w:pPr>
      <w:r>
        <w:rPr>
          <w:i/>
          <w:sz w:val="24"/>
        </w:rPr>
        <w:t>Why has sterling been so strong?</w:t>
      </w:r>
    </w:p>
    <w:p>
      <w:pPr>
        <w:pStyle w:val="BodyText"/>
        <w:rPr>
          <w:i/>
          <w:sz w:val="26"/>
        </w:rPr>
      </w:pPr>
    </w:p>
    <w:p>
      <w:pPr>
        <w:pStyle w:val="BodyText"/>
        <w:spacing w:line="369" w:lineRule="auto" w:before="217"/>
        <w:ind w:left="140" w:right="219"/>
      </w:pPr>
      <w:r>
        <w:rPr/>
        <w:t>Much, but not all, of this question involves the counterpart: Why has the euro been so weak? This is because, while sterling has been so strong since mid-1996 against the euro area currencies, it has been broadly stable against the dollar.</w:t>
      </w:r>
    </w:p>
    <w:p>
      <w:pPr>
        <w:pStyle w:val="BodyText"/>
        <w:spacing w:before="10"/>
        <w:rPr>
          <w:sz w:val="36"/>
        </w:rPr>
      </w:pPr>
    </w:p>
    <w:p>
      <w:pPr>
        <w:pStyle w:val="BodyText"/>
        <w:spacing w:line="369" w:lineRule="auto"/>
        <w:ind w:left="140" w:right="162"/>
      </w:pPr>
      <w:r>
        <w:rPr/>
        <w:t>I know of no convincing explanation of the extent of sterling’s strength. There are several possible candidate explanations. The first, which must carry some weight, has</w:t>
      </w:r>
    </w:p>
    <w:p>
      <w:pPr>
        <w:spacing w:after="0" w:line="369" w:lineRule="auto"/>
        <w:sectPr>
          <w:pgSz w:w="11900" w:h="16840"/>
          <w:pgMar w:header="0" w:footer="738" w:top="1060" w:bottom="920" w:left="1560" w:right="1560"/>
        </w:sectPr>
      </w:pPr>
    </w:p>
    <w:p>
      <w:pPr>
        <w:pStyle w:val="BodyText"/>
        <w:spacing w:line="369" w:lineRule="auto" w:before="79"/>
        <w:ind w:left="140" w:right="200"/>
      </w:pPr>
      <w:r>
        <w:rPr/>
        <w:t>to do with relative positions in the economic </w:t>
      </w:r>
      <w:r>
        <w:rPr>
          <w:spacing w:val="-2"/>
        </w:rPr>
        <w:t>cycle. </w:t>
      </w:r>
      <w:r>
        <w:rPr/>
        <w:t>The UK has enjoyed stronger growth</w:t>
      </w:r>
      <w:r>
        <w:rPr>
          <w:spacing w:val="-5"/>
        </w:rPr>
        <w:t> </w:t>
      </w:r>
      <w:r>
        <w:rPr/>
        <w:t>and</w:t>
      </w:r>
      <w:r>
        <w:rPr>
          <w:spacing w:val="-5"/>
        </w:rPr>
        <w:t> </w:t>
      </w:r>
      <w:r>
        <w:rPr/>
        <w:t>lower</w:t>
      </w:r>
      <w:r>
        <w:rPr>
          <w:spacing w:val="-5"/>
        </w:rPr>
        <w:t> </w:t>
      </w:r>
      <w:r>
        <w:rPr/>
        <w:t>unemployment</w:t>
      </w:r>
      <w:r>
        <w:rPr>
          <w:spacing w:val="-4"/>
        </w:rPr>
        <w:t> </w:t>
      </w:r>
      <w:r>
        <w:rPr/>
        <w:t>than</w:t>
      </w:r>
      <w:r>
        <w:rPr>
          <w:spacing w:val="-5"/>
        </w:rPr>
        <w:t> </w:t>
      </w:r>
      <w:r>
        <w:rPr/>
        <w:t>most</w:t>
      </w:r>
      <w:r>
        <w:rPr>
          <w:spacing w:val="-5"/>
        </w:rPr>
        <w:t> </w:t>
      </w:r>
      <w:r>
        <w:rPr/>
        <w:t>of</w:t>
      </w:r>
      <w:r>
        <w:rPr>
          <w:spacing w:val="-4"/>
        </w:rPr>
        <w:t> </w:t>
      </w:r>
      <w:r>
        <w:rPr/>
        <w:t>the</w:t>
      </w:r>
      <w:r>
        <w:rPr>
          <w:spacing w:val="-5"/>
        </w:rPr>
        <w:t> </w:t>
      </w:r>
      <w:r>
        <w:rPr/>
        <w:t>euro</w:t>
      </w:r>
      <w:r>
        <w:rPr>
          <w:spacing w:val="-5"/>
        </w:rPr>
        <w:t> </w:t>
      </w:r>
      <w:r>
        <w:rPr/>
        <w:t>area,</w:t>
      </w:r>
      <w:r>
        <w:rPr>
          <w:spacing w:val="-4"/>
        </w:rPr>
        <w:t> </w:t>
      </w:r>
      <w:r>
        <w:rPr/>
        <w:t>which</w:t>
      </w:r>
      <w:r>
        <w:rPr>
          <w:spacing w:val="-5"/>
        </w:rPr>
        <w:t> </w:t>
      </w:r>
      <w:r>
        <w:rPr/>
        <w:t>is</w:t>
      </w:r>
      <w:r>
        <w:rPr>
          <w:spacing w:val="-5"/>
        </w:rPr>
        <w:t> </w:t>
      </w:r>
      <w:r>
        <w:rPr/>
        <w:t>a</w:t>
      </w:r>
      <w:r>
        <w:rPr>
          <w:spacing w:val="-5"/>
        </w:rPr>
        <w:t> </w:t>
      </w:r>
      <w:r>
        <w:rPr/>
        <w:t>good</w:t>
      </w:r>
      <w:r>
        <w:rPr>
          <w:spacing w:val="-4"/>
        </w:rPr>
        <w:t> </w:t>
      </w:r>
      <w:r>
        <w:rPr/>
        <w:t>deal</w:t>
      </w:r>
      <w:r>
        <w:rPr>
          <w:spacing w:val="-5"/>
        </w:rPr>
        <w:t> </w:t>
      </w:r>
      <w:r>
        <w:rPr/>
        <w:t>of</w:t>
      </w:r>
      <w:r>
        <w:rPr>
          <w:spacing w:val="-5"/>
        </w:rPr>
        <w:t> </w:t>
      </w:r>
      <w:r>
        <w:rPr/>
        <w:t>the reason for the current short-term (but not long-term) interest rate differential between sterling and euro. But cyclical differences, as reflected in interest rate differentials, cannot explain the degree to which sterling has risen against the euro, especially in recent months as the euro area economy has been</w:t>
      </w:r>
      <w:r>
        <w:rPr>
          <w:spacing w:val="-24"/>
        </w:rPr>
        <w:t> </w:t>
      </w:r>
      <w:r>
        <w:rPr/>
        <w:t>recovering.</w:t>
      </w:r>
    </w:p>
    <w:p>
      <w:pPr>
        <w:pStyle w:val="BodyText"/>
        <w:spacing w:before="9"/>
        <w:rPr>
          <w:sz w:val="31"/>
        </w:rPr>
      </w:pPr>
    </w:p>
    <w:p>
      <w:pPr>
        <w:pStyle w:val="BodyText"/>
        <w:spacing w:line="369" w:lineRule="auto"/>
        <w:ind w:left="140" w:right="200"/>
      </w:pPr>
      <w:r>
        <w:rPr/>
        <w:t>Second, it could be that the real exchange rate consistent with a sustainable current account position over time has risen. This could happen if, for example, international demand shifted in favour of goods and services (perhaps relating to information and communications technology) that the UK is thought to be good at producing. Maybe, but such effects do not yet leap out of the UK trade statistics, and while one hopes that the UK is well placed to benefit from ICT developments, their prospective effects seem unlikely to be so very asymmetrical among European countries.</w:t>
      </w:r>
    </w:p>
    <w:p>
      <w:pPr>
        <w:pStyle w:val="BodyText"/>
        <w:spacing w:before="10"/>
        <w:rPr>
          <w:sz w:val="36"/>
        </w:rPr>
      </w:pPr>
    </w:p>
    <w:p>
      <w:pPr>
        <w:pStyle w:val="BodyText"/>
        <w:spacing w:line="369" w:lineRule="auto"/>
        <w:ind w:left="140" w:right="162"/>
      </w:pPr>
      <w:r>
        <w:rPr/>
        <w:t>Third, risk factors could have shifted. A currency perceived to be persistently prone to inflation risk and other kinds of macroeconomic instability is likely to be less appealing to risk-averse investors than a currency perceived as being better supported by credible macroeconomic arrangements focussed on economic stability. It is possible that, for such reasons and others, sentiment towards sterling may have shifted since the period when UK inflation was high and volatile, and when a policy regime for price stability seemed elusive.</w:t>
      </w:r>
    </w:p>
    <w:p>
      <w:pPr>
        <w:pStyle w:val="BodyText"/>
        <w:spacing w:before="6"/>
        <w:rPr>
          <w:sz w:val="31"/>
        </w:rPr>
      </w:pPr>
    </w:p>
    <w:p>
      <w:pPr>
        <w:pStyle w:val="BodyText"/>
        <w:spacing w:line="367" w:lineRule="auto"/>
        <w:ind w:left="140" w:right="76"/>
      </w:pPr>
      <w:r>
        <w:rPr/>
        <w:t>Finally, one cannot exclude the possibility that sterling is simply overvalued</w:t>
      </w:r>
      <w:r>
        <w:rPr>
          <w:rFonts w:ascii="Symbol" w:hAnsi="Symbol"/>
        </w:rPr>
        <w:t></w:t>
      </w:r>
      <w:r>
        <w:rPr/>
        <w:t>that it has over recent years been exaggeratedly strong, and the euro unduly weak, relative to what can be plausibly explained by relative cyclical positions, the longer-run economic fundamentals, or attitudes to currency risk. This is not inconsistent with the possibility that sterling was to some degree undervalued before its sharp appreciation in 1996.</w:t>
      </w:r>
    </w:p>
    <w:p>
      <w:pPr>
        <w:spacing w:after="0" w:line="367" w:lineRule="auto"/>
        <w:sectPr>
          <w:pgSz w:w="11900" w:h="16840"/>
          <w:pgMar w:header="0" w:footer="738" w:top="1060" w:bottom="920" w:left="1560" w:right="1560"/>
        </w:sectPr>
      </w:pPr>
    </w:p>
    <w:p>
      <w:pPr>
        <w:spacing w:before="79"/>
        <w:ind w:left="140" w:right="0" w:firstLine="0"/>
        <w:jc w:val="left"/>
        <w:rPr>
          <w:i/>
          <w:sz w:val="24"/>
        </w:rPr>
      </w:pPr>
      <w:bookmarkStart w:name="Where is sterling heading?" w:id="7"/>
      <w:bookmarkEnd w:id="7"/>
      <w:r>
        <w:rPr/>
      </w:r>
      <w:bookmarkStart w:name="_bookmark1" w:id="8"/>
      <w:bookmarkEnd w:id="8"/>
      <w:r>
        <w:rPr/>
      </w:r>
      <w:r>
        <w:rPr>
          <w:i/>
          <w:sz w:val="24"/>
        </w:rPr>
        <w:t>Where is sterling heading?</w:t>
      </w:r>
    </w:p>
    <w:p>
      <w:pPr>
        <w:pStyle w:val="BodyText"/>
        <w:spacing w:before="8"/>
        <w:rPr>
          <w:i/>
          <w:sz w:val="27"/>
        </w:rPr>
      </w:pPr>
    </w:p>
    <w:p>
      <w:pPr>
        <w:pStyle w:val="BodyText"/>
        <w:spacing w:line="367" w:lineRule="auto" w:before="1"/>
        <w:ind w:left="140" w:right="149"/>
      </w:pPr>
      <w:r>
        <w:rPr/>
        <w:t>The first thing to note when addressing this question is the volatility of floating exchange rates, and the correspondingly large uncertainty about the exchange rate outlook. One way to gauge this uncertainty is to use exchange rate options prices.</w:t>
      </w:r>
      <w:hyperlink w:history="true" w:anchor="_bookmark1">
        <w:r>
          <w:rPr>
            <w:vertAlign w:val="superscript"/>
          </w:rPr>
          <w:t>1</w:t>
        </w:r>
      </w:hyperlink>
      <w:r>
        <w:rPr>
          <w:vertAlign w:val="baseline"/>
        </w:rPr>
        <w:t> Chart 7 shows prospects for the sterling/euro exchange rate that can be inferred from options prices, on the assumption (which I shall question later) that investors are indifferent to risk. The chart shows the position at the close of business on Thursday 13 April, when the euro stood at 60.25 pence. The inferred central estimate of the market’s expectation of the euro rate one </w:t>
      </w:r>
      <w:r>
        <w:rPr>
          <w:spacing w:val="-3"/>
          <w:vertAlign w:val="baseline"/>
        </w:rPr>
        <w:t>year </w:t>
      </w:r>
      <w:r>
        <w:rPr>
          <w:vertAlign w:val="baseline"/>
        </w:rPr>
        <w:t>hence was about 61.5 pence</w:t>
      </w:r>
      <w:r>
        <w:rPr>
          <w:rFonts w:ascii="Symbol" w:hAnsi="Symbol"/>
          <w:vertAlign w:val="baseline"/>
        </w:rPr>
        <w:t></w:t>
      </w:r>
      <w:r>
        <w:rPr>
          <w:vertAlign w:val="baseline"/>
        </w:rPr>
        <w:t>i.e. a euro appreciation of about 2%, in line with one-year interest rate differentials. The chart is drawn so that there is an even chance of the exchange rate being in the shaded area. The shaded area is quite large</w:t>
      </w:r>
      <w:r>
        <w:rPr>
          <w:rFonts w:ascii="Symbol" w:hAnsi="Symbol"/>
          <w:vertAlign w:val="baseline"/>
        </w:rPr>
        <w:t></w:t>
      </w:r>
      <w:r>
        <w:rPr>
          <w:vertAlign w:val="baseline"/>
        </w:rPr>
        <w:t>at the one-year horizon it is 8 pence wide, or about 13% of the current exchange rate level. And remember that, according to this method, there is a 50% chance of the exchange rate being </w:t>
      </w:r>
      <w:r>
        <w:rPr>
          <w:i/>
          <w:vertAlign w:val="baseline"/>
        </w:rPr>
        <w:t>outside </w:t>
      </w:r>
      <w:r>
        <w:rPr>
          <w:vertAlign w:val="baseline"/>
        </w:rPr>
        <w:t>the shaded area at that point. Moreover, uncertainty gets even larger at longer</w:t>
      </w:r>
      <w:r>
        <w:rPr>
          <w:spacing w:val="-17"/>
          <w:vertAlign w:val="baseline"/>
        </w:rPr>
        <w:t> </w:t>
      </w:r>
      <w:r>
        <w:rPr>
          <w:vertAlign w:val="baseline"/>
        </w:rPr>
        <w:t>horizons.</w:t>
      </w:r>
    </w:p>
    <w:p>
      <w:pPr>
        <w:pStyle w:val="BodyText"/>
        <w:spacing w:before="4"/>
        <w:rPr>
          <w:sz w:val="26"/>
        </w:rPr>
      </w:pPr>
    </w:p>
    <w:p>
      <w:pPr>
        <w:spacing w:before="91"/>
        <w:ind w:left="320" w:right="0" w:firstLine="0"/>
        <w:jc w:val="left"/>
        <w:rPr>
          <w:b/>
          <w:sz w:val="20"/>
        </w:rPr>
      </w:pPr>
      <w:r>
        <w:rPr>
          <w:b/>
          <w:sz w:val="20"/>
        </w:rPr>
        <w:t>Chart 7</w:t>
      </w:r>
    </w:p>
    <w:p>
      <w:pPr>
        <w:pStyle w:val="BodyText"/>
        <w:rPr>
          <w:b/>
          <w:sz w:val="20"/>
        </w:rPr>
      </w:pPr>
    </w:p>
    <w:p>
      <w:pPr>
        <w:pStyle w:val="BodyText"/>
        <w:spacing w:before="9"/>
        <w:rPr>
          <w:b/>
          <w:sz w:val="20"/>
        </w:rPr>
      </w:pPr>
    </w:p>
    <w:p>
      <w:pPr>
        <w:spacing w:after="0"/>
        <w:rPr>
          <w:sz w:val="20"/>
        </w:rPr>
        <w:sectPr>
          <w:pgSz w:w="11900" w:h="16840"/>
          <w:pgMar w:header="0" w:footer="738" w:top="1060" w:bottom="920" w:left="1560" w:right="1560"/>
        </w:sectPr>
      </w:pPr>
    </w:p>
    <w:p>
      <w:pPr>
        <w:spacing w:before="96"/>
        <w:ind w:left="413" w:right="0" w:firstLine="0"/>
        <w:jc w:val="left"/>
        <w:rPr>
          <w:b/>
          <w:sz w:val="19"/>
        </w:rPr>
      </w:pPr>
      <w:r>
        <w:rPr/>
        <w:pict>
          <v:group style="position:absolute;margin-left:98.680603pt;margin-top:16.849430pt;width:172.1pt;height:124.45pt;mso-position-horizontal-relative:page;mso-position-vertical-relative:paragraph;z-index:251673600" coordorigin="1974,337" coordsize="3442,2489">
            <v:shape style="position:absolute;left:3792;top:1370;width:1587;height:1114" coordorigin="3793,1370" coordsize="1587,1114" path="m5379,1370l5264,1418,5122,1466,4983,1502,4856,1553,4599,1649,4458,1685,4330,1733,4189,1781,4062,1855,3934,1927,3793,2097,3934,2253,4062,2292,4189,2340,4330,2364,4726,2400,4856,2424,5264,2460,5379,2484,5379,2241,5379,2121,5379,2037,5379,1843,5379,1625,5379,1370e" filled="true" fillcolor="#01caff" stroked="false">
              <v:path arrowok="t"/>
              <v:fill type="solid"/>
            </v:shape>
            <v:shape style="position:absolute;left:2079;top:714;width:3300;height:1407" coordorigin="2079,715" coordsize="3300,1407" path="m2079,715l2194,921,2336,1152,2463,1236,2602,1334,2732,1418,2859,1334,3001,1296,3128,1502,3267,1502,3397,1624,3524,1756,3536,1879,3666,1927,3793,2097,3934,2061,4062,2037,4189,2011,4330,1987,4458,1975,4599,1951,4726,1939,4856,1915,4983,1903,5122,1879,5264,1855,5379,1843,5379,2037,5264,2049,5122,2049,4983,2061,4856,2073,4726,2085,4599,2085,4458,2097,4330,2109,4189,2109,4062,2121,3934,2121,3793,2097,3666,1927,3536,1879,3524,1756,3397,1624,3267,1502,3128,1502,3001,1296,2859,1334,2732,1418,2602,1334,2463,1236,2336,1152,2194,921,2079,715e" filled="false" stroked="true" strokeweight="1.205213pt" strokecolor="#01caff">
              <v:path arrowok="t"/>
              <v:stroke dashstyle="solid"/>
            </v:shape>
            <v:shape style="position:absolute;left:2079;top:338;width:3336;height:2487" coordorigin="2079,338" coordsize="3336,2487" path="m5379,338l5379,2825m5379,2825l5415,2825m5379,2546l5415,2546m5379,2268l5415,2268m5379,1999l5415,1999m5379,1721l5415,1721m5379,1442l5415,1442m5379,1164l5415,1164m5379,897l5415,897m5379,619l5415,619m5379,338l5415,338m2079,2825l5379,2825m2194,2825l2194,2801m2336,2825l2336,2801m2463,2825l2463,2801m2732,2825l2732,2801m2859,2825l2859,2801m3001,2825l3001,2801m3267,2825l3267,2801m3397,2825l3397,2801m3524,2825l3524,2801m3793,2825l3793,2801m3922,2825l3922,2801m4050,2825l4050,2801m4318,2825l4318,2801m4458,2825l4458,2801m4587,2825l4587,2801m4856,2825l4856,2801m4983,2825l4983,2801m5122,2825l5122,2801m5379,2825l5379,2801m2079,2825l2079,2789m2602,2825l2602,2789m3128,2825l3128,2789m3666,2825l3666,2789m4189,2825l4189,2789m4714,2825l4714,2789m5252,2825l5252,2789e" filled="false" stroked="true" strokeweight=".12pt" strokecolor="#000000">
              <v:path arrowok="t"/>
              <v:stroke dashstyle="solid"/>
            </v:shape>
            <v:shape style="position:absolute;left:1973;top:354;width:1495;height:215" type="#_x0000_t202" filled="false" stroked="false">
              <v:textbox inset="0,0,0,0">
                <w:txbxContent>
                  <w:p>
                    <w:pPr>
                      <w:spacing w:line="214" w:lineRule="exact" w:before="0"/>
                      <w:ind w:left="0" w:right="0" w:firstLine="0"/>
                      <w:jc w:val="left"/>
                      <w:rPr>
                        <w:b/>
                        <w:sz w:val="19"/>
                      </w:rPr>
                    </w:pPr>
                    <w:r>
                      <w:rPr>
                        <w:b/>
                        <w:spacing w:val="-7"/>
                        <w:sz w:val="19"/>
                      </w:rPr>
                      <w:t>from </w:t>
                    </w:r>
                    <w:r>
                      <w:rPr>
                        <w:b/>
                        <w:spacing w:val="-8"/>
                        <w:sz w:val="19"/>
                      </w:rPr>
                      <w:t>options </w:t>
                    </w:r>
                    <w:r>
                      <w:rPr>
                        <w:b/>
                        <w:spacing w:val="-7"/>
                        <w:sz w:val="19"/>
                      </w:rPr>
                      <w:t>prices</w:t>
                    </w:r>
                  </w:p>
                </w:txbxContent>
              </v:textbox>
              <w10:wrap type="none"/>
            </v:shape>
            <v:shape style="position:absolute;left:4212;top:1907;width:993;height:162" type="#_x0000_t202" filled="false" stroked="false">
              <v:textbox inset="0,0,0,0">
                <w:txbxContent>
                  <w:p>
                    <w:pPr>
                      <w:spacing w:line="160" w:lineRule="exact" w:before="0"/>
                      <w:ind w:left="0" w:right="0" w:firstLine="0"/>
                      <w:jc w:val="left"/>
                      <w:rPr>
                        <w:b/>
                        <w:sz w:val="14"/>
                      </w:rPr>
                    </w:pPr>
                    <w:r>
                      <w:rPr>
                        <w:b/>
                        <w:w w:val="105"/>
                        <w:sz w:val="14"/>
                      </w:rPr>
                      <w:t>50%</w:t>
                    </w:r>
                    <w:r>
                      <w:rPr>
                        <w:b/>
                        <w:spacing w:val="-26"/>
                        <w:w w:val="105"/>
                        <w:sz w:val="14"/>
                      </w:rPr>
                      <w:t> </w:t>
                    </w:r>
                    <w:r>
                      <w:rPr>
                        <w:b/>
                        <w:spacing w:val="-3"/>
                        <w:w w:val="105"/>
                        <w:sz w:val="14"/>
                      </w:rPr>
                      <w:t>probability</w:t>
                    </w:r>
                  </w:p>
                </w:txbxContent>
              </v:textbox>
              <w10:wrap type="none"/>
            </v:shape>
            <w10:wrap type="none"/>
          </v:group>
        </w:pict>
      </w:r>
      <w:r>
        <w:rPr>
          <w:b/>
          <w:sz w:val="19"/>
        </w:rPr>
        <w:t>Uncertainty about £/euro inferred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8"/>
        </w:rPr>
      </w:pPr>
    </w:p>
    <w:p>
      <w:pPr>
        <w:tabs>
          <w:tab w:pos="927" w:val="left" w:leader="none"/>
          <w:tab w:pos="1474" w:val="left" w:leader="none"/>
          <w:tab w:pos="2023" w:val="left" w:leader="none"/>
          <w:tab w:pos="2453" w:val="right" w:leader="none"/>
          <w:tab w:pos="2513" w:val="left" w:leader="none"/>
          <w:tab w:pos="3060" w:val="left" w:leader="none"/>
          <w:tab w:pos="3610" w:val="left" w:leader="none"/>
        </w:tabs>
        <w:spacing w:line="216" w:lineRule="auto" w:before="1"/>
        <w:ind w:left="552" w:right="0" w:hanging="116"/>
        <w:jc w:val="left"/>
        <w:rPr>
          <w:sz w:val="13"/>
        </w:rPr>
      </w:pPr>
      <w:r>
        <w:rPr>
          <w:spacing w:val="-3"/>
          <w:w w:val="105"/>
          <w:sz w:val="13"/>
        </w:rPr>
        <w:t>Jan</w:t>
        <w:tab/>
      </w:r>
      <w:r>
        <w:rPr>
          <w:w w:val="105"/>
          <w:sz w:val="13"/>
        </w:rPr>
        <w:t>May</w:t>
        <w:tab/>
      </w:r>
      <w:r>
        <w:rPr>
          <w:spacing w:val="-6"/>
          <w:w w:val="105"/>
          <w:sz w:val="13"/>
        </w:rPr>
        <w:t>Sep</w:t>
        <w:tab/>
      </w:r>
      <w:r>
        <w:rPr>
          <w:spacing w:val="-3"/>
          <w:w w:val="105"/>
          <w:sz w:val="13"/>
        </w:rPr>
        <w:t>Jan</w:t>
        <w:tab/>
        <w:tab/>
      </w:r>
      <w:r>
        <w:rPr>
          <w:w w:val="105"/>
          <w:sz w:val="13"/>
        </w:rPr>
        <w:t>May</w:t>
        <w:tab/>
      </w:r>
      <w:r>
        <w:rPr>
          <w:spacing w:val="-6"/>
          <w:w w:val="105"/>
          <w:sz w:val="13"/>
        </w:rPr>
        <w:t>Sep</w:t>
        <w:tab/>
      </w:r>
      <w:r>
        <w:rPr>
          <w:spacing w:val="-10"/>
          <w:w w:val="105"/>
          <w:sz w:val="13"/>
        </w:rPr>
        <w:t>Jan </w:t>
      </w:r>
      <w:r>
        <w:rPr>
          <w:spacing w:val="2"/>
          <w:w w:val="105"/>
          <w:sz w:val="13"/>
        </w:rPr>
        <w:t>1999</w:t>
        <w:tab/>
        <w:tab/>
        <w:tab/>
      </w:r>
      <w:r>
        <w:rPr>
          <w:w w:val="105"/>
          <w:sz w:val="13"/>
        </w:rPr>
        <w:t>2000</w:t>
      </w:r>
    </w:p>
    <w:p>
      <w:pPr>
        <w:pStyle w:val="BodyText"/>
        <w:rPr>
          <w:sz w:val="14"/>
        </w:rPr>
      </w:pPr>
      <w:r>
        <w:rPr/>
        <w:br w:type="column"/>
      </w:r>
      <w:r>
        <w:rPr>
          <w:sz w:val="14"/>
        </w:rPr>
      </w:r>
    </w:p>
    <w:p>
      <w:pPr>
        <w:spacing w:before="91"/>
        <w:ind w:left="90" w:right="0" w:firstLine="0"/>
        <w:jc w:val="left"/>
        <w:rPr>
          <w:sz w:val="13"/>
        </w:rPr>
      </w:pPr>
      <w:r>
        <w:rPr>
          <w:w w:val="105"/>
          <w:sz w:val="13"/>
        </w:rPr>
        <w:t>0.73</w:t>
      </w:r>
    </w:p>
    <w:p>
      <w:pPr>
        <w:pStyle w:val="BodyText"/>
        <w:spacing w:before="3"/>
        <w:rPr>
          <w:sz w:val="11"/>
        </w:rPr>
      </w:pPr>
    </w:p>
    <w:p>
      <w:pPr>
        <w:spacing w:before="0"/>
        <w:ind w:left="90" w:right="0" w:firstLine="0"/>
        <w:jc w:val="left"/>
        <w:rPr>
          <w:sz w:val="13"/>
        </w:rPr>
      </w:pPr>
      <w:r>
        <w:rPr>
          <w:w w:val="105"/>
          <w:sz w:val="13"/>
        </w:rPr>
        <w:t>0.71</w:t>
      </w:r>
    </w:p>
    <w:p>
      <w:pPr>
        <w:pStyle w:val="BodyText"/>
        <w:spacing w:before="2"/>
        <w:rPr>
          <w:sz w:val="11"/>
        </w:rPr>
      </w:pPr>
    </w:p>
    <w:p>
      <w:pPr>
        <w:spacing w:before="0"/>
        <w:ind w:left="90" w:right="0" w:firstLine="0"/>
        <w:jc w:val="left"/>
        <w:rPr>
          <w:sz w:val="13"/>
        </w:rPr>
      </w:pPr>
      <w:r>
        <w:rPr>
          <w:w w:val="105"/>
          <w:sz w:val="13"/>
        </w:rPr>
        <w:t>0.69</w:t>
      </w:r>
    </w:p>
    <w:p>
      <w:pPr>
        <w:spacing w:before="119"/>
        <w:ind w:left="90" w:right="0" w:firstLine="0"/>
        <w:jc w:val="left"/>
        <w:rPr>
          <w:sz w:val="13"/>
        </w:rPr>
      </w:pPr>
      <w:r>
        <w:rPr>
          <w:w w:val="105"/>
          <w:sz w:val="13"/>
        </w:rPr>
        <w:t>0.67</w:t>
      </w:r>
    </w:p>
    <w:p>
      <w:pPr>
        <w:pStyle w:val="BodyText"/>
        <w:spacing w:before="3"/>
        <w:rPr>
          <w:sz w:val="11"/>
        </w:rPr>
      </w:pPr>
    </w:p>
    <w:p>
      <w:pPr>
        <w:spacing w:before="0"/>
        <w:ind w:left="90" w:right="0" w:firstLine="0"/>
        <w:jc w:val="left"/>
        <w:rPr>
          <w:sz w:val="13"/>
        </w:rPr>
      </w:pPr>
      <w:r>
        <w:rPr>
          <w:w w:val="105"/>
          <w:sz w:val="13"/>
        </w:rPr>
        <w:t>0.65</w:t>
      </w:r>
    </w:p>
    <w:p>
      <w:pPr>
        <w:pStyle w:val="BodyText"/>
        <w:spacing w:before="2"/>
        <w:rPr>
          <w:sz w:val="11"/>
        </w:rPr>
      </w:pPr>
    </w:p>
    <w:p>
      <w:pPr>
        <w:spacing w:before="0"/>
        <w:ind w:left="90" w:right="0" w:firstLine="0"/>
        <w:jc w:val="left"/>
        <w:rPr>
          <w:sz w:val="13"/>
        </w:rPr>
      </w:pPr>
      <w:r>
        <w:rPr>
          <w:w w:val="105"/>
          <w:sz w:val="13"/>
        </w:rPr>
        <w:t>0.63</w:t>
      </w:r>
    </w:p>
    <w:p>
      <w:pPr>
        <w:pStyle w:val="BodyText"/>
        <w:spacing w:before="3"/>
        <w:rPr>
          <w:sz w:val="11"/>
        </w:rPr>
      </w:pPr>
    </w:p>
    <w:p>
      <w:pPr>
        <w:spacing w:before="0"/>
        <w:ind w:left="90" w:right="0" w:firstLine="0"/>
        <w:jc w:val="left"/>
        <w:rPr>
          <w:sz w:val="13"/>
        </w:rPr>
      </w:pPr>
      <w:r>
        <w:rPr>
          <w:w w:val="105"/>
          <w:sz w:val="13"/>
        </w:rPr>
        <w:t>0.61</w:t>
      </w:r>
    </w:p>
    <w:p>
      <w:pPr>
        <w:spacing w:before="117"/>
        <w:ind w:left="90" w:right="0" w:firstLine="0"/>
        <w:jc w:val="left"/>
        <w:rPr>
          <w:sz w:val="13"/>
        </w:rPr>
      </w:pPr>
      <w:r>
        <w:rPr>
          <w:w w:val="105"/>
          <w:sz w:val="13"/>
        </w:rPr>
        <w:t>0.59</w:t>
      </w:r>
    </w:p>
    <w:p>
      <w:pPr>
        <w:pStyle w:val="BodyText"/>
        <w:spacing w:before="2"/>
        <w:rPr>
          <w:sz w:val="11"/>
        </w:rPr>
      </w:pPr>
    </w:p>
    <w:p>
      <w:pPr>
        <w:spacing w:before="0"/>
        <w:ind w:left="90" w:right="0" w:firstLine="0"/>
        <w:jc w:val="left"/>
        <w:rPr>
          <w:sz w:val="13"/>
        </w:rPr>
      </w:pPr>
      <w:r>
        <w:rPr>
          <w:w w:val="105"/>
          <w:sz w:val="13"/>
        </w:rPr>
        <w:t>0.57</w:t>
      </w:r>
    </w:p>
    <w:p>
      <w:pPr>
        <w:pStyle w:val="BodyText"/>
        <w:spacing w:before="5"/>
        <w:rPr>
          <w:sz w:val="11"/>
        </w:rPr>
      </w:pPr>
    </w:p>
    <w:p>
      <w:pPr>
        <w:spacing w:before="0"/>
        <w:ind w:left="90" w:right="0" w:firstLine="0"/>
        <w:jc w:val="left"/>
        <w:rPr>
          <w:sz w:val="13"/>
        </w:rPr>
      </w:pPr>
      <w:r>
        <w:rPr>
          <w:w w:val="105"/>
          <w:sz w:val="13"/>
        </w:rPr>
        <w:t>0.55</w:t>
      </w:r>
    </w:p>
    <w:p>
      <w:pPr>
        <w:spacing w:after="0"/>
        <w:jc w:val="left"/>
        <w:rPr>
          <w:sz w:val="13"/>
        </w:rPr>
        <w:sectPr>
          <w:type w:val="continuous"/>
          <w:pgSz w:w="11900" w:h="16840"/>
          <w:pgMar w:top="1180" w:bottom="280" w:left="1560" w:right="1560"/>
          <w:cols w:num="2" w:equalWidth="0">
            <w:col w:w="3783" w:space="40"/>
            <w:col w:w="4957"/>
          </w:cols>
        </w:sectPr>
      </w:pPr>
    </w:p>
    <w:p>
      <w:pPr>
        <w:pStyle w:val="BodyText"/>
        <w:spacing w:before="9"/>
        <w:rPr>
          <w:sz w:val="25"/>
        </w:rPr>
      </w:pPr>
    </w:p>
    <w:p>
      <w:pPr>
        <w:pStyle w:val="BodyText"/>
        <w:spacing w:before="90"/>
        <w:ind w:left="140"/>
      </w:pPr>
      <w:r>
        <w:rPr/>
        <w:t>Some implications of this uncertainty are:</w:t>
      </w:r>
    </w:p>
    <w:p>
      <w:pPr>
        <w:pStyle w:val="ListParagraph"/>
        <w:numPr>
          <w:ilvl w:val="0"/>
          <w:numId w:val="1"/>
        </w:numPr>
        <w:tabs>
          <w:tab w:pos="499" w:val="left" w:leader="none"/>
          <w:tab w:pos="501" w:val="left" w:leader="none"/>
        </w:tabs>
        <w:spacing w:line="240" w:lineRule="auto" w:before="146" w:after="0"/>
        <w:ind w:left="500" w:right="0" w:hanging="361"/>
        <w:jc w:val="left"/>
        <w:rPr>
          <w:sz w:val="24"/>
        </w:rPr>
      </w:pPr>
      <w:r>
        <w:rPr>
          <w:sz w:val="24"/>
        </w:rPr>
        <w:t>that</w:t>
      </w:r>
      <w:r>
        <w:rPr>
          <w:spacing w:val="-5"/>
          <w:sz w:val="24"/>
        </w:rPr>
        <w:t> </w:t>
      </w:r>
      <w:r>
        <w:rPr>
          <w:sz w:val="24"/>
        </w:rPr>
        <w:t>no</w:t>
      </w:r>
      <w:r>
        <w:rPr>
          <w:spacing w:val="-4"/>
          <w:sz w:val="24"/>
        </w:rPr>
        <w:t> </w:t>
      </w:r>
      <w:r>
        <w:rPr>
          <w:sz w:val="24"/>
        </w:rPr>
        <w:t>reasonable</w:t>
      </w:r>
      <w:r>
        <w:rPr>
          <w:spacing w:val="-4"/>
          <w:sz w:val="24"/>
        </w:rPr>
        <w:t> </w:t>
      </w:r>
      <w:r>
        <w:rPr>
          <w:sz w:val="24"/>
        </w:rPr>
        <w:t>person</w:t>
      </w:r>
      <w:r>
        <w:rPr>
          <w:spacing w:val="-5"/>
          <w:sz w:val="24"/>
        </w:rPr>
        <w:t> </w:t>
      </w:r>
      <w:r>
        <w:rPr>
          <w:sz w:val="24"/>
        </w:rPr>
        <w:t>can</w:t>
      </w:r>
      <w:r>
        <w:rPr>
          <w:spacing w:val="-4"/>
          <w:sz w:val="24"/>
        </w:rPr>
        <w:t> </w:t>
      </w:r>
      <w:r>
        <w:rPr>
          <w:sz w:val="24"/>
        </w:rPr>
        <w:t>be</w:t>
      </w:r>
      <w:r>
        <w:rPr>
          <w:spacing w:val="-4"/>
          <w:sz w:val="24"/>
        </w:rPr>
        <w:t> </w:t>
      </w:r>
      <w:r>
        <w:rPr>
          <w:sz w:val="24"/>
        </w:rPr>
        <w:t>confident</w:t>
      </w:r>
      <w:r>
        <w:rPr>
          <w:spacing w:val="-4"/>
          <w:sz w:val="24"/>
        </w:rPr>
        <w:t> </w:t>
      </w:r>
      <w:r>
        <w:rPr>
          <w:sz w:val="24"/>
        </w:rPr>
        <w:t>about</w:t>
      </w:r>
      <w:r>
        <w:rPr>
          <w:spacing w:val="-5"/>
          <w:sz w:val="24"/>
        </w:rPr>
        <w:t> </w:t>
      </w:r>
      <w:r>
        <w:rPr>
          <w:sz w:val="24"/>
        </w:rPr>
        <w:t>where</w:t>
      </w:r>
      <w:r>
        <w:rPr>
          <w:spacing w:val="-4"/>
          <w:sz w:val="24"/>
        </w:rPr>
        <w:t> </w:t>
      </w:r>
      <w:r>
        <w:rPr>
          <w:sz w:val="24"/>
        </w:rPr>
        <w:t>the</w:t>
      </w:r>
      <w:r>
        <w:rPr>
          <w:spacing w:val="-4"/>
          <w:sz w:val="24"/>
        </w:rPr>
        <w:t> </w:t>
      </w:r>
      <w:r>
        <w:rPr>
          <w:sz w:val="24"/>
        </w:rPr>
        <w:t>exchange</w:t>
      </w:r>
      <w:r>
        <w:rPr>
          <w:spacing w:val="-5"/>
          <w:sz w:val="24"/>
        </w:rPr>
        <w:t> </w:t>
      </w:r>
      <w:r>
        <w:rPr>
          <w:sz w:val="24"/>
        </w:rPr>
        <w:t>rate</w:t>
      </w:r>
      <w:r>
        <w:rPr>
          <w:spacing w:val="-4"/>
          <w:sz w:val="24"/>
        </w:rPr>
        <w:t> </w:t>
      </w:r>
      <w:r>
        <w:rPr>
          <w:sz w:val="24"/>
        </w:rPr>
        <w:t>is</w:t>
      </w:r>
      <w:r>
        <w:rPr>
          <w:spacing w:val="-4"/>
          <w:sz w:val="24"/>
        </w:rPr>
        <w:t> </w:t>
      </w:r>
      <w:r>
        <w:rPr>
          <w:sz w:val="24"/>
        </w:rPr>
        <w:t>heading</w:t>
      </w:r>
    </w:p>
    <w:p>
      <w:pPr>
        <w:pStyle w:val="ListParagraph"/>
        <w:numPr>
          <w:ilvl w:val="0"/>
          <w:numId w:val="1"/>
        </w:numPr>
        <w:tabs>
          <w:tab w:pos="499" w:val="left" w:leader="none"/>
          <w:tab w:pos="501" w:val="left" w:leader="none"/>
        </w:tabs>
        <w:spacing w:line="360" w:lineRule="auto" w:before="145" w:after="0"/>
        <w:ind w:left="500" w:right="539" w:hanging="360"/>
        <w:jc w:val="left"/>
        <w:rPr>
          <w:sz w:val="24"/>
        </w:rPr>
      </w:pPr>
      <w:r>
        <w:rPr>
          <w:sz w:val="24"/>
        </w:rPr>
        <w:t>that</w:t>
      </w:r>
      <w:r>
        <w:rPr>
          <w:spacing w:val="-7"/>
          <w:sz w:val="24"/>
        </w:rPr>
        <w:t> </w:t>
      </w:r>
      <w:r>
        <w:rPr>
          <w:sz w:val="24"/>
        </w:rPr>
        <w:t>people</w:t>
      </w:r>
      <w:r>
        <w:rPr>
          <w:spacing w:val="-6"/>
          <w:sz w:val="24"/>
        </w:rPr>
        <w:t> </w:t>
      </w:r>
      <w:r>
        <w:rPr>
          <w:sz w:val="24"/>
        </w:rPr>
        <w:t>can</w:t>
      </w:r>
      <w:r>
        <w:rPr>
          <w:spacing w:val="-6"/>
          <w:sz w:val="24"/>
        </w:rPr>
        <w:t> </w:t>
      </w:r>
      <w:r>
        <w:rPr>
          <w:sz w:val="24"/>
        </w:rPr>
        <w:t>very</w:t>
      </w:r>
      <w:r>
        <w:rPr>
          <w:spacing w:val="-12"/>
          <w:sz w:val="24"/>
        </w:rPr>
        <w:t> </w:t>
      </w:r>
      <w:r>
        <w:rPr>
          <w:sz w:val="24"/>
        </w:rPr>
        <w:t>reasonably</w:t>
      </w:r>
      <w:r>
        <w:rPr>
          <w:spacing w:val="-12"/>
          <w:sz w:val="24"/>
        </w:rPr>
        <w:t> </w:t>
      </w:r>
      <w:r>
        <w:rPr>
          <w:sz w:val="24"/>
        </w:rPr>
        <w:t>disagree</w:t>
      </w:r>
      <w:r>
        <w:rPr>
          <w:spacing w:val="-6"/>
          <w:sz w:val="24"/>
        </w:rPr>
        <w:t> </w:t>
      </w:r>
      <w:r>
        <w:rPr>
          <w:sz w:val="24"/>
        </w:rPr>
        <w:t>about</w:t>
      </w:r>
      <w:r>
        <w:rPr>
          <w:spacing w:val="-6"/>
          <w:sz w:val="24"/>
        </w:rPr>
        <w:t> </w:t>
      </w:r>
      <w:r>
        <w:rPr>
          <w:sz w:val="24"/>
        </w:rPr>
        <w:t>the</w:t>
      </w:r>
      <w:r>
        <w:rPr>
          <w:spacing w:val="-6"/>
          <w:sz w:val="24"/>
        </w:rPr>
        <w:t> </w:t>
      </w:r>
      <w:r>
        <w:rPr>
          <w:sz w:val="24"/>
        </w:rPr>
        <w:t>chances</w:t>
      </w:r>
      <w:r>
        <w:rPr>
          <w:spacing w:val="-6"/>
          <w:sz w:val="24"/>
        </w:rPr>
        <w:t> </w:t>
      </w:r>
      <w:r>
        <w:rPr>
          <w:sz w:val="24"/>
        </w:rPr>
        <w:t>of</w:t>
      </w:r>
      <w:r>
        <w:rPr>
          <w:spacing w:val="-6"/>
          <w:sz w:val="24"/>
        </w:rPr>
        <w:t> </w:t>
      </w:r>
      <w:r>
        <w:rPr>
          <w:sz w:val="24"/>
        </w:rPr>
        <w:t>different</w:t>
      </w:r>
      <w:r>
        <w:rPr>
          <w:spacing w:val="-6"/>
          <w:sz w:val="24"/>
        </w:rPr>
        <w:t> </w:t>
      </w:r>
      <w:r>
        <w:rPr>
          <w:sz w:val="24"/>
        </w:rPr>
        <w:t>exchange rate paths occurring (and MPC members</w:t>
      </w:r>
      <w:r>
        <w:rPr>
          <w:spacing w:val="-11"/>
          <w:sz w:val="24"/>
        </w:rPr>
        <w:t> </w:t>
      </w:r>
      <w:r>
        <w:rPr>
          <w:sz w:val="24"/>
        </w:rPr>
        <w:t>do)</w:t>
      </w:r>
    </w:p>
    <w:p>
      <w:pPr>
        <w:pStyle w:val="ListParagraph"/>
        <w:numPr>
          <w:ilvl w:val="0"/>
          <w:numId w:val="1"/>
        </w:numPr>
        <w:tabs>
          <w:tab w:pos="499" w:val="left" w:leader="none"/>
          <w:tab w:pos="501" w:val="left" w:leader="none"/>
        </w:tabs>
        <w:spacing w:line="360" w:lineRule="auto" w:before="9" w:after="0"/>
        <w:ind w:left="500" w:right="383" w:hanging="360"/>
        <w:jc w:val="left"/>
        <w:rPr>
          <w:sz w:val="24"/>
        </w:rPr>
      </w:pPr>
      <w:r>
        <w:rPr>
          <w:sz w:val="24"/>
        </w:rPr>
        <w:t>that</w:t>
      </w:r>
      <w:r>
        <w:rPr>
          <w:spacing w:val="-6"/>
          <w:sz w:val="24"/>
        </w:rPr>
        <w:t> </w:t>
      </w:r>
      <w:r>
        <w:rPr>
          <w:sz w:val="24"/>
        </w:rPr>
        <w:t>short</w:t>
      </w:r>
      <w:r>
        <w:rPr>
          <w:spacing w:val="-6"/>
          <w:sz w:val="24"/>
        </w:rPr>
        <w:t> </w:t>
      </w:r>
      <w:r>
        <w:rPr>
          <w:sz w:val="24"/>
        </w:rPr>
        <w:t>(even</w:t>
      </w:r>
      <w:r>
        <w:rPr>
          <w:spacing w:val="-6"/>
          <w:sz w:val="24"/>
        </w:rPr>
        <w:t> </w:t>
      </w:r>
      <w:r>
        <w:rPr>
          <w:sz w:val="24"/>
        </w:rPr>
        <w:t>medium)</w:t>
      </w:r>
      <w:r>
        <w:rPr>
          <w:spacing w:val="-6"/>
          <w:sz w:val="24"/>
        </w:rPr>
        <w:t> </w:t>
      </w:r>
      <w:r>
        <w:rPr>
          <w:sz w:val="24"/>
        </w:rPr>
        <w:t>runs</w:t>
      </w:r>
      <w:r>
        <w:rPr>
          <w:spacing w:val="-6"/>
          <w:sz w:val="24"/>
        </w:rPr>
        <w:t> </w:t>
      </w:r>
      <w:r>
        <w:rPr>
          <w:sz w:val="24"/>
        </w:rPr>
        <w:t>of</w:t>
      </w:r>
      <w:r>
        <w:rPr>
          <w:spacing w:val="-6"/>
          <w:sz w:val="24"/>
        </w:rPr>
        <w:t> </w:t>
      </w:r>
      <w:r>
        <w:rPr>
          <w:sz w:val="24"/>
        </w:rPr>
        <w:t>data</w:t>
      </w:r>
      <w:r>
        <w:rPr>
          <w:spacing w:val="-6"/>
          <w:sz w:val="24"/>
        </w:rPr>
        <w:t> </w:t>
      </w:r>
      <w:r>
        <w:rPr>
          <w:sz w:val="24"/>
        </w:rPr>
        <w:t>cannot</w:t>
      </w:r>
      <w:r>
        <w:rPr>
          <w:spacing w:val="-6"/>
          <w:sz w:val="24"/>
        </w:rPr>
        <w:t> </w:t>
      </w:r>
      <w:r>
        <w:rPr>
          <w:sz w:val="24"/>
        </w:rPr>
        <w:t>readily</w:t>
      </w:r>
      <w:r>
        <w:rPr>
          <w:spacing w:val="-12"/>
          <w:sz w:val="24"/>
        </w:rPr>
        <w:t> </w:t>
      </w:r>
      <w:r>
        <w:rPr>
          <w:sz w:val="24"/>
        </w:rPr>
        <w:t>prove</w:t>
      </w:r>
      <w:r>
        <w:rPr>
          <w:spacing w:val="-6"/>
          <w:sz w:val="24"/>
        </w:rPr>
        <w:t> </w:t>
      </w:r>
      <w:r>
        <w:rPr>
          <w:sz w:val="24"/>
        </w:rPr>
        <w:t>or</w:t>
      </w:r>
      <w:r>
        <w:rPr>
          <w:spacing w:val="-6"/>
          <w:sz w:val="24"/>
        </w:rPr>
        <w:t> </w:t>
      </w:r>
      <w:r>
        <w:rPr>
          <w:sz w:val="24"/>
        </w:rPr>
        <w:t>disprove</w:t>
      </w:r>
      <w:r>
        <w:rPr>
          <w:spacing w:val="-6"/>
          <w:sz w:val="24"/>
        </w:rPr>
        <w:t> </w:t>
      </w:r>
      <w:r>
        <w:rPr>
          <w:sz w:val="24"/>
        </w:rPr>
        <w:t>hypotheses about exchange rate</w:t>
      </w:r>
      <w:r>
        <w:rPr>
          <w:spacing w:val="-4"/>
          <w:sz w:val="24"/>
        </w:rPr>
        <w:t> </w:t>
      </w:r>
      <w:r>
        <w:rPr>
          <w:sz w:val="24"/>
        </w:rPr>
        <w:t>behaviour.</w:t>
      </w:r>
    </w:p>
    <w:p>
      <w:pPr>
        <w:pStyle w:val="BodyText"/>
        <w:spacing w:before="2"/>
        <w:rPr>
          <w:sz w:val="9"/>
        </w:rPr>
      </w:pPr>
      <w:r>
        <w:rPr/>
        <w:pict>
          <v:shape style="position:absolute;margin-left:85.000999pt;margin-top:7.479043pt;width:144pt;height:.1pt;mso-position-horizontal-relative:page;mso-position-vertical-relative:paragraph;z-index:-251645952;mso-wrap-distance-left:0;mso-wrap-distance-right:0" coordorigin="1700,150" coordsize="2880,0" path="m1700,150l4580,150e" filled="false" stroked="true" strokeweight=".48pt" strokecolor="#000000">
            <v:path arrowok="t"/>
            <v:stroke dashstyle="solid"/>
            <w10:wrap type="topAndBottom"/>
          </v:shape>
        </w:pict>
      </w:r>
    </w:p>
    <w:p>
      <w:pPr>
        <w:pStyle w:val="BodyText"/>
        <w:spacing w:before="2"/>
        <w:rPr>
          <w:sz w:val="13"/>
        </w:rPr>
      </w:pPr>
    </w:p>
    <w:p>
      <w:pPr>
        <w:spacing w:before="96"/>
        <w:ind w:left="140" w:right="0" w:firstLine="0"/>
        <w:jc w:val="left"/>
        <w:rPr>
          <w:sz w:val="20"/>
        </w:rPr>
      </w:pPr>
      <w:r>
        <w:rPr>
          <w:rFonts w:ascii="Arial"/>
          <w:position w:val="10"/>
          <w:sz w:val="13"/>
        </w:rPr>
        <w:t>1 </w:t>
      </w:r>
      <w:r>
        <w:rPr>
          <w:sz w:val="20"/>
        </w:rPr>
        <w:t>The technique used to derive the chart from options prices is available on request.</w:t>
      </w:r>
    </w:p>
    <w:p>
      <w:pPr>
        <w:spacing w:after="0"/>
        <w:jc w:val="left"/>
        <w:rPr>
          <w:sz w:val="20"/>
        </w:rPr>
        <w:sectPr>
          <w:type w:val="continuous"/>
          <w:pgSz w:w="11900" w:h="16840"/>
          <w:pgMar w:top="1180" w:bottom="280" w:left="1560" w:right="1560"/>
        </w:sectPr>
      </w:pPr>
    </w:p>
    <w:p>
      <w:pPr>
        <w:pStyle w:val="BodyText"/>
        <w:spacing w:line="369" w:lineRule="auto" w:before="66"/>
        <w:ind w:left="140" w:right="147"/>
      </w:pPr>
      <w:bookmarkStart w:name="_bookmark2" w:id="9"/>
      <w:bookmarkEnd w:id="9"/>
      <w:r>
        <w:rPr/>
      </w:r>
      <w:r>
        <w:rPr/>
        <w:t>A very natural hypothesis about exchange rate behaviour is what I shall here call the Simple Interest Differential theory (SID for short).</w:t>
      </w:r>
      <w:hyperlink w:history="true" w:anchor="_bookmark2">
        <w:r>
          <w:rPr>
            <w:vertAlign w:val="superscript"/>
          </w:rPr>
          <w:t>2</w:t>
        </w:r>
      </w:hyperlink>
      <w:r>
        <w:rPr>
          <w:vertAlign w:val="baseline"/>
        </w:rPr>
        <w:t> This </w:t>
      </w:r>
      <w:r>
        <w:rPr>
          <w:spacing w:val="-3"/>
          <w:vertAlign w:val="baseline"/>
        </w:rPr>
        <w:t>says </w:t>
      </w:r>
      <w:r>
        <w:rPr>
          <w:vertAlign w:val="baseline"/>
        </w:rPr>
        <w:t>that exchange rates on average move to offset interest rate differentials.  So if one-year sterling deposits pay 2% more interest than comparable euro deposits, then on average sterling will, according to SID, depreciate by 2% against the euro over the </w:t>
      </w:r>
      <w:r>
        <w:rPr>
          <w:spacing w:val="-3"/>
          <w:vertAlign w:val="baseline"/>
        </w:rPr>
        <w:t>year. </w:t>
      </w:r>
      <w:r>
        <w:rPr>
          <w:vertAlign w:val="baseline"/>
        </w:rPr>
        <w:t>Uncertainty means that the ‘average’ outcome will almost certainly not occur, but it is still a useful benchmark case amid the volatility. </w:t>
      </w:r>
      <w:r>
        <w:rPr>
          <w:spacing w:val="-3"/>
          <w:vertAlign w:val="baseline"/>
        </w:rPr>
        <w:t>SID </w:t>
      </w:r>
      <w:r>
        <w:rPr>
          <w:vertAlign w:val="baseline"/>
        </w:rPr>
        <w:t>is natural because it implies that investments in sterling deposits will, on average, do just as well as investments in euro deposits, and vice versa. SID will hold if market investors form their expectations rationally and are indifferent to</w:t>
      </w:r>
      <w:r>
        <w:rPr>
          <w:spacing w:val="-3"/>
          <w:vertAlign w:val="baseline"/>
        </w:rPr>
        <w:t> </w:t>
      </w:r>
      <w:r>
        <w:rPr>
          <w:vertAlign w:val="baseline"/>
        </w:rPr>
        <w:t>risk.</w:t>
      </w:r>
    </w:p>
    <w:p>
      <w:pPr>
        <w:pStyle w:val="BodyText"/>
        <w:spacing w:before="9"/>
        <w:rPr>
          <w:sz w:val="36"/>
        </w:rPr>
      </w:pPr>
    </w:p>
    <w:p>
      <w:pPr>
        <w:pStyle w:val="BodyText"/>
        <w:spacing w:line="369" w:lineRule="auto"/>
        <w:ind w:left="140" w:right="181"/>
      </w:pPr>
      <w:r>
        <w:rPr/>
        <w:t>The facts, however, appear resoundingly to contradict SID as a theory of average short- to-medium run exchange rate behaviour over the past (though the theory appears to fare better in relation to longer run behaviour.) I have heard SID likened to Tom, the cat in </w:t>
      </w:r>
      <w:r>
        <w:rPr>
          <w:i/>
        </w:rPr>
        <w:t>Tom and Jerry</w:t>
      </w:r>
      <w:r>
        <w:rPr/>
        <w:t>. Tom, you will recall, is regularly flattened by sledgehammers, falling trees, steamrollers, agricultural equipment, etc., only to pop back into shape with an ever-more determined frown. SID seems similarly irrepressible, and the contrast between the intuitive appeal of SID and its apparent disagreement with past facts is one of the great puzzles of financial economics.</w:t>
      </w:r>
    </w:p>
    <w:p>
      <w:pPr>
        <w:pStyle w:val="BodyText"/>
        <w:spacing w:before="9"/>
        <w:rPr>
          <w:sz w:val="36"/>
        </w:rPr>
      </w:pPr>
    </w:p>
    <w:p>
      <w:pPr>
        <w:pStyle w:val="BodyText"/>
        <w:ind w:left="140"/>
      </w:pPr>
      <w:r>
        <w:rPr/>
        <w:t>Ways out of the puzzle include the possibilities that:</w:t>
      </w:r>
    </w:p>
    <w:p>
      <w:pPr>
        <w:pStyle w:val="ListParagraph"/>
        <w:numPr>
          <w:ilvl w:val="0"/>
          <w:numId w:val="1"/>
        </w:numPr>
        <w:tabs>
          <w:tab w:pos="499" w:val="left" w:leader="none"/>
          <w:tab w:pos="501" w:val="left" w:leader="none"/>
        </w:tabs>
        <w:spacing w:line="240" w:lineRule="auto" w:before="146" w:after="0"/>
        <w:ind w:left="500" w:right="0" w:hanging="361"/>
        <w:jc w:val="left"/>
        <w:rPr>
          <w:sz w:val="24"/>
        </w:rPr>
      </w:pPr>
      <w:r>
        <w:rPr>
          <w:sz w:val="24"/>
        </w:rPr>
        <w:t>that markets are</w:t>
      </w:r>
      <w:r>
        <w:rPr>
          <w:spacing w:val="-3"/>
          <w:sz w:val="24"/>
        </w:rPr>
        <w:t> </w:t>
      </w:r>
      <w:r>
        <w:rPr>
          <w:sz w:val="24"/>
        </w:rPr>
        <w:t>irrational</w:t>
      </w:r>
    </w:p>
    <w:p>
      <w:pPr>
        <w:pStyle w:val="ListParagraph"/>
        <w:numPr>
          <w:ilvl w:val="0"/>
          <w:numId w:val="1"/>
        </w:numPr>
        <w:tabs>
          <w:tab w:pos="499" w:val="left" w:leader="none"/>
          <w:tab w:pos="501" w:val="left" w:leader="none"/>
        </w:tabs>
        <w:spacing w:line="240" w:lineRule="auto" w:before="145" w:after="0"/>
        <w:ind w:left="500" w:right="0" w:hanging="361"/>
        <w:jc w:val="left"/>
        <w:rPr>
          <w:sz w:val="24"/>
        </w:rPr>
      </w:pPr>
      <w:r>
        <w:rPr>
          <w:sz w:val="24"/>
        </w:rPr>
        <w:t>that currency risk factors matter for</w:t>
      </w:r>
      <w:r>
        <w:rPr>
          <w:spacing w:val="-15"/>
          <w:sz w:val="24"/>
        </w:rPr>
        <w:t> </w:t>
      </w:r>
      <w:r>
        <w:rPr>
          <w:sz w:val="24"/>
        </w:rPr>
        <w:t>investors.</w:t>
      </w:r>
    </w:p>
    <w:p>
      <w:pPr>
        <w:pStyle w:val="BodyText"/>
        <w:rPr>
          <w:sz w:val="28"/>
        </w:rPr>
      </w:pPr>
    </w:p>
    <w:p>
      <w:pPr>
        <w:pStyle w:val="BodyText"/>
        <w:spacing w:line="369" w:lineRule="auto" w:before="251"/>
        <w:ind w:left="140" w:right="616"/>
        <w:jc w:val="both"/>
      </w:pPr>
      <w:r>
        <w:rPr/>
        <w:t>As to the first possibility, I am certainly not wedded to the notion that markets are always rational. For example, it seems entirely possible for some financial market prices</w:t>
      </w:r>
      <w:r>
        <w:rPr>
          <w:spacing w:val="-7"/>
        </w:rPr>
        <w:t> </w:t>
      </w:r>
      <w:r>
        <w:rPr/>
        <w:t>to</w:t>
      </w:r>
      <w:r>
        <w:rPr>
          <w:spacing w:val="-6"/>
        </w:rPr>
        <w:t> </w:t>
      </w:r>
      <w:r>
        <w:rPr/>
        <w:t>move</w:t>
      </w:r>
      <w:r>
        <w:rPr>
          <w:spacing w:val="-6"/>
        </w:rPr>
        <w:t> </w:t>
      </w:r>
      <w:r>
        <w:rPr/>
        <w:t>appreciably</w:t>
      </w:r>
      <w:r>
        <w:rPr>
          <w:spacing w:val="-12"/>
        </w:rPr>
        <w:t> </w:t>
      </w:r>
      <w:r>
        <w:rPr/>
        <w:t>adrift</w:t>
      </w:r>
      <w:r>
        <w:rPr>
          <w:spacing w:val="-6"/>
        </w:rPr>
        <w:t> </w:t>
      </w:r>
      <w:r>
        <w:rPr/>
        <w:t>from</w:t>
      </w:r>
      <w:r>
        <w:rPr>
          <w:spacing w:val="-6"/>
        </w:rPr>
        <w:t> </w:t>
      </w:r>
      <w:r>
        <w:rPr/>
        <w:t>whatever</w:t>
      </w:r>
      <w:r>
        <w:rPr>
          <w:spacing w:val="-7"/>
        </w:rPr>
        <w:t> </w:t>
      </w:r>
      <w:r>
        <w:rPr/>
        <w:t>may</w:t>
      </w:r>
      <w:r>
        <w:rPr>
          <w:spacing w:val="-12"/>
        </w:rPr>
        <w:t> </w:t>
      </w:r>
      <w:r>
        <w:rPr/>
        <w:t>be</w:t>
      </w:r>
      <w:r>
        <w:rPr>
          <w:spacing w:val="-6"/>
        </w:rPr>
        <w:t> </w:t>
      </w:r>
      <w:r>
        <w:rPr/>
        <w:t>their</w:t>
      </w:r>
      <w:r>
        <w:rPr>
          <w:spacing w:val="-6"/>
        </w:rPr>
        <w:t> </w:t>
      </w:r>
      <w:r>
        <w:rPr/>
        <w:t>‘fundamental’</w:t>
      </w:r>
      <w:r>
        <w:rPr>
          <w:spacing w:val="-6"/>
        </w:rPr>
        <w:t> </w:t>
      </w:r>
      <w:r>
        <w:rPr/>
        <w:t>values.</w:t>
      </w:r>
    </w:p>
    <w:p>
      <w:pPr>
        <w:pStyle w:val="BodyText"/>
        <w:spacing w:before="10"/>
        <w:rPr>
          <w:sz w:val="36"/>
        </w:rPr>
      </w:pPr>
    </w:p>
    <w:p>
      <w:pPr>
        <w:pStyle w:val="BodyText"/>
        <w:spacing w:line="369" w:lineRule="auto"/>
        <w:ind w:left="140" w:right="162"/>
      </w:pPr>
      <w:r>
        <w:rPr/>
        <w:pict>
          <v:shape style="position:absolute;margin-left:85.000999pt;margin-top:49.363422pt;width:144pt;height:.1pt;mso-position-horizontal-relative:page;mso-position-vertical-relative:paragraph;z-index:-251641856;mso-wrap-distance-left:0;mso-wrap-distance-right:0" coordorigin="1700,987" coordsize="2880,0" path="m1700,987l4580,987e" filled="false" stroked="true" strokeweight=".48pt" strokecolor="#000000">
            <v:path arrowok="t"/>
            <v:stroke dashstyle="solid"/>
            <w10:wrap type="topAndBottom"/>
          </v:shape>
        </w:pict>
      </w:r>
      <w:r>
        <w:rPr/>
        <w:t>But what is the fundamental value of sterling consistent with a sustainable current account position over time? Nobody knows, but most of the substantial body of</w:t>
      </w:r>
    </w:p>
    <w:p>
      <w:pPr>
        <w:spacing w:line="244" w:lineRule="auto" w:before="20"/>
        <w:ind w:left="140" w:right="162" w:firstLine="0"/>
        <w:jc w:val="left"/>
        <w:rPr>
          <w:sz w:val="20"/>
        </w:rPr>
      </w:pPr>
      <w:r>
        <w:rPr>
          <w:rFonts w:ascii="Arial"/>
          <w:position w:val="10"/>
          <w:sz w:val="13"/>
        </w:rPr>
        <w:t>2 </w:t>
      </w:r>
      <w:r>
        <w:rPr>
          <w:sz w:val="20"/>
        </w:rPr>
        <w:t>The attached Annex provides more detail on the discussion that follows. SID is equivalent to the theory of uncovered interest parity (UIP) with risk neutrality.</w:t>
      </w:r>
    </w:p>
    <w:p>
      <w:pPr>
        <w:spacing w:after="0" w:line="244" w:lineRule="auto"/>
        <w:jc w:val="left"/>
        <w:rPr>
          <w:sz w:val="20"/>
        </w:rPr>
        <w:sectPr>
          <w:pgSz w:w="11900" w:h="16840"/>
          <w:pgMar w:header="0" w:footer="738" w:top="1440" w:bottom="920" w:left="1560" w:right="1560"/>
        </w:sectPr>
      </w:pPr>
    </w:p>
    <w:p>
      <w:pPr>
        <w:pStyle w:val="BodyText"/>
        <w:spacing w:line="369" w:lineRule="auto" w:before="79"/>
        <w:ind w:left="140"/>
      </w:pPr>
      <w:r>
        <w:rPr/>
        <w:t>empirical analysis on this question suggests that sterling is at present stronger than is justified by consideration of the underlying economic fundamentals.</w:t>
      </w:r>
    </w:p>
    <w:p>
      <w:pPr>
        <w:pStyle w:val="BodyText"/>
        <w:spacing w:before="10"/>
        <w:rPr>
          <w:sz w:val="36"/>
        </w:rPr>
      </w:pPr>
    </w:p>
    <w:p>
      <w:pPr>
        <w:pStyle w:val="BodyText"/>
        <w:spacing w:line="367" w:lineRule="auto"/>
        <w:ind w:left="140" w:right="181"/>
      </w:pPr>
      <w:r>
        <w:rPr/>
        <w:t>Some might say that the ‘fundamentals’ are of doubtful practical relevance, and that we should instead seek to explain where supposedly irrational markets are headed in the medium term. Maybe, but I doubt my ability</w:t>
      </w:r>
      <w:r>
        <w:rPr>
          <w:rFonts w:ascii="Symbol" w:hAnsi="Symbol"/>
        </w:rPr>
        <w:t></w:t>
      </w:r>
      <w:r>
        <w:rPr/>
        <w:t>at least relative to the well-financed talent already engaged in it</w:t>
      </w:r>
      <w:r>
        <w:rPr>
          <w:rFonts w:ascii="Symbol" w:hAnsi="Symbol"/>
        </w:rPr>
        <w:t></w:t>
      </w:r>
      <w:r>
        <w:rPr/>
        <w:t>at this branch of social anthropology.</w:t>
      </w:r>
    </w:p>
    <w:p>
      <w:pPr>
        <w:pStyle w:val="BodyText"/>
        <w:spacing w:before="4"/>
        <w:rPr>
          <w:sz w:val="36"/>
        </w:rPr>
      </w:pPr>
    </w:p>
    <w:p>
      <w:pPr>
        <w:pStyle w:val="BodyText"/>
        <w:spacing w:line="369" w:lineRule="auto"/>
        <w:ind w:left="140"/>
      </w:pPr>
      <w:r>
        <w:rPr/>
        <w:t>The way that SID fails suggests at face value that currencies whose interest rates relative to others are higher than (or not as low as) they have been on average in the past tend on the whole to be a good investment. The studies on this are no secret, so why does the seemingly good investment opportunity not get grabbed and therefore vanish?</w:t>
      </w:r>
    </w:p>
    <w:p>
      <w:pPr>
        <w:pStyle w:val="BodyText"/>
        <w:spacing w:before="10"/>
        <w:rPr>
          <w:sz w:val="36"/>
        </w:rPr>
      </w:pPr>
    </w:p>
    <w:p>
      <w:pPr>
        <w:pStyle w:val="BodyText"/>
        <w:spacing w:line="367" w:lineRule="auto" w:before="1"/>
        <w:ind w:left="140" w:right="76"/>
      </w:pPr>
      <w:r>
        <w:rPr/>
        <w:t>Maybe that has happened, in which case the past is no guide to the future. If it has not, perhaps the reason has to do with risk, rather than market irrationality. There is nothing irrational about avoiding risk, or requiring a high average return to bear it. If, for the reasons discussed above, sterling had become a relatively low risk currency in the view of the market</w:t>
      </w:r>
      <w:r>
        <w:rPr>
          <w:rFonts w:ascii="Symbol" w:hAnsi="Symbol"/>
        </w:rPr>
        <w:t></w:t>
      </w:r>
      <w:r>
        <w:rPr/>
        <w:t>and maybe it has</w:t>
      </w:r>
      <w:r>
        <w:rPr>
          <w:rFonts w:ascii="Symbol" w:hAnsi="Symbol"/>
        </w:rPr>
        <w:t></w:t>
      </w:r>
      <w:r>
        <w:rPr/>
        <w:t>it would follow that sterling was more likely than not to decline from now on by at least as much as interest rate differentials.</w:t>
      </w:r>
    </w:p>
    <w:p>
      <w:pPr>
        <w:pStyle w:val="BodyText"/>
        <w:spacing w:before="10"/>
        <w:rPr>
          <w:sz w:val="37"/>
        </w:rPr>
      </w:pPr>
    </w:p>
    <w:p>
      <w:pPr>
        <w:pStyle w:val="Heading1"/>
        <w:spacing w:before="1"/>
      </w:pPr>
      <w:r>
        <w:rPr/>
        <w:t>Conclusion</w:t>
      </w:r>
    </w:p>
    <w:p>
      <w:pPr>
        <w:pStyle w:val="BodyText"/>
        <w:rPr>
          <w:b/>
          <w:sz w:val="26"/>
        </w:rPr>
      </w:pPr>
    </w:p>
    <w:p>
      <w:pPr>
        <w:pStyle w:val="BodyText"/>
        <w:spacing w:before="5"/>
        <w:rPr>
          <w:b/>
          <w:sz w:val="23"/>
        </w:rPr>
      </w:pPr>
    </w:p>
    <w:p>
      <w:pPr>
        <w:pStyle w:val="BodyText"/>
        <w:spacing w:line="367" w:lineRule="auto"/>
        <w:ind w:left="140" w:right="131"/>
      </w:pPr>
      <w:r>
        <w:rPr/>
        <w:t>Where has this excursion into exchange rate economics got us? </w:t>
      </w:r>
      <w:r>
        <w:rPr>
          <w:spacing w:val="-3"/>
        </w:rPr>
        <w:t>It </w:t>
      </w:r>
      <w:r>
        <w:rPr/>
        <w:t>certainly has not yielded a confident view of where sterling is headed. A confident view of exchange rate prospects is not a view </w:t>
      </w:r>
      <w:r>
        <w:rPr>
          <w:spacing w:val="-3"/>
        </w:rPr>
        <w:t>you </w:t>
      </w:r>
      <w:r>
        <w:rPr/>
        <w:t>should take seriously. But I think it has offered some reasons to think that a decline in sterling in due course is odds on rather than odds against, though again I would stress the uncertainty. The reasons are three</w:t>
      </w:r>
      <w:r>
        <w:rPr>
          <w:rFonts w:ascii="Symbol" w:hAnsi="Symbol"/>
        </w:rPr>
        <w:t></w:t>
      </w:r>
      <w:r>
        <w:rPr/>
        <w:t>interest rate differentials,</w:t>
      </w:r>
      <w:r>
        <w:rPr>
          <w:spacing w:val="-6"/>
        </w:rPr>
        <w:t> </w:t>
      </w:r>
      <w:r>
        <w:rPr/>
        <w:t>risk</w:t>
      </w:r>
      <w:r>
        <w:rPr>
          <w:spacing w:val="-5"/>
        </w:rPr>
        <w:t> </w:t>
      </w:r>
      <w:r>
        <w:rPr/>
        <w:t>factors,</w:t>
      </w:r>
      <w:r>
        <w:rPr>
          <w:spacing w:val="-6"/>
        </w:rPr>
        <w:t> </w:t>
      </w:r>
      <w:r>
        <w:rPr/>
        <w:t>and</w:t>
      </w:r>
      <w:r>
        <w:rPr>
          <w:spacing w:val="-5"/>
        </w:rPr>
        <w:t> </w:t>
      </w:r>
      <w:r>
        <w:rPr/>
        <w:t>a</w:t>
      </w:r>
      <w:r>
        <w:rPr>
          <w:spacing w:val="-6"/>
        </w:rPr>
        <w:t> </w:t>
      </w:r>
      <w:r>
        <w:rPr/>
        <w:t>view</w:t>
      </w:r>
      <w:r>
        <w:rPr>
          <w:spacing w:val="-5"/>
        </w:rPr>
        <w:t> </w:t>
      </w:r>
      <w:r>
        <w:rPr/>
        <w:t>that</w:t>
      </w:r>
      <w:r>
        <w:rPr>
          <w:spacing w:val="-5"/>
        </w:rPr>
        <w:t> </w:t>
      </w:r>
      <w:r>
        <w:rPr/>
        <w:t>sterling</w:t>
      </w:r>
      <w:r>
        <w:rPr>
          <w:spacing w:val="-8"/>
        </w:rPr>
        <w:t> </w:t>
      </w:r>
      <w:r>
        <w:rPr/>
        <w:t>is</w:t>
      </w:r>
      <w:r>
        <w:rPr>
          <w:spacing w:val="-5"/>
        </w:rPr>
        <w:t> </w:t>
      </w:r>
      <w:r>
        <w:rPr/>
        <w:t>probably</w:t>
      </w:r>
      <w:r>
        <w:rPr>
          <w:spacing w:val="-12"/>
        </w:rPr>
        <w:t> </w:t>
      </w:r>
      <w:r>
        <w:rPr/>
        <w:t>higher</w:t>
      </w:r>
      <w:r>
        <w:rPr>
          <w:spacing w:val="-5"/>
        </w:rPr>
        <w:t> </w:t>
      </w:r>
      <w:r>
        <w:rPr/>
        <w:t>than</w:t>
      </w:r>
      <w:r>
        <w:rPr>
          <w:spacing w:val="-6"/>
        </w:rPr>
        <w:t> </w:t>
      </w:r>
      <w:r>
        <w:rPr/>
        <w:t>is</w:t>
      </w:r>
      <w:r>
        <w:rPr>
          <w:spacing w:val="-5"/>
        </w:rPr>
        <w:t> </w:t>
      </w:r>
      <w:r>
        <w:rPr/>
        <w:t>warranted</w:t>
      </w:r>
      <w:r>
        <w:rPr>
          <w:spacing w:val="-6"/>
        </w:rPr>
        <w:t> </w:t>
      </w:r>
      <w:r>
        <w:rPr/>
        <w:t>by the economic</w:t>
      </w:r>
      <w:r>
        <w:rPr>
          <w:spacing w:val="-3"/>
        </w:rPr>
        <w:t> </w:t>
      </w:r>
      <w:r>
        <w:rPr/>
        <w:t>fundamentals.</w:t>
      </w:r>
    </w:p>
    <w:p>
      <w:pPr>
        <w:pStyle w:val="BodyText"/>
        <w:spacing w:before="9"/>
        <w:rPr>
          <w:sz w:val="37"/>
        </w:rPr>
      </w:pPr>
    </w:p>
    <w:p>
      <w:pPr>
        <w:pStyle w:val="BodyText"/>
        <w:spacing w:line="369" w:lineRule="auto"/>
        <w:ind w:left="140" w:right="162"/>
      </w:pPr>
      <w:r>
        <w:rPr/>
        <w:t>A decline in sterling and a recovery in the euro would help ease some of the current imbalances of activity within the UK economy. Those imbalances are clearly evident from the severe pressures being confronted in agriculture, in much of manufacturing, and also in parts of the service sector. Those pressures, and business conditions</w:t>
      </w:r>
    </w:p>
    <w:p>
      <w:pPr>
        <w:spacing w:after="0" w:line="369" w:lineRule="auto"/>
        <w:sectPr>
          <w:pgSz w:w="11900" w:h="16840"/>
          <w:pgMar w:header="0" w:footer="738" w:top="1060" w:bottom="920" w:left="1560" w:right="1560"/>
        </w:sectPr>
      </w:pPr>
    </w:p>
    <w:p>
      <w:pPr>
        <w:pStyle w:val="BodyText"/>
        <w:spacing w:line="369" w:lineRule="auto" w:before="79"/>
        <w:ind w:left="140" w:right="162"/>
      </w:pPr>
      <w:r>
        <w:rPr/>
        <w:t>throughout the economy generally, are very much part of the information and analysis that goes into the setting of monetary policy. Likewise, the exchange rate is a central part of the MPC’s assessment of inflation prospects.</w:t>
      </w:r>
    </w:p>
    <w:p>
      <w:pPr>
        <w:pStyle w:val="BodyText"/>
        <w:spacing w:before="10"/>
        <w:rPr>
          <w:sz w:val="36"/>
        </w:rPr>
      </w:pPr>
    </w:p>
    <w:p>
      <w:pPr>
        <w:pStyle w:val="BodyText"/>
        <w:spacing w:line="369" w:lineRule="auto"/>
        <w:ind w:left="140" w:right="162"/>
      </w:pPr>
      <w:r>
        <w:rPr/>
        <w:t>The goal of monetary policy, like money itself, must relate to the economy as a whole. Monetary policy now has the clear goal of price stability as defined by the inflation target. Only when inflation is low and stable are the economic decisions of businesses and households free from inflation distortion. Over recent years, unlike in the past, the UK has had low and stable inflation, and with it has gone a period of quite strong performance in the economy as a whole.</w:t>
      </w:r>
    </w:p>
    <w:p>
      <w:pPr>
        <w:pStyle w:val="BodyText"/>
        <w:spacing w:before="9"/>
        <w:rPr>
          <w:sz w:val="36"/>
        </w:rPr>
      </w:pPr>
    </w:p>
    <w:p>
      <w:pPr>
        <w:pStyle w:val="BodyText"/>
        <w:spacing w:line="369" w:lineRule="auto" w:before="1"/>
        <w:ind w:left="140" w:right="162"/>
      </w:pPr>
      <w:r>
        <w:rPr/>
        <w:t>Those involved with monetary policy always stress that nothing is certain. But it seems safe to predict that none (few?) of us will be present at your 250</w:t>
      </w:r>
      <w:r>
        <w:rPr>
          <w:vertAlign w:val="superscript"/>
        </w:rPr>
        <w:t>th</w:t>
      </w:r>
      <w:r>
        <w:rPr>
          <w:vertAlign w:val="baseline"/>
        </w:rPr>
        <w:t> anniversary conference in 2125. If your successors again see fit to invite an economist to speak at it, I hope they will be able to report on an era of not just good overall economic performance but also widely shared economic prosperity. It is not in the power of monetary policy to guarantee that. What successful monetary policy can do is to keep inflation low and stable. That is not an end in itself but it is how monetary policy can make its best contribution to conditions for good economic performance in the future.</w:t>
      </w:r>
    </w:p>
    <w:p>
      <w:pPr>
        <w:spacing w:after="0" w:line="369" w:lineRule="auto"/>
        <w:sectPr>
          <w:pgSz w:w="11900" w:h="16840"/>
          <w:pgMar w:header="0" w:footer="738" w:top="1060" w:bottom="920" w:left="1560" w:right="1560"/>
        </w:sectPr>
      </w:pPr>
    </w:p>
    <w:p>
      <w:pPr>
        <w:pStyle w:val="Heading1"/>
        <w:ind w:left="1006" w:right="999"/>
        <w:jc w:val="center"/>
      </w:pPr>
      <w:bookmarkStart w:name="MONETARY POLICY AND THE EXCHANGE RATE: A" w:id="10"/>
      <w:bookmarkEnd w:id="10"/>
      <w:r>
        <w:rPr>
          <w:b w:val="0"/>
        </w:rPr>
      </w:r>
      <w:bookmarkStart w:name="_bookmark3" w:id="11"/>
      <w:bookmarkEnd w:id="11"/>
      <w:r>
        <w:rPr>
          <w:b w:val="0"/>
        </w:rPr>
      </w:r>
      <w:r>
        <w:rPr/>
        <w:t>MONETARY POLICY AND THE EXCHANGE RATE: ANNEX</w:t>
      </w:r>
    </w:p>
    <w:p>
      <w:pPr>
        <w:pStyle w:val="BodyText"/>
        <w:spacing w:before="2"/>
        <w:rPr>
          <w:b/>
        </w:rPr>
      </w:pPr>
    </w:p>
    <w:p>
      <w:pPr>
        <w:pStyle w:val="BodyText"/>
        <w:spacing w:line="247" w:lineRule="auto"/>
        <w:ind w:left="140"/>
      </w:pPr>
      <w:r>
        <w:rPr/>
        <w:t>This annex seeks to give some more detail on the remarks in the speech about exchange rate movements and interest rate differentials, and to point to some references in the economics literature.</w:t>
      </w:r>
    </w:p>
    <w:p>
      <w:pPr>
        <w:pStyle w:val="BodyText"/>
        <w:spacing w:before="8"/>
        <w:rPr>
          <w:sz w:val="36"/>
        </w:rPr>
      </w:pPr>
    </w:p>
    <w:p>
      <w:pPr>
        <w:pStyle w:val="BodyText"/>
        <w:spacing w:line="247" w:lineRule="auto"/>
        <w:ind w:left="140"/>
      </w:pPr>
      <w:r>
        <w:rPr/>
        <w:t>The simple interest differential (SID) hypothesis implies that agents expect the exchange rate to appreciate/depreciate in line with interest rate differentials. In symbols,</w:t>
      </w:r>
    </w:p>
    <w:p>
      <w:pPr>
        <w:pStyle w:val="BodyText"/>
        <w:spacing w:before="2"/>
        <w:rPr>
          <w:sz w:val="17"/>
        </w:rPr>
      </w:pPr>
    </w:p>
    <w:p>
      <w:pPr>
        <w:spacing w:after="0"/>
        <w:rPr>
          <w:sz w:val="17"/>
        </w:rPr>
        <w:sectPr>
          <w:pgSz w:w="11900" w:h="16840"/>
          <w:pgMar w:header="0" w:footer="738" w:top="1080" w:bottom="920" w:left="1560" w:right="1560"/>
        </w:sectPr>
      </w:pPr>
    </w:p>
    <w:p>
      <w:pPr>
        <w:spacing w:before="117"/>
        <w:ind w:left="0" w:right="0" w:firstLine="0"/>
        <w:jc w:val="right"/>
        <w:rPr>
          <w:i/>
          <w:sz w:val="24"/>
        </w:rPr>
      </w:pPr>
      <w:r>
        <w:rPr>
          <w:i/>
          <w:sz w:val="24"/>
        </w:rPr>
        <w:t>E</w:t>
      </w:r>
      <w:r>
        <w:rPr>
          <w:i/>
          <w:position w:val="-5"/>
          <w:sz w:val="14"/>
        </w:rPr>
        <w:t>t </w:t>
      </w:r>
      <w:r>
        <w:rPr>
          <w:i/>
          <w:sz w:val="24"/>
        </w:rPr>
        <w:t>s</w:t>
      </w:r>
    </w:p>
    <w:p>
      <w:pPr>
        <w:pStyle w:val="BodyText"/>
        <w:spacing w:before="7"/>
        <w:rPr>
          <w:i/>
          <w:sz w:val="22"/>
        </w:rPr>
      </w:pPr>
      <w:r>
        <w:rPr/>
        <w:br w:type="column"/>
      </w:r>
      <w:r>
        <w:rPr>
          <w:i/>
          <w:sz w:val="22"/>
        </w:rPr>
      </w:r>
    </w:p>
    <w:p>
      <w:pPr>
        <w:spacing w:before="0"/>
        <w:ind w:left="-35" w:right="0" w:firstLine="0"/>
        <w:jc w:val="left"/>
        <w:rPr>
          <w:sz w:val="14"/>
        </w:rPr>
      </w:pPr>
      <w:r>
        <w:rPr>
          <w:i/>
          <w:sz w:val="14"/>
        </w:rPr>
        <w:t>t </w:t>
      </w:r>
      <w:r>
        <w:rPr>
          <w:rFonts w:ascii="Symbol" w:hAnsi="Symbol"/>
          <w:spacing w:val="-13"/>
          <w:sz w:val="14"/>
        </w:rPr>
        <w:t></w:t>
      </w:r>
      <w:r>
        <w:rPr>
          <w:spacing w:val="-13"/>
          <w:sz w:val="14"/>
        </w:rPr>
        <w:t>1</w:t>
      </w:r>
    </w:p>
    <w:p>
      <w:pPr>
        <w:pStyle w:val="ListParagraph"/>
        <w:numPr>
          <w:ilvl w:val="0"/>
          <w:numId w:val="2"/>
        </w:numPr>
        <w:tabs>
          <w:tab w:pos="212" w:val="left" w:leader="none"/>
        </w:tabs>
        <w:spacing w:line="240" w:lineRule="auto" w:before="100" w:after="0"/>
        <w:ind w:left="211" w:right="0" w:hanging="183"/>
        <w:jc w:val="left"/>
        <w:rPr>
          <w:i/>
          <w:sz w:val="14"/>
        </w:rPr>
      </w:pPr>
      <w:r>
        <w:rPr>
          <w:i/>
          <w:spacing w:val="-3"/>
          <w:w w:val="99"/>
          <w:sz w:val="24"/>
        </w:rPr>
        <w:br w:type="column"/>
      </w:r>
      <w:r>
        <w:rPr>
          <w:i/>
          <w:spacing w:val="-7"/>
          <w:sz w:val="24"/>
        </w:rPr>
        <w:t>s</w:t>
      </w:r>
      <w:r>
        <w:rPr>
          <w:i/>
          <w:spacing w:val="-7"/>
          <w:position w:val="-5"/>
          <w:sz w:val="14"/>
        </w:rPr>
        <w:t>t</w:t>
      </w:r>
    </w:p>
    <w:p>
      <w:pPr>
        <w:spacing w:before="100"/>
        <w:ind w:left="62" w:right="0" w:firstLine="0"/>
        <w:jc w:val="left"/>
        <w:rPr>
          <w:i/>
          <w:sz w:val="24"/>
        </w:rPr>
      </w:pPr>
      <w:r>
        <w:rPr/>
        <w:br w:type="column"/>
      </w:r>
      <w:r>
        <w:rPr>
          <w:rFonts w:ascii="Symbol" w:hAnsi="Symbol"/>
          <w:sz w:val="24"/>
        </w:rPr>
        <w:t></w:t>
      </w:r>
      <w:r>
        <w:rPr>
          <w:sz w:val="24"/>
        </w:rPr>
        <w:t> </w:t>
      </w:r>
      <w:r>
        <w:rPr>
          <w:i/>
          <w:sz w:val="24"/>
        </w:rPr>
        <w:t>i</w:t>
      </w:r>
      <w:r>
        <w:rPr>
          <w:position w:val="11"/>
          <w:sz w:val="14"/>
        </w:rPr>
        <w:t>* </w:t>
      </w:r>
      <w:r>
        <w:rPr>
          <w:rFonts w:ascii="Symbol" w:hAnsi="Symbol"/>
          <w:sz w:val="24"/>
        </w:rPr>
        <w:t></w:t>
      </w:r>
      <w:r>
        <w:rPr>
          <w:sz w:val="24"/>
        </w:rPr>
        <w:t> </w:t>
      </w:r>
      <w:r>
        <w:rPr>
          <w:i/>
          <w:sz w:val="24"/>
        </w:rPr>
        <w:t>i</w:t>
      </w:r>
    </w:p>
    <w:p>
      <w:pPr>
        <w:spacing w:before="117"/>
        <w:ind w:left="883" w:right="1139" w:firstLine="0"/>
        <w:jc w:val="center"/>
        <w:rPr>
          <w:sz w:val="24"/>
        </w:rPr>
      </w:pPr>
      <w:r>
        <w:rPr/>
        <w:br w:type="column"/>
      </w:r>
      <w:r>
        <w:rPr>
          <w:sz w:val="24"/>
        </w:rPr>
        <w:t>(1)</w:t>
      </w:r>
    </w:p>
    <w:p>
      <w:pPr>
        <w:spacing w:after="0"/>
        <w:jc w:val="center"/>
        <w:rPr>
          <w:sz w:val="24"/>
        </w:rPr>
        <w:sectPr>
          <w:type w:val="continuous"/>
          <w:pgSz w:w="11900" w:h="16840"/>
          <w:pgMar w:top="1180" w:bottom="280" w:left="1560" w:right="1560"/>
          <w:cols w:num="5" w:equalWidth="0">
            <w:col w:w="1222" w:space="40"/>
            <w:col w:w="163" w:space="39"/>
            <w:col w:w="352" w:space="40"/>
            <w:col w:w="797" w:space="3784"/>
            <w:col w:w="2343"/>
          </w:cols>
        </w:sectPr>
      </w:pPr>
    </w:p>
    <w:p>
      <w:pPr>
        <w:pStyle w:val="BodyText"/>
        <w:spacing w:before="4"/>
        <w:rPr>
          <w:sz w:val="15"/>
        </w:rPr>
      </w:pPr>
    </w:p>
    <w:p>
      <w:pPr>
        <w:pStyle w:val="BodyText"/>
        <w:spacing w:line="247" w:lineRule="auto" w:before="90"/>
        <w:ind w:left="140" w:right="162"/>
      </w:pPr>
      <w:r>
        <w:rPr/>
        <w:pict>
          <v:shape style="position:absolute;margin-left:186.760651pt;margin-top:-16.561096pt;width:1.95pt;height:7.75pt;mso-position-horizontal-relative:page;mso-position-vertical-relative:paragraph;z-index:-252325888" type="#_x0000_t202" filled="false" stroked="false">
            <v:textbox inset="0,0,0,0">
              <w:txbxContent>
                <w:p>
                  <w:pPr>
                    <w:spacing w:line="155" w:lineRule="exact" w:before="0"/>
                    <w:ind w:left="0" w:right="0" w:firstLine="0"/>
                    <w:jc w:val="left"/>
                    <w:rPr>
                      <w:i/>
                      <w:sz w:val="14"/>
                    </w:rPr>
                  </w:pPr>
                  <w:r>
                    <w:rPr>
                      <w:i/>
                      <w:w w:val="99"/>
                      <w:sz w:val="14"/>
                    </w:rPr>
                    <w:t>t</w:t>
                  </w:r>
                </w:p>
              </w:txbxContent>
            </v:textbox>
            <w10:wrap type="none"/>
          </v:shape>
        </w:pict>
      </w:r>
      <w:r>
        <w:rPr/>
        <w:pict>
          <v:shape style="position:absolute;margin-left:206.680603pt;margin-top:-16.561096pt;width:1.95pt;height:7.75pt;mso-position-horizontal-relative:page;mso-position-vertical-relative:paragraph;z-index:251678720" type="#_x0000_t202" filled="false" stroked="false">
            <v:textbox inset="0,0,0,0">
              <w:txbxContent>
                <w:p>
                  <w:pPr>
                    <w:spacing w:line="155" w:lineRule="exact" w:before="0"/>
                    <w:ind w:left="0" w:right="0" w:firstLine="0"/>
                    <w:jc w:val="left"/>
                    <w:rPr>
                      <w:i/>
                      <w:sz w:val="14"/>
                    </w:rPr>
                  </w:pPr>
                  <w:r>
                    <w:rPr>
                      <w:i/>
                      <w:w w:val="99"/>
                      <w:sz w:val="14"/>
                    </w:rPr>
                    <w:t>t</w:t>
                  </w:r>
                </w:p>
              </w:txbxContent>
            </v:textbox>
            <w10:wrap type="none"/>
          </v:shape>
        </w:pict>
      </w:r>
      <w:r>
        <w:rPr/>
        <w:t>where </w:t>
      </w:r>
      <w:r>
        <w:rPr>
          <w:i/>
        </w:rPr>
        <w:t>s </w:t>
      </w:r>
      <w:r>
        <w:rPr/>
        <w:t>is the (log of the) nominal spot exchange rate (an increase is an appreciation) and </w:t>
      </w:r>
      <w:r>
        <w:rPr>
          <w:i/>
        </w:rPr>
        <w:t>E</w:t>
      </w:r>
      <w:r>
        <w:rPr>
          <w:i/>
          <w:vertAlign w:val="subscript"/>
        </w:rPr>
        <w:t>t</w:t>
      </w:r>
      <w:r>
        <w:rPr>
          <w:i/>
          <w:vertAlign w:val="baseline"/>
        </w:rPr>
        <w:t>s</w:t>
      </w:r>
      <w:r>
        <w:rPr>
          <w:i/>
          <w:vertAlign w:val="subscript"/>
        </w:rPr>
        <w:t>t</w:t>
      </w:r>
      <w:r>
        <w:rPr>
          <w:vertAlign w:val="subscript"/>
        </w:rPr>
        <w:t>+1</w:t>
      </w:r>
      <w:r>
        <w:rPr>
          <w:vertAlign w:val="baseline"/>
        </w:rPr>
        <w:t> denotes the expected value of </w:t>
      </w:r>
      <w:r>
        <w:rPr>
          <w:i/>
          <w:vertAlign w:val="baseline"/>
        </w:rPr>
        <w:t>s </w:t>
      </w:r>
      <w:r>
        <w:rPr>
          <w:vertAlign w:val="baseline"/>
        </w:rPr>
        <w:t>at time </w:t>
      </w:r>
      <w:r>
        <w:rPr>
          <w:i/>
          <w:vertAlign w:val="baseline"/>
        </w:rPr>
        <w:t>t</w:t>
      </w:r>
      <w:r>
        <w:rPr>
          <w:vertAlign w:val="baseline"/>
        </w:rPr>
        <w:t>+1 given information available to agents at date </w:t>
      </w:r>
      <w:r>
        <w:rPr>
          <w:i/>
          <w:vertAlign w:val="baseline"/>
        </w:rPr>
        <w:t>t</w:t>
      </w:r>
      <w:r>
        <w:rPr>
          <w:vertAlign w:val="baseline"/>
        </w:rPr>
        <w:t>. The one-period domestic nominal interest rate is </w:t>
      </w:r>
      <w:r>
        <w:rPr>
          <w:i/>
          <w:vertAlign w:val="baseline"/>
        </w:rPr>
        <w:t>i </w:t>
      </w:r>
      <w:r>
        <w:rPr>
          <w:vertAlign w:val="baseline"/>
        </w:rPr>
        <w:t>and the foreign interest rate is</w:t>
      </w:r>
      <w:r>
        <w:rPr>
          <w:spacing w:val="58"/>
          <w:vertAlign w:val="baseline"/>
        </w:rPr>
        <w:t> </w:t>
      </w:r>
      <w:r>
        <w:rPr>
          <w:i/>
          <w:vertAlign w:val="baseline"/>
        </w:rPr>
        <w:t>i</w:t>
      </w:r>
      <w:r>
        <w:rPr>
          <w:vertAlign w:val="superscript"/>
        </w:rPr>
        <w:t>*</w:t>
      </w:r>
      <w:r>
        <w:rPr>
          <w:vertAlign w:val="baseline"/>
        </w:rPr>
        <w:t>.</w:t>
      </w:r>
      <w:hyperlink w:history="true" w:anchor="_bookmark3">
        <w:r>
          <w:rPr>
            <w:vertAlign w:val="superscript"/>
          </w:rPr>
          <w:t>3</w:t>
        </w:r>
      </w:hyperlink>
    </w:p>
    <w:p>
      <w:pPr>
        <w:pStyle w:val="BodyText"/>
        <w:spacing w:before="3"/>
      </w:pPr>
    </w:p>
    <w:p>
      <w:pPr>
        <w:pStyle w:val="BodyText"/>
        <w:spacing w:line="247" w:lineRule="auto"/>
        <w:ind w:left="140" w:right="162"/>
      </w:pPr>
      <w:r>
        <w:rPr/>
        <w:t>As discussed in the main text, the volatility of exchange rates means that the actual change in the exchange rate will hardly ever be exactly equal to the interest rate differential. But according to SID the change in the exchange rate should </w:t>
      </w:r>
      <w:r>
        <w:rPr>
          <w:i/>
        </w:rPr>
        <w:t>on average </w:t>
      </w:r>
      <w:r>
        <w:rPr/>
        <w:t>be equal to the interest rate differential. One way to test this is to regress nominal interest rate differentials on actual nominal exchange rate changes in an equation of the form:</w:t>
      </w:r>
    </w:p>
    <w:p>
      <w:pPr>
        <w:pStyle w:val="BodyText"/>
        <w:spacing w:before="11"/>
        <w:rPr>
          <w:sz w:val="15"/>
        </w:rPr>
      </w:pPr>
    </w:p>
    <w:p>
      <w:pPr>
        <w:spacing w:after="0"/>
        <w:rPr>
          <w:sz w:val="15"/>
        </w:rPr>
        <w:sectPr>
          <w:type w:val="continuous"/>
          <w:pgSz w:w="11900" w:h="16840"/>
          <w:pgMar w:top="1180" w:bottom="280" w:left="1560" w:right="1560"/>
        </w:sectPr>
      </w:pPr>
    </w:p>
    <w:p>
      <w:pPr>
        <w:spacing w:before="111"/>
        <w:ind w:left="900" w:right="0" w:firstLine="0"/>
        <w:jc w:val="left"/>
        <w:rPr>
          <w:i/>
          <w:sz w:val="24"/>
        </w:rPr>
      </w:pPr>
      <w:r>
        <w:rPr>
          <w:i/>
          <w:sz w:val="24"/>
        </w:rPr>
        <w:t>s</w:t>
      </w:r>
      <w:r>
        <w:rPr>
          <w:i/>
          <w:position w:val="-5"/>
          <w:sz w:val="14"/>
        </w:rPr>
        <w:t>t </w:t>
      </w:r>
      <w:r>
        <w:rPr>
          <w:rFonts w:ascii="Symbol" w:hAnsi="Symbol"/>
          <w:sz w:val="24"/>
        </w:rPr>
        <w:t></w:t>
      </w:r>
      <w:r>
        <w:rPr>
          <w:sz w:val="24"/>
        </w:rPr>
        <w:t> </w:t>
      </w:r>
      <w:r>
        <w:rPr>
          <w:i/>
          <w:sz w:val="24"/>
        </w:rPr>
        <w:t>s</w:t>
      </w:r>
    </w:p>
    <w:p>
      <w:pPr>
        <w:pStyle w:val="BodyText"/>
        <w:spacing w:before="6"/>
        <w:rPr>
          <w:i/>
          <w:sz w:val="23"/>
        </w:rPr>
      </w:pPr>
      <w:r>
        <w:rPr/>
        <w:br w:type="column"/>
      </w:r>
      <w:r>
        <w:rPr>
          <w:i/>
          <w:sz w:val="23"/>
        </w:rPr>
      </w:r>
    </w:p>
    <w:p>
      <w:pPr>
        <w:spacing w:before="1"/>
        <w:ind w:left="-33" w:right="0" w:firstLine="0"/>
        <w:jc w:val="left"/>
        <w:rPr>
          <w:sz w:val="14"/>
        </w:rPr>
      </w:pPr>
      <w:r>
        <w:rPr>
          <w:i/>
          <w:sz w:val="14"/>
        </w:rPr>
        <w:t>t</w:t>
      </w:r>
      <w:r>
        <w:rPr>
          <w:i/>
          <w:spacing w:val="-22"/>
          <w:sz w:val="14"/>
        </w:rPr>
        <w:t> </w:t>
      </w:r>
      <w:r>
        <w:rPr>
          <w:rFonts w:ascii="Symbol" w:hAnsi="Symbol"/>
          <w:spacing w:val="-13"/>
          <w:sz w:val="14"/>
        </w:rPr>
        <w:t></w:t>
      </w:r>
      <w:r>
        <w:rPr>
          <w:spacing w:val="-13"/>
          <w:sz w:val="14"/>
        </w:rPr>
        <w:t>1</w:t>
      </w:r>
    </w:p>
    <w:p>
      <w:pPr>
        <w:spacing w:before="100"/>
        <w:ind w:left="43" w:right="0" w:firstLine="0"/>
        <w:jc w:val="left"/>
        <w:rPr>
          <w:sz w:val="14"/>
        </w:rPr>
      </w:pPr>
      <w:r>
        <w:rPr/>
        <w:br w:type="column"/>
      </w:r>
      <w:r>
        <w:rPr>
          <w:rFonts w:ascii="Symbol" w:hAnsi="Symbol"/>
          <w:sz w:val="24"/>
        </w:rPr>
        <w:t></w:t>
      </w:r>
      <w:r>
        <w:rPr>
          <w:sz w:val="24"/>
        </w:rPr>
        <w:t> </w:t>
      </w:r>
      <w:r>
        <w:rPr>
          <w:rFonts w:ascii="Symbol" w:hAnsi="Symbol"/>
          <w:sz w:val="25"/>
        </w:rPr>
        <w:t></w:t>
      </w:r>
      <w:r>
        <w:rPr>
          <w:sz w:val="25"/>
        </w:rPr>
        <w:t> </w:t>
      </w:r>
      <w:r>
        <w:rPr>
          <w:rFonts w:ascii="Symbol" w:hAnsi="Symbol"/>
          <w:sz w:val="24"/>
        </w:rPr>
        <w:t></w:t>
      </w:r>
      <w:r>
        <w:rPr>
          <w:sz w:val="24"/>
        </w:rPr>
        <w:t> </w:t>
      </w:r>
      <w:r>
        <w:rPr>
          <w:rFonts w:ascii="Symbol" w:hAnsi="Symbol"/>
          <w:sz w:val="25"/>
        </w:rPr>
        <w:t></w:t>
      </w:r>
      <w:r>
        <w:rPr>
          <w:spacing w:val="-47"/>
          <w:sz w:val="25"/>
        </w:rPr>
        <w:t> </w:t>
      </w:r>
      <w:r>
        <w:rPr>
          <w:sz w:val="24"/>
        </w:rPr>
        <w:t>(</w:t>
      </w:r>
      <w:r>
        <w:rPr>
          <w:i/>
          <w:sz w:val="24"/>
        </w:rPr>
        <w:t>i</w:t>
      </w:r>
      <w:r>
        <w:rPr>
          <w:position w:val="11"/>
          <w:sz w:val="14"/>
        </w:rPr>
        <w:t>*</w:t>
      </w:r>
    </w:p>
    <w:p>
      <w:pPr>
        <w:pStyle w:val="ListParagraph"/>
        <w:numPr>
          <w:ilvl w:val="1"/>
          <w:numId w:val="2"/>
        </w:numPr>
        <w:tabs>
          <w:tab w:pos="311" w:val="left" w:leader="none"/>
        </w:tabs>
        <w:spacing w:line="240" w:lineRule="auto" w:before="111" w:after="0"/>
        <w:ind w:left="310" w:right="0" w:hanging="174"/>
        <w:jc w:val="left"/>
        <w:rPr>
          <w:sz w:val="14"/>
        </w:rPr>
      </w:pPr>
      <w:r>
        <w:rPr>
          <w:i/>
          <w:spacing w:val="3"/>
          <w:w w:val="99"/>
          <w:position w:val="6"/>
          <w:sz w:val="24"/>
        </w:rPr>
        <w:br w:type="column"/>
      </w:r>
      <w:r>
        <w:rPr>
          <w:i/>
          <w:position w:val="6"/>
          <w:sz w:val="24"/>
        </w:rPr>
        <w:t>i</w:t>
      </w:r>
      <w:r>
        <w:rPr>
          <w:i/>
          <w:sz w:val="14"/>
        </w:rPr>
        <w:t>t</w:t>
      </w:r>
      <w:r>
        <w:rPr>
          <w:i/>
          <w:spacing w:val="-21"/>
          <w:sz w:val="14"/>
        </w:rPr>
        <w:t> </w:t>
      </w:r>
      <w:r>
        <w:rPr>
          <w:rFonts w:ascii="Symbol" w:hAnsi="Symbol"/>
          <w:spacing w:val="-13"/>
          <w:sz w:val="14"/>
        </w:rPr>
        <w:t></w:t>
      </w:r>
      <w:r>
        <w:rPr>
          <w:spacing w:val="-13"/>
          <w:sz w:val="14"/>
        </w:rPr>
        <w:t>1</w:t>
      </w:r>
    </w:p>
    <w:p>
      <w:pPr>
        <w:spacing w:before="111"/>
        <w:ind w:left="-17" w:right="0" w:firstLine="0"/>
        <w:jc w:val="left"/>
        <w:rPr>
          <w:i/>
          <w:sz w:val="14"/>
        </w:rPr>
      </w:pPr>
      <w:r>
        <w:rPr/>
        <w:br w:type="column"/>
      </w:r>
      <w:r>
        <w:rPr>
          <w:sz w:val="24"/>
        </w:rPr>
        <w:t>) </w:t>
      </w:r>
      <w:r>
        <w:rPr>
          <w:rFonts w:ascii="Symbol" w:hAnsi="Symbol"/>
          <w:sz w:val="24"/>
        </w:rPr>
        <w:t></w:t>
      </w:r>
      <w:r>
        <w:rPr>
          <w:spacing w:val="-27"/>
          <w:sz w:val="24"/>
        </w:rPr>
        <w:t> </w:t>
      </w:r>
      <w:r>
        <w:rPr>
          <w:i/>
          <w:spacing w:val="-5"/>
          <w:sz w:val="24"/>
        </w:rPr>
        <w:t>u</w:t>
      </w:r>
      <w:r>
        <w:rPr>
          <w:i/>
          <w:spacing w:val="-5"/>
          <w:position w:val="-5"/>
          <w:sz w:val="14"/>
        </w:rPr>
        <w:t>t</w:t>
      </w:r>
    </w:p>
    <w:p>
      <w:pPr>
        <w:tabs>
          <w:tab w:pos="3511" w:val="left" w:leader="none"/>
        </w:tabs>
        <w:spacing w:before="128"/>
        <w:ind w:left="12" w:right="0" w:firstLine="0"/>
        <w:jc w:val="left"/>
        <w:rPr>
          <w:sz w:val="24"/>
        </w:rPr>
      </w:pPr>
      <w:r>
        <w:rPr/>
        <w:br w:type="column"/>
      </w:r>
      <w:r>
        <w:rPr>
          <w:sz w:val="20"/>
        </w:rPr>
        <w:t>.</w:t>
        <w:tab/>
      </w:r>
      <w:r>
        <w:rPr>
          <w:sz w:val="24"/>
        </w:rPr>
        <w:t>(2)</w:t>
      </w:r>
    </w:p>
    <w:p>
      <w:pPr>
        <w:spacing w:after="0"/>
        <w:jc w:val="left"/>
        <w:rPr>
          <w:sz w:val="24"/>
        </w:rPr>
        <w:sectPr>
          <w:type w:val="continuous"/>
          <w:pgSz w:w="11900" w:h="16840"/>
          <w:pgMar w:top="1180" w:bottom="280" w:left="1560" w:right="1560"/>
          <w:cols w:num="6" w:equalWidth="0">
            <w:col w:w="1405" w:space="40"/>
            <w:col w:w="160" w:space="39"/>
            <w:col w:w="1036" w:space="40"/>
            <w:col w:w="572" w:space="39"/>
            <w:col w:w="457" w:space="40"/>
            <w:col w:w="4952"/>
          </w:cols>
        </w:sectPr>
      </w:pPr>
    </w:p>
    <w:p>
      <w:pPr>
        <w:pStyle w:val="BodyText"/>
        <w:spacing w:before="4"/>
        <w:rPr>
          <w:sz w:val="17"/>
        </w:rPr>
      </w:pPr>
    </w:p>
    <w:p>
      <w:pPr>
        <w:pStyle w:val="BodyText"/>
        <w:spacing w:line="302" w:lineRule="exact" w:before="101"/>
        <w:ind w:left="140"/>
      </w:pPr>
      <w:r>
        <w:rPr/>
        <w:pict>
          <v:shape style="position:absolute;margin-left:207.761002pt;margin-top:-18.565187pt;width:9.65pt;height:8.6pt;mso-position-horizontal-relative:page;mso-position-vertical-relative:paragraph;z-index:-252324864" type="#_x0000_t202" filled="false" stroked="false">
            <v:textbox inset="0,0,0,0">
              <w:txbxContent>
                <w:p>
                  <w:pPr>
                    <w:spacing w:line="171" w:lineRule="exact" w:before="0"/>
                    <w:ind w:left="0" w:right="0" w:firstLine="0"/>
                    <w:jc w:val="left"/>
                    <w:rPr>
                      <w:sz w:val="14"/>
                    </w:rPr>
                  </w:pPr>
                  <w:r>
                    <w:rPr>
                      <w:i/>
                      <w:sz w:val="14"/>
                    </w:rPr>
                    <w:t>t </w:t>
                  </w:r>
                  <w:r>
                    <w:rPr>
                      <w:rFonts w:ascii="Symbol" w:hAnsi="Symbol"/>
                      <w:spacing w:val="-14"/>
                      <w:sz w:val="14"/>
                    </w:rPr>
                    <w:t></w:t>
                  </w:r>
                  <w:r>
                    <w:rPr>
                      <w:spacing w:val="-14"/>
                      <w:sz w:val="14"/>
                    </w:rPr>
                    <w:t>1</w:t>
                  </w:r>
                </w:p>
              </w:txbxContent>
            </v:textbox>
            <w10:wrap type="none"/>
          </v:shape>
        </w:pict>
      </w:r>
      <w:r>
        <w:rPr/>
        <w:t>where </w:t>
      </w:r>
      <w:r>
        <w:rPr>
          <w:rFonts w:ascii="Symbol" w:hAnsi="Symbol"/>
          <w:sz w:val="25"/>
        </w:rPr>
        <w:t></w:t>
      </w:r>
      <w:r>
        <w:rPr>
          <w:sz w:val="25"/>
        </w:rPr>
        <w:t> </w:t>
      </w:r>
      <w:r>
        <w:rPr/>
        <w:t>and </w:t>
      </w:r>
      <w:r>
        <w:rPr>
          <w:rFonts w:ascii="Symbol" w:hAnsi="Symbol"/>
          <w:sz w:val="25"/>
        </w:rPr>
        <w:t></w:t>
      </w:r>
      <w:r>
        <w:rPr>
          <w:sz w:val="25"/>
        </w:rPr>
        <w:t> </w:t>
      </w:r>
      <w:r>
        <w:rPr/>
        <w:t>are coefficients and </w:t>
      </w:r>
      <w:r>
        <w:rPr>
          <w:i/>
        </w:rPr>
        <w:t>u</w:t>
      </w:r>
      <w:r>
        <w:rPr>
          <w:i/>
          <w:vertAlign w:val="subscript"/>
        </w:rPr>
        <w:t>t</w:t>
      </w:r>
      <w:r>
        <w:rPr>
          <w:i/>
          <w:vertAlign w:val="baseline"/>
        </w:rPr>
        <w:t> </w:t>
      </w:r>
      <w:r>
        <w:rPr>
          <w:vertAlign w:val="baseline"/>
        </w:rPr>
        <w:t>is a residual. If the SID hypothesis holds, then</w:t>
      </w:r>
    </w:p>
    <w:p>
      <w:pPr>
        <w:spacing w:line="302" w:lineRule="exact" w:before="0"/>
        <w:ind w:left="140" w:right="0" w:firstLine="0"/>
        <w:jc w:val="left"/>
        <w:rPr>
          <w:sz w:val="24"/>
        </w:rPr>
      </w:pPr>
      <w:r>
        <w:rPr>
          <w:rFonts w:ascii="Symbol" w:hAnsi="Symbol"/>
          <w:sz w:val="25"/>
        </w:rPr>
        <w:t></w:t>
      </w:r>
      <w:r>
        <w:rPr>
          <w:sz w:val="25"/>
        </w:rPr>
        <w:t> </w:t>
      </w:r>
      <w:r>
        <w:rPr>
          <w:sz w:val="24"/>
        </w:rPr>
        <w:t>= 0 and </w:t>
      </w:r>
      <w:r>
        <w:rPr>
          <w:rFonts w:ascii="Symbol" w:hAnsi="Symbol"/>
          <w:sz w:val="25"/>
        </w:rPr>
        <w:t></w:t>
      </w:r>
      <w:r>
        <w:rPr>
          <w:sz w:val="25"/>
        </w:rPr>
        <w:t> </w:t>
      </w:r>
      <w:r>
        <w:rPr>
          <w:sz w:val="24"/>
        </w:rPr>
        <w:t>= 1.</w:t>
      </w:r>
    </w:p>
    <w:p>
      <w:pPr>
        <w:pStyle w:val="BodyText"/>
        <w:spacing w:before="2"/>
        <w:rPr>
          <w:sz w:val="25"/>
        </w:rPr>
      </w:pPr>
    </w:p>
    <w:p>
      <w:pPr>
        <w:pStyle w:val="BodyText"/>
        <w:spacing w:line="237" w:lineRule="auto"/>
        <w:ind w:left="140" w:right="310"/>
      </w:pPr>
      <w:r>
        <w:rPr/>
        <w:t>A wealth of research has produced evidence against the SID hypothesis. In a survey of 75 published estimates, Froot and Thaler (1990) found an average estimate of </w:t>
      </w:r>
      <w:r>
        <w:rPr>
          <w:rFonts w:ascii="Symbol" w:hAnsi="Symbol"/>
          <w:sz w:val="25"/>
        </w:rPr>
        <w:t></w:t>
      </w:r>
      <w:r>
        <w:rPr>
          <w:sz w:val="25"/>
        </w:rPr>
        <w:t> </w:t>
      </w:r>
      <w:r>
        <w:rPr/>
        <w:t>of </w:t>
      </w:r>
      <w:r>
        <w:rPr>
          <w:i/>
        </w:rPr>
        <w:t>minus </w:t>
      </w:r>
      <w:r>
        <w:rPr/>
        <w:t>0.88. Similarly, a regression of (2) for the sterling-dollar exchange rate over the 1976-1998 period yields an estimate of </w:t>
      </w:r>
      <w:r>
        <w:rPr>
          <w:rFonts w:ascii="Symbol" w:hAnsi="Symbol"/>
          <w:sz w:val="25"/>
        </w:rPr>
        <w:t></w:t>
      </w:r>
      <w:r>
        <w:rPr>
          <w:sz w:val="25"/>
        </w:rPr>
        <w:t> </w:t>
      </w:r>
      <w:r>
        <w:rPr/>
        <w:t>= -0.70 (see Wadhwani (1999, page 51)).</w:t>
      </w:r>
    </w:p>
    <w:p>
      <w:pPr>
        <w:pStyle w:val="BodyText"/>
        <w:spacing w:before="2"/>
        <w:rPr>
          <w:sz w:val="25"/>
        </w:rPr>
      </w:pPr>
    </w:p>
    <w:p>
      <w:pPr>
        <w:pStyle w:val="BodyText"/>
        <w:spacing w:line="244" w:lineRule="auto" w:before="1"/>
        <w:ind w:left="140" w:right="268"/>
      </w:pPr>
      <w:r>
        <w:rPr/>
        <w:t>The evidence is not universally against SID. Most studies have considered exchange rate movements at a relatively short horizon (less than two years). The results of Meredith and Chinn (1998) suggest that the horizon may matter: they find more evidence for SID at the five- and ten-year horizon than at the one-year horizon.</w:t>
      </w:r>
      <w:hyperlink w:history="true" w:anchor="_bookmark3">
        <w:r>
          <w:rPr>
            <w:vertAlign w:val="superscript"/>
          </w:rPr>
          <w:t>4</w:t>
        </w:r>
      </w:hyperlink>
      <w:r>
        <w:rPr>
          <w:vertAlign w:val="baseline"/>
        </w:rPr>
        <w:t> Nevertheless, the bulk of the evidence suggests that </w:t>
      </w:r>
      <w:r>
        <w:rPr>
          <w:rFonts w:ascii="Symbol" w:hAnsi="Symbol"/>
          <w:sz w:val="25"/>
          <w:vertAlign w:val="baseline"/>
        </w:rPr>
        <w:t></w:t>
      </w:r>
      <w:r>
        <w:rPr>
          <w:sz w:val="25"/>
          <w:vertAlign w:val="baseline"/>
        </w:rPr>
        <w:t> </w:t>
      </w:r>
      <w:r>
        <w:rPr>
          <w:vertAlign w:val="baseline"/>
        </w:rPr>
        <w:t>is considerably less than one. This goes decidedly against SID. This puzzle is known as the ‘forward discount puzzle’.</w:t>
      </w:r>
    </w:p>
    <w:p>
      <w:pPr>
        <w:pStyle w:val="BodyText"/>
        <w:spacing w:before="2"/>
      </w:pPr>
    </w:p>
    <w:p>
      <w:pPr>
        <w:pStyle w:val="BodyText"/>
        <w:spacing w:line="247" w:lineRule="auto"/>
        <w:ind w:left="140" w:right="137"/>
      </w:pPr>
      <w:r>
        <w:rPr/>
        <w:pict>
          <v:shape style="position:absolute;margin-left:85.000999pt;margin-top:63.52343pt;width:144pt;height:.1pt;mso-position-horizontal-relative:page;mso-position-vertical-relative:paragraph;z-index:-251640832;mso-wrap-distance-left:0;mso-wrap-distance-right:0" coordorigin="1700,1270" coordsize="2880,0" path="m1700,1270l4580,1270e" filled="false" stroked="true" strokeweight=".48pt" strokecolor="#000000">
            <v:path arrowok="t"/>
            <v:stroke dashstyle="solid"/>
            <w10:wrap type="topAndBottom"/>
          </v:shape>
        </w:pict>
      </w:r>
      <w:r>
        <w:rPr/>
        <w:t>Does</w:t>
      </w:r>
      <w:r>
        <w:rPr>
          <w:spacing w:val="-5"/>
        </w:rPr>
        <w:t> </w:t>
      </w:r>
      <w:r>
        <w:rPr/>
        <w:t>the</w:t>
      </w:r>
      <w:r>
        <w:rPr>
          <w:spacing w:val="-5"/>
        </w:rPr>
        <w:t> </w:t>
      </w:r>
      <w:r>
        <w:rPr/>
        <w:t>apparent</w:t>
      </w:r>
      <w:r>
        <w:rPr>
          <w:spacing w:val="-4"/>
        </w:rPr>
        <w:t> </w:t>
      </w:r>
      <w:r>
        <w:rPr/>
        <w:t>failure</w:t>
      </w:r>
      <w:r>
        <w:rPr>
          <w:spacing w:val="-5"/>
        </w:rPr>
        <w:t> </w:t>
      </w:r>
      <w:r>
        <w:rPr/>
        <w:t>of</w:t>
      </w:r>
      <w:r>
        <w:rPr>
          <w:spacing w:val="-4"/>
        </w:rPr>
        <w:t> </w:t>
      </w:r>
      <w:r>
        <w:rPr/>
        <w:t>exchange</w:t>
      </w:r>
      <w:r>
        <w:rPr>
          <w:spacing w:val="-5"/>
        </w:rPr>
        <w:t> </w:t>
      </w:r>
      <w:r>
        <w:rPr/>
        <w:t>rate</w:t>
      </w:r>
      <w:r>
        <w:rPr>
          <w:spacing w:val="-4"/>
        </w:rPr>
        <w:t> </w:t>
      </w:r>
      <w:r>
        <w:rPr/>
        <w:t>movements</w:t>
      </w:r>
      <w:r>
        <w:rPr>
          <w:spacing w:val="-5"/>
        </w:rPr>
        <w:t> </w:t>
      </w:r>
      <w:r>
        <w:rPr/>
        <w:t>to</w:t>
      </w:r>
      <w:r>
        <w:rPr>
          <w:spacing w:val="-4"/>
        </w:rPr>
        <w:t> </w:t>
      </w:r>
      <w:r>
        <w:rPr/>
        <w:t>conform</w:t>
      </w:r>
      <w:r>
        <w:rPr>
          <w:spacing w:val="-5"/>
        </w:rPr>
        <w:t> </w:t>
      </w:r>
      <w:r>
        <w:rPr/>
        <w:t>to</w:t>
      </w:r>
      <w:r>
        <w:rPr>
          <w:spacing w:val="-4"/>
        </w:rPr>
        <w:t> </w:t>
      </w:r>
      <w:r>
        <w:rPr>
          <w:spacing w:val="-3"/>
        </w:rPr>
        <w:t>SID</w:t>
      </w:r>
      <w:r>
        <w:rPr>
          <w:spacing w:val="-5"/>
        </w:rPr>
        <w:t> </w:t>
      </w:r>
      <w:r>
        <w:rPr/>
        <w:t>mean</w:t>
      </w:r>
      <w:r>
        <w:rPr>
          <w:spacing w:val="-4"/>
        </w:rPr>
        <w:t> </w:t>
      </w:r>
      <w:r>
        <w:rPr/>
        <w:t>that</w:t>
      </w:r>
      <w:r>
        <w:rPr>
          <w:spacing w:val="-5"/>
        </w:rPr>
        <w:t> </w:t>
      </w:r>
      <w:r>
        <w:rPr/>
        <w:t>high interest rate currencies are on average a profitable investment?  As Cochrane (1999, page 25) has emphasized, the implications of the forward discount puzzle are not so straightforward:</w:t>
      </w:r>
    </w:p>
    <w:p>
      <w:pPr>
        <w:spacing w:line="244" w:lineRule="auto" w:before="20"/>
        <w:ind w:left="140" w:right="0" w:firstLine="0"/>
        <w:jc w:val="left"/>
        <w:rPr>
          <w:sz w:val="20"/>
        </w:rPr>
      </w:pPr>
      <w:r>
        <w:rPr>
          <w:rFonts w:ascii="Arial"/>
          <w:position w:val="10"/>
          <w:sz w:val="13"/>
        </w:rPr>
        <w:t>3 </w:t>
      </w:r>
      <w:r>
        <w:rPr>
          <w:sz w:val="20"/>
        </w:rPr>
        <w:t>Equation (1) generalises to any horizon (for example, the expected depreciation of the nominal exchange rate over the next two years is equal to the difference in two-year nominal interest rates at home and abroad).</w:t>
      </w:r>
    </w:p>
    <w:p>
      <w:pPr>
        <w:spacing w:line="228" w:lineRule="exact" w:before="0"/>
        <w:ind w:left="140" w:right="0" w:firstLine="0"/>
        <w:jc w:val="left"/>
        <w:rPr>
          <w:sz w:val="20"/>
        </w:rPr>
      </w:pPr>
      <w:r>
        <w:rPr>
          <w:position w:val="9"/>
          <w:sz w:val="13"/>
        </w:rPr>
        <w:t>4 </w:t>
      </w:r>
      <w:r>
        <w:rPr>
          <w:sz w:val="20"/>
        </w:rPr>
        <w:t>Ironically, Meredith and Chinn (1998) also find evidence for the SID hypothesis for the dollar-sterling</w:t>
      </w:r>
    </w:p>
    <w:p>
      <w:pPr>
        <w:spacing w:line="242" w:lineRule="auto" w:before="0"/>
        <w:ind w:left="140" w:right="189" w:firstLine="0"/>
        <w:jc w:val="left"/>
        <w:rPr>
          <w:sz w:val="20"/>
        </w:rPr>
      </w:pPr>
      <w:r>
        <w:rPr>
          <w:sz w:val="20"/>
        </w:rPr>
        <w:t>exchange rate at </w:t>
      </w:r>
      <w:r>
        <w:rPr>
          <w:i/>
          <w:sz w:val="20"/>
        </w:rPr>
        <w:t>short </w:t>
      </w:r>
      <w:r>
        <w:rPr>
          <w:sz w:val="20"/>
        </w:rPr>
        <w:t>horizons. For the 1989-1998 period their estimates of </w:t>
      </w:r>
      <w:r>
        <w:rPr>
          <w:rFonts w:ascii="Symbol" w:hAnsi="Symbol"/>
          <w:sz w:val="21"/>
        </w:rPr>
        <w:t></w:t>
      </w:r>
      <w:r>
        <w:rPr>
          <w:sz w:val="21"/>
        </w:rPr>
        <w:t> </w:t>
      </w:r>
      <w:r>
        <w:rPr>
          <w:sz w:val="20"/>
        </w:rPr>
        <w:t>are close to 1 at the three-, six- and twelve-month horizons. See Meredith and Chinn (1998, Table 2, page 25).</w:t>
      </w:r>
    </w:p>
    <w:p>
      <w:pPr>
        <w:spacing w:after="0" w:line="242" w:lineRule="auto"/>
        <w:jc w:val="left"/>
        <w:rPr>
          <w:sz w:val="20"/>
        </w:rPr>
        <w:sectPr>
          <w:type w:val="continuous"/>
          <w:pgSz w:w="11900" w:h="16840"/>
          <w:pgMar w:top="1180" w:bottom="280" w:left="1560" w:right="1560"/>
        </w:sectPr>
      </w:pPr>
    </w:p>
    <w:p>
      <w:pPr>
        <w:pStyle w:val="BodyText"/>
        <w:spacing w:line="247" w:lineRule="auto" w:before="62"/>
        <w:ind w:left="140" w:right="162"/>
      </w:pPr>
      <w:r>
        <w:rPr/>
        <w:t>“the puzzle does </w:t>
      </w:r>
      <w:r>
        <w:rPr>
          <w:i/>
        </w:rPr>
        <w:t>not </w:t>
      </w:r>
      <w:r>
        <w:rPr/>
        <w:t>say that one earns more by holding bonds from countries with higher interest rates than others. Average inflation, depreciation, and interest rate differentials line up as they should. The puzzle </w:t>
      </w:r>
      <w:r>
        <w:rPr>
          <w:i/>
        </w:rPr>
        <w:t>does </w:t>
      </w:r>
      <w:r>
        <w:rPr/>
        <w:t>say that one earns more by holding bonds from countries whose interest rates are </w:t>
      </w:r>
      <w:r>
        <w:rPr>
          <w:i/>
        </w:rPr>
        <w:t>higher than usual </w:t>
      </w:r>
      <w:r>
        <w:rPr/>
        <w:t>relative to U.S. interest rates (and vice versa)”.</w:t>
      </w:r>
    </w:p>
    <w:p>
      <w:pPr>
        <w:pStyle w:val="BodyText"/>
        <w:spacing w:before="2"/>
      </w:pPr>
    </w:p>
    <w:p>
      <w:pPr>
        <w:pStyle w:val="BodyText"/>
        <w:spacing w:line="247" w:lineRule="auto"/>
        <w:ind w:left="140" w:right="162"/>
      </w:pPr>
      <w:r>
        <w:rPr/>
        <w:t>In fact UK interest rates are now lower relative to US interest rates than they have been on average over the past twenty-five years.</w:t>
      </w:r>
    </w:p>
    <w:p>
      <w:pPr>
        <w:pStyle w:val="BodyText"/>
        <w:spacing w:before="5"/>
      </w:pPr>
    </w:p>
    <w:p>
      <w:pPr>
        <w:pStyle w:val="BodyText"/>
        <w:spacing w:line="247" w:lineRule="auto"/>
        <w:ind w:left="140"/>
      </w:pPr>
      <w:r>
        <w:rPr/>
        <w:t>The SID hypothesis is based on the combined assumption that market participants (a) form their expectations rationally, and (b) do not care about risk. If SID is false, it could be (a) or (b) or both that is wrong.</w:t>
      </w:r>
    </w:p>
    <w:p>
      <w:pPr>
        <w:pStyle w:val="BodyText"/>
        <w:spacing w:before="4"/>
      </w:pPr>
    </w:p>
    <w:p>
      <w:pPr>
        <w:pStyle w:val="BodyText"/>
        <w:spacing w:line="247" w:lineRule="auto"/>
        <w:ind w:left="140" w:right="169"/>
      </w:pPr>
      <w:r>
        <w:rPr>
          <w:spacing w:val="-3"/>
        </w:rPr>
        <w:t>If </w:t>
      </w:r>
      <w:r>
        <w:rPr/>
        <w:t>it is (b) that is wrong, then the problem with </w:t>
      </w:r>
      <w:r>
        <w:rPr>
          <w:spacing w:val="-3"/>
        </w:rPr>
        <w:t>SID </w:t>
      </w:r>
      <w:r>
        <w:rPr/>
        <w:t>has to do with ignoring risk rather than with the general theory of interest rate differentials. Indeed it seems intuitively very plausible that currency risk factors do matter. But how could they explain the large body of empirical findings outlined above? </w:t>
      </w:r>
      <w:r>
        <w:rPr>
          <w:spacing w:val="-3"/>
        </w:rPr>
        <w:t>In </w:t>
      </w:r>
      <w:r>
        <w:rPr/>
        <w:t>other words, can the facts be squared with what one might call ‘risk-adjusted interest differential theory’ (RAID as distinct from</w:t>
      </w:r>
      <w:r>
        <w:rPr>
          <w:spacing w:val="-1"/>
        </w:rPr>
        <w:t> </w:t>
      </w:r>
      <w:r>
        <w:rPr/>
        <w:t>SID)?</w:t>
      </w:r>
    </w:p>
    <w:p>
      <w:pPr>
        <w:pStyle w:val="BodyText"/>
        <w:spacing w:before="1"/>
      </w:pPr>
    </w:p>
    <w:p>
      <w:pPr>
        <w:pStyle w:val="BodyText"/>
        <w:spacing w:line="247" w:lineRule="auto"/>
        <w:ind w:left="140"/>
      </w:pPr>
      <w:r>
        <w:rPr/>
        <w:t>If investors care about currency risks and hence require compensation for taking them, then equation (1) can be rewritten as:</w:t>
      </w:r>
    </w:p>
    <w:p>
      <w:pPr>
        <w:pStyle w:val="BodyText"/>
        <w:spacing w:before="3"/>
        <w:rPr>
          <w:sz w:val="16"/>
        </w:rPr>
      </w:pPr>
    </w:p>
    <w:p>
      <w:pPr>
        <w:spacing w:after="0"/>
        <w:rPr>
          <w:sz w:val="16"/>
        </w:rPr>
        <w:sectPr>
          <w:pgSz w:w="11900" w:h="16840"/>
          <w:pgMar w:header="0" w:footer="738" w:top="1360" w:bottom="920" w:left="1560" w:right="1560"/>
        </w:sectPr>
      </w:pPr>
    </w:p>
    <w:p>
      <w:pPr>
        <w:spacing w:before="128"/>
        <w:ind w:left="0" w:right="0" w:firstLine="0"/>
        <w:jc w:val="right"/>
        <w:rPr>
          <w:i/>
          <w:sz w:val="24"/>
        </w:rPr>
      </w:pPr>
      <w:r>
        <w:rPr>
          <w:i/>
          <w:sz w:val="24"/>
        </w:rPr>
        <w:t>E</w:t>
      </w:r>
      <w:r>
        <w:rPr>
          <w:i/>
          <w:position w:val="-5"/>
          <w:sz w:val="14"/>
        </w:rPr>
        <w:t>t </w:t>
      </w:r>
      <w:r>
        <w:rPr>
          <w:i/>
          <w:sz w:val="24"/>
        </w:rPr>
        <w:t>s</w:t>
      </w:r>
    </w:p>
    <w:p>
      <w:pPr>
        <w:pStyle w:val="BodyText"/>
        <w:spacing w:before="6"/>
        <w:rPr>
          <w:i/>
          <w:sz w:val="23"/>
        </w:rPr>
      </w:pPr>
      <w:r>
        <w:rPr/>
        <w:br w:type="column"/>
      </w:r>
      <w:r>
        <w:rPr>
          <w:i/>
          <w:sz w:val="23"/>
        </w:rPr>
      </w:r>
    </w:p>
    <w:p>
      <w:pPr>
        <w:spacing w:before="1"/>
        <w:ind w:left="-35" w:right="0" w:firstLine="0"/>
        <w:jc w:val="left"/>
        <w:rPr>
          <w:sz w:val="14"/>
        </w:rPr>
      </w:pPr>
      <w:r>
        <w:rPr>
          <w:i/>
          <w:sz w:val="14"/>
        </w:rPr>
        <w:t>t </w:t>
      </w:r>
      <w:r>
        <w:rPr>
          <w:rFonts w:ascii="Symbol" w:hAnsi="Symbol"/>
          <w:spacing w:val="-13"/>
          <w:sz w:val="14"/>
        </w:rPr>
        <w:t></w:t>
      </w:r>
      <w:r>
        <w:rPr>
          <w:spacing w:val="-13"/>
          <w:sz w:val="14"/>
        </w:rPr>
        <w:t>1</w:t>
      </w:r>
    </w:p>
    <w:p>
      <w:pPr>
        <w:pStyle w:val="ListParagraph"/>
        <w:numPr>
          <w:ilvl w:val="0"/>
          <w:numId w:val="2"/>
        </w:numPr>
        <w:tabs>
          <w:tab w:pos="212" w:val="left" w:leader="none"/>
        </w:tabs>
        <w:spacing w:line="240" w:lineRule="auto" w:before="111" w:after="0"/>
        <w:ind w:left="211" w:right="0" w:hanging="183"/>
        <w:jc w:val="left"/>
        <w:rPr>
          <w:i/>
          <w:sz w:val="14"/>
        </w:rPr>
      </w:pPr>
      <w:r>
        <w:rPr>
          <w:i/>
          <w:spacing w:val="-3"/>
          <w:w w:val="99"/>
          <w:sz w:val="24"/>
        </w:rPr>
        <w:br w:type="column"/>
      </w:r>
      <w:r>
        <w:rPr>
          <w:i/>
          <w:spacing w:val="-7"/>
          <w:sz w:val="24"/>
        </w:rPr>
        <w:t>s</w:t>
      </w:r>
      <w:r>
        <w:rPr>
          <w:i/>
          <w:spacing w:val="-7"/>
          <w:position w:val="-5"/>
          <w:sz w:val="14"/>
        </w:rPr>
        <w:t>t</w:t>
      </w:r>
    </w:p>
    <w:p>
      <w:pPr>
        <w:spacing w:before="111"/>
        <w:ind w:left="62" w:right="0" w:firstLine="0"/>
        <w:jc w:val="left"/>
        <w:rPr>
          <w:i/>
          <w:sz w:val="24"/>
        </w:rPr>
      </w:pPr>
      <w:r>
        <w:rPr/>
        <w:br w:type="column"/>
      </w:r>
      <w:r>
        <w:rPr>
          <w:rFonts w:ascii="Symbol" w:hAnsi="Symbol"/>
          <w:sz w:val="24"/>
        </w:rPr>
        <w:t></w:t>
      </w:r>
      <w:r>
        <w:rPr>
          <w:sz w:val="24"/>
        </w:rPr>
        <w:t> </w:t>
      </w:r>
      <w:r>
        <w:rPr>
          <w:i/>
          <w:sz w:val="24"/>
        </w:rPr>
        <w:t>i</w:t>
      </w:r>
      <w:r>
        <w:rPr>
          <w:position w:val="11"/>
          <w:sz w:val="14"/>
        </w:rPr>
        <w:t>* </w:t>
      </w:r>
      <w:r>
        <w:rPr>
          <w:rFonts w:ascii="Symbol" w:hAnsi="Symbol"/>
          <w:sz w:val="24"/>
        </w:rPr>
        <w:t></w:t>
      </w:r>
      <w:r>
        <w:rPr>
          <w:sz w:val="24"/>
        </w:rPr>
        <w:t> </w:t>
      </w:r>
      <w:r>
        <w:rPr>
          <w:i/>
          <w:sz w:val="24"/>
        </w:rPr>
        <w:t>i</w:t>
      </w:r>
    </w:p>
    <w:p>
      <w:pPr>
        <w:pStyle w:val="ListParagraph"/>
        <w:numPr>
          <w:ilvl w:val="0"/>
          <w:numId w:val="3"/>
        </w:numPr>
        <w:tabs>
          <w:tab w:pos="246" w:val="left" w:leader="none"/>
        </w:tabs>
        <w:spacing w:line="240" w:lineRule="auto" w:before="100" w:after="0"/>
        <w:ind w:left="245" w:right="0" w:hanging="198"/>
        <w:jc w:val="left"/>
        <w:rPr>
          <w:i/>
          <w:sz w:val="14"/>
        </w:rPr>
      </w:pPr>
      <w:r>
        <w:rPr>
          <w:rFonts w:ascii="Symbol" w:hAnsi="Symbol"/>
          <w:spacing w:val="4"/>
          <w:w w:val="95"/>
          <w:sz w:val="25"/>
        </w:rPr>
        <w:br w:type="column"/>
      </w:r>
      <w:r>
        <w:rPr>
          <w:rFonts w:ascii="Symbol" w:hAnsi="Symbol"/>
          <w:spacing w:val="-3"/>
          <w:sz w:val="25"/>
        </w:rPr>
        <w:t></w:t>
      </w:r>
      <w:r>
        <w:rPr>
          <w:i/>
          <w:spacing w:val="-3"/>
          <w:position w:val="-5"/>
          <w:sz w:val="14"/>
        </w:rPr>
        <w:t>t</w:t>
      </w:r>
    </w:p>
    <w:p>
      <w:pPr>
        <w:tabs>
          <w:tab w:pos="4217" w:val="left" w:leader="none"/>
        </w:tabs>
        <w:spacing w:before="128"/>
        <w:ind w:left="17" w:right="0" w:firstLine="0"/>
        <w:jc w:val="left"/>
        <w:rPr>
          <w:sz w:val="24"/>
        </w:rPr>
      </w:pPr>
      <w:r>
        <w:rPr/>
        <w:br w:type="column"/>
      </w:r>
      <w:r>
        <w:rPr>
          <w:sz w:val="20"/>
        </w:rPr>
        <w:t>,</w:t>
        <w:tab/>
      </w:r>
      <w:r>
        <w:rPr>
          <w:sz w:val="24"/>
        </w:rPr>
        <w:t>(3)</w:t>
      </w:r>
    </w:p>
    <w:p>
      <w:pPr>
        <w:spacing w:after="0"/>
        <w:jc w:val="left"/>
        <w:rPr>
          <w:sz w:val="24"/>
        </w:rPr>
        <w:sectPr>
          <w:type w:val="continuous"/>
          <w:pgSz w:w="11900" w:h="16840"/>
          <w:pgMar w:top="1180" w:bottom="280" w:left="1560" w:right="1560"/>
          <w:cols w:num="6" w:equalWidth="0">
            <w:col w:w="1222" w:space="40"/>
            <w:col w:w="163" w:space="39"/>
            <w:col w:w="352" w:space="40"/>
            <w:col w:w="757" w:space="39"/>
            <w:col w:w="431" w:space="40"/>
            <w:col w:w="5657"/>
          </w:cols>
        </w:sectPr>
      </w:pPr>
    </w:p>
    <w:p>
      <w:pPr>
        <w:pStyle w:val="BodyText"/>
        <w:spacing w:before="4"/>
        <w:rPr>
          <w:sz w:val="17"/>
        </w:rPr>
      </w:pPr>
    </w:p>
    <w:p>
      <w:pPr>
        <w:pStyle w:val="BodyText"/>
        <w:spacing w:line="242" w:lineRule="auto" w:before="101"/>
        <w:ind w:left="140" w:right="219"/>
      </w:pPr>
      <w:r>
        <w:rPr/>
        <w:pict>
          <v:shape style="position:absolute;margin-left:186.760727pt;margin-top:-17.767101pt;width:1.95pt;height:7.75pt;mso-position-horizontal-relative:page;mso-position-vertical-relative:paragraph;z-index:-252322816" type="#_x0000_t202" filled="false" stroked="false">
            <v:textbox inset="0,0,0,0">
              <w:txbxContent>
                <w:p>
                  <w:pPr>
                    <w:spacing w:line="155" w:lineRule="exact" w:before="0"/>
                    <w:ind w:left="0" w:right="0" w:firstLine="0"/>
                    <w:jc w:val="left"/>
                    <w:rPr>
                      <w:i/>
                      <w:sz w:val="14"/>
                    </w:rPr>
                  </w:pPr>
                  <w:r>
                    <w:rPr>
                      <w:i/>
                      <w:w w:val="99"/>
                      <w:sz w:val="14"/>
                    </w:rPr>
                    <w:t>t</w:t>
                  </w:r>
                </w:p>
              </w:txbxContent>
            </v:textbox>
            <w10:wrap type="none"/>
          </v:shape>
        </w:pict>
      </w:r>
      <w:r>
        <w:rPr/>
        <w:pict>
          <v:shape style="position:absolute;margin-left:206.680679pt;margin-top:-17.767101pt;width:1.95pt;height:7.75pt;mso-position-horizontal-relative:page;mso-position-vertical-relative:paragraph;z-index:251680768" type="#_x0000_t202" filled="false" stroked="false">
            <v:textbox inset="0,0,0,0">
              <w:txbxContent>
                <w:p>
                  <w:pPr>
                    <w:spacing w:line="155" w:lineRule="exact" w:before="0"/>
                    <w:ind w:left="0" w:right="0" w:firstLine="0"/>
                    <w:jc w:val="left"/>
                    <w:rPr>
                      <w:i/>
                      <w:sz w:val="14"/>
                    </w:rPr>
                  </w:pPr>
                  <w:r>
                    <w:rPr>
                      <w:i/>
                      <w:w w:val="99"/>
                      <w:sz w:val="14"/>
                    </w:rPr>
                    <w:t>t</w:t>
                  </w:r>
                </w:p>
              </w:txbxContent>
            </v:textbox>
            <w10:wrap type="none"/>
          </v:shape>
        </w:pict>
      </w:r>
      <w:r>
        <w:rPr/>
        <w:t>where </w:t>
      </w:r>
      <w:r>
        <w:rPr>
          <w:rFonts w:ascii="Symbol" w:hAnsi="Symbol"/>
          <w:sz w:val="25"/>
        </w:rPr>
        <w:t></w:t>
      </w:r>
      <w:r>
        <w:rPr>
          <w:sz w:val="25"/>
        </w:rPr>
        <w:t> </w:t>
      </w:r>
      <w:r>
        <w:rPr/>
        <w:t>is the ‘foreign exchange risk premium’, which is assumed to vary unpredictably over time. McCallum (1994) shows that if, as is the case in practice, policy makers take the exchange rate into account when setting interest rates, then econometric estimates of </w:t>
      </w:r>
      <w:r>
        <w:rPr>
          <w:rFonts w:ascii="Symbol" w:hAnsi="Symbol"/>
          <w:sz w:val="25"/>
        </w:rPr>
        <w:t></w:t>
      </w:r>
      <w:r>
        <w:rPr>
          <w:sz w:val="25"/>
        </w:rPr>
        <w:t> </w:t>
      </w:r>
      <w:r>
        <w:rPr/>
        <w:t>in equation (2) may be biased downwards.</w:t>
      </w:r>
    </w:p>
    <w:p>
      <w:pPr>
        <w:pStyle w:val="BodyText"/>
        <w:spacing w:line="244" w:lineRule="auto" w:before="269"/>
        <w:ind w:left="140" w:right="195"/>
      </w:pPr>
      <w:r>
        <w:rPr/>
        <w:t>To see how this could be so, suppose that the risk premium </w:t>
      </w:r>
      <w:r>
        <w:rPr>
          <w:rFonts w:ascii="Symbol" w:hAnsi="Symbol"/>
          <w:sz w:val="25"/>
        </w:rPr>
        <w:t></w:t>
      </w:r>
      <w:r>
        <w:rPr>
          <w:sz w:val="25"/>
        </w:rPr>
        <w:t> </w:t>
      </w:r>
      <w:r>
        <w:rPr/>
        <w:t>falls unexpectedly. Other things being equal, the current spot exchange rate </w:t>
      </w:r>
      <w:r>
        <w:rPr>
          <w:i/>
        </w:rPr>
        <w:t>s  </w:t>
      </w:r>
      <w:r>
        <w:rPr/>
        <w:t>will rise.  This will happen because, thanks to the lower risk premium, the exchange rate will be expected to depreciate henceforth (i.e. from the new higher level) to a greater extent than before the risk premium</w:t>
      </w:r>
      <w:r>
        <w:rPr>
          <w:spacing w:val="-1"/>
        </w:rPr>
        <w:t> </w:t>
      </w:r>
      <w:r>
        <w:rPr/>
        <w:t>fell.</w:t>
      </w:r>
    </w:p>
    <w:p>
      <w:pPr>
        <w:pStyle w:val="BodyText"/>
        <w:rPr>
          <w:sz w:val="25"/>
        </w:rPr>
      </w:pPr>
    </w:p>
    <w:p>
      <w:pPr>
        <w:pStyle w:val="BodyText"/>
        <w:spacing w:line="247" w:lineRule="auto"/>
        <w:ind w:left="140" w:right="162"/>
      </w:pPr>
      <w:r>
        <w:rPr/>
        <w:t>Now consider the response of monetary policy. If the stronger exchange rate dampens prospective demand and inflation, then monetary policy will tend to be loosened (relative to what would have happened in the absence of the fall in the risk premium).</w:t>
      </w:r>
    </w:p>
    <w:p>
      <w:pPr>
        <w:pStyle w:val="BodyText"/>
        <w:spacing w:before="4"/>
      </w:pPr>
    </w:p>
    <w:p>
      <w:pPr>
        <w:pStyle w:val="BodyText"/>
        <w:spacing w:line="247" w:lineRule="auto" w:before="1"/>
        <w:ind w:left="140" w:right="137"/>
      </w:pPr>
      <w:r>
        <w:rPr/>
        <w:t>This kind of policy response shows how lower-than-usual interest rates and more-than- usual currency depreciation can sometimes partly go together. This combination would make little sense if risk factors did not matter, because a profitable investment opportunity would be going begging. But if they do matter, and with monetary policy reacting in part to the exchange rate, the persuasive evidence against </w:t>
      </w:r>
      <w:r>
        <w:rPr>
          <w:i/>
        </w:rPr>
        <w:t>simple </w:t>
      </w:r>
      <w:r>
        <w:rPr/>
        <w:t>interest rate differential theory might not refute wider interest rate differential theories that allow for currency risks. (Theories along these lines can also be squared with the evidence mentioned above that SID does less badly at longer horizons than shorter horizons.)</w:t>
      </w:r>
    </w:p>
    <w:p>
      <w:pPr>
        <w:spacing w:after="0" w:line="247" w:lineRule="auto"/>
        <w:sectPr>
          <w:type w:val="continuous"/>
          <w:pgSz w:w="11900" w:h="16840"/>
          <w:pgMar w:top="1180" w:bottom="280" w:left="1560" w:right="1560"/>
        </w:sectPr>
      </w:pPr>
    </w:p>
    <w:p>
      <w:pPr>
        <w:pStyle w:val="BodyText"/>
        <w:spacing w:before="79"/>
        <w:ind w:left="140"/>
      </w:pPr>
      <w:bookmarkStart w:name="References" w:id="12"/>
      <w:bookmarkEnd w:id="12"/>
      <w:r>
        <w:rPr/>
      </w:r>
      <w:r>
        <w:rPr/>
        <w:t>The general lesson is summed up Walsh (1998, page 254):</w:t>
      </w:r>
    </w:p>
    <w:p>
      <w:pPr>
        <w:pStyle w:val="BodyText"/>
        <w:spacing w:before="3"/>
        <w:rPr>
          <w:sz w:val="25"/>
        </w:rPr>
      </w:pPr>
    </w:p>
    <w:p>
      <w:pPr>
        <w:pStyle w:val="BodyText"/>
        <w:spacing w:line="247" w:lineRule="auto"/>
        <w:ind w:left="140" w:right="162"/>
      </w:pPr>
      <w:r>
        <w:rPr/>
        <w:t>“This example illustrates an important point: the empirical correlations between economic variables may depend critically on the manner in which policy is being conducted.”</w:t>
      </w:r>
    </w:p>
    <w:p>
      <w:pPr>
        <w:pStyle w:val="BodyText"/>
        <w:spacing w:before="4"/>
      </w:pPr>
    </w:p>
    <w:p>
      <w:pPr>
        <w:pStyle w:val="BodyText"/>
        <w:spacing w:line="244" w:lineRule="auto"/>
        <w:ind w:left="140"/>
      </w:pPr>
      <w:r>
        <w:rPr/>
        <w:t>Unfortunately, however, this appeal to currency risk factors is merely a </w:t>
      </w:r>
      <w:r>
        <w:rPr>
          <w:i/>
        </w:rPr>
        <w:t>possible </w:t>
      </w:r>
      <w:r>
        <w:rPr/>
        <w:t>solution to the forward discount puzzle. To fit the past facts it appears to require risk premia that are rather large and volatile relative to other uncertainties</w:t>
      </w:r>
      <w:r>
        <w:rPr>
          <w:rFonts w:ascii="Symbol" w:hAnsi="Symbol"/>
        </w:rPr>
        <w:t></w:t>
      </w:r>
      <w:r>
        <w:rPr/>
        <w:t>see Engel (1996, pages 124- 127). And appeals to the unobservable are never entirely satisfactory. Despite intense recent research, a good empirical model of the currency risk premium remains elusive.</w:t>
      </w:r>
    </w:p>
    <w:p>
      <w:pPr>
        <w:pStyle w:val="BodyText"/>
        <w:rPr>
          <w:sz w:val="25"/>
        </w:rPr>
      </w:pPr>
    </w:p>
    <w:p>
      <w:pPr>
        <w:pStyle w:val="BodyText"/>
        <w:spacing w:line="247" w:lineRule="auto"/>
        <w:ind w:left="140" w:right="162"/>
      </w:pPr>
      <w:r>
        <w:rPr/>
        <w:t>Two key points still stand. First, care is needed in interpreting empirical correlations involving asset prices, especially since monetary policy is endogenous. Second, considerations of risk may play an important role in exchange rate economics just as they do in asset price economics more generally.</w:t>
      </w:r>
    </w:p>
    <w:p>
      <w:pPr>
        <w:pStyle w:val="BodyText"/>
        <w:rPr>
          <w:sz w:val="26"/>
        </w:rPr>
      </w:pPr>
    </w:p>
    <w:p>
      <w:pPr>
        <w:pStyle w:val="BodyText"/>
        <w:rPr>
          <w:sz w:val="26"/>
        </w:rPr>
      </w:pPr>
    </w:p>
    <w:p>
      <w:pPr>
        <w:pStyle w:val="BodyText"/>
        <w:spacing w:before="11"/>
        <w:rPr>
          <w:sz w:val="21"/>
        </w:rPr>
      </w:pPr>
    </w:p>
    <w:p>
      <w:pPr>
        <w:pStyle w:val="Heading1"/>
        <w:spacing w:before="0"/>
      </w:pPr>
      <w:r>
        <w:rPr/>
        <w:t>References</w:t>
      </w:r>
    </w:p>
    <w:p>
      <w:pPr>
        <w:pStyle w:val="BodyText"/>
        <w:spacing w:before="9"/>
        <w:rPr>
          <w:b/>
        </w:rPr>
      </w:pPr>
    </w:p>
    <w:p>
      <w:pPr>
        <w:pStyle w:val="BodyText"/>
        <w:ind w:left="140"/>
      </w:pPr>
      <w:r>
        <w:rPr/>
        <w:t>Cochrane, J (1999), ‘New facts in finance’, NBER Working Paper No 7169.</w:t>
      </w:r>
    </w:p>
    <w:p>
      <w:pPr>
        <w:pStyle w:val="BodyText"/>
        <w:spacing w:before="3"/>
        <w:rPr>
          <w:sz w:val="25"/>
        </w:rPr>
      </w:pPr>
    </w:p>
    <w:p>
      <w:pPr>
        <w:pStyle w:val="BodyText"/>
        <w:spacing w:line="247" w:lineRule="auto"/>
        <w:ind w:left="140" w:right="162"/>
      </w:pPr>
      <w:r>
        <w:rPr/>
        <w:t>Engel, C (1996), ‘The forward discount anomaly and the risk premium: A survey of recent evidence’, </w:t>
      </w:r>
      <w:r>
        <w:rPr>
          <w:i/>
        </w:rPr>
        <w:t>Journal of Empirical Finance</w:t>
      </w:r>
      <w:r>
        <w:rPr/>
        <w:t>, Vol 3, pages123-192.</w:t>
      </w:r>
    </w:p>
    <w:p>
      <w:pPr>
        <w:pStyle w:val="BodyText"/>
        <w:spacing w:before="5"/>
      </w:pPr>
    </w:p>
    <w:p>
      <w:pPr>
        <w:spacing w:line="247" w:lineRule="auto" w:before="1"/>
        <w:ind w:left="140" w:right="0" w:firstLine="0"/>
        <w:jc w:val="left"/>
        <w:rPr>
          <w:sz w:val="24"/>
        </w:rPr>
      </w:pPr>
      <w:r>
        <w:rPr>
          <w:sz w:val="24"/>
        </w:rPr>
        <w:t>Froot, K and Thaler, R (1990), ‘Foreign exchange’, </w:t>
      </w:r>
      <w:r>
        <w:rPr>
          <w:i/>
          <w:sz w:val="24"/>
        </w:rPr>
        <w:t>Journal of Economic Perspectives</w:t>
      </w:r>
      <w:r>
        <w:rPr>
          <w:sz w:val="24"/>
        </w:rPr>
        <w:t>, Vol 4(3), pages 179-192.</w:t>
      </w:r>
    </w:p>
    <w:p>
      <w:pPr>
        <w:pStyle w:val="BodyText"/>
        <w:spacing w:before="4"/>
      </w:pPr>
    </w:p>
    <w:p>
      <w:pPr>
        <w:pStyle w:val="BodyText"/>
        <w:spacing w:before="1"/>
        <w:ind w:left="140"/>
      </w:pPr>
      <w:r>
        <w:rPr/>
        <w:t>McCallum, B (1994), ‘A reconsideration of the uncovered interest parity relationship’,</w:t>
      </w:r>
    </w:p>
    <w:p>
      <w:pPr>
        <w:spacing w:before="7"/>
        <w:ind w:left="140" w:right="0" w:firstLine="0"/>
        <w:jc w:val="left"/>
        <w:rPr>
          <w:sz w:val="24"/>
        </w:rPr>
      </w:pPr>
      <w:r>
        <w:rPr>
          <w:i/>
          <w:sz w:val="24"/>
        </w:rPr>
        <w:t>Journal of Monetary Economics</w:t>
      </w:r>
      <w:r>
        <w:rPr>
          <w:sz w:val="24"/>
        </w:rPr>
        <w:t>, Vol 33, pages 105-132.</w:t>
      </w:r>
    </w:p>
    <w:p>
      <w:pPr>
        <w:pStyle w:val="BodyText"/>
        <w:spacing w:before="3"/>
        <w:rPr>
          <w:sz w:val="25"/>
        </w:rPr>
      </w:pPr>
    </w:p>
    <w:p>
      <w:pPr>
        <w:pStyle w:val="BodyText"/>
        <w:spacing w:line="247" w:lineRule="auto"/>
        <w:ind w:left="140"/>
      </w:pPr>
      <w:r>
        <w:rPr/>
        <w:t>Meredith, G and Chinn, M (1998), ‘Long-horizon uncovered interest rate parity’, NBER Working Paper No 6797.</w:t>
      </w:r>
    </w:p>
    <w:p>
      <w:pPr>
        <w:pStyle w:val="BodyText"/>
        <w:spacing w:before="5"/>
      </w:pPr>
    </w:p>
    <w:p>
      <w:pPr>
        <w:spacing w:line="247" w:lineRule="auto" w:before="0"/>
        <w:ind w:left="140" w:right="0" w:firstLine="0"/>
        <w:jc w:val="left"/>
        <w:rPr>
          <w:sz w:val="24"/>
        </w:rPr>
      </w:pPr>
      <w:r>
        <w:rPr>
          <w:sz w:val="24"/>
        </w:rPr>
        <w:t>Wadhwani, S (1999), ‘Sterling’s puzzling behaviour’, </w:t>
      </w:r>
      <w:r>
        <w:rPr>
          <w:i/>
          <w:sz w:val="24"/>
        </w:rPr>
        <w:t>Bank of England Quarterly </w:t>
      </w:r>
      <w:r>
        <w:rPr>
          <w:i/>
          <w:sz w:val="24"/>
        </w:rPr>
        <w:t>Bulletin</w:t>
      </w:r>
      <w:r>
        <w:rPr>
          <w:sz w:val="24"/>
        </w:rPr>
        <w:t>, Vol 39, pages 416-427.</w:t>
      </w:r>
    </w:p>
    <w:p>
      <w:pPr>
        <w:pStyle w:val="BodyText"/>
        <w:spacing w:before="5"/>
      </w:pPr>
    </w:p>
    <w:p>
      <w:pPr>
        <w:spacing w:before="0"/>
        <w:ind w:left="140" w:right="0" w:firstLine="0"/>
        <w:jc w:val="left"/>
        <w:rPr>
          <w:sz w:val="24"/>
        </w:rPr>
      </w:pPr>
      <w:r>
        <w:rPr>
          <w:sz w:val="24"/>
        </w:rPr>
        <w:t>Walsh, C (1998), </w:t>
      </w:r>
      <w:r>
        <w:rPr>
          <w:i/>
          <w:sz w:val="24"/>
        </w:rPr>
        <w:t>Monetary Theory and Policy</w:t>
      </w:r>
      <w:r>
        <w:rPr>
          <w:sz w:val="24"/>
        </w:rPr>
        <w:t>, MIT Press, Cambridge, Mass.</w:t>
      </w:r>
    </w:p>
    <w:sectPr>
      <w:pgSz w:w="11900" w:h="16840"/>
      <w:pgMar w:header="0" w:footer="738" w:top="1060" w:bottom="92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20605pt;margin-top:794.103149pt;width:17.05pt;height:13.15pt;mso-position-horizontal-relative:page;mso-position-vertical-relative:page;z-index:-252344320" type="#_x0000_t202" filled="false" stroked="false">
          <v:textbox inset="0,0,0,0">
            <w:txbxContent>
              <w:p>
                <w:pPr>
                  <w:spacing w:before="12"/>
                  <w:ind w:left="60" w:right="0" w:firstLine="0"/>
                  <w:jc w:val="left"/>
                  <w:rPr>
                    <w:rFonts w:ascii="Arial"/>
                    <w:sz w:val="20"/>
                  </w:rPr>
                </w:pPr>
                <w:r>
                  <w:rPr/>
                  <w:fldChar w:fldCharType="begin"/>
                </w:r>
                <w:r>
                  <w:rPr>
                    <w:rFonts w:ascii="Arial"/>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45" w:hanging="197"/>
      </w:pPr>
      <w:rPr>
        <w:rFonts w:hint="default" w:ascii="Symbol" w:hAnsi="Symbol" w:eastAsia="Symbol" w:cs="Symbol"/>
        <w:w w:val="99"/>
        <w:sz w:val="24"/>
        <w:szCs w:val="24"/>
      </w:rPr>
    </w:lvl>
    <w:lvl w:ilvl="1">
      <w:start w:val="0"/>
      <w:numFmt w:val="bullet"/>
      <w:lvlText w:val="•"/>
      <w:lvlJc w:val="left"/>
      <w:pPr>
        <w:ind w:left="259" w:hanging="197"/>
      </w:pPr>
      <w:rPr>
        <w:rFonts w:hint="default"/>
      </w:rPr>
    </w:lvl>
    <w:lvl w:ilvl="2">
      <w:start w:val="0"/>
      <w:numFmt w:val="bullet"/>
      <w:lvlText w:val="•"/>
      <w:lvlJc w:val="left"/>
      <w:pPr>
        <w:ind w:left="278" w:hanging="197"/>
      </w:pPr>
      <w:rPr>
        <w:rFonts w:hint="default"/>
      </w:rPr>
    </w:lvl>
    <w:lvl w:ilvl="3">
      <w:start w:val="0"/>
      <w:numFmt w:val="bullet"/>
      <w:lvlText w:val="•"/>
      <w:lvlJc w:val="left"/>
      <w:pPr>
        <w:ind w:left="297" w:hanging="197"/>
      </w:pPr>
      <w:rPr>
        <w:rFonts w:hint="default"/>
      </w:rPr>
    </w:lvl>
    <w:lvl w:ilvl="4">
      <w:start w:val="0"/>
      <w:numFmt w:val="bullet"/>
      <w:lvlText w:val="•"/>
      <w:lvlJc w:val="left"/>
      <w:pPr>
        <w:ind w:left="316" w:hanging="197"/>
      </w:pPr>
      <w:rPr>
        <w:rFonts w:hint="default"/>
      </w:rPr>
    </w:lvl>
    <w:lvl w:ilvl="5">
      <w:start w:val="0"/>
      <w:numFmt w:val="bullet"/>
      <w:lvlText w:val="•"/>
      <w:lvlJc w:val="left"/>
      <w:pPr>
        <w:ind w:left="335" w:hanging="197"/>
      </w:pPr>
      <w:rPr>
        <w:rFonts w:hint="default"/>
      </w:rPr>
    </w:lvl>
    <w:lvl w:ilvl="6">
      <w:start w:val="0"/>
      <w:numFmt w:val="bullet"/>
      <w:lvlText w:val="•"/>
      <w:lvlJc w:val="left"/>
      <w:pPr>
        <w:ind w:left="354" w:hanging="197"/>
      </w:pPr>
      <w:rPr>
        <w:rFonts w:hint="default"/>
      </w:rPr>
    </w:lvl>
    <w:lvl w:ilvl="7">
      <w:start w:val="0"/>
      <w:numFmt w:val="bullet"/>
      <w:lvlText w:val="•"/>
      <w:lvlJc w:val="left"/>
      <w:pPr>
        <w:ind w:left="373" w:hanging="197"/>
      </w:pPr>
      <w:rPr>
        <w:rFonts w:hint="default"/>
      </w:rPr>
    </w:lvl>
    <w:lvl w:ilvl="8">
      <w:start w:val="0"/>
      <w:numFmt w:val="bullet"/>
      <w:lvlText w:val="•"/>
      <w:lvlJc w:val="left"/>
      <w:pPr>
        <w:ind w:left="392" w:hanging="197"/>
      </w:pPr>
      <w:rPr>
        <w:rFonts w:hint="default"/>
      </w:rPr>
    </w:lvl>
  </w:abstractNum>
  <w:abstractNum w:abstractNumId="1">
    <w:multiLevelType w:val="hybridMultilevel"/>
    <w:lvl w:ilvl="0">
      <w:start w:val="0"/>
      <w:numFmt w:val="bullet"/>
      <w:lvlText w:val=""/>
      <w:lvlJc w:val="left"/>
      <w:pPr>
        <w:ind w:left="211" w:hanging="183"/>
      </w:pPr>
      <w:rPr>
        <w:rFonts w:hint="default" w:ascii="Symbol" w:hAnsi="Symbol" w:eastAsia="Symbol" w:cs="Symbol"/>
        <w:w w:val="99"/>
        <w:sz w:val="24"/>
        <w:szCs w:val="24"/>
      </w:rPr>
    </w:lvl>
    <w:lvl w:ilvl="1">
      <w:start w:val="0"/>
      <w:numFmt w:val="bullet"/>
      <w:lvlText w:val=""/>
      <w:lvlJc w:val="left"/>
      <w:pPr>
        <w:ind w:left="310" w:hanging="173"/>
      </w:pPr>
      <w:rPr>
        <w:rFonts w:hint="default" w:ascii="Symbol" w:hAnsi="Symbol" w:eastAsia="Symbol" w:cs="Symbol"/>
        <w:w w:val="99"/>
        <w:position w:val="6"/>
        <w:sz w:val="24"/>
        <w:szCs w:val="24"/>
      </w:rPr>
    </w:lvl>
    <w:lvl w:ilvl="2">
      <w:start w:val="0"/>
      <w:numFmt w:val="bullet"/>
      <w:lvlText w:val="•"/>
      <w:lvlJc w:val="left"/>
      <w:pPr>
        <w:ind w:left="184" w:hanging="173"/>
      </w:pPr>
      <w:rPr>
        <w:rFonts w:hint="default"/>
      </w:rPr>
    </w:lvl>
    <w:lvl w:ilvl="3">
      <w:start w:val="0"/>
      <w:numFmt w:val="bullet"/>
      <w:lvlText w:val="•"/>
      <w:lvlJc w:val="left"/>
      <w:pPr>
        <w:ind w:left="48" w:hanging="173"/>
      </w:pPr>
      <w:rPr>
        <w:rFonts w:hint="default"/>
      </w:rPr>
    </w:lvl>
    <w:lvl w:ilvl="4">
      <w:start w:val="0"/>
      <w:numFmt w:val="bullet"/>
      <w:lvlText w:val="•"/>
      <w:lvlJc w:val="left"/>
      <w:pPr>
        <w:ind w:left="-88" w:hanging="173"/>
      </w:pPr>
      <w:rPr>
        <w:rFonts w:hint="default"/>
      </w:rPr>
    </w:lvl>
    <w:lvl w:ilvl="5">
      <w:start w:val="0"/>
      <w:numFmt w:val="bullet"/>
      <w:lvlText w:val="•"/>
      <w:lvlJc w:val="left"/>
      <w:pPr>
        <w:ind w:left="-224" w:hanging="173"/>
      </w:pPr>
      <w:rPr>
        <w:rFonts w:hint="default"/>
      </w:rPr>
    </w:lvl>
    <w:lvl w:ilvl="6">
      <w:start w:val="0"/>
      <w:numFmt w:val="bullet"/>
      <w:lvlText w:val="•"/>
      <w:lvlJc w:val="left"/>
      <w:pPr>
        <w:ind w:left="-360" w:hanging="173"/>
      </w:pPr>
      <w:rPr>
        <w:rFonts w:hint="default"/>
      </w:rPr>
    </w:lvl>
    <w:lvl w:ilvl="7">
      <w:start w:val="0"/>
      <w:numFmt w:val="bullet"/>
      <w:lvlText w:val="•"/>
      <w:lvlJc w:val="left"/>
      <w:pPr>
        <w:ind w:left="-496" w:hanging="173"/>
      </w:pPr>
      <w:rPr>
        <w:rFonts w:hint="default"/>
      </w:rPr>
    </w:lvl>
    <w:lvl w:ilvl="8">
      <w:start w:val="0"/>
      <w:numFmt w:val="bullet"/>
      <w:lvlText w:val="•"/>
      <w:lvlJc w:val="left"/>
      <w:pPr>
        <w:ind w:left="-632" w:hanging="173"/>
      </w:pPr>
      <w:rPr>
        <w:rFonts w:hint="default"/>
      </w:rPr>
    </w:lvl>
  </w:abstractNum>
  <w:abstractNum w:abstractNumId="0">
    <w:multiLevelType w:val="hybridMultilevel"/>
    <w:lvl w:ilvl="0">
      <w:start w:val="0"/>
      <w:numFmt w:val="bullet"/>
      <w:lvlText w:val=""/>
      <w:lvlJc w:val="left"/>
      <w:pPr>
        <w:ind w:left="500" w:hanging="360"/>
      </w:pPr>
      <w:rPr>
        <w:rFonts w:hint="default" w:ascii="Symbol" w:hAnsi="Symbol" w:eastAsia="Symbol" w:cs="Symbol"/>
        <w:w w:val="100"/>
        <w:sz w:val="24"/>
        <w:szCs w:val="24"/>
      </w:rPr>
    </w:lvl>
    <w:lvl w:ilvl="1">
      <w:start w:val="0"/>
      <w:numFmt w:val="bullet"/>
      <w:lvlText w:val="•"/>
      <w:lvlJc w:val="left"/>
      <w:pPr>
        <w:ind w:left="1328" w:hanging="360"/>
      </w:pPr>
      <w:rPr>
        <w:rFonts w:hint="default"/>
      </w:rPr>
    </w:lvl>
    <w:lvl w:ilvl="2">
      <w:start w:val="0"/>
      <w:numFmt w:val="bullet"/>
      <w:lvlText w:val="•"/>
      <w:lvlJc w:val="left"/>
      <w:pPr>
        <w:ind w:left="2156" w:hanging="360"/>
      </w:pPr>
      <w:rPr>
        <w:rFonts w:hint="default"/>
      </w:rPr>
    </w:lvl>
    <w:lvl w:ilvl="3">
      <w:start w:val="0"/>
      <w:numFmt w:val="bullet"/>
      <w:lvlText w:val="•"/>
      <w:lvlJc w:val="left"/>
      <w:pPr>
        <w:ind w:left="2984" w:hanging="360"/>
      </w:pPr>
      <w:rPr>
        <w:rFonts w:hint="default"/>
      </w:rPr>
    </w:lvl>
    <w:lvl w:ilvl="4">
      <w:start w:val="0"/>
      <w:numFmt w:val="bullet"/>
      <w:lvlText w:val="•"/>
      <w:lvlJc w:val="left"/>
      <w:pPr>
        <w:ind w:left="3812" w:hanging="360"/>
      </w:pPr>
      <w:rPr>
        <w:rFonts w:hint="default"/>
      </w:rPr>
    </w:lvl>
    <w:lvl w:ilvl="5">
      <w:start w:val="0"/>
      <w:numFmt w:val="bullet"/>
      <w:lvlText w:val="•"/>
      <w:lvlJc w:val="left"/>
      <w:pPr>
        <w:ind w:left="4640" w:hanging="360"/>
      </w:pPr>
      <w:rPr>
        <w:rFonts w:hint="default"/>
      </w:rPr>
    </w:lvl>
    <w:lvl w:ilvl="6">
      <w:start w:val="0"/>
      <w:numFmt w:val="bullet"/>
      <w:lvlText w:val="•"/>
      <w:lvlJc w:val="left"/>
      <w:pPr>
        <w:ind w:left="5468" w:hanging="360"/>
      </w:pPr>
      <w:rPr>
        <w:rFonts w:hint="default"/>
      </w:rPr>
    </w:lvl>
    <w:lvl w:ilvl="7">
      <w:start w:val="0"/>
      <w:numFmt w:val="bullet"/>
      <w:lvlText w:val="•"/>
      <w:lvlJc w:val="left"/>
      <w:pPr>
        <w:ind w:left="6296" w:hanging="360"/>
      </w:pPr>
      <w:rPr>
        <w:rFonts w:hint="default"/>
      </w:rPr>
    </w:lvl>
    <w:lvl w:ilvl="8">
      <w:start w:val="0"/>
      <w:numFmt w:val="bullet"/>
      <w:lvlText w:val="•"/>
      <w:lvlJc w:val="left"/>
      <w:pPr>
        <w:ind w:left="712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4"/>
      <w:ind w:left="1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46"/>
      <w:ind w:left="500"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 Office</dc:creator>
  <dc:subject>Monetary Policy and the Exchange Rate</dc:subject>
  <dc:title>Speech by John Vickers at the Agricultural Engineers Association on 18 April 2000</dc:title>
  <dcterms:created xsi:type="dcterms:W3CDTF">2020-06-02T17:58:59Z</dcterms:created>
  <dcterms:modified xsi:type="dcterms:W3CDTF">2020-06-02T17:58:59Z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2000-04-20T00:00:00Z</vt:filetime>
  </property>
  <property fmtid="{D5CDD505-2E9C-101B-9397-08002B2CF9AE}" pid="3" name="Creator">
    <vt:lpwstr>Microsoft Word 8.0</vt:lpwstr>
  </property>
  <property fmtid="{D5CDD505-2E9C-101B-9397-08002B2CF9AE}" pid="4" name="LastSaved">
    <vt:filetime>2020-06-02T00:00:00Z</vt:filetime>
  </property>
</Properties>
</file>