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spacing w:before="239"/>
        <w:ind w:left="233" w:right="0" w:firstLine="0"/>
        <w:jc w:val="left"/>
        <w:rPr>
          <w:b/>
          <w:sz w:val="32"/>
        </w:rPr>
      </w:pPr>
      <w:r>
        <w:rPr>
          <w:b/>
          <w:color w:val="6A709F"/>
          <w:sz w:val="32"/>
        </w:rPr>
        <w:t>Monetary policy and forward guidance in the UK</w:t>
      </w:r>
    </w:p>
    <w:p>
      <w:pPr>
        <w:pStyle w:val="BodyText"/>
        <w:spacing w:before="4"/>
        <w:rPr>
          <w:b/>
          <w:sz w:val="32"/>
        </w:rPr>
      </w:pPr>
    </w:p>
    <w:p>
      <w:pPr>
        <w:spacing w:before="0"/>
        <w:ind w:left="233" w:right="0" w:firstLine="0"/>
        <w:jc w:val="left"/>
        <w:rPr>
          <w:sz w:val="24"/>
        </w:rPr>
      </w:pPr>
      <w:r>
        <w:rPr>
          <w:sz w:val="24"/>
        </w:rPr>
        <w:t>Speech given by</w:t>
      </w:r>
    </w:p>
    <w:p>
      <w:pPr>
        <w:spacing w:before="137"/>
        <w:ind w:left="233" w:right="0" w:firstLine="0"/>
        <w:jc w:val="left"/>
        <w:rPr>
          <w:sz w:val="24"/>
        </w:rPr>
      </w:pPr>
      <w:r>
        <w:rPr>
          <w:sz w:val="24"/>
        </w:rPr>
        <w:t>David Miles, External Member of the Monetary Policy Committee, Bank of England</w:t>
      </w:r>
    </w:p>
    <w:p>
      <w:pPr>
        <w:pStyle w:val="BodyText"/>
        <w:rPr>
          <w:sz w:val="26"/>
        </w:rPr>
      </w:pPr>
    </w:p>
    <w:p>
      <w:pPr>
        <w:pStyle w:val="BodyText"/>
        <w:rPr>
          <w:sz w:val="22"/>
        </w:rPr>
      </w:pPr>
    </w:p>
    <w:p>
      <w:pPr>
        <w:spacing w:line="360" w:lineRule="auto" w:before="1"/>
        <w:ind w:left="233" w:right="6782" w:firstLine="0"/>
        <w:jc w:val="left"/>
        <w:rPr>
          <w:sz w:val="24"/>
        </w:rPr>
      </w:pPr>
      <w:r>
        <w:rPr>
          <w:sz w:val="24"/>
        </w:rPr>
        <w:t>At Northumbria University, Newcastle Tuesday 24 September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pStyle w:val="BodyText"/>
        <w:spacing w:before="93"/>
        <w:ind w:left="233" w:right="1874"/>
      </w:pPr>
      <w:r>
        <w:rPr/>
        <w:t>I would like to thank Jochen Schanz and Arpad Morotz for research assistance and others for helpful comments. I am grateful to the National Institute of Economic and Social Research for their permission to reproduce Chart 14. The views expressed are my own and do not necessarily reflect those of the Bank of England or other members of the Monetary Policy Committee</w:t>
      </w:r>
    </w:p>
    <w:p>
      <w:pPr>
        <w:spacing w:after="0"/>
        <w:sectPr>
          <w:footerReference w:type="default" r:id="rId5"/>
          <w:type w:val="continuous"/>
          <w:pgSz w:w="11910" w:h="16840"/>
          <w:pgMar w:footer="1338" w:top="1180" w:bottom="1520" w:left="900" w:right="0"/>
        </w:sectPr>
      </w:pPr>
    </w:p>
    <w:p>
      <w:pPr>
        <w:pStyle w:val="Heading1"/>
        <w:numPr>
          <w:ilvl w:val="0"/>
          <w:numId w:val="1"/>
        </w:numPr>
        <w:tabs>
          <w:tab w:pos="591" w:val="left" w:leader="none"/>
        </w:tabs>
        <w:spacing w:line="240" w:lineRule="auto" w:before="76" w:after="0"/>
        <w:ind w:left="590" w:right="0" w:hanging="358"/>
        <w:jc w:val="left"/>
      </w:pPr>
      <w:r>
        <w:rPr/>
        <w:t>Introduction</w:t>
      </w:r>
    </w:p>
    <w:p>
      <w:pPr>
        <w:pStyle w:val="BodyText"/>
        <w:spacing w:before="1"/>
        <w:rPr>
          <w:b/>
          <w:sz w:val="24"/>
        </w:rPr>
      </w:pPr>
    </w:p>
    <w:p>
      <w:pPr>
        <w:pStyle w:val="BodyText"/>
        <w:spacing w:line="360" w:lineRule="auto"/>
        <w:ind w:left="233" w:right="1133"/>
      </w:pPr>
      <w:r>
        <w:rPr/>
        <w:t>For the first time in some years the news on the outlook for economic activity in the UK over the past month or so has been overwhelmingly positive. Business surveys – of both current and future activity – look stronger and consistent with growth at least as high as what we used to think of as normal. Consumer confidence has moved up sharply. Hardly any indicator has failed to improve. This is all encouraging and very welcome.  It is likely that the rate of the growth of the economy right now is at – and quite possibly above – the average rate in the 50 years up to the onset of the financial crisis that started in </w:t>
      </w:r>
      <w:r>
        <w:rPr>
          <w:spacing w:val="2"/>
        </w:rPr>
        <w:t>2007.</w:t>
      </w:r>
      <w:r>
        <w:rPr>
          <w:spacing w:val="2"/>
          <w:vertAlign w:val="superscript"/>
        </w:rPr>
        <w:t>1</w:t>
      </w:r>
      <w:r>
        <w:rPr>
          <w:spacing w:val="2"/>
          <w:vertAlign w:val="baseline"/>
        </w:rPr>
        <w:t> </w:t>
      </w:r>
      <w:r>
        <w:rPr>
          <w:vertAlign w:val="baseline"/>
        </w:rPr>
        <w:t>But this comes after a period of several years of virtually no growth; and those recent low growth years came after a disastrous period in 2009 when output plummeted.  So it would be spectacularly misguided to think that some signs of more normal growth mean that the economy is back to normal; and it would be equally misguided to think that if growth were to be near trend monetary policy should be quickly returned to a more normal setting. There are two reasons for that – first, the recent encouraging signs of growth might not prove to be durable (though I think they will); second – and more significant – the economy has been operating far short of its potential and the amount of slack is almost certainly large enough to mean that a sustained period of above average growth is needed to remove it (Chart 1). I believe that the main reason why it </w:t>
      </w:r>
      <w:r>
        <w:rPr>
          <w:spacing w:val="3"/>
          <w:vertAlign w:val="baseline"/>
        </w:rPr>
        <w:t>is </w:t>
      </w:r>
      <w:r>
        <w:rPr>
          <w:vertAlign w:val="baseline"/>
        </w:rPr>
        <w:t>now useful to offer guidance on the future stance of UK monetary policy is to reduce the risk that people believe that monetary policy would be quickly tightened once output began to rise at more normal rates. The nature of the guidance is simple; the message from the MPC is this: So long as inflation pressures don't start heading in the wrong direction, we will not tighten monetary policy until a recovery is strong enough and sustained enough that it has made a meaningful dent in unemployment so that it at least falls to 7 per</w:t>
      </w:r>
      <w:r>
        <w:rPr>
          <w:spacing w:val="-8"/>
          <w:vertAlign w:val="baseline"/>
        </w:rPr>
        <w:t> </w:t>
      </w:r>
      <w:r>
        <w:rPr>
          <w:vertAlign w:val="baseline"/>
        </w:rPr>
        <w:t>cent.</w:t>
      </w:r>
    </w:p>
    <w:p>
      <w:pPr>
        <w:pStyle w:val="BodyText"/>
        <w:spacing w:before="1"/>
        <w:rPr>
          <w:sz w:val="30"/>
        </w:rPr>
      </w:pPr>
    </w:p>
    <w:p>
      <w:pPr>
        <w:pStyle w:val="BodyText"/>
        <w:spacing w:line="360" w:lineRule="auto"/>
        <w:ind w:left="233" w:right="1171"/>
      </w:pPr>
      <w:r>
        <w:rPr/>
        <w:t>A key point here is that focusing just on the rate of growth of output is not a good guide to whether economic activity is running at a pace consistent with the control of inflation. Growth has to be seen in the context of the </w:t>
      </w:r>
      <w:r>
        <w:rPr>
          <w:b/>
          <w:i/>
        </w:rPr>
        <w:t>level </w:t>
      </w:r>
      <w:r>
        <w:rPr/>
        <w:t>of activity from which that growth comes. If that level of activity is significantly below a rate consistent with controlled inflation – as I believe is the case in the UK today – then it does not make sense to quickly return monetary policy to a more normal setting once growth moves to more normal rates. One indication that the level of activity is well below what can be sustainable, and consistent with inflation at the target, is that unemployment is far higher than during the long period before the financial train wreck and when inflation stayed close to target. Wage settlements have also been unusually low running beneath the actual (and expected) rates of consumer price inflation for some years. That suggests two things: first that slack it the economy is significant and second that linking the horizon over which an exceptionally expansionary monetary policy continues to support demand to the rate of unemployment has merit.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6"/>
        </w:rPr>
      </w:pPr>
      <w:r>
        <w:rPr/>
        <w:pict>
          <v:shape style="position:absolute;margin-left:56.664001pt;margin-top:11.504375pt;width:144.050pt;height:.1pt;mso-position-horizontal-relative:page;mso-position-vertical-relative:paragraph;z-index:-251657216;mso-wrap-distance-left:0;mso-wrap-distance-right:0" coordorigin="1133,230" coordsize="2881,0" path="m1133,230l4014,230e" filled="false" stroked="true" strokeweight=".48004pt" strokecolor="#000000">
            <v:path arrowok="t"/>
            <v:stroke dashstyle="solid"/>
            <w10:wrap type="topAndBottom"/>
          </v:shape>
        </w:pict>
      </w:r>
    </w:p>
    <w:p>
      <w:pPr>
        <w:spacing w:before="23"/>
        <w:ind w:left="233" w:right="0" w:firstLine="0"/>
        <w:jc w:val="left"/>
        <w:rPr>
          <w:sz w:val="16"/>
        </w:rPr>
      </w:pPr>
      <w:r>
        <w:rPr>
          <w:rFonts w:ascii="Calibri"/>
          <w:position w:val="10"/>
          <w:sz w:val="13"/>
        </w:rPr>
        <w:t>1 </w:t>
      </w:r>
      <w:r>
        <w:rPr>
          <w:sz w:val="16"/>
        </w:rPr>
        <w:t>The average rate of growth of GDP in the UK between 1955 and March 2007 was close to 2.8%.</w:t>
      </w:r>
    </w:p>
    <w:p>
      <w:pPr>
        <w:spacing w:after="0"/>
        <w:jc w:val="left"/>
        <w:rPr>
          <w:sz w:val="16"/>
        </w:rPr>
        <w:sectPr>
          <w:footerReference w:type="default" r:id="rId7"/>
          <w:pgSz w:w="11910" w:h="16840"/>
          <w:pgMar w:footer="1338" w:header="0" w:top="1520" w:bottom="1520" w:left="900" w:right="0"/>
        </w:sectPr>
      </w:pPr>
    </w:p>
    <w:p>
      <w:pPr>
        <w:pStyle w:val="BodyText"/>
        <w:spacing w:before="116"/>
        <w:ind w:left="233"/>
      </w:pPr>
      <w:r>
        <w:rPr>
          <w:b/>
        </w:rPr>
        <w:t>Chart 1</w:t>
      </w:r>
      <w:r>
        <w:rPr/>
        <w:t>: Evolution of GDP around recessions and banking crises</w:t>
      </w:r>
      <w:r>
        <w:rPr>
          <w:vertAlign w:val="superscript"/>
        </w:rPr>
        <w:t>(a)</w:t>
      </w:r>
    </w:p>
    <w:p>
      <w:pPr>
        <w:pStyle w:val="BodyText"/>
        <w:spacing w:before="8"/>
        <w:rPr>
          <w:sz w:val="11"/>
        </w:rPr>
      </w:pPr>
    </w:p>
    <w:p>
      <w:pPr>
        <w:spacing w:before="95"/>
        <w:ind w:left="3619" w:right="5464" w:hanging="63"/>
        <w:jc w:val="center"/>
        <w:rPr>
          <w:sz w:val="17"/>
        </w:rPr>
      </w:pPr>
      <w:r>
        <w:rPr>
          <w:sz w:val="17"/>
        </w:rPr>
        <w:t>Indices: pre-recession or banking crisis peak = 100</w:t>
      </w:r>
    </w:p>
    <w:p>
      <w:pPr>
        <w:spacing w:line="142" w:lineRule="exact" w:before="0"/>
        <w:ind w:left="0" w:right="110" w:firstLine="0"/>
        <w:jc w:val="center"/>
        <w:rPr>
          <w:sz w:val="17"/>
        </w:rPr>
      </w:pPr>
      <w:r>
        <w:rPr/>
        <w:pict>
          <v:group style="position:absolute;margin-left:65.639999pt;margin-top:2.244531pt;width:237.85pt;height:104.55pt;mso-position-horizontal-relative:page;mso-position-vertical-relative:paragraph;z-index:251662336" coordorigin="1313,45" coordsize="4757,2091">
            <v:shape style="position:absolute;left:1327;top:52;width:4728;height:2076" coordorigin="1327,52" coordsize="4728,2076" path="m6055,2128l6055,52m6005,2128l6055,2128m6005,1833l6055,1833m6005,1535l6055,1535m6005,1238l6055,1238m6005,942l6055,942m6005,645l6055,645m6005,347l6055,347m6005,52l6055,52m1327,2128l6055,2128m1327,2078l1327,2128m1920,2078l1920,2128m2510,2078l2510,2128m3101,2078l3101,2128m3691,2078l3691,2128m4284,2078l4284,2128m4874,2078l4874,2128m5465,2078l5465,2128m6055,2078l6055,2128e" filled="false" stroked="true" strokeweight=".72pt" strokecolor="#000000">
              <v:path arrowok="t"/>
              <v:stroke dashstyle="solid"/>
            </v:shape>
            <v:shape style="position:absolute;left:1327;top:632;width:4728;height:1277" coordorigin="1327,633" coordsize="4728,1277" path="m1327,1910l1476,1850,1625,1794,1771,1746,1920,1710,2066,1672,2215,1624,2362,1588,2510,1535,2659,1578,2806,1626,2954,1610,3101,1595,3250,1569,3396,1540,3545,1482,3691,1432,3840,1391,3989,1324,4135,1278,4284,1228,4430,1168,4579,1101,4726,1038,4874,995,5023,930,5170,878,5318,842,5465,803,5614,758,5760,726,5909,683,6055,633e" filled="false" stroked="true" strokeweight="1.44pt" strokecolor="#ff0000">
              <v:path arrowok="t"/>
              <v:stroke dashstyle="solid"/>
            </v:shape>
            <v:shape style="position:absolute;left:1327;top:1129;width:4728;height:603" coordorigin="1327,1130" coordsize="4728,603" path="m1327,1732l1476,1667,1625,1629,1771,1557,1920,1550,2066,1535,2215,1540,2362,1557,2510,1535,2659,1590,2806,1578,2954,1619,3101,1619,3250,1626,3396,1660,3545,1686,3691,1660,3840,1650,3989,1605,4135,1588,4284,1538,4430,1530,4579,1454,4726,1406,4874,1374,5023,1324,5170,1302,5318,1252,5465,1211,5614,1194,5760,1206,5909,1187,6055,1130e" filled="false" stroked="true" strokeweight="1.44pt" strokecolor="#008000">
              <v:path arrowok="t"/>
              <v:stroke dashstyle="solid"/>
            </v:shape>
            <v:shape style="position:absolute;left:1327;top:1535;width:4138;height:336" coordorigin="1327,1535" coordsize="4138,336" path="m1327,1859l1476,1799,1625,1761,1771,1703,1920,1655,2066,1629,2215,1593,2362,1569,2510,1535,2659,1559,2806,1593,2954,1694,3101,1857,3250,1871,3396,1850,3545,1826,3691,1799,3840,1744,3989,1720,4135,1698,4284,1658,4430,1648,4579,1643,4726,1660,4874,1665,5023,1674,5170,1682,5318,1715,5465,1730e" filled="false" stroked="true" strokeweight="1.44pt" strokecolor="#5f497a">
              <v:path arrowok="t"/>
              <v:stroke dashstyle="solid"/>
            </v:shape>
            <v:shape style="position:absolute;left:1327;top:1266;width:4138;height:512" coordorigin="1327,1266" coordsize="4138,512" path="m1327,1684l1476,1679,1625,1634,1771,1631,1920,1586,2066,1547,2215,1526,2362,1564,2510,1535,2659,1564,2806,1691,2954,1773,3101,1778,3250,1761,3396,1706,3545,1682,3691,1626,3840,1586,3989,1545,4135,1564,4284,1518,4430,1499,4579,1427,4726,1372,4874,1353,5023,1312,5170,1310,5318,1290,5465,1266e" filled="false" stroked="true" strokeweight="1.44pt" strokecolor="#00afef">
              <v:path arrowok="t"/>
              <v:stroke dashstyle="solid"/>
            </v:shape>
            <v:shape style="position:absolute;left:1327;top:1535;width:4287;height:428" coordorigin="1327,1535" coordsize="4287,428" path="m1327,1830l1476,1811,1625,1797,1771,1754,1920,1698,2066,1624,2215,1550,2362,1545,2510,1535,2659,1588,2806,1674,2954,1799,3101,1938,3250,1962,3396,1962,3545,1938,3691,1910,3840,1852,3989,1830,4135,1842,4284,1816,4430,1809,4579,1775,4726,1782,4874,1782,5023,1811,5170,1768,5318,1782,5465,1766,5614,1732e" filled="false" stroked="true" strokeweight="1.44pt" strokecolor="#e36c09">
              <v:path arrowok="t"/>
              <v:stroke dashstyle="solid"/>
            </v:shape>
            <v:line style="position:absolute" from="1594,234" to="1978,234" stroked="true" strokeweight="1.44pt" strokecolor="#ff0000">
              <v:stroke dashstyle="solid"/>
            </v:line>
            <v:line style="position:absolute" from="1594,635" to="1978,635" stroked="true" strokeweight="1.44pt" strokecolor="#5f497a">
              <v:stroke dashstyle="solid"/>
            </v:line>
            <v:line style="position:absolute" from="1594,837" to="1978,837" stroked="true" strokeweight="1.44pt" strokecolor="#00afef">
              <v:stroke dashstyle="solid"/>
            </v:line>
            <v:shape style="position:absolute;left:1312;top:44;width:4757;height:2091" type="#_x0000_t202" filled="false" stroked="false">
              <v:textbox inset="0,0,0,0">
                <w:txbxContent>
                  <w:p>
                    <w:pPr>
                      <w:tabs>
                        <w:tab w:pos="706" w:val="left" w:leader="none"/>
                      </w:tabs>
                      <w:spacing w:line="247" w:lineRule="auto" w:before="84"/>
                      <w:ind w:left="707" w:right="715" w:hanging="427"/>
                      <w:jc w:val="left"/>
                      <w:rPr>
                        <w:sz w:val="17"/>
                      </w:rPr>
                    </w:pPr>
                    <w:r>
                      <w:rPr>
                        <w:w w:val="100"/>
                        <w:sz w:val="17"/>
                        <w:u w:val="thick" w:color="008000"/>
                      </w:rPr>
                      <w:t> </w:t>
                    </w:r>
                    <w:r>
                      <w:rPr>
                        <w:sz w:val="17"/>
                        <w:u w:val="thick" w:color="008000"/>
                      </w:rPr>
                      <w:tab/>
                    </w:r>
                    <w:r>
                      <w:rPr>
                        <w:sz w:val="17"/>
                      </w:rPr>
                      <w:t>Average: Advanced economy recessions</w:t>
                    </w:r>
                    <w:r>
                      <w:rPr>
                        <w:spacing w:val="-18"/>
                        <w:sz w:val="17"/>
                      </w:rPr>
                      <w:t> </w:t>
                    </w:r>
                    <w:r>
                      <w:rPr>
                        <w:sz w:val="17"/>
                      </w:rPr>
                      <w:t>(b) Average: Big five banking</w:t>
                    </w:r>
                    <w:r>
                      <w:rPr>
                        <w:spacing w:val="-8"/>
                        <w:sz w:val="17"/>
                      </w:rPr>
                      <w:t> </w:t>
                    </w:r>
                    <w:r>
                      <w:rPr>
                        <w:sz w:val="17"/>
                      </w:rPr>
                      <w:t>crises(c)</w:t>
                    </w:r>
                  </w:p>
                  <w:p>
                    <w:pPr>
                      <w:spacing w:line="195" w:lineRule="exact" w:before="0"/>
                      <w:ind w:left="707" w:right="0" w:firstLine="0"/>
                      <w:jc w:val="left"/>
                      <w:rPr>
                        <w:sz w:val="17"/>
                      </w:rPr>
                    </w:pPr>
                    <w:r>
                      <w:rPr>
                        <w:sz w:val="17"/>
                      </w:rPr>
                      <w:t>Euro area</w:t>
                    </w:r>
                  </w:p>
                  <w:p>
                    <w:pPr>
                      <w:tabs>
                        <w:tab w:pos="706" w:val="left" w:leader="none"/>
                      </w:tabs>
                      <w:spacing w:line="247" w:lineRule="auto" w:before="6"/>
                      <w:ind w:left="707" w:right="2838" w:hanging="427"/>
                      <w:jc w:val="left"/>
                      <w:rPr>
                        <w:sz w:val="17"/>
                      </w:rPr>
                    </w:pPr>
                    <w:r>
                      <w:rPr>
                        <w:w w:val="100"/>
                        <w:sz w:val="17"/>
                        <w:u w:val="thick" w:color="E36C09"/>
                      </w:rPr>
                      <w:t> </w:t>
                    </w:r>
                    <w:r>
                      <w:rPr>
                        <w:sz w:val="17"/>
                        <w:u w:val="thick" w:color="E36C09"/>
                      </w:rPr>
                      <w:tab/>
                    </w:r>
                    <w:r>
                      <w:rPr>
                        <w:sz w:val="17"/>
                      </w:rPr>
                      <w:t>United States United</w:t>
                    </w:r>
                    <w:r>
                      <w:rPr>
                        <w:spacing w:val="1"/>
                        <w:sz w:val="17"/>
                      </w:rPr>
                      <w:t> </w:t>
                    </w:r>
                    <w:r>
                      <w:rPr>
                        <w:spacing w:val="-3"/>
                        <w:sz w:val="17"/>
                      </w:rPr>
                      <w:t>Kingdom</w:t>
                    </w:r>
                  </w:p>
                </w:txbxContent>
              </v:textbox>
              <w10:wrap type="none"/>
            </v:shape>
            <w10:wrap type="none"/>
          </v:group>
        </w:pict>
      </w:r>
      <w:r>
        <w:rPr>
          <w:sz w:val="17"/>
        </w:rPr>
        <w:t>125</w:t>
      </w:r>
    </w:p>
    <w:p>
      <w:pPr>
        <w:spacing w:before="101"/>
        <w:ind w:left="0" w:right="110" w:firstLine="0"/>
        <w:jc w:val="center"/>
        <w:rPr>
          <w:sz w:val="17"/>
        </w:rPr>
      </w:pPr>
      <w:r>
        <w:rPr>
          <w:sz w:val="17"/>
        </w:rPr>
        <w:t>120</w:t>
      </w:r>
    </w:p>
    <w:p>
      <w:pPr>
        <w:spacing w:before="102"/>
        <w:ind w:left="0" w:right="110" w:firstLine="0"/>
        <w:jc w:val="center"/>
        <w:rPr>
          <w:sz w:val="17"/>
        </w:rPr>
      </w:pPr>
      <w:r>
        <w:rPr>
          <w:sz w:val="17"/>
        </w:rPr>
        <w:t>115</w:t>
      </w:r>
    </w:p>
    <w:p>
      <w:pPr>
        <w:spacing w:before="101"/>
        <w:ind w:left="0" w:right="110" w:firstLine="0"/>
        <w:jc w:val="center"/>
        <w:rPr>
          <w:sz w:val="17"/>
        </w:rPr>
      </w:pPr>
      <w:r>
        <w:rPr>
          <w:sz w:val="17"/>
        </w:rPr>
        <w:t>110</w:t>
      </w:r>
    </w:p>
    <w:p>
      <w:pPr>
        <w:spacing w:before="102"/>
        <w:ind w:left="0" w:right="110" w:firstLine="0"/>
        <w:jc w:val="center"/>
        <w:rPr>
          <w:sz w:val="17"/>
        </w:rPr>
      </w:pPr>
      <w:r>
        <w:rPr>
          <w:sz w:val="17"/>
        </w:rPr>
        <w:t>105</w:t>
      </w:r>
    </w:p>
    <w:p>
      <w:pPr>
        <w:spacing w:before="101"/>
        <w:ind w:left="0" w:right="110" w:firstLine="0"/>
        <w:jc w:val="center"/>
        <w:rPr>
          <w:sz w:val="17"/>
        </w:rPr>
      </w:pPr>
      <w:r>
        <w:rPr>
          <w:sz w:val="17"/>
        </w:rPr>
        <w:t>100</w:t>
      </w:r>
    </w:p>
    <w:p>
      <w:pPr>
        <w:spacing w:before="101"/>
        <w:ind w:left="0" w:right="207" w:firstLine="0"/>
        <w:jc w:val="center"/>
        <w:rPr>
          <w:sz w:val="17"/>
        </w:rPr>
      </w:pPr>
      <w:r>
        <w:rPr>
          <w:sz w:val="17"/>
        </w:rPr>
        <w:t>95</w:t>
      </w:r>
    </w:p>
    <w:p>
      <w:pPr>
        <w:spacing w:before="102"/>
        <w:ind w:left="0" w:right="207" w:firstLine="0"/>
        <w:jc w:val="center"/>
        <w:rPr>
          <w:sz w:val="17"/>
        </w:rPr>
      </w:pPr>
      <w:r>
        <w:rPr>
          <w:sz w:val="17"/>
        </w:rPr>
        <w:t>90</w:t>
      </w:r>
    </w:p>
    <w:p>
      <w:pPr>
        <w:tabs>
          <w:tab w:pos="591" w:val="left" w:leader="none"/>
          <w:tab w:pos="1210" w:val="left" w:leader="none"/>
          <w:tab w:pos="1801" w:val="left" w:leader="none"/>
          <w:tab w:pos="2392" w:val="left" w:leader="none"/>
          <w:tab w:pos="2936" w:val="left" w:leader="none"/>
          <w:tab w:pos="3527" w:val="left" w:leader="none"/>
          <w:tab w:pos="4118" w:val="left" w:leader="none"/>
          <w:tab w:pos="4710" w:val="left" w:leader="none"/>
        </w:tabs>
        <w:spacing w:before="7"/>
        <w:ind w:left="0" w:right="5398" w:firstLine="0"/>
        <w:jc w:val="center"/>
        <w:rPr>
          <w:sz w:val="17"/>
        </w:rPr>
      </w:pPr>
      <w:r>
        <w:rPr>
          <w:sz w:val="17"/>
        </w:rPr>
        <w:t>-8</w:t>
        <w:tab/>
        <w:t>-4</w:t>
        <w:tab/>
        <w:t>0</w:t>
        <w:tab/>
        <w:t>4</w:t>
        <w:tab/>
        <w:t>8</w:t>
        <w:tab/>
        <w:t>12</w:t>
        <w:tab/>
        <w:t>16</w:t>
        <w:tab/>
        <w:t>20</w:t>
        <w:tab/>
        <w:t>24</w:t>
      </w:r>
    </w:p>
    <w:p>
      <w:pPr>
        <w:spacing w:before="21"/>
        <w:ind w:left="0" w:right="5453" w:firstLine="0"/>
        <w:jc w:val="center"/>
        <w:rPr>
          <w:sz w:val="17"/>
        </w:rPr>
      </w:pPr>
      <w:r>
        <w:rPr>
          <w:sz w:val="17"/>
        </w:rPr>
        <w:t>Quarters(d)</w:t>
      </w:r>
    </w:p>
    <w:p>
      <w:pPr>
        <w:spacing w:before="93"/>
        <w:ind w:left="0" w:right="3495" w:firstLine="0"/>
        <w:jc w:val="center"/>
        <w:rPr>
          <w:sz w:val="16"/>
        </w:rPr>
      </w:pPr>
      <w:r>
        <w:rPr>
          <w:sz w:val="16"/>
        </w:rPr>
        <w:t>Sources: OECD, Reinhart and Rogoff (2008), Thomson Reuters Datastream and Bank calculations.</w:t>
      </w:r>
    </w:p>
    <w:p>
      <w:pPr>
        <w:pStyle w:val="BodyText"/>
        <w:spacing w:before="2"/>
        <w:rPr>
          <w:sz w:val="16"/>
        </w:rPr>
      </w:pPr>
    </w:p>
    <w:p>
      <w:pPr>
        <w:pStyle w:val="ListParagraph"/>
        <w:numPr>
          <w:ilvl w:val="0"/>
          <w:numId w:val="2"/>
        </w:numPr>
        <w:tabs>
          <w:tab w:pos="954" w:val="left" w:leader="none"/>
        </w:tabs>
        <w:spacing w:line="183" w:lineRule="exact" w:before="0" w:after="0"/>
        <w:ind w:left="953" w:right="0" w:hanging="361"/>
        <w:jc w:val="left"/>
        <w:rPr>
          <w:sz w:val="16"/>
        </w:rPr>
      </w:pPr>
      <w:r>
        <w:rPr>
          <w:sz w:val="16"/>
        </w:rPr>
        <w:t>Recessions are defined as at least two consecutive quarters of falling</w:t>
      </w:r>
      <w:r>
        <w:rPr>
          <w:spacing w:val="-32"/>
          <w:sz w:val="16"/>
        </w:rPr>
        <w:t> </w:t>
      </w:r>
      <w:r>
        <w:rPr>
          <w:sz w:val="16"/>
        </w:rPr>
        <w:t>output.</w:t>
      </w:r>
    </w:p>
    <w:p>
      <w:pPr>
        <w:pStyle w:val="ListParagraph"/>
        <w:numPr>
          <w:ilvl w:val="0"/>
          <w:numId w:val="2"/>
        </w:numPr>
        <w:tabs>
          <w:tab w:pos="954" w:val="left" w:leader="none"/>
        </w:tabs>
        <w:spacing w:line="240" w:lineRule="auto" w:before="0" w:after="0"/>
        <w:ind w:left="953" w:right="1236" w:hanging="360"/>
        <w:jc w:val="left"/>
        <w:rPr>
          <w:sz w:val="16"/>
        </w:rPr>
      </w:pPr>
      <w:r>
        <w:rPr>
          <w:sz w:val="16"/>
        </w:rPr>
        <w:t>Covers the G20 advanced economies over the period from 1960 to 2006. For some countries, data are not available back to 1960; for those countries, the sample starts at the earliest available</w:t>
      </w:r>
      <w:r>
        <w:rPr>
          <w:spacing w:val="-13"/>
          <w:sz w:val="16"/>
        </w:rPr>
        <w:t> </w:t>
      </w:r>
      <w:r>
        <w:rPr>
          <w:sz w:val="16"/>
        </w:rPr>
        <w:t>date.</w:t>
      </w:r>
    </w:p>
    <w:p>
      <w:pPr>
        <w:pStyle w:val="ListParagraph"/>
        <w:numPr>
          <w:ilvl w:val="0"/>
          <w:numId w:val="2"/>
        </w:numPr>
        <w:tabs>
          <w:tab w:pos="954" w:val="left" w:leader="none"/>
        </w:tabs>
        <w:spacing w:line="240" w:lineRule="auto" w:before="1" w:after="0"/>
        <w:ind w:left="953" w:right="1544" w:hanging="360"/>
        <w:jc w:val="left"/>
        <w:rPr>
          <w:sz w:val="16"/>
        </w:rPr>
      </w:pPr>
      <w:r>
        <w:rPr>
          <w:sz w:val="16"/>
        </w:rPr>
        <w:t>Big</w:t>
      </w:r>
      <w:r>
        <w:rPr>
          <w:spacing w:val="-4"/>
          <w:sz w:val="16"/>
        </w:rPr>
        <w:t> </w:t>
      </w:r>
      <w:r>
        <w:rPr>
          <w:sz w:val="16"/>
        </w:rPr>
        <w:t>five</w:t>
      </w:r>
      <w:r>
        <w:rPr>
          <w:spacing w:val="-2"/>
          <w:sz w:val="16"/>
        </w:rPr>
        <w:t> </w:t>
      </w:r>
      <w:r>
        <w:rPr>
          <w:sz w:val="16"/>
        </w:rPr>
        <w:t>banking</w:t>
      </w:r>
      <w:r>
        <w:rPr>
          <w:spacing w:val="-5"/>
          <w:sz w:val="16"/>
        </w:rPr>
        <w:t> </w:t>
      </w:r>
      <w:r>
        <w:rPr>
          <w:sz w:val="16"/>
        </w:rPr>
        <w:t>crises are</w:t>
      </w:r>
      <w:r>
        <w:rPr>
          <w:spacing w:val="-4"/>
          <w:sz w:val="16"/>
        </w:rPr>
        <w:t> </w:t>
      </w:r>
      <w:r>
        <w:rPr>
          <w:sz w:val="16"/>
        </w:rPr>
        <w:t>Spain</w:t>
      </w:r>
      <w:r>
        <w:rPr>
          <w:spacing w:val="-2"/>
          <w:sz w:val="16"/>
        </w:rPr>
        <w:t> </w:t>
      </w:r>
      <w:r>
        <w:rPr>
          <w:sz w:val="16"/>
        </w:rPr>
        <w:t>(1977),</w:t>
      </w:r>
      <w:r>
        <w:rPr>
          <w:spacing w:val="-1"/>
          <w:sz w:val="16"/>
        </w:rPr>
        <w:t> </w:t>
      </w:r>
      <w:r>
        <w:rPr>
          <w:sz w:val="16"/>
        </w:rPr>
        <w:t>Norway</w:t>
      </w:r>
      <w:r>
        <w:rPr>
          <w:spacing w:val="-3"/>
          <w:sz w:val="16"/>
        </w:rPr>
        <w:t> </w:t>
      </w:r>
      <w:r>
        <w:rPr>
          <w:sz w:val="16"/>
        </w:rPr>
        <w:t>(1987)</w:t>
      </w:r>
      <w:r>
        <w:rPr>
          <w:spacing w:val="-2"/>
          <w:sz w:val="16"/>
        </w:rPr>
        <w:t> </w:t>
      </w:r>
      <w:r>
        <w:rPr>
          <w:sz w:val="16"/>
        </w:rPr>
        <w:t>Finland</w:t>
      </w:r>
      <w:r>
        <w:rPr>
          <w:spacing w:val="-2"/>
          <w:sz w:val="16"/>
        </w:rPr>
        <w:t> </w:t>
      </w:r>
      <w:r>
        <w:rPr>
          <w:sz w:val="16"/>
        </w:rPr>
        <w:t>(1991),</w:t>
      </w:r>
      <w:r>
        <w:rPr>
          <w:spacing w:val="-1"/>
          <w:sz w:val="16"/>
        </w:rPr>
        <w:t> </w:t>
      </w:r>
      <w:r>
        <w:rPr>
          <w:sz w:val="16"/>
        </w:rPr>
        <w:t>Sweden</w:t>
      </w:r>
      <w:r>
        <w:rPr>
          <w:spacing w:val="-2"/>
          <w:sz w:val="16"/>
        </w:rPr>
        <w:t> </w:t>
      </w:r>
      <w:r>
        <w:rPr>
          <w:sz w:val="16"/>
        </w:rPr>
        <w:t>(1991)</w:t>
      </w:r>
      <w:r>
        <w:rPr>
          <w:spacing w:val="-2"/>
          <w:sz w:val="16"/>
        </w:rPr>
        <w:t> </w:t>
      </w:r>
      <w:r>
        <w:rPr>
          <w:sz w:val="16"/>
        </w:rPr>
        <w:t>and</w:t>
      </w:r>
      <w:r>
        <w:rPr>
          <w:spacing w:val="-2"/>
          <w:sz w:val="16"/>
        </w:rPr>
        <w:t> </w:t>
      </w:r>
      <w:r>
        <w:rPr>
          <w:sz w:val="16"/>
        </w:rPr>
        <w:t>Japan</w:t>
      </w:r>
      <w:r>
        <w:rPr>
          <w:spacing w:val="-2"/>
          <w:sz w:val="16"/>
        </w:rPr>
        <w:t> </w:t>
      </w:r>
      <w:r>
        <w:rPr>
          <w:sz w:val="16"/>
        </w:rPr>
        <w:t>(1992),</w:t>
      </w:r>
      <w:r>
        <w:rPr>
          <w:spacing w:val="-1"/>
          <w:sz w:val="16"/>
        </w:rPr>
        <w:t> </w:t>
      </w:r>
      <w:r>
        <w:rPr>
          <w:sz w:val="16"/>
        </w:rPr>
        <w:t>as</w:t>
      </w:r>
      <w:r>
        <w:rPr>
          <w:spacing w:val="-3"/>
          <w:sz w:val="16"/>
        </w:rPr>
        <w:t> </w:t>
      </w:r>
      <w:r>
        <w:rPr>
          <w:sz w:val="16"/>
        </w:rPr>
        <w:t>defined</w:t>
      </w:r>
      <w:r>
        <w:rPr>
          <w:spacing w:val="-4"/>
          <w:sz w:val="16"/>
        </w:rPr>
        <w:t> </w:t>
      </w:r>
      <w:r>
        <w:rPr>
          <w:sz w:val="16"/>
        </w:rPr>
        <w:t>in Reinhart and Rogoff</w:t>
      </w:r>
      <w:r>
        <w:rPr>
          <w:spacing w:val="-1"/>
          <w:sz w:val="16"/>
        </w:rPr>
        <w:t> </w:t>
      </w:r>
      <w:r>
        <w:rPr>
          <w:sz w:val="16"/>
        </w:rPr>
        <w:t>(2008).</w:t>
      </w:r>
    </w:p>
    <w:p>
      <w:pPr>
        <w:pStyle w:val="ListParagraph"/>
        <w:numPr>
          <w:ilvl w:val="0"/>
          <w:numId w:val="2"/>
        </w:numPr>
        <w:tabs>
          <w:tab w:pos="954" w:val="left" w:leader="none"/>
        </w:tabs>
        <w:spacing w:line="240" w:lineRule="auto" w:before="0" w:after="0"/>
        <w:ind w:left="953" w:right="1237" w:hanging="360"/>
        <w:jc w:val="left"/>
        <w:rPr>
          <w:sz w:val="16"/>
        </w:rPr>
      </w:pPr>
      <w:r>
        <w:rPr>
          <w:sz w:val="16"/>
        </w:rPr>
        <w:t>Zero denotes the pre-recession peak in GDP, or the peak in GDP during the year of the banking crisis, as defined in footnote (c). For the UK quarter zero is 2008 Q1; the final quarter for the UK is 2013</w:t>
      </w:r>
      <w:r>
        <w:rPr>
          <w:spacing w:val="-14"/>
          <w:sz w:val="16"/>
        </w:rPr>
        <w:t> </w:t>
      </w:r>
      <w:r>
        <w:rPr>
          <w:sz w:val="16"/>
        </w:rPr>
        <w:t>Q2.</w:t>
      </w:r>
    </w:p>
    <w:p>
      <w:pPr>
        <w:pStyle w:val="BodyText"/>
        <w:spacing w:before="10"/>
        <w:rPr>
          <w:sz w:val="23"/>
        </w:rPr>
      </w:pPr>
    </w:p>
    <w:p>
      <w:pPr>
        <w:pStyle w:val="BodyText"/>
        <w:spacing w:line="360" w:lineRule="auto" w:before="1"/>
        <w:ind w:left="233" w:right="1133"/>
      </w:pPr>
      <w:r>
        <w:rPr/>
        <w:t>Today I want to talk about forward guidance and what I see are its uses. But I want to talk at greater length about the sustainability of a period of more rapid growth and what it might mean for inflation pressures and optimal monetary policy. In doing that I will offer some thoughts on economic modelling and what I see as a deficiency in some of the most commonly used models of the whole economy.</w:t>
      </w:r>
    </w:p>
    <w:p>
      <w:pPr>
        <w:pStyle w:val="BodyText"/>
        <w:spacing w:before="9"/>
        <w:rPr>
          <w:sz w:val="29"/>
        </w:rPr>
      </w:pPr>
    </w:p>
    <w:p>
      <w:pPr>
        <w:pStyle w:val="Heading1"/>
        <w:numPr>
          <w:ilvl w:val="0"/>
          <w:numId w:val="1"/>
        </w:numPr>
        <w:tabs>
          <w:tab w:pos="591" w:val="left" w:leader="none"/>
        </w:tabs>
        <w:spacing w:line="240" w:lineRule="auto" w:before="1" w:after="0"/>
        <w:ind w:left="590" w:right="0" w:hanging="358"/>
        <w:jc w:val="left"/>
      </w:pPr>
      <w:r>
        <w:rPr/>
        <w:t>Forward</w:t>
      </w:r>
      <w:r>
        <w:rPr>
          <w:spacing w:val="-1"/>
        </w:rPr>
        <w:t> </w:t>
      </w:r>
      <w:r>
        <w:rPr/>
        <w:t>guidance</w:t>
      </w:r>
    </w:p>
    <w:p>
      <w:pPr>
        <w:pStyle w:val="BodyText"/>
        <w:rPr>
          <w:b/>
          <w:sz w:val="22"/>
        </w:rPr>
      </w:pPr>
    </w:p>
    <w:p>
      <w:pPr>
        <w:pStyle w:val="BodyText"/>
        <w:spacing w:before="3"/>
        <w:rPr>
          <w:b/>
          <w:sz w:val="18"/>
        </w:rPr>
      </w:pPr>
    </w:p>
    <w:p>
      <w:pPr>
        <w:pStyle w:val="BodyText"/>
        <w:spacing w:line="360" w:lineRule="auto" w:before="1"/>
        <w:ind w:left="233" w:right="1133"/>
      </w:pPr>
      <w:r>
        <w:rPr/>
        <w:t>Let me start with some observations about the guidance the MPC has recently given. As you will know the essence of it is this: that so long as inflation pressures remain consistent with inflation moving back to the target monetary policy will not be tightened until a recovery has been sustained long enough to take the economy much closer to its potential level of production such that unemployment is significantly lower.</w:t>
      </w:r>
      <w:r>
        <w:rPr>
          <w:vertAlign w:val="superscript"/>
        </w:rPr>
        <w:t>2</w:t>
      </w:r>
    </w:p>
    <w:p>
      <w:pPr>
        <w:pStyle w:val="BodyText"/>
        <w:spacing w:line="360" w:lineRule="auto"/>
        <w:ind w:left="233" w:right="1196"/>
      </w:pPr>
      <w:r>
        <w:rPr/>
        <w:t>To my mind the single most useful thing about giving this guidance is that it makes clear that so long as inflation pressures remain controlled then a return to a more normal monetary policy is conditional on a </w:t>
      </w:r>
      <w:r>
        <w:rPr>
          <w:i/>
        </w:rPr>
        <w:t>sustained </w:t>
      </w:r>
      <w:r>
        <w:rPr/>
        <w:t>recovery in demand which brings down the rate of unemployment. Growth at average rates, or slightly above them, for a couple of quarters is most unlikely to bring slack in the economy or the level of unemployment down significantly. So the guidance implies that a – very welcome – couple of quarters of normal (or a bit above normal) growth should not mean that policy is about to be tightened. The reason I think guidance is helpful now is that it reduces the risk that a recovery that is still somewhat embryonic is not smothered by the anticipation that a tightening in monetary policy is imminent.</w:t>
      </w:r>
    </w:p>
    <w:p>
      <w:pPr>
        <w:pStyle w:val="BodyText"/>
      </w:pPr>
    </w:p>
    <w:p>
      <w:pPr>
        <w:pStyle w:val="BodyText"/>
      </w:pPr>
    </w:p>
    <w:p>
      <w:pPr>
        <w:pStyle w:val="BodyText"/>
      </w:pPr>
    </w:p>
    <w:p>
      <w:pPr>
        <w:pStyle w:val="BodyText"/>
        <w:spacing w:before="7"/>
        <w:rPr>
          <w:sz w:val="25"/>
        </w:rPr>
      </w:pPr>
      <w:r>
        <w:rPr/>
        <w:pict>
          <v:shape style="position:absolute;margin-left:56.664001pt;margin-top:16.923290pt;width:144.050pt;height:.1pt;mso-position-horizontal-relative:page;mso-position-vertical-relative:paragraph;z-index:-251656192;mso-wrap-distance-left:0;mso-wrap-distance-right:0" coordorigin="1133,338" coordsize="2881,0" path="m1133,338l4014,338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2 </w:t>
      </w:r>
      <w:r>
        <w:rPr>
          <w:sz w:val="16"/>
        </w:rPr>
        <w:t>For details, see Bank of England (2013), </w:t>
      </w:r>
      <w:r>
        <w:rPr>
          <w:i/>
          <w:sz w:val="16"/>
        </w:rPr>
        <w:t>Monetary policy trade-offs and forward guidance, </w:t>
      </w:r>
      <w:r>
        <w:rPr>
          <w:sz w:val="16"/>
        </w:rPr>
        <w:t>London.</w:t>
      </w:r>
    </w:p>
    <w:p>
      <w:pPr>
        <w:spacing w:after="0"/>
        <w:jc w:val="left"/>
        <w:rPr>
          <w:sz w:val="16"/>
        </w:rPr>
        <w:sectPr>
          <w:footerReference w:type="default" r:id="rId8"/>
          <w:pgSz w:w="11910" w:h="16840"/>
          <w:pgMar w:footer="1338" w:header="0" w:top="1480" w:bottom="1520" w:left="900" w:right="0"/>
          <w:pgNumType w:start="3"/>
        </w:sectPr>
      </w:pPr>
    </w:p>
    <w:p>
      <w:pPr>
        <w:pStyle w:val="BodyText"/>
        <w:spacing w:line="360" w:lineRule="auto" w:before="79"/>
        <w:ind w:left="233" w:right="1156"/>
      </w:pPr>
      <w:r>
        <w:rPr/>
        <w:t>Since guidance was announced market interest rates in the UK have moved up – both at the short end of the yield curve and at longer maturities. I suspect this is largely because the weight of money is behind a view that the significant positive news on the economic outlook means that the 7% unemployment level might be reached within around eighteen months. This is rather sooner than I think is likely. It is plausible that the level of productivity – which has fallen enormously relative to the trend we have been on – will bounce back once growth becomes more sustained (See chart 2). If that is so unemployment is likely to fall rather more slowly than would be usual. None of this is certain. </w:t>
      </w:r>
      <w:r>
        <w:rPr>
          <w:spacing w:val="3"/>
        </w:rPr>
        <w:t>We </w:t>
      </w:r>
      <w:r>
        <w:rPr/>
        <w:t>shall see how things play out. Maybe the market moves will prove transient – maybe not. I should certainly be pleased if we saw unemployment fall fast </w:t>
      </w:r>
      <w:r>
        <w:rPr>
          <w:b/>
          <w:i/>
        </w:rPr>
        <w:t>and </w:t>
      </w:r>
      <w:r>
        <w:rPr/>
        <w:t>productivity move sharply back towards its trend path because that would mean growth was very strong while inflation pressures might be contained since unit labour costs would be held down by rising output per hour</w:t>
      </w:r>
      <w:r>
        <w:rPr>
          <w:spacing w:val="1"/>
        </w:rPr>
        <w:t> </w:t>
      </w:r>
      <w:r>
        <w:rPr/>
        <w:t>worked.</w:t>
      </w:r>
    </w:p>
    <w:p>
      <w:pPr>
        <w:pStyle w:val="BodyText"/>
        <w:spacing w:before="7"/>
        <w:rPr>
          <w:sz w:val="29"/>
        </w:rPr>
      </w:pPr>
    </w:p>
    <w:p>
      <w:pPr>
        <w:pStyle w:val="BodyText"/>
        <w:spacing w:before="1"/>
        <w:ind w:left="233"/>
      </w:pPr>
      <w:r>
        <w:rPr>
          <w:b/>
        </w:rPr>
        <w:t>Chart 2: </w:t>
      </w:r>
      <w:r>
        <w:rPr/>
        <w:t>Private sector labour productivity</w:t>
      </w:r>
      <w:r>
        <w:rPr>
          <w:vertAlign w:val="superscript"/>
        </w:rPr>
        <w:t>(a)</w:t>
      </w:r>
    </w:p>
    <w:p>
      <w:pPr>
        <w:pStyle w:val="BodyText"/>
        <w:spacing w:before="7"/>
        <w:rPr>
          <w:sz w:val="16"/>
        </w:rPr>
      </w:pPr>
    </w:p>
    <w:p>
      <w:pPr>
        <w:spacing w:line="170" w:lineRule="exact" w:before="0"/>
        <w:ind w:left="0" w:right="4153" w:firstLine="0"/>
        <w:jc w:val="center"/>
        <w:rPr>
          <w:sz w:val="17"/>
        </w:rPr>
      </w:pPr>
      <w:r>
        <w:rPr>
          <w:sz w:val="17"/>
        </w:rPr>
        <w:t>Indices:  2008 Q1=100</w:t>
      </w:r>
    </w:p>
    <w:p>
      <w:pPr>
        <w:spacing w:line="170" w:lineRule="exact" w:before="0"/>
        <w:ind w:left="0" w:right="2493" w:firstLine="0"/>
        <w:jc w:val="center"/>
        <w:rPr>
          <w:sz w:val="17"/>
        </w:rPr>
      </w:pPr>
      <w:r>
        <w:rPr/>
        <w:pict>
          <v:group style="position:absolute;margin-left:71.400002pt;margin-top:3.850818pt;width:172.6pt;height:124pt;mso-position-horizontal-relative:page;mso-position-vertical-relative:paragraph;z-index:251666432" coordorigin="1428,77" coordsize="3452,2480">
            <v:shape style="position:absolute;left:1442;top:79;width:3423;height:2475" coordorigin="1442,79" coordsize="3423,2475" path="m4865,2554l4865,79m4814,2554l4865,2554m4814,2244l4865,2244m4814,1935l4865,1935m4814,1625l4865,1625m4814,1315l4865,1315m4814,1006l4865,1006m4814,699l4865,699m4814,389l4865,389m4814,79l4865,79m1442,2554l4865,2554m1442,2501l1442,2554m2064,2501l2064,2554m2686,2501l2686,2554m3310,2501l3310,2554m3931,2501l3931,2554m4553,2501l4553,2554e" filled="false" stroked="true" strokeweight=".24pt" strokecolor="#000000">
              <v:path arrowok="t"/>
              <v:stroke dashstyle="solid"/>
            </v:shape>
            <v:shape style="position:absolute;left:1442;top:1178;width:3423;height:977" coordorigin="1442,1179" coordsize="3423,977" path="m1442,2155l1519,2103,1598,2083,1675,2031,1752,1971,1831,1935,1908,1839,1987,1719,2064,1747,2143,1711,2220,1711,2297,1735,2376,1695,2453,1579,2532,1591,2609,1479,2686,1491,2765,1467,2842,1455,2921,1411,2998,1363,3077,1291,3154,1203,3230,1179,3310,1315,3386,1255,3466,1371,3542,1467,3619,1551,3698,1587,3775,1599,3854,1575,3931,1479,4010,1483,4087,1491,4164,1563,4243,1507,4320,1443,4399,1455,4476,1503,4553,1531,4632,1623,4709,1647,4788,1683,4865,1699e" filled="false" stroked="true" strokeweight="1.44pt" strokecolor="#c00000">
              <v:path arrowok="t"/>
              <v:stroke dashstyle="solid"/>
            </v:shape>
            <v:shape style="position:absolute;left:3308;top:481;width:1558;height:836" coordorigin="3308,481" coordsize="1558,836" path="m3308,1317l3388,1276,3464,1237,3544,1197,3620,1158,3697,1117,3776,1077,3853,1036,3932,995,4009,954,4086,911,4165,870,4242,827,4321,786,4398,743,4477,700,4554,657,4631,613,4710,570,4787,525,4866,481e" filled="false" stroked="true" strokeweight=".140pt" strokecolor="#c00000">
              <v:path arrowok="t"/>
              <v:stroke dashstyle="shortdot"/>
            </v:shape>
            <v:shape style="position:absolute;left:2448;top:489;width:2003;height:363" type="#_x0000_t202" filled="false" stroked="false">
              <v:textbox inset="0,0,0,0">
                <w:txbxContent>
                  <w:p>
                    <w:pPr>
                      <w:spacing w:line="237" w:lineRule="auto" w:before="0"/>
                      <w:ind w:left="0" w:right="-1" w:firstLine="0"/>
                      <w:jc w:val="left"/>
                      <w:rPr>
                        <w:sz w:val="10"/>
                      </w:rPr>
                    </w:pPr>
                    <w:r>
                      <w:rPr>
                        <w:sz w:val="16"/>
                      </w:rPr>
                      <w:t>Continuation of pre-2008/09 recession average rate</w:t>
                    </w:r>
                    <w:r>
                      <w:rPr>
                        <w:position w:val="5"/>
                        <w:sz w:val="10"/>
                      </w:rPr>
                      <w:t>(b)</w:t>
                    </w:r>
                  </w:p>
                </w:txbxContent>
              </v:textbox>
              <w10:wrap type="none"/>
            </v:shape>
            <v:shape style="position:absolute;left:1893;top:2030;width:1321;height:363" type="#_x0000_t202" filled="false" stroked="false">
              <v:textbox inset="0,0,0,0">
                <w:txbxContent>
                  <w:p>
                    <w:pPr>
                      <w:spacing w:line="237" w:lineRule="auto" w:before="0"/>
                      <w:ind w:left="0" w:right="2" w:firstLine="0"/>
                      <w:jc w:val="left"/>
                      <w:rPr>
                        <w:sz w:val="16"/>
                      </w:rPr>
                    </w:pPr>
                    <w:r>
                      <w:rPr>
                        <w:sz w:val="16"/>
                      </w:rPr>
                      <w:t>Private sector labour productivity</w:t>
                    </w:r>
                  </w:p>
                </w:txbxContent>
              </v:textbox>
              <w10:wrap type="none"/>
            </v:shape>
            <w10:wrap type="none"/>
          </v:group>
        </w:pict>
      </w:r>
      <w:r>
        <w:rPr>
          <w:sz w:val="17"/>
        </w:rPr>
        <w:t>120</w:t>
      </w:r>
    </w:p>
    <w:p>
      <w:pPr>
        <w:spacing w:before="114"/>
        <w:ind w:left="0" w:right="2493" w:firstLine="0"/>
        <w:jc w:val="center"/>
        <w:rPr>
          <w:sz w:val="17"/>
        </w:rPr>
      </w:pPr>
      <w:r>
        <w:rPr>
          <w:sz w:val="17"/>
        </w:rPr>
        <w:t>115</w:t>
      </w:r>
    </w:p>
    <w:p>
      <w:pPr>
        <w:spacing w:before="114"/>
        <w:ind w:left="0" w:right="2493" w:firstLine="0"/>
        <w:jc w:val="center"/>
        <w:rPr>
          <w:sz w:val="17"/>
        </w:rPr>
      </w:pPr>
      <w:r>
        <w:rPr>
          <w:sz w:val="17"/>
        </w:rPr>
        <w:t>110</w:t>
      </w:r>
    </w:p>
    <w:p>
      <w:pPr>
        <w:spacing w:before="114"/>
        <w:ind w:left="0" w:right="2493" w:firstLine="0"/>
        <w:jc w:val="center"/>
        <w:rPr>
          <w:sz w:val="17"/>
        </w:rPr>
      </w:pPr>
      <w:r>
        <w:rPr>
          <w:sz w:val="17"/>
        </w:rPr>
        <w:t>105</w:t>
      </w:r>
    </w:p>
    <w:p>
      <w:pPr>
        <w:spacing w:before="113"/>
        <w:ind w:left="0" w:right="2493" w:firstLine="0"/>
        <w:jc w:val="center"/>
        <w:rPr>
          <w:sz w:val="17"/>
        </w:rPr>
      </w:pPr>
      <w:r>
        <w:rPr>
          <w:sz w:val="17"/>
        </w:rPr>
        <w:t>100</w:t>
      </w:r>
    </w:p>
    <w:p>
      <w:pPr>
        <w:spacing w:before="114"/>
        <w:ind w:left="0" w:right="2591" w:firstLine="0"/>
        <w:jc w:val="center"/>
        <w:rPr>
          <w:sz w:val="17"/>
        </w:rPr>
      </w:pPr>
      <w:r>
        <w:rPr>
          <w:sz w:val="17"/>
        </w:rPr>
        <w:t>95</w:t>
      </w:r>
    </w:p>
    <w:p>
      <w:pPr>
        <w:spacing w:before="114"/>
        <w:ind w:left="0" w:right="2591" w:firstLine="0"/>
        <w:jc w:val="center"/>
        <w:rPr>
          <w:sz w:val="17"/>
        </w:rPr>
      </w:pPr>
      <w:r>
        <w:rPr>
          <w:sz w:val="17"/>
        </w:rPr>
        <w:t>90</w:t>
      </w:r>
    </w:p>
    <w:p>
      <w:pPr>
        <w:spacing w:before="114"/>
        <w:ind w:left="0" w:right="2591" w:firstLine="0"/>
        <w:jc w:val="center"/>
        <w:rPr>
          <w:sz w:val="17"/>
        </w:rPr>
      </w:pPr>
      <w:r>
        <w:rPr>
          <w:sz w:val="17"/>
        </w:rPr>
        <w:t>85</w:t>
      </w:r>
    </w:p>
    <w:p>
      <w:pPr>
        <w:spacing w:before="114"/>
        <w:ind w:left="0" w:right="2591" w:firstLine="0"/>
        <w:jc w:val="center"/>
        <w:rPr>
          <w:sz w:val="17"/>
        </w:rPr>
      </w:pPr>
      <w:r>
        <w:rPr>
          <w:sz w:val="17"/>
        </w:rPr>
        <w:t>80</w:t>
      </w:r>
    </w:p>
    <w:p>
      <w:pPr>
        <w:tabs>
          <w:tab w:pos="976" w:val="left" w:leader="none"/>
          <w:tab w:pos="1599" w:val="left" w:leader="none"/>
          <w:tab w:pos="2221" w:val="left" w:leader="none"/>
          <w:tab w:pos="2844" w:val="left" w:leader="none"/>
          <w:tab w:pos="3466" w:val="left" w:leader="none"/>
        </w:tabs>
        <w:spacing w:before="7"/>
        <w:ind w:left="354" w:right="0" w:firstLine="0"/>
        <w:jc w:val="left"/>
        <w:rPr>
          <w:sz w:val="17"/>
        </w:rPr>
      </w:pPr>
      <w:r>
        <w:rPr>
          <w:sz w:val="17"/>
        </w:rPr>
        <w:t>2002</w:t>
        <w:tab/>
        <w:t>2004</w:t>
        <w:tab/>
        <w:t>2006</w:t>
        <w:tab/>
        <w:t>2008</w:t>
        <w:tab/>
        <w:t>2010</w:t>
        <w:tab/>
        <w:t>2012</w:t>
      </w:r>
    </w:p>
    <w:p>
      <w:pPr>
        <w:pStyle w:val="ListParagraph"/>
        <w:numPr>
          <w:ilvl w:val="0"/>
          <w:numId w:val="3"/>
        </w:numPr>
        <w:tabs>
          <w:tab w:pos="474" w:val="left" w:leader="none"/>
        </w:tabs>
        <w:spacing w:line="240" w:lineRule="auto" w:before="141" w:after="0"/>
        <w:ind w:left="473" w:right="0" w:hanging="241"/>
        <w:jc w:val="left"/>
        <w:rPr>
          <w:sz w:val="16"/>
        </w:rPr>
      </w:pPr>
      <w:r>
        <w:rPr>
          <w:sz w:val="16"/>
        </w:rPr>
        <w:t>Market sector output per</w:t>
      </w:r>
      <w:r>
        <w:rPr>
          <w:spacing w:val="-4"/>
          <w:sz w:val="16"/>
        </w:rPr>
        <w:t> </w:t>
      </w:r>
      <w:r>
        <w:rPr>
          <w:sz w:val="16"/>
        </w:rPr>
        <w:t>hour.</w:t>
      </w:r>
    </w:p>
    <w:p>
      <w:pPr>
        <w:pStyle w:val="ListParagraph"/>
        <w:numPr>
          <w:ilvl w:val="0"/>
          <w:numId w:val="3"/>
        </w:numPr>
        <w:tabs>
          <w:tab w:pos="474" w:val="left" w:leader="none"/>
        </w:tabs>
        <w:spacing w:line="240" w:lineRule="auto" w:before="1" w:after="0"/>
        <w:ind w:left="233" w:right="2165" w:firstLine="0"/>
        <w:jc w:val="left"/>
        <w:rPr>
          <w:sz w:val="16"/>
        </w:rPr>
      </w:pPr>
      <w:r>
        <w:rPr>
          <w:sz w:val="16"/>
        </w:rPr>
        <w:t>The continuation of the pre-2008/09 recession average rate is calculated by projecting forward labour productivity from 2008 Q2 using the average quarterly growth rate between 1999 Q3 and 2008</w:t>
      </w:r>
      <w:r>
        <w:rPr>
          <w:spacing w:val="-9"/>
          <w:sz w:val="16"/>
        </w:rPr>
        <w:t> </w:t>
      </w:r>
      <w:r>
        <w:rPr>
          <w:sz w:val="16"/>
        </w:rPr>
        <w:t>Q1.</w:t>
      </w:r>
    </w:p>
    <w:p>
      <w:pPr>
        <w:pStyle w:val="BodyText"/>
        <w:rPr>
          <w:sz w:val="18"/>
        </w:rPr>
      </w:pPr>
    </w:p>
    <w:p>
      <w:pPr>
        <w:pStyle w:val="BodyText"/>
        <w:spacing w:line="360" w:lineRule="auto" w:before="139"/>
        <w:ind w:left="233" w:right="1330"/>
      </w:pPr>
      <w:r>
        <w:rPr/>
        <w:t>For whatever their reason, the financial market movements in the month or so since guidance was given at the start of August – a period when the news on economic activity and demand in the UK has been consistently positive – have been quite significant. The 1 year OIS rate two year forward is up by around</w:t>
      </w:r>
    </w:p>
    <w:p>
      <w:pPr>
        <w:pStyle w:val="BodyText"/>
        <w:spacing w:line="360" w:lineRule="auto"/>
        <w:ind w:left="233" w:right="1218"/>
      </w:pPr>
      <w:r>
        <w:rPr/>
        <w:t>60 basis points (Chart 3); the sterling effective exchange rate is up by around 4.5% (Chart 4); 2-3 year swap rates (off which most fixed rate mortgages are priced) are up by between 16bp and 33bp (Chart 5).</w:t>
      </w:r>
    </w:p>
    <w:p>
      <w:pPr>
        <w:pStyle w:val="BodyText"/>
        <w:spacing w:before="10"/>
        <w:rPr>
          <w:sz w:val="29"/>
        </w:rPr>
      </w:pPr>
    </w:p>
    <w:p>
      <w:pPr>
        <w:pStyle w:val="BodyText"/>
        <w:spacing w:line="360" w:lineRule="auto"/>
        <w:ind w:left="233" w:right="1171"/>
      </w:pPr>
      <w:r>
        <w:rPr/>
        <w:t>These movements may not persist, but that is far from clear. Either way, I find it hard to see them as a sign that forward guidance has somehow failed at the outset. Yet some have suggested that forward guidance has backfired because the economy has picked up which means that the slow process of normalisation of monetary policy might have to begin before the middle of 2016, which was the date at which the MPC thought it was likely</w:t>
      </w:r>
      <w:r>
        <w:rPr>
          <w:vertAlign w:val="superscript"/>
        </w:rPr>
        <w:t>3</w:t>
      </w:r>
      <w:r>
        <w:rPr>
          <w:vertAlign w:val="baseline"/>
        </w:rPr>
        <w:t> that unemployment might have fallen to 7%.</w:t>
      </w:r>
    </w:p>
    <w:p>
      <w:pPr>
        <w:pStyle w:val="BodyText"/>
        <w:spacing w:before="3"/>
        <w:rPr>
          <w:sz w:val="24"/>
        </w:rPr>
      </w:pPr>
      <w:r>
        <w:rPr/>
        <w:pict>
          <v:shape style="position:absolute;margin-left:56.664001pt;margin-top:16.186886pt;width:144.050pt;height:.1pt;mso-position-horizontal-relative:page;mso-position-vertical-relative:paragraph;z-index:-251653120;mso-wrap-distance-left:0;mso-wrap-distance-right:0" coordorigin="1133,324" coordsize="2881,0" path="m1133,324l4014,324e" filled="false" stroked="true" strokeweight=".47998pt" strokecolor="#000000">
            <v:path arrowok="t"/>
            <v:stroke dashstyle="solid"/>
            <w10:wrap type="topAndBottom"/>
          </v:shape>
        </w:pict>
      </w:r>
    </w:p>
    <w:p>
      <w:pPr>
        <w:spacing w:before="27"/>
        <w:ind w:left="233" w:right="0" w:firstLine="0"/>
        <w:jc w:val="left"/>
        <w:rPr>
          <w:sz w:val="16"/>
        </w:rPr>
      </w:pPr>
      <w:r>
        <w:rPr>
          <w:position w:val="8"/>
          <w:sz w:val="10"/>
        </w:rPr>
        <w:t>3 </w:t>
      </w:r>
      <w:r>
        <w:rPr>
          <w:sz w:val="16"/>
        </w:rPr>
        <w:t>This is speaking rather loosely. To be exact, the MPC judged at the time of its August Inflation report that the</w:t>
      </w:r>
    </w:p>
    <w:p>
      <w:pPr>
        <w:spacing w:before="1"/>
        <w:ind w:left="233" w:right="1356" w:firstLine="0"/>
        <w:jc w:val="left"/>
        <w:rPr>
          <w:sz w:val="16"/>
        </w:rPr>
      </w:pPr>
      <w:r>
        <w:rPr>
          <w:sz w:val="16"/>
        </w:rPr>
        <w:t>unemployment rate is as likely to reach the 7% threshold before the forecast horizon in mid-2016 as after it. In other words, mid-2016 was the median estimate of the date at which the unemployment threshold would be reached.</w:t>
      </w:r>
    </w:p>
    <w:p>
      <w:pPr>
        <w:spacing w:after="0"/>
        <w:jc w:val="left"/>
        <w:rPr>
          <w:sz w:val="16"/>
        </w:rPr>
        <w:sectPr>
          <w:footerReference w:type="default" r:id="rId9"/>
          <w:pgSz w:w="11910" w:h="16840"/>
          <w:pgMar w:footer="1338" w:header="0" w:top="1520" w:bottom="1520" w:left="900" w:right="0"/>
          <w:pgNumType w:start="4"/>
        </w:sectPr>
      </w:pPr>
    </w:p>
    <w:p>
      <w:pPr>
        <w:spacing w:before="76"/>
        <w:ind w:left="233" w:right="0" w:firstLine="0"/>
        <w:jc w:val="left"/>
        <w:rPr>
          <w:sz w:val="20"/>
        </w:rPr>
      </w:pPr>
      <w:r>
        <w:rPr>
          <w:b/>
          <w:sz w:val="20"/>
        </w:rPr>
        <w:t>Chart 3: </w:t>
      </w:r>
      <w:r>
        <w:rPr>
          <w:sz w:val="20"/>
        </w:rPr>
        <w:t>UK 1-year OIS rate, 2 years forward</w:t>
      </w:r>
    </w:p>
    <w:p>
      <w:pPr>
        <w:pStyle w:val="BodyText"/>
        <w:rPr>
          <w:sz w:val="18"/>
        </w:rPr>
      </w:pPr>
      <w:r>
        <w:rPr/>
        <w:br w:type="column"/>
      </w:r>
      <w:r>
        <w:rPr>
          <w:sz w:val="18"/>
        </w:rPr>
      </w:r>
    </w:p>
    <w:p>
      <w:pPr>
        <w:pStyle w:val="BodyText"/>
        <w:spacing w:before="6"/>
        <w:rPr>
          <w:sz w:val="24"/>
        </w:rPr>
      </w:pPr>
    </w:p>
    <w:p>
      <w:pPr>
        <w:spacing w:before="0"/>
        <w:ind w:left="0" w:right="5355" w:firstLine="0"/>
        <w:jc w:val="right"/>
        <w:rPr>
          <w:b/>
          <w:sz w:val="17"/>
        </w:rPr>
      </w:pPr>
      <w:r>
        <w:rPr>
          <w:b/>
          <w:sz w:val="17"/>
        </w:rPr>
        <w:t>Per</w:t>
      </w:r>
      <w:r>
        <w:rPr>
          <w:b/>
          <w:spacing w:val="-6"/>
          <w:sz w:val="17"/>
        </w:rPr>
        <w:t> </w:t>
      </w:r>
      <w:r>
        <w:rPr>
          <w:b/>
          <w:sz w:val="17"/>
        </w:rPr>
        <w:t>cent</w:t>
      </w:r>
    </w:p>
    <w:p>
      <w:pPr>
        <w:spacing w:before="91"/>
        <w:ind w:left="0" w:right="5323" w:firstLine="0"/>
        <w:jc w:val="right"/>
        <w:rPr>
          <w:sz w:val="17"/>
        </w:rPr>
      </w:pPr>
      <w:r>
        <w:rPr/>
        <w:pict>
          <v:group style="position:absolute;margin-left:69.959999pt;margin-top:3.6929pt;width:237.75pt;height:115pt;mso-position-horizontal-relative:page;mso-position-vertical-relative:paragraph;z-index:251667456" coordorigin="1399,74" coordsize="4755,2300">
            <v:shape style="position:absolute;left:1406;top:73;width:4748;height:2292" coordorigin="1406,74" coordsize="4748,2292" path="m6103,2366l6103,74m6103,2366l6154,2366m6103,2123l6154,2123m6103,1883l6154,1883m6103,1643l6154,1643m6103,1401l6154,1401m6103,1161l6154,1161m6103,919l6154,919m6103,679l6154,679m6103,436l6154,436m6103,196l6154,196m1406,2366l6103,2366m1406,2315l1406,2366m2040,2315l2040,2366m2676,2315l2676,2366m3310,2315l3310,2366m3946,2315l3946,2366m4579,2315l4579,2366m5215,2315l5215,2366m5849,2315l5849,2366e" filled="false" stroked="true" strokeweight=".72pt" strokecolor="#000000">
              <v:path arrowok="t"/>
              <v:stroke dashstyle="solid"/>
            </v:shape>
            <v:shape style="position:absolute;left:1468;top:186;width:4570;height:1968" coordorigin="1469,187" coordsize="4570,1968" path="m1469,2143l1596,2155,1723,2073,1850,1802,1978,1759,2105,1679,2230,1691,2357,1749,2484,1687,2611,1382,2738,1211,2866,1065,2993,976,3120,967,3247,1195,3374,1075,3499,1036,3626,928,3754,1051,3881,1173,4008,1084,4135,1115,4262,1113,4390,967,4517,743,4644,729,4769,187,4896,465,5023,491,5150,280,5278,369,5405,508,5532,587,5659,662,5786,547,5914,235,6038,626e" filled="false" stroked="true" strokeweight="1.92pt" strokecolor="#000080">
              <v:path arrowok="t"/>
              <v:stroke dashstyle="solid"/>
            </v:shape>
            <w10:wrap type="none"/>
          </v:group>
        </w:pict>
      </w:r>
      <w:r>
        <w:rPr>
          <w:spacing w:val="-2"/>
          <w:sz w:val="17"/>
        </w:rPr>
        <w:t>1.65</w:t>
      </w:r>
    </w:p>
    <w:p>
      <w:pPr>
        <w:spacing w:before="45"/>
        <w:ind w:left="0" w:right="5323" w:firstLine="0"/>
        <w:jc w:val="right"/>
        <w:rPr>
          <w:sz w:val="17"/>
        </w:rPr>
      </w:pPr>
      <w:r>
        <w:rPr>
          <w:spacing w:val="-2"/>
          <w:sz w:val="17"/>
        </w:rPr>
        <w:t>1.55</w:t>
      </w:r>
    </w:p>
    <w:p>
      <w:pPr>
        <w:spacing w:before="46"/>
        <w:ind w:left="0" w:right="5323" w:firstLine="0"/>
        <w:jc w:val="right"/>
        <w:rPr>
          <w:sz w:val="17"/>
        </w:rPr>
      </w:pPr>
      <w:r>
        <w:rPr>
          <w:spacing w:val="-2"/>
          <w:sz w:val="17"/>
        </w:rPr>
        <w:t>1.45</w:t>
      </w:r>
    </w:p>
    <w:p>
      <w:pPr>
        <w:spacing w:before="46"/>
        <w:ind w:left="0" w:right="5323" w:firstLine="0"/>
        <w:jc w:val="right"/>
        <w:rPr>
          <w:sz w:val="17"/>
        </w:rPr>
      </w:pPr>
      <w:r>
        <w:rPr>
          <w:spacing w:val="-2"/>
          <w:sz w:val="17"/>
        </w:rPr>
        <w:t>1.35</w:t>
      </w:r>
    </w:p>
    <w:p>
      <w:pPr>
        <w:spacing w:before="45"/>
        <w:ind w:left="0" w:right="5323" w:firstLine="0"/>
        <w:jc w:val="right"/>
        <w:rPr>
          <w:sz w:val="17"/>
        </w:rPr>
      </w:pPr>
      <w:r>
        <w:rPr>
          <w:spacing w:val="-2"/>
          <w:sz w:val="17"/>
        </w:rPr>
        <w:t>1.25</w:t>
      </w:r>
    </w:p>
    <w:p>
      <w:pPr>
        <w:spacing w:before="46"/>
        <w:ind w:left="0" w:right="5323" w:firstLine="0"/>
        <w:jc w:val="right"/>
        <w:rPr>
          <w:sz w:val="17"/>
        </w:rPr>
      </w:pPr>
      <w:r>
        <w:rPr>
          <w:spacing w:val="-2"/>
          <w:sz w:val="17"/>
        </w:rPr>
        <w:t>1.15</w:t>
      </w:r>
    </w:p>
    <w:p>
      <w:pPr>
        <w:spacing w:before="46"/>
        <w:ind w:left="0" w:right="5323" w:firstLine="0"/>
        <w:jc w:val="right"/>
        <w:rPr>
          <w:sz w:val="17"/>
        </w:rPr>
      </w:pPr>
      <w:r>
        <w:rPr>
          <w:spacing w:val="-2"/>
          <w:sz w:val="17"/>
        </w:rPr>
        <w:t>1.05</w:t>
      </w:r>
    </w:p>
    <w:p>
      <w:pPr>
        <w:spacing w:before="45"/>
        <w:ind w:left="0" w:right="5323" w:firstLine="0"/>
        <w:jc w:val="right"/>
        <w:rPr>
          <w:sz w:val="17"/>
        </w:rPr>
      </w:pPr>
      <w:r>
        <w:rPr>
          <w:spacing w:val="-2"/>
          <w:sz w:val="17"/>
        </w:rPr>
        <w:t>0.95</w:t>
      </w:r>
    </w:p>
    <w:p>
      <w:pPr>
        <w:spacing w:before="46"/>
        <w:ind w:left="0" w:right="5323" w:firstLine="0"/>
        <w:jc w:val="right"/>
        <w:rPr>
          <w:sz w:val="17"/>
        </w:rPr>
      </w:pPr>
      <w:r>
        <w:rPr>
          <w:spacing w:val="-2"/>
          <w:sz w:val="17"/>
        </w:rPr>
        <w:t>0.85</w:t>
      </w:r>
    </w:p>
    <w:p>
      <w:pPr>
        <w:spacing w:before="46"/>
        <w:ind w:left="0" w:right="5323" w:firstLine="0"/>
        <w:jc w:val="right"/>
        <w:rPr>
          <w:sz w:val="17"/>
        </w:rPr>
      </w:pPr>
      <w:r>
        <w:rPr>
          <w:spacing w:val="-2"/>
          <w:sz w:val="17"/>
        </w:rPr>
        <w:t>0.75</w:t>
      </w:r>
    </w:p>
    <w:p>
      <w:pPr>
        <w:spacing w:after="0"/>
        <w:jc w:val="right"/>
        <w:rPr>
          <w:sz w:val="17"/>
        </w:rPr>
        <w:sectPr>
          <w:pgSz w:w="11910" w:h="16840"/>
          <w:pgMar w:header="0" w:footer="1338" w:top="1520" w:bottom="1520" w:left="900" w:right="0"/>
          <w:cols w:num="2" w:equalWidth="0">
            <w:col w:w="4270" w:space="478"/>
            <w:col w:w="6262"/>
          </w:cols>
        </w:sectPr>
      </w:pPr>
    </w:p>
    <w:p>
      <w:pPr>
        <w:spacing w:before="7"/>
        <w:ind w:left="343" w:right="0" w:firstLine="0"/>
        <w:jc w:val="left"/>
        <w:rPr>
          <w:sz w:val="17"/>
        </w:rPr>
      </w:pPr>
      <w:r>
        <w:rPr>
          <w:sz w:val="17"/>
        </w:rPr>
        <w:t>31 Jul 07 Aug 14 Aug 21 Aug 28 Aug 04 Sep 11 Sep 18 Sep</w:t>
      </w:r>
    </w:p>
    <w:p>
      <w:pPr>
        <w:pStyle w:val="BodyText"/>
        <w:spacing w:before="2"/>
        <w:rPr>
          <w:sz w:val="11"/>
        </w:rPr>
      </w:pPr>
    </w:p>
    <w:p>
      <w:pPr>
        <w:spacing w:before="95"/>
        <w:ind w:left="233" w:right="0" w:firstLine="0"/>
        <w:jc w:val="left"/>
        <w:rPr>
          <w:sz w:val="16"/>
        </w:rPr>
      </w:pPr>
      <w:r>
        <w:rPr>
          <w:sz w:val="16"/>
        </w:rPr>
        <w:t>Source: Bloomberg</w:t>
      </w:r>
    </w:p>
    <w:p>
      <w:pPr>
        <w:spacing w:before="92"/>
        <w:ind w:left="233" w:right="0" w:firstLine="0"/>
        <w:jc w:val="left"/>
        <w:rPr>
          <w:sz w:val="16"/>
        </w:rPr>
      </w:pPr>
      <w:r>
        <w:rPr>
          <w:sz w:val="16"/>
        </w:rPr>
        <w:t>Last observation: 19 September 2013.</w:t>
      </w:r>
    </w:p>
    <w:p>
      <w:pPr>
        <w:pStyle w:val="BodyText"/>
        <w:spacing w:before="8"/>
        <w:rPr>
          <w:sz w:val="29"/>
        </w:rPr>
      </w:pPr>
    </w:p>
    <w:p>
      <w:pPr>
        <w:spacing w:after="0"/>
        <w:rPr>
          <w:sz w:val="29"/>
        </w:rPr>
        <w:sectPr>
          <w:type w:val="continuous"/>
          <w:pgSz w:w="11910" w:h="16840"/>
          <w:pgMar w:top="1180" w:bottom="1520" w:left="900" w:right="0"/>
        </w:sectPr>
      </w:pPr>
    </w:p>
    <w:p>
      <w:pPr>
        <w:spacing w:before="93"/>
        <w:ind w:left="233" w:right="0" w:firstLine="0"/>
        <w:jc w:val="left"/>
        <w:rPr>
          <w:sz w:val="20"/>
        </w:rPr>
      </w:pPr>
      <w:r>
        <w:rPr>
          <w:b/>
          <w:sz w:val="20"/>
        </w:rPr>
        <w:t>Chart 4: </w:t>
      </w:r>
      <w:r>
        <w:rPr>
          <w:sz w:val="20"/>
        </w:rPr>
        <w:t>Sterling ERI</w:t>
      </w:r>
    </w:p>
    <w:p>
      <w:pPr>
        <w:pStyle w:val="BodyText"/>
        <w:rPr>
          <w:sz w:val="18"/>
        </w:rPr>
      </w:pPr>
      <w:r>
        <w:rPr/>
        <w:br w:type="column"/>
      </w:r>
      <w:r>
        <w:rPr>
          <w:sz w:val="18"/>
        </w:rPr>
      </w:r>
    </w:p>
    <w:p>
      <w:pPr>
        <w:pStyle w:val="BodyText"/>
        <w:spacing w:before="6"/>
        <w:rPr>
          <w:sz w:val="24"/>
        </w:rPr>
      </w:pPr>
    </w:p>
    <w:p>
      <w:pPr>
        <w:spacing w:before="1"/>
        <w:ind w:left="233" w:right="5124" w:firstLine="223"/>
        <w:jc w:val="left"/>
        <w:rPr>
          <w:sz w:val="17"/>
        </w:rPr>
      </w:pPr>
      <w:r>
        <w:rPr>
          <w:sz w:val="17"/>
        </w:rPr>
        <w:t>Index,1 August 2013</w:t>
      </w:r>
    </w:p>
    <w:p>
      <w:pPr>
        <w:spacing w:after="0"/>
        <w:jc w:val="left"/>
        <w:rPr>
          <w:sz w:val="17"/>
        </w:rPr>
        <w:sectPr>
          <w:type w:val="continuous"/>
          <w:pgSz w:w="11910" w:h="16840"/>
          <w:pgMar w:top="1180" w:bottom="1520" w:left="900" w:right="0"/>
          <w:cols w:num="2" w:equalWidth="0">
            <w:col w:w="2150" w:space="2213"/>
            <w:col w:w="6647"/>
          </w:cols>
        </w:sectPr>
      </w:pPr>
    </w:p>
    <w:p>
      <w:pPr>
        <w:spacing w:before="0"/>
        <w:ind w:left="0" w:right="171" w:firstLine="0"/>
        <w:jc w:val="right"/>
        <w:rPr>
          <w:sz w:val="17"/>
        </w:rPr>
      </w:pPr>
      <w:r>
        <w:rPr/>
        <w:pict>
          <v:group style="position:absolute;margin-left:75.839996pt;margin-top:1.752909pt;width:243.25pt;height:113.3pt;mso-position-horizontal-relative:page;mso-position-vertical-relative:paragraph;z-index:-252753920" coordorigin="1517,35" coordsize="4865,2266">
            <v:shape style="position:absolute;left:1524;top:42;width:4858;height:2259" coordorigin="1524,42" coordsize="4858,2259" path="m6329,2250l6329,42m6329,2250l6382,2250m6329,1974l6382,1974m6329,1698l6382,1698m6329,1422l6382,1422m6329,1146l6382,1146m6329,870l6382,870m6329,594l6382,594m6329,318l6382,318m6329,42l6382,42m1524,2250l6329,2250m1524,2250l1524,2301m2100,2250l2100,2301m2676,2250l2676,2301m3254,2250l3254,2301m3830,2250l3830,2301m4406,2250l4406,2301m4985,2250l4985,2301m5561,2250l5561,2301m6137,2250l6137,2301e" filled="false" stroked="true" strokeweight=".72pt" strokecolor="#858585">
              <v:path arrowok="t"/>
              <v:stroke dashstyle="solid"/>
            </v:shape>
            <v:shape style="position:absolute;left:1572;top:390;width:4709;height:1308" coordorigin="1572,390" coordsize="4709,1308" path="m1572,1698l1668,1564,1956,1413,2052,1420,2148,1199,2244,1245,2340,1264,2628,1261,2724,1185,2820,1091,2916,1021,3014,1036,3302,918,3398,995,3494,877,3590,1029,3686,1089,3974,1089,4070,1134,4166,1036,4262,985,4358,990,4646,825,4742,808,4838,700,4937,661,5033,683,5321,647,5417,685,5513,580,5609,580,5705,438,5993,469,6089,508,6185,390,6281,520e" filled="false" stroked="true" strokeweight="2.16pt" strokecolor="#17375e">
              <v:path arrowok="t"/>
              <v:stroke dashstyle="solid"/>
            </v:shape>
            <w10:wrap type="none"/>
          </v:group>
        </w:pict>
      </w:r>
      <w:r>
        <w:rPr>
          <w:sz w:val="17"/>
        </w:rPr>
        <w:t>= 100%</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25"/>
        </w:rPr>
      </w:pPr>
    </w:p>
    <w:p>
      <w:pPr>
        <w:spacing w:before="1"/>
        <w:ind w:left="403" w:right="0" w:firstLine="0"/>
        <w:jc w:val="left"/>
        <w:rPr>
          <w:sz w:val="17"/>
        </w:rPr>
      </w:pPr>
      <w:r>
        <w:rPr>
          <w:sz w:val="17"/>
        </w:rPr>
        <w:t>01</w:t>
      </w:r>
      <w:r>
        <w:rPr>
          <w:spacing w:val="-3"/>
          <w:sz w:val="17"/>
        </w:rPr>
        <w:t> </w:t>
      </w:r>
      <w:r>
        <w:rPr>
          <w:sz w:val="17"/>
        </w:rPr>
        <w:t>Aug</w:t>
      </w:r>
      <w:r>
        <w:rPr>
          <w:spacing w:val="-9"/>
          <w:sz w:val="17"/>
        </w:rPr>
        <w:t> </w:t>
      </w:r>
      <w:r>
        <w:rPr>
          <w:sz w:val="17"/>
        </w:rPr>
        <w:t>07</w:t>
      </w:r>
      <w:r>
        <w:rPr>
          <w:spacing w:val="-3"/>
          <w:sz w:val="17"/>
        </w:rPr>
        <w:t> </w:t>
      </w:r>
      <w:r>
        <w:rPr>
          <w:sz w:val="17"/>
        </w:rPr>
        <w:t>Aug</w:t>
      </w:r>
      <w:r>
        <w:rPr>
          <w:spacing w:val="-9"/>
          <w:sz w:val="17"/>
        </w:rPr>
        <w:t> </w:t>
      </w:r>
      <w:r>
        <w:rPr>
          <w:sz w:val="17"/>
        </w:rPr>
        <w:t>13</w:t>
      </w:r>
      <w:r>
        <w:rPr>
          <w:spacing w:val="-3"/>
          <w:sz w:val="17"/>
        </w:rPr>
        <w:t> </w:t>
      </w:r>
      <w:r>
        <w:rPr>
          <w:sz w:val="17"/>
        </w:rPr>
        <w:t>Aug</w:t>
      </w:r>
      <w:r>
        <w:rPr>
          <w:spacing w:val="-9"/>
          <w:sz w:val="17"/>
        </w:rPr>
        <w:t> </w:t>
      </w:r>
      <w:r>
        <w:rPr>
          <w:sz w:val="17"/>
        </w:rPr>
        <w:t>19</w:t>
      </w:r>
      <w:r>
        <w:rPr>
          <w:spacing w:val="-3"/>
          <w:sz w:val="17"/>
        </w:rPr>
        <w:t> </w:t>
      </w:r>
      <w:r>
        <w:rPr>
          <w:sz w:val="17"/>
        </w:rPr>
        <w:t>Aug</w:t>
      </w:r>
      <w:r>
        <w:rPr>
          <w:spacing w:val="-9"/>
          <w:sz w:val="17"/>
        </w:rPr>
        <w:t> </w:t>
      </w:r>
      <w:r>
        <w:rPr>
          <w:sz w:val="17"/>
        </w:rPr>
        <w:t>25</w:t>
      </w:r>
      <w:r>
        <w:rPr>
          <w:spacing w:val="-2"/>
          <w:sz w:val="17"/>
        </w:rPr>
        <w:t> </w:t>
      </w:r>
      <w:r>
        <w:rPr>
          <w:sz w:val="17"/>
        </w:rPr>
        <w:t>Aug</w:t>
      </w:r>
      <w:r>
        <w:rPr>
          <w:spacing w:val="-10"/>
          <w:sz w:val="17"/>
        </w:rPr>
        <w:t> </w:t>
      </w:r>
      <w:r>
        <w:rPr>
          <w:sz w:val="17"/>
        </w:rPr>
        <w:t>31</w:t>
      </w:r>
      <w:r>
        <w:rPr>
          <w:spacing w:val="-2"/>
          <w:sz w:val="17"/>
        </w:rPr>
        <w:t> </w:t>
      </w:r>
      <w:r>
        <w:rPr>
          <w:sz w:val="17"/>
        </w:rPr>
        <w:t>Aug</w:t>
      </w:r>
      <w:r>
        <w:rPr>
          <w:spacing w:val="-11"/>
          <w:sz w:val="17"/>
        </w:rPr>
        <w:t> </w:t>
      </w:r>
      <w:r>
        <w:rPr>
          <w:sz w:val="17"/>
        </w:rPr>
        <w:t>06</w:t>
      </w:r>
      <w:r>
        <w:rPr>
          <w:spacing w:val="-2"/>
          <w:sz w:val="17"/>
        </w:rPr>
        <w:t> </w:t>
      </w:r>
      <w:r>
        <w:rPr>
          <w:sz w:val="17"/>
        </w:rPr>
        <w:t>Sep</w:t>
      </w:r>
      <w:r>
        <w:rPr>
          <w:spacing w:val="-10"/>
          <w:sz w:val="17"/>
        </w:rPr>
        <w:t> </w:t>
      </w:r>
      <w:r>
        <w:rPr>
          <w:sz w:val="17"/>
        </w:rPr>
        <w:t>12</w:t>
      </w:r>
      <w:r>
        <w:rPr>
          <w:spacing w:val="-2"/>
          <w:sz w:val="17"/>
        </w:rPr>
        <w:t> </w:t>
      </w:r>
      <w:r>
        <w:rPr>
          <w:sz w:val="17"/>
        </w:rPr>
        <w:t>Sep</w:t>
      </w:r>
      <w:r>
        <w:rPr>
          <w:spacing w:val="-10"/>
          <w:sz w:val="17"/>
        </w:rPr>
        <w:t> </w:t>
      </w:r>
      <w:r>
        <w:rPr>
          <w:sz w:val="17"/>
        </w:rPr>
        <w:t>18</w:t>
      </w:r>
      <w:r>
        <w:rPr>
          <w:spacing w:val="-2"/>
          <w:sz w:val="17"/>
        </w:rPr>
        <w:t> </w:t>
      </w:r>
      <w:r>
        <w:rPr>
          <w:sz w:val="17"/>
        </w:rPr>
        <w:t>Sep</w:t>
      </w:r>
    </w:p>
    <w:p>
      <w:pPr>
        <w:spacing w:line="134" w:lineRule="exact" w:before="0"/>
        <w:ind w:left="-19" w:right="0" w:firstLine="0"/>
        <w:jc w:val="left"/>
        <w:rPr>
          <w:sz w:val="17"/>
        </w:rPr>
      </w:pPr>
      <w:r>
        <w:rPr/>
        <w:br w:type="column"/>
      </w:r>
      <w:r>
        <w:rPr>
          <w:sz w:val="17"/>
        </w:rPr>
        <w:t>106</w:t>
      </w:r>
    </w:p>
    <w:p>
      <w:pPr>
        <w:spacing w:before="80"/>
        <w:ind w:left="-19" w:right="0" w:firstLine="0"/>
        <w:jc w:val="left"/>
        <w:rPr>
          <w:sz w:val="17"/>
        </w:rPr>
      </w:pPr>
      <w:r>
        <w:rPr>
          <w:sz w:val="17"/>
        </w:rPr>
        <w:t>105</w:t>
      </w:r>
    </w:p>
    <w:p>
      <w:pPr>
        <w:spacing w:before="80"/>
        <w:ind w:left="-19" w:right="0" w:firstLine="0"/>
        <w:jc w:val="left"/>
        <w:rPr>
          <w:sz w:val="17"/>
        </w:rPr>
      </w:pPr>
      <w:r>
        <w:rPr>
          <w:sz w:val="17"/>
        </w:rPr>
        <w:t>104</w:t>
      </w:r>
    </w:p>
    <w:p>
      <w:pPr>
        <w:spacing w:before="81"/>
        <w:ind w:left="-19" w:right="0" w:firstLine="0"/>
        <w:jc w:val="left"/>
        <w:rPr>
          <w:sz w:val="17"/>
        </w:rPr>
      </w:pPr>
      <w:r>
        <w:rPr>
          <w:sz w:val="17"/>
        </w:rPr>
        <w:t>103</w:t>
      </w:r>
    </w:p>
    <w:p>
      <w:pPr>
        <w:spacing w:before="80"/>
        <w:ind w:left="-19" w:right="0" w:firstLine="0"/>
        <w:jc w:val="left"/>
        <w:rPr>
          <w:sz w:val="17"/>
        </w:rPr>
      </w:pPr>
      <w:r>
        <w:rPr>
          <w:sz w:val="17"/>
        </w:rPr>
        <w:t>102</w:t>
      </w:r>
    </w:p>
    <w:p>
      <w:pPr>
        <w:spacing w:before="80"/>
        <w:ind w:left="-19" w:right="0" w:firstLine="0"/>
        <w:jc w:val="left"/>
        <w:rPr>
          <w:sz w:val="17"/>
        </w:rPr>
      </w:pPr>
      <w:r>
        <w:rPr>
          <w:sz w:val="17"/>
        </w:rPr>
        <w:t>101</w:t>
      </w:r>
    </w:p>
    <w:p>
      <w:pPr>
        <w:spacing w:before="81"/>
        <w:ind w:left="-19" w:right="0" w:firstLine="0"/>
        <w:jc w:val="left"/>
        <w:rPr>
          <w:sz w:val="17"/>
        </w:rPr>
      </w:pPr>
      <w:r>
        <w:rPr>
          <w:sz w:val="17"/>
        </w:rPr>
        <w:t>100</w:t>
      </w:r>
    </w:p>
    <w:p>
      <w:pPr>
        <w:spacing w:before="80"/>
        <w:ind w:left="-19" w:right="0" w:firstLine="0"/>
        <w:jc w:val="left"/>
        <w:rPr>
          <w:sz w:val="17"/>
        </w:rPr>
      </w:pPr>
      <w:r>
        <w:rPr>
          <w:sz w:val="17"/>
        </w:rPr>
        <w:t>99</w:t>
      </w:r>
    </w:p>
    <w:p>
      <w:pPr>
        <w:spacing w:before="80"/>
        <w:ind w:left="-19" w:right="0" w:firstLine="0"/>
        <w:jc w:val="left"/>
        <w:rPr>
          <w:sz w:val="17"/>
        </w:rPr>
      </w:pPr>
      <w:r>
        <w:rPr>
          <w:sz w:val="17"/>
        </w:rPr>
        <w:t>98</w:t>
      </w:r>
    </w:p>
    <w:p>
      <w:pPr>
        <w:spacing w:after="0"/>
        <w:jc w:val="left"/>
        <w:rPr>
          <w:sz w:val="17"/>
        </w:rPr>
        <w:sectPr>
          <w:type w:val="continuous"/>
          <w:pgSz w:w="11910" w:h="16840"/>
          <w:pgMar w:top="1180" w:bottom="1520" w:left="900" w:right="0"/>
          <w:cols w:num="2" w:equalWidth="0">
            <w:col w:w="5557" w:space="40"/>
            <w:col w:w="5413"/>
          </w:cols>
        </w:sectPr>
      </w:pPr>
    </w:p>
    <w:p>
      <w:pPr>
        <w:pStyle w:val="BodyText"/>
        <w:spacing w:before="4"/>
        <w:rPr>
          <w:sz w:val="13"/>
        </w:rPr>
      </w:pPr>
    </w:p>
    <w:p>
      <w:pPr>
        <w:spacing w:before="96"/>
        <w:ind w:left="233" w:right="0" w:firstLine="0"/>
        <w:jc w:val="left"/>
        <w:rPr>
          <w:sz w:val="16"/>
        </w:rPr>
      </w:pPr>
      <w:r>
        <w:rPr>
          <w:sz w:val="16"/>
        </w:rPr>
        <w:t>Last observation: 19 September 2013.</w:t>
      </w:r>
    </w:p>
    <w:p>
      <w:pPr>
        <w:pStyle w:val="BodyText"/>
        <w:spacing w:before="10"/>
        <w:rPr>
          <w:sz w:val="29"/>
        </w:rPr>
      </w:pPr>
    </w:p>
    <w:p>
      <w:pPr>
        <w:spacing w:after="0"/>
        <w:rPr>
          <w:sz w:val="29"/>
        </w:rPr>
        <w:sectPr>
          <w:type w:val="continuous"/>
          <w:pgSz w:w="11910" w:h="16840"/>
          <w:pgMar w:top="1180" w:bottom="1520" w:left="900" w:right="0"/>
        </w:sectPr>
      </w:pPr>
    </w:p>
    <w:p>
      <w:pPr>
        <w:spacing w:before="92"/>
        <w:ind w:left="233" w:right="0" w:firstLine="0"/>
        <w:jc w:val="left"/>
        <w:rPr>
          <w:sz w:val="20"/>
        </w:rPr>
      </w:pPr>
      <w:r>
        <w:rPr>
          <w:b/>
          <w:sz w:val="20"/>
        </w:rPr>
        <w:t>Chart 5: </w:t>
      </w:r>
      <w:r>
        <w:rPr>
          <w:sz w:val="20"/>
        </w:rPr>
        <w:t>Daily swap rates</w:t>
      </w:r>
    </w:p>
    <w:p>
      <w:pPr>
        <w:pStyle w:val="BodyText"/>
        <w:rPr>
          <w:sz w:val="18"/>
        </w:rPr>
      </w:pPr>
      <w:r>
        <w:rPr/>
        <w:br w:type="column"/>
      </w:r>
      <w:r>
        <w:rPr>
          <w:sz w:val="18"/>
        </w:rPr>
      </w:r>
    </w:p>
    <w:p>
      <w:pPr>
        <w:pStyle w:val="BodyText"/>
        <w:spacing w:before="3"/>
        <w:rPr>
          <w:sz w:val="23"/>
        </w:rPr>
      </w:pPr>
    </w:p>
    <w:p>
      <w:pPr>
        <w:spacing w:before="0"/>
        <w:ind w:left="0" w:right="5424" w:firstLine="0"/>
        <w:jc w:val="right"/>
        <w:rPr>
          <w:b/>
          <w:sz w:val="17"/>
        </w:rPr>
      </w:pPr>
      <w:r>
        <w:rPr>
          <w:b/>
          <w:sz w:val="17"/>
        </w:rPr>
        <w:t>Per cent</w:t>
      </w:r>
    </w:p>
    <w:p>
      <w:pPr>
        <w:spacing w:before="14"/>
        <w:ind w:left="0" w:right="5345" w:firstLine="0"/>
        <w:jc w:val="right"/>
        <w:rPr>
          <w:sz w:val="17"/>
        </w:rPr>
      </w:pPr>
      <w:r>
        <w:rPr/>
        <w:pict>
          <v:group style="position:absolute;margin-left:72.959999pt;margin-top:5.279968pt;width:238.35pt;height:123pt;mso-position-horizontal-relative:page;mso-position-vertical-relative:paragraph;z-index:251670528" coordorigin="1459,106" coordsize="4767,2460">
            <v:shape style="position:absolute;left:1478;top:119;width:4748;height:2444" coordorigin="1478,120" coordsize="4748,2444" path="m6173,2563l6173,120m6173,2563l6226,2563m6173,2292l6226,2292m6173,2020l6226,2020m6173,1747l6226,1747m6173,1476l6226,1476m6173,1204l6226,1204m6173,933l6226,933m6173,662l6226,662m6173,391l6226,391m6173,120l6226,120m1478,2563l6173,2563m1478,2512l1478,2563m2136,2512l2136,2563m2794,2512l2794,2563m3451,2512l3451,2563m4109,2512l4109,2563m4766,2512l4766,2563m5422,2512l5422,2563m6079,2512l6079,2563e" filled="false" stroked="true" strokeweight=".24pt" strokecolor="#000000">
              <v:path arrowok="t"/>
              <v:stroke dashstyle="solid"/>
            </v:shape>
            <v:shape style="position:absolute;left:1478;top:314;width:4695;height:1277" coordorigin="1478,314" coordsize="4695,1277" path="m1478,1591l1574,1581,1668,1526,1949,1384,2042,1348,2136,1327,2230,1317,2326,1363,2606,1317,2700,1084,2794,986,2887,888,2981,823,3264,842,3358,969,3451,907,3545,864,3638,806,3922,792,4015,948,4109,897,4202,924,4296,914,4577,820,4673,708,4766,679,4860,314,4954,504,5234,554,5328,400,5422,480,5518,590,5611,624,5892,686,5986,619,6079,422,6173,686e" filled="false" stroked="true" strokeweight="1.92pt" strokecolor="#000099">
              <v:path arrowok="t"/>
              <v:stroke dashstyle="solid"/>
            </v:shape>
            <v:shape style="position:absolute;left:1478;top:1329;width:4695;height:701" coordorigin="1478,1329" coordsize="4695,701" path="m1478,2030l1574,2011,1668,1968,1949,1879,2042,1867,2136,1864,2230,1879,2326,1898,2606,1869,2700,1720,2794,1668,2887,1600,2981,1600,3264,1584,3358,1689,3451,1646,3545,1620,3638,1586,3922,1586,4015,1663,4109,1665,4202,1682,4296,1658,4577,1610,4673,1538,4766,1531,4860,1329,4954,1440,5234,1466,5328,1382,5422,1440,5518,1509,5611,1526,5892,1567,5986,1531,6079,1401,6173,1574e" filled="false" stroked="true" strokeweight="1.92pt" strokecolor="#ff9900">
              <v:path arrowok="t"/>
              <v:stroke dashstyle="solid"/>
            </v:shape>
            <v:line style="position:absolute" from="1781,206" to="2165,206" stroked="true" strokeweight="1.92pt" strokecolor="#000099">
              <v:stroke dashstyle="solid"/>
            </v:line>
            <v:line style="position:absolute" from="1781,463" to="2165,463" stroked="true" strokeweight="1.92pt" strokecolor="#ff9900">
              <v:stroke dashstyle="solid"/>
            </v:line>
            <v:shape style="position:absolute;left:2207;top:105;width:935;height:448" type="#_x0000_t202" filled="false" stroked="false">
              <v:textbox inset="0,0,0,0">
                <w:txbxContent>
                  <w:p>
                    <w:pPr>
                      <w:spacing w:line="190" w:lineRule="exact" w:before="0"/>
                      <w:ind w:left="0" w:right="0" w:firstLine="0"/>
                      <w:jc w:val="left"/>
                      <w:rPr>
                        <w:sz w:val="17"/>
                      </w:rPr>
                    </w:pPr>
                    <w:r>
                      <w:rPr>
                        <w:sz w:val="17"/>
                      </w:rPr>
                      <w:t>3 year</w:t>
                    </w:r>
                    <w:r>
                      <w:rPr>
                        <w:spacing w:val="-6"/>
                        <w:sz w:val="17"/>
                      </w:rPr>
                      <w:t> </w:t>
                    </w:r>
                    <w:r>
                      <w:rPr>
                        <w:sz w:val="17"/>
                      </w:rPr>
                      <w:t>swap</w:t>
                    </w:r>
                  </w:p>
                  <w:p>
                    <w:pPr>
                      <w:spacing w:before="61"/>
                      <w:ind w:left="0" w:right="0" w:firstLine="0"/>
                      <w:jc w:val="left"/>
                      <w:rPr>
                        <w:sz w:val="17"/>
                      </w:rPr>
                    </w:pPr>
                    <w:r>
                      <w:rPr>
                        <w:sz w:val="17"/>
                      </w:rPr>
                      <w:t>2 year</w:t>
                    </w:r>
                    <w:r>
                      <w:rPr>
                        <w:spacing w:val="-6"/>
                        <w:sz w:val="17"/>
                      </w:rPr>
                      <w:t> </w:t>
                    </w:r>
                    <w:r>
                      <w:rPr>
                        <w:sz w:val="17"/>
                      </w:rPr>
                      <w:t>swap</w:t>
                    </w:r>
                  </w:p>
                </w:txbxContent>
              </v:textbox>
              <w10:wrap type="none"/>
            </v:shape>
            <w10:wrap type="none"/>
          </v:group>
        </w:pict>
      </w:r>
      <w:r>
        <w:rPr>
          <w:spacing w:val="-1"/>
          <w:sz w:val="17"/>
        </w:rPr>
        <w:t>1.4</w:t>
      </w:r>
    </w:p>
    <w:p>
      <w:pPr>
        <w:spacing w:before="76"/>
        <w:ind w:left="0" w:right="5345" w:firstLine="0"/>
        <w:jc w:val="right"/>
        <w:rPr>
          <w:sz w:val="17"/>
        </w:rPr>
      </w:pPr>
      <w:r>
        <w:rPr>
          <w:spacing w:val="-1"/>
          <w:sz w:val="17"/>
        </w:rPr>
        <w:t>1.3</w:t>
      </w:r>
    </w:p>
    <w:p>
      <w:pPr>
        <w:spacing w:before="76"/>
        <w:ind w:left="0" w:right="5345" w:firstLine="0"/>
        <w:jc w:val="right"/>
        <w:rPr>
          <w:sz w:val="17"/>
        </w:rPr>
      </w:pPr>
      <w:r>
        <w:rPr>
          <w:spacing w:val="-1"/>
          <w:sz w:val="17"/>
        </w:rPr>
        <w:t>1.2</w:t>
      </w:r>
    </w:p>
    <w:p>
      <w:pPr>
        <w:spacing w:before="76"/>
        <w:ind w:left="0" w:right="5345" w:firstLine="0"/>
        <w:jc w:val="right"/>
        <w:rPr>
          <w:sz w:val="17"/>
        </w:rPr>
      </w:pPr>
      <w:r>
        <w:rPr>
          <w:spacing w:val="-1"/>
          <w:sz w:val="17"/>
        </w:rPr>
        <w:t>1.1</w:t>
      </w:r>
    </w:p>
    <w:p>
      <w:pPr>
        <w:spacing w:before="77"/>
        <w:ind w:left="0" w:right="5345" w:firstLine="0"/>
        <w:jc w:val="right"/>
        <w:rPr>
          <w:sz w:val="17"/>
        </w:rPr>
      </w:pPr>
      <w:r>
        <w:rPr>
          <w:spacing w:val="-1"/>
          <w:sz w:val="17"/>
        </w:rPr>
        <w:t>1.0</w:t>
      </w:r>
    </w:p>
    <w:p>
      <w:pPr>
        <w:spacing w:before="75"/>
        <w:ind w:left="0" w:right="5345" w:firstLine="0"/>
        <w:jc w:val="right"/>
        <w:rPr>
          <w:sz w:val="17"/>
        </w:rPr>
      </w:pPr>
      <w:r>
        <w:rPr>
          <w:spacing w:val="-1"/>
          <w:sz w:val="17"/>
        </w:rPr>
        <w:t>0.9</w:t>
      </w:r>
    </w:p>
    <w:p>
      <w:pPr>
        <w:spacing w:before="76"/>
        <w:ind w:left="0" w:right="5345" w:firstLine="0"/>
        <w:jc w:val="right"/>
        <w:rPr>
          <w:sz w:val="17"/>
        </w:rPr>
      </w:pPr>
      <w:r>
        <w:rPr>
          <w:spacing w:val="-1"/>
          <w:sz w:val="17"/>
        </w:rPr>
        <w:t>0.8</w:t>
      </w:r>
    </w:p>
    <w:p>
      <w:pPr>
        <w:spacing w:before="77"/>
        <w:ind w:left="0" w:right="5345" w:firstLine="0"/>
        <w:jc w:val="right"/>
        <w:rPr>
          <w:sz w:val="17"/>
        </w:rPr>
      </w:pPr>
      <w:r>
        <w:rPr>
          <w:spacing w:val="-1"/>
          <w:sz w:val="17"/>
        </w:rPr>
        <w:t>0.7</w:t>
      </w:r>
    </w:p>
    <w:p>
      <w:pPr>
        <w:spacing w:before="76"/>
        <w:ind w:left="0" w:right="5345" w:firstLine="0"/>
        <w:jc w:val="right"/>
        <w:rPr>
          <w:sz w:val="17"/>
        </w:rPr>
      </w:pPr>
      <w:r>
        <w:rPr>
          <w:spacing w:val="-1"/>
          <w:sz w:val="17"/>
        </w:rPr>
        <w:t>0.6</w:t>
      </w:r>
    </w:p>
    <w:p>
      <w:pPr>
        <w:spacing w:before="76"/>
        <w:ind w:left="0" w:right="5345" w:firstLine="0"/>
        <w:jc w:val="right"/>
        <w:rPr>
          <w:sz w:val="17"/>
        </w:rPr>
      </w:pPr>
      <w:r>
        <w:rPr>
          <w:spacing w:val="-1"/>
          <w:sz w:val="17"/>
        </w:rPr>
        <w:t>0.5</w:t>
      </w:r>
    </w:p>
    <w:p>
      <w:pPr>
        <w:spacing w:after="0"/>
        <w:jc w:val="right"/>
        <w:rPr>
          <w:sz w:val="17"/>
        </w:rPr>
        <w:sectPr>
          <w:type w:val="continuous"/>
          <w:pgSz w:w="11910" w:h="16840"/>
          <w:pgMar w:top="1180" w:bottom="1520" w:left="900" w:right="0"/>
          <w:cols w:num="2" w:equalWidth="0">
            <w:col w:w="2549" w:space="2129"/>
            <w:col w:w="6332"/>
          </w:cols>
        </w:sectPr>
      </w:pPr>
    </w:p>
    <w:p>
      <w:pPr>
        <w:spacing w:before="7"/>
        <w:ind w:left="354" w:right="0" w:firstLine="0"/>
        <w:jc w:val="left"/>
        <w:rPr>
          <w:sz w:val="17"/>
        </w:rPr>
      </w:pPr>
      <w:r>
        <w:rPr>
          <w:sz w:val="17"/>
        </w:rPr>
        <w:t>31 Jul 07 Aug 14 Aug 21 Aug 28 Aug 04 Sep 11 Sep 18 Sep</w:t>
      </w:r>
    </w:p>
    <w:p>
      <w:pPr>
        <w:spacing w:before="147"/>
        <w:ind w:left="233" w:right="0" w:firstLine="0"/>
        <w:jc w:val="left"/>
        <w:rPr>
          <w:sz w:val="16"/>
        </w:rPr>
      </w:pPr>
      <w:r>
        <w:rPr>
          <w:sz w:val="16"/>
        </w:rPr>
        <w:t>Source: Bloomberg</w:t>
      </w:r>
    </w:p>
    <w:p>
      <w:pPr>
        <w:spacing w:before="92"/>
        <w:ind w:left="233" w:right="0" w:firstLine="0"/>
        <w:jc w:val="left"/>
        <w:rPr>
          <w:sz w:val="16"/>
        </w:rPr>
      </w:pPr>
      <w:r>
        <w:rPr>
          <w:sz w:val="16"/>
        </w:rPr>
        <w:t>Last observation: 19 September 2013.</w:t>
      </w:r>
    </w:p>
    <w:p>
      <w:pPr>
        <w:spacing w:after="0"/>
        <w:jc w:val="left"/>
        <w:rPr>
          <w:sz w:val="16"/>
        </w:rPr>
        <w:sectPr>
          <w:type w:val="continuous"/>
          <w:pgSz w:w="11910" w:h="16840"/>
          <w:pgMar w:top="1180" w:bottom="1520" w:left="900" w:right="0"/>
        </w:sectPr>
      </w:pPr>
    </w:p>
    <w:p>
      <w:pPr>
        <w:pStyle w:val="BodyText"/>
        <w:tabs>
          <w:tab w:pos="1919" w:val="left" w:leader="none"/>
        </w:tabs>
        <w:spacing w:line="360" w:lineRule="auto" w:before="79"/>
        <w:ind w:left="233" w:right="1152"/>
      </w:pPr>
      <w:r>
        <w:rPr/>
        <w:t>I think there is a rather Alice in Wonderland, upside down logic to this. It implies that somehow the MPC find unwelcome signs of a recovery in the economy. I can assure you that we do not! I would be pleased if growth turned out to be strong, productivity improved and inflation moved back towards the target level over the next eighteen months. And if all that happened so that unemployment came down steadily and significantly then I should also be pleased to start the process of normalising monetary policy.  No one should want Bank Rate to be virtually zero for any longer than is needed. But it is quite possible to get average growth in the economy for 6 or 8 quarters – and maybe above average growth – and yet unemployment does not fall much because productivity growth is rapid. Not only is this possible, I think it is plausible. Chart 6 below shows just how strongly correlated are the growth in GDP and productivity. It is natural for productivity – a highly cyclical variable – to grow fast once demand picks up after a period of very anaemic</w:t>
      </w:r>
      <w:r>
        <w:rPr>
          <w:spacing w:val="-2"/>
        </w:rPr>
        <w:t> </w:t>
      </w:r>
      <w:r>
        <w:rPr/>
        <w:t>growth.</w:t>
        <w:tab/>
        <w:t>If this happened in a way that meant unemployment only fell very modestly it would also suggest that spare capacity might remain substantial and that a very expansionary monetary policy</w:t>
      </w:r>
      <w:r>
        <w:rPr>
          <w:spacing w:val="-32"/>
        </w:rPr>
        <w:t> </w:t>
      </w:r>
      <w:r>
        <w:rPr/>
        <w:t>remained appropriate.</w:t>
      </w:r>
    </w:p>
    <w:p>
      <w:pPr>
        <w:pStyle w:val="BodyText"/>
        <w:spacing w:before="9"/>
        <w:rPr>
          <w:sz w:val="29"/>
        </w:rPr>
      </w:pPr>
    </w:p>
    <w:p>
      <w:pPr>
        <w:pStyle w:val="BodyText"/>
        <w:ind w:left="233"/>
      </w:pPr>
      <w:r>
        <w:rPr>
          <w:b/>
        </w:rPr>
        <w:t>Chart 6: </w:t>
      </w:r>
      <w:r>
        <w:rPr/>
        <w:t>Growth rates of real GDP and productivity</w:t>
      </w:r>
    </w:p>
    <w:p>
      <w:pPr>
        <w:pStyle w:val="BodyText"/>
        <w:spacing w:before="4"/>
      </w:pPr>
    </w:p>
    <w:p>
      <w:pPr>
        <w:spacing w:before="0"/>
        <w:ind w:left="796" w:right="0" w:firstLine="0"/>
        <w:jc w:val="left"/>
        <w:rPr>
          <w:sz w:val="17"/>
        </w:rPr>
      </w:pPr>
      <w:r>
        <w:rPr/>
        <w:pict>
          <v:group style="position:absolute;margin-left:94.199997pt;margin-top:4.972889pt;width:206.9pt;height:100.6pt;mso-position-horizontal-relative:page;mso-position-vertical-relative:paragraph;z-index:251672576" coordorigin="1884,99" coordsize="4138,2012">
            <v:shape style="position:absolute;left:1884;top:106;width:4136;height:1997" coordorigin="1884,107" coordsize="4136,1997" path="m1937,2103l1937,107m1884,2103l1937,2103m1884,1818l1937,1818m1884,1532l1937,1532m1884,1247l1937,1247m1884,961l1937,961m1884,675l1937,675m1884,392l1937,392m1884,107l1937,107m1937,961l6019,961m1937,961l1937,999m2059,961l2059,999m2182,961l2182,999m2304,961l2304,999m2426,961l2426,999m2549,961l2549,999m2671,961l2671,999m2794,961l2794,999m2916,961l2916,999m3038,961l3038,999m3161,961l3161,999m3283,961l3283,999m3406,961l3406,999m3528,961l3528,999m3650,961l3650,999m3773,961l3773,999m3895,961l3895,999m4018,961l4018,999m4140,961l4140,999m4265,961l4265,999m4387,961l4387,999m4510,961l4510,999m4632,961l4632,999m4754,961l4754,999m4877,961l4877,999m4999,961l4999,999m5122,961l5122,999m5244,961l5244,999m5366,961l5366,999m5489,961l5489,999m5611,961l5611,999m5734,961l5734,999m5856,961l5856,999m5978,961l5978,999m1937,961l1937,1014m2182,961l2182,1014m2426,961l2426,1014m2671,961l2671,1014m2916,961l2916,1014m3161,961l3161,1014m3406,961l3406,1014m3650,961l3650,1014m3895,961l3895,1014m4140,961l4140,1014m4387,961l4387,1014m4632,961l4632,1014m4877,961l4877,1014m5122,961l5122,1014m5366,961l5366,1014m5611,961l5611,1014m5856,961l5856,1014e" filled="false" stroked="true" strokeweight=".72pt" strokecolor="#858585">
              <v:path arrowok="t"/>
              <v:stroke dashstyle="solid"/>
            </v:shape>
            <v:shape style="position:absolute;left:1956;top:334;width:4044;height:1596" coordorigin="1956,335" coordsize="4044,1596" path="m1956,675l2078,563,2201,433,2323,335,2446,392,2568,534,2690,635,2813,704,2935,620,3058,491,3182,349,3305,433,3427,563,3550,877,3672,1261,3794,1575,3917,1931,4039,1861,4162,1674,4284,1319,4406,891,4529,675,4651,620,4774,704,4896,719,5018,848,5141,819,5263,805,5386,877,5510,961,5633,947,5755,961,5878,918,6000,747e" filled="false" stroked="true" strokeweight="2.16pt" strokecolor="#497dba">
              <v:path arrowok="t"/>
              <v:stroke dashstyle="solid"/>
            </v:shape>
            <v:shape style="position:absolute;left:1956;top:490;width:3922;height:1128" coordorigin="1956,491" coordsize="3922,1128" path="m1956,747l2078,961,2201,791,2323,519,2446,591,2568,519,2690,647,2813,834,2935,647,3058,620,3182,491,3305,577,3427,635,3550,805,3672,1105,3794,1333,3917,1575,4039,1619,4162,1391,4284,1232,4406,747,4529,776,4651,776,4774,733,4896,1076,5018,733,5141,834,5263,776,5386,918,5510,1275,5633,1304,5755,1333,5878,1232e" filled="false" stroked="true" strokeweight="2.16pt" strokecolor="#bd4a47">
              <v:path arrowok="t"/>
              <v:stroke dashstyle="solid"/>
            </v:shape>
            <v:line style="position:absolute" from="4430,210" to="4814,210" stroked="true" strokeweight="2.16pt" strokecolor="#497dba">
              <v:stroke dashstyle="solid"/>
            </v:line>
            <v:line style="position:absolute" from="4430,479" to="4814,479" stroked="true" strokeweight="2.16pt" strokecolor="#bd4a47">
              <v:stroke dashstyle="solid"/>
            </v:line>
            <v:shape style="position:absolute;left:4858;top:108;width:899;height:461" type="#_x0000_t202" filled="false" stroked="false">
              <v:textbox inset="0,0,0,0">
                <w:txbxContent>
                  <w:p>
                    <w:pPr>
                      <w:spacing w:line="190" w:lineRule="exact" w:before="0"/>
                      <w:ind w:left="0" w:right="0" w:firstLine="0"/>
                      <w:jc w:val="left"/>
                      <w:rPr>
                        <w:sz w:val="17"/>
                      </w:rPr>
                    </w:pPr>
                    <w:r>
                      <w:rPr>
                        <w:sz w:val="17"/>
                      </w:rPr>
                      <w:t>Real GDP</w:t>
                    </w:r>
                  </w:p>
                  <w:p>
                    <w:pPr>
                      <w:spacing w:before="75"/>
                      <w:ind w:left="0" w:right="0" w:firstLine="0"/>
                      <w:jc w:val="left"/>
                      <w:rPr>
                        <w:sz w:val="17"/>
                      </w:rPr>
                    </w:pPr>
                    <w:r>
                      <w:rPr>
                        <w:sz w:val="17"/>
                      </w:rPr>
                      <w:t>Productivity</w:t>
                    </w:r>
                  </w:p>
                </w:txbxContent>
              </v:textbox>
              <w10:wrap type="none"/>
            </v:shape>
            <w10:wrap type="none"/>
          </v:group>
        </w:pict>
      </w:r>
      <w:r>
        <w:rPr>
          <w:w w:val="100"/>
          <w:sz w:val="17"/>
        </w:rPr>
        <w:t>6</w:t>
      </w:r>
    </w:p>
    <w:p>
      <w:pPr>
        <w:spacing w:before="90"/>
        <w:ind w:left="796" w:right="0" w:firstLine="0"/>
        <w:jc w:val="left"/>
        <w:rPr>
          <w:sz w:val="17"/>
        </w:rPr>
      </w:pPr>
      <w:r>
        <w:rPr>
          <w:w w:val="100"/>
          <w:sz w:val="17"/>
        </w:rPr>
        <w:t>4</w:t>
      </w:r>
    </w:p>
    <w:p>
      <w:pPr>
        <w:spacing w:before="90"/>
        <w:ind w:left="796" w:right="0" w:firstLine="0"/>
        <w:jc w:val="left"/>
        <w:rPr>
          <w:sz w:val="17"/>
        </w:rPr>
      </w:pPr>
      <w:r>
        <w:rPr/>
        <w:pict>
          <v:shape style="position:absolute;margin-left:68.423073pt;margin-top:14.38519pt;width:11.55pt;height:33.65pt;mso-position-horizontal-relative:page;mso-position-vertical-relative:paragraph;z-index:251673600" type="#_x0000_t202" filled="false" stroked="false">
            <v:textbox inset="0,0,0,0" style="layout-flow:vertical;mso-layout-flow-alt:bottom-to-top">
              <w:txbxContent>
                <w:p>
                  <w:pPr>
                    <w:spacing w:before="15"/>
                    <w:ind w:left="20" w:right="0" w:firstLine="0"/>
                    <w:jc w:val="left"/>
                    <w:rPr>
                      <w:sz w:val="17"/>
                    </w:rPr>
                  </w:pPr>
                  <w:r>
                    <w:rPr>
                      <w:sz w:val="17"/>
                    </w:rPr>
                    <w:t>Per cent</w:t>
                  </w:r>
                </w:p>
              </w:txbxContent>
            </v:textbox>
            <w10:wrap type="none"/>
          </v:shape>
        </w:pict>
      </w:r>
      <w:r>
        <w:rPr>
          <w:w w:val="100"/>
          <w:sz w:val="17"/>
        </w:rPr>
        <w:t>2</w:t>
      </w:r>
    </w:p>
    <w:p>
      <w:pPr>
        <w:spacing w:before="89"/>
        <w:ind w:left="796" w:right="0" w:firstLine="0"/>
        <w:jc w:val="left"/>
        <w:rPr>
          <w:sz w:val="17"/>
        </w:rPr>
      </w:pPr>
      <w:r>
        <w:rPr>
          <w:w w:val="100"/>
          <w:sz w:val="17"/>
        </w:rPr>
        <w:t>0</w:t>
      </w:r>
    </w:p>
    <w:p>
      <w:pPr>
        <w:spacing w:before="90"/>
        <w:ind w:left="739" w:right="0" w:firstLine="0"/>
        <w:jc w:val="left"/>
        <w:rPr>
          <w:sz w:val="17"/>
        </w:rPr>
      </w:pPr>
      <w:r>
        <w:rPr>
          <w:sz w:val="17"/>
        </w:rPr>
        <w:t>-2</w:t>
      </w:r>
    </w:p>
    <w:p>
      <w:pPr>
        <w:spacing w:before="90"/>
        <w:ind w:left="739" w:right="0" w:firstLine="0"/>
        <w:jc w:val="left"/>
        <w:rPr>
          <w:sz w:val="17"/>
        </w:rPr>
      </w:pPr>
      <w:r>
        <w:rPr>
          <w:sz w:val="17"/>
        </w:rPr>
        <w:t>-4</w:t>
      </w:r>
    </w:p>
    <w:p>
      <w:pPr>
        <w:spacing w:before="89"/>
        <w:ind w:left="739" w:right="0" w:firstLine="0"/>
        <w:jc w:val="left"/>
        <w:rPr>
          <w:sz w:val="17"/>
        </w:rPr>
      </w:pPr>
      <w:r>
        <w:rPr>
          <w:sz w:val="17"/>
        </w:rPr>
        <w:t>-6</w:t>
      </w:r>
    </w:p>
    <w:p>
      <w:pPr>
        <w:spacing w:before="91"/>
        <w:ind w:left="739" w:right="0" w:firstLine="0"/>
        <w:jc w:val="left"/>
        <w:rPr>
          <w:sz w:val="17"/>
        </w:rPr>
      </w:pPr>
      <w:r>
        <w:rPr/>
        <w:pict>
          <v:shape style="position:absolute;margin-left:92.107071pt;margin-top:13.95359pt;width:207.6pt;height:28.95pt;mso-position-horizontal-relative:page;mso-position-vertical-relative:paragraph;z-index:251674624" type="#_x0000_t202" filled="false" stroked="false">
            <v:textbox inset="0,0,0,0" style="layout-flow:vertical;mso-layout-flow-alt:bottom-to-top">
              <w:txbxContent>
                <w:p>
                  <w:pPr>
                    <w:spacing w:before="15"/>
                    <w:ind w:left="29" w:right="0" w:firstLine="0"/>
                    <w:jc w:val="left"/>
                    <w:rPr>
                      <w:sz w:val="17"/>
                    </w:rPr>
                  </w:pPr>
                  <w:r>
                    <w:rPr>
                      <w:sz w:val="17"/>
                    </w:rPr>
                    <w:t>Mar</w:t>
                  </w:r>
                  <w:r>
                    <w:rPr>
                      <w:spacing w:val="-2"/>
                      <w:sz w:val="17"/>
                    </w:rPr>
                    <w:t> </w:t>
                  </w:r>
                  <w:r>
                    <w:rPr>
                      <w:sz w:val="17"/>
                    </w:rPr>
                    <w:t>05</w:t>
                  </w:r>
                </w:p>
                <w:p>
                  <w:pPr>
                    <w:spacing w:before="49"/>
                    <w:ind w:left="20" w:right="0" w:firstLine="0"/>
                    <w:jc w:val="left"/>
                    <w:rPr>
                      <w:sz w:val="17"/>
                    </w:rPr>
                  </w:pPr>
                  <w:r>
                    <w:rPr>
                      <w:sz w:val="17"/>
                    </w:rPr>
                    <w:t>Sep</w:t>
                  </w:r>
                  <w:r>
                    <w:rPr>
                      <w:spacing w:val="-2"/>
                      <w:sz w:val="17"/>
                    </w:rPr>
                    <w:t> </w:t>
                  </w:r>
                  <w:r>
                    <w:rPr>
                      <w:sz w:val="17"/>
                    </w:rPr>
                    <w:t>05</w:t>
                  </w:r>
                </w:p>
                <w:p>
                  <w:pPr>
                    <w:spacing w:before="50"/>
                    <w:ind w:left="29" w:right="0" w:firstLine="0"/>
                    <w:jc w:val="left"/>
                    <w:rPr>
                      <w:sz w:val="17"/>
                    </w:rPr>
                  </w:pPr>
                  <w:r>
                    <w:rPr>
                      <w:sz w:val="17"/>
                    </w:rPr>
                    <w:t>Mar</w:t>
                  </w:r>
                  <w:r>
                    <w:rPr>
                      <w:spacing w:val="-2"/>
                      <w:sz w:val="17"/>
                    </w:rPr>
                    <w:t> </w:t>
                  </w:r>
                  <w:r>
                    <w:rPr>
                      <w:sz w:val="17"/>
                    </w:rPr>
                    <w:t>06</w:t>
                  </w:r>
                </w:p>
                <w:p>
                  <w:pPr>
                    <w:spacing w:before="49"/>
                    <w:ind w:left="20" w:right="0" w:firstLine="0"/>
                    <w:jc w:val="left"/>
                    <w:rPr>
                      <w:sz w:val="17"/>
                    </w:rPr>
                  </w:pPr>
                  <w:r>
                    <w:rPr>
                      <w:sz w:val="17"/>
                    </w:rPr>
                    <w:t>Sep</w:t>
                  </w:r>
                  <w:r>
                    <w:rPr>
                      <w:spacing w:val="-2"/>
                      <w:sz w:val="17"/>
                    </w:rPr>
                    <w:t> </w:t>
                  </w:r>
                  <w:r>
                    <w:rPr>
                      <w:sz w:val="17"/>
                    </w:rPr>
                    <w:t>06</w:t>
                  </w:r>
                </w:p>
                <w:p>
                  <w:pPr>
                    <w:spacing w:before="50"/>
                    <w:ind w:left="29" w:right="0" w:firstLine="0"/>
                    <w:jc w:val="left"/>
                    <w:rPr>
                      <w:sz w:val="17"/>
                    </w:rPr>
                  </w:pPr>
                  <w:r>
                    <w:rPr>
                      <w:sz w:val="17"/>
                    </w:rPr>
                    <w:t>Mar</w:t>
                  </w:r>
                  <w:r>
                    <w:rPr>
                      <w:spacing w:val="-2"/>
                      <w:sz w:val="17"/>
                    </w:rPr>
                    <w:t> </w:t>
                  </w:r>
                  <w:r>
                    <w:rPr>
                      <w:sz w:val="17"/>
                    </w:rPr>
                    <w:t>07</w:t>
                  </w:r>
                </w:p>
                <w:p>
                  <w:pPr>
                    <w:spacing w:before="50"/>
                    <w:ind w:left="20" w:right="0" w:firstLine="0"/>
                    <w:jc w:val="left"/>
                    <w:rPr>
                      <w:sz w:val="17"/>
                    </w:rPr>
                  </w:pPr>
                  <w:r>
                    <w:rPr>
                      <w:sz w:val="17"/>
                    </w:rPr>
                    <w:t>Sep</w:t>
                  </w:r>
                  <w:r>
                    <w:rPr>
                      <w:spacing w:val="-2"/>
                      <w:sz w:val="17"/>
                    </w:rPr>
                    <w:t> </w:t>
                  </w:r>
                  <w:r>
                    <w:rPr>
                      <w:sz w:val="17"/>
                    </w:rPr>
                    <w:t>07</w:t>
                  </w:r>
                </w:p>
                <w:p>
                  <w:pPr>
                    <w:spacing w:before="49"/>
                    <w:ind w:left="29" w:right="0" w:firstLine="0"/>
                    <w:jc w:val="left"/>
                    <w:rPr>
                      <w:sz w:val="17"/>
                    </w:rPr>
                  </w:pPr>
                  <w:r>
                    <w:rPr>
                      <w:sz w:val="17"/>
                    </w:rPr>
                    <w:t>Mar</w:t>
                  </w:r>
                  <w:r>
                    <w:rPr>
                      <w:spacing w:val="-2"/>
                      <w:sz w:val="17"/>
                    </w:rPr>
                    <w:t> </w:t>
                  </w:r>
                  <w:r>
                    <w:rPr>
                      <w:sz w:val="17"/>
                    </w:rPr>
                    <w:t>08</w:t>
                  </w:r>
                </w:p>
                <w:p>
                  <w:pPr>
                    <w:spacing w:before="50"/>
                    <w:ind w:left="20" w:right="0" w:firstLine="0"/>
                    <w:jc w:val="left"/>
                    <w:rPr>
                      <w:sz w:val="17"/>
                    </w:rPr>
                  </w:pPr>
                  <w:r>
                    <w:rPr>
                      <w:sz w:val="17"/>
                    </w:rPr>
                    <w:t>Sep</w:t>
                  </w:r>
                  <w:r>
                    <w:rPr>
                      <w:spacing w:val="-2"/>
                      <w:sz w:val="17"/>
                    </w:rPr>
                    <w:t> </w:t>
                  </w:r>
                  <w:r>
                    <w:rPr>
                      <w:sz w:val="17"/>
                    </w:rPr>
                    <w:t>08</w:t>
                  </w:r>
                </w:p>
                <w:p>
                  <w:pPr>
                    <w:spacing w:before="49"/>
                    <w:ind w:left="29" w:right="0" w:firstLine="0"/>
                    <w:jc w:val="left"/>
                    <w:rPr>
                      <w:sz w:val="17"/>
                    </w:rPr>
                  </w:pPr>
                  <w:r>
                    <w:rPr>
                      <w:sz w:val="17"/>
                    </w:rPr>
                    <w:t>Mar</w:t>
                  </w:r>
                  <w:r>
                    <w:rPr>
                      <w:spacing w:val="-2"/>
                      <w:sz w:val="17"/>
                    </w:rPr>
                    <w:t> </w:t>
                  </w:r>
                  <w:r>
                    <w:rPr>
                      <w:sz w:val="17"/>
                    </w:rPr>
                    <w:t>09</w:t>
                  </w:r>
                </w:p>
                <w:p>
                  <w:pPr>
                    <w:spacing w:before="50"/>
                    <w:ind w:left="20" w:right="0" w:firstLine="0"/>
                    <w:jc w:val="left"/>
                    <w:rPr>
                      <w:sz w:val="17"/>
                    </w:rPr>
                  </w:pPr>
                  <w:r>
                    <w:rPr>
                      <w:sz w:val="17"/>
                    </w:rPr>
                    <w:t>Sep</w:t>
                  </w:r>
                  <w:r>
                    <w:rPr>
                      <w:spacing w:val="-2"/>
                      <w:sz w:val="17"/>
                    </w:rPr>
                    <w:t> </w:t>
                  </w:r>
                  <w:r>
                    <w:rPr>
                      <w:sz w:val="17"/>
                    </w:rPr>
                    <w:t>09</w:t>
                  </w:r>
                </w:p>
                <w:p>
                  <w:pPr>
                    <w:spacing w:before="50"/>
                    <w:ind w:left="29" w:right="0" w:firstLine="0"/>
                    <w:jc w:val="left"/>
                    <w:rPr>
                      <w:sz w:val="17"/>
                    </w:rPr>
                  </w:pPr>
                  <w:r>
                    <w:rPr>
                      <w:sz w:val="17"/>
                    </w:rPr>
                    <w:t>Mar</w:t>
                  </w:r>
                  <w:r>
                    <w:rPr>
                      <w:spacing w:val="-2"/>
                      <w:sz w:val="17"/>
                    </w:rPr>
                    <w:t> </w:t>
                  </w:r>
                  <w:r>
                    <w:rPr>
                      <w:sz w:val="17"/>
                    </w:rPr>
                    <w:t>10</w:t>
                  </w:r>
                </w:p>
                <w:p>
                  <w:pPr>
                    <w:spacing w:before="49"/>
                    <w:ind w:left="20" w:right="0" w:firstLine="0"/>
                    <w:jc w:val="left"/>
                    <w:rPr>
                      <w:sz w:val="17"/>
                    </w:rPr>
                  </w:pPr>
                  <w:r>
                    <w:rPr>
                      <w:sz w:val="17"/>
                    </w:rPr>
                    <w:t>Sep</w:t>
                  </w:r>
                  <w:r>
                    <w:rPr>
                      <w:spacing w:val="-2"/>
                      <w:sz w:val="17"/>
                    </w:rPr>
                    <w:t> </w:t>
                  </w:r>
                  <w:r>
                    <w:rPr>
                      <w:sz w:val="17"/>
                    </w:rPr>
                    <w:t>10</w:t>
                  </w:r>
                </w:p>
                <w:p>
                  <w:pPr>
                    <w:spacing w:before="50"/>
                    <w:ind w:left="29" w:right="0" w:firstLine="0"/>
                    <w:jc w:val="left"/>
                    <w:rPr>
                      <w:sz w:val="17"/>
                    </w:rPr>
                  </w:pPr>
                  <w:r>
                    <w:rPr>
                      <w:sz w:val="17"/>
                    </w:rPr>
                    <w:t>Mar</w:t>
                  </w:r>
                  <w:r>
                    <w:rPr>
                      <w:spacing w:val="-2"/>
                      <w:sz w:val="17"/>
                    </w:rPr>
                    <w:t> </w:t>
                  </w:r>
                  <w:r>
                    <w:rPr>
                      <w:sz w:val="17"/>
                    </w:rPr>
                    <w:t>11</w:t>
                  </w:r>
                </w:p>
                <w:p>
                  <w:pPr>
                    <w:spacing w:before="50"/>
                    <w:ind w:left="20" w:right="0" w:firstLine="0"/>
                    <w:jc w:val="left"/>
                    <w:rPr>
                      <w:sz w:val="17"/>
                    </w:rPr>
                  </w:pPr>
                  <w:r>
                    <w:rPr>
                      <w:sz w:val="17"/>
                    </w:rPr>
                    <w:t>Sep</w:t>
                  </w:r>
                  <w:r>
                    <w:rPr>
                      <w:spacing w:val="-2"/>
                      <w:sz w:val="17"/>
                    </w:rPr>
                    <w:t> </w:t>
                  </w:r>
                  <w:r>
                    <w:rPr>
                      <w:sz w:val="17"/>
                    </w:rPr>
                    <w:t>11</w:t>
                  </w:r>
                </w:p>
                <w:p>
                  <w:pPr>
                    <w:spacing w:before="49"/>
                    <w:ind w:left="29" w:right="0" w:firstLine="0"/>
                    <w:jc w:val="left"/>
                    <w:rPr>
                      <w:sz w:val="17"/>
                    </w:rPr>
                  </w:pPr>
                  <w:r>
                    <w:rPr>
                      <w:sz w:val="17"/>
                    </w:rPr>
                    <w:t>Mar</w:t>
                  </w:r>
                  <w:r>
                    <w:rPr>
                      <w:spacing w:val="-2"/>
                      <w:sz w:val="17"/>
                    </w:rPr>
                    <w:t> </w:t>
                  </w:r>
                  <w:r>
                    <w:rPr>
                      <w:sz w:val="17"/>
                    </w:rPr>
                    <w:t>12</w:t>
                  </w:r>
                </w:p>
                <w:p>
                  <w:pPr>
                    <w:spacing w:before="50"/>
                    <w:ind w:left="20" w:right="0" w:firstLine="0"/>
                    <w:jc w:val="left"/>
                    <w:rPr>
                      <w:sz w:val="17"/>
                    </w:rPr>
                  </w:pPr>
                  <w:r>
                    <w:rPr>
                      <w:sz w:val="17"/>
                    </w:rPr>
                    <w:t>Sep</w:t>
                  </w:r>
                  <w:r>
                    <w:rPr>
                      <w:spacing w:val="-2"/>
                      <w:sz w:val="17"/>
                    </w:rPr>
                    <w:t> </w:t>
                  </w:r>
                  <w:r>
                    <w:rPr>
                      <w:sz w:val="17"/>
                    </w:rPr>
                    <w:t>12</w:t>
                  </w:r>
                </w:p>
                <w:p>
                  <w:pPr>
                    <w:spacing w:before="49"/>
                    <w:ind w:left="29" w:right="0" w:firstLine="0"/>
                    <w:jc w:val="left"/>
                    <w:rPr>
                      <w:sz w:val="17"/>
                    </w:rPr>
                  </w:pPr>
                  <w:r>
                    <w:rPr>
                      <w:sz w:val="17"/>
                    </w:rPr>
                    <w:t>Mar</w:t>
                  </w:r>
                  <w:r>
                    <w:rPr>
                      <w:spacing w:val="-2"/>
                      <w:sz w:val="17"/>
                    </w:rPr>
                    <w:t> </w:t>
                  </w:r>
                  <w:r>
                    <w:rPr>
                      <w:sz w:val="17"/>
                    </w:rPr>
                    <w:t>13</w:t>
                  </w:r>
                </w:p>
              </w:txbxContent>
            </v:textbox>
            <w10:wrap type="none"/>
          </v:shape>
        </w:pict>
      </w:r>
      <w:r>
        <w:rPr>
          <w:sz w:val="17"/>
        </w:rPr>
        <w:t>-8</w:t>
      </w:r>
    </w:p>
    <w:p>
      <w:pPr>
        <w:pStyle w:val="BodyText"/>
      </w:pPr>
    </w:p>
    <w:p>
      <w:pPr>
        <w:pStyle w:val="BodyText"/>
      </w:pPr>
    </w:p>
    <w:p>
      <w:pPr>
        <w:pStyle w:val="BodyText"/>
        <w:spacing w:before="8"/>
      </w:pPr>
    </w:p>
    <w:p>
      <w:pPr>
        <w:spacing w:before="96"/>
        <w:ind w:left="233" w:right="0" w:firstLine="0"/>
        <w:jc w:val="left"/>
        <w:rPr>
          <w:sz w:val="16"/>
        </w:rPr>
      </w:pPr>
      <w:r>
        <w:rPr>
          <w:sz w:val="16"/>
        </w:rPr>
        <w:t>Sources: ONS, Bank calculations.</w:t>
      </w:r>
    </w:p>
    <w:p>
      <w:pPr>
        <w:spacing w:before="92"/>
        <w:ind w:left="233" w:right="0" w:firstLine="0"/>
        <w:jc w:val="left"/>
        <w:rPr>
          <w:sz w:val="16"/>
        </w:rPr>
      </w:pPr>
      <w:r>
        <w:rPr>
          <w:sz w:val="16"/>
        </w:rPr>
        <w:t>Quarterly data. Annual growth rates on quarter a year ago. Productivity is measured as output per hour.</w:t>
      </w:r>
    </w:p>
    <w:p>
      <w:pPr>
        <w:pStyle w:val="BodyText"/>
        <w:rPr>
          <w:sz w:val="18"/>
        </w:rPr>
      </w:pPr>
    </w:p>
    <w:p>
      <w:pPr>
        <w:pStyle w:val="BodyText"/>
        <w:spacing w:before="10"/>
        <w:rPr>
          <w:sz w:val="19"/>
        </w:rPr>
      </w:pPr>
    </w:p>
    <w:p>
      <w:pPr>
        <w:pStyle w:val="BodyText"/>
        <w:spacing w:line="360" w:lineRule="auto"/>
        <w:ind w:left="233" w:right="1173"/>
      </w:pPr>
      <w:r>
        <w:rPr/>
        <w:t>I don’t want to put much emphasis on some of the more bizarre interpretations as to what counts as success or failure of guidance. I think most businesses and households get the basic message – that so long as inflation pressures appear relatively well contained and consistent with a return to target then it is only when there has been a sustained recovery that has eaten significantly into slack that policy will be tightened. And in fact although I think the, relatively modest, tightening in effective monetary conditions since early August – the rise in bond yields, the appreciation of sterling; the increase in money market rates – is not in itself helpful, it is what I would call a benign tightening. By a benign tightening I mean that it is a response to stronger news on economic activity and confidence – and not a malign tightening, when a rise in money market interest rates and in bond yields comes as people expect higher inflation down the road.</w:t>
      </w:r>
    </w:p>
    <w:p>
      <w:pPr>
        <w:pStyle w:val="BodyText"/>
        <w:spacing w:before="2"/>
        <w:rPr>
          <w:sz w:val="30"/>
        </w:rPr>
      </w:pPr>
    </w:p>
    <w:p>
      <w:pPr>
        <w:pStyle w:val="BodyText"/>
        <w:spacing w:line="357" w:lineRule="auto" w:before="1"/>
        <w:ind w:left="233" w:right="1133"/>
      </w:pPr>
      <w:r>
        <w:rPr/>
        <w:t>So while the tightening in monetary conditions is not a very helpful consequence of the news we have had over the past couple of months the fact is that that economic news has been good. The surveys and the</w:t>
      </w:r>
    </w:p>
    <w:p>
      <w:pPr>
        <w:spacing w:after="0" w:line="357" w:lineRule="auto"/>
        <w:sectPr>
          <w:pgSz w:w="11910" w:h="16840"/>
          <w:pgMar w:header="0" w:footer="1338" w:top="1520" w:bottom="1520" w:left="900" w:right="0"/>
        </w:sectPr>
      </w:pPr>
    </w:p>
    <w:p>
      <w:pPr>
        <w:pStyle w:val="BodyText"/>
        <w:spacing w:line="360" w:lineRule="auto" w:before="79"/>
        <w:ind w:left="233" w:right="1171"/>
      </w:pPr>
      <w:r>
        <w:rPr/>
        <w:t>data on activity have been rather stronger than we might have expected at our August meeting (when we had already factored in some fairly favourable data relative to July). I would guess that right now we might have a rate of growth in the economy of between 2.5 and 3.5%. I think that is unambiguously good. The key questions are whether it can carry on, and if it does, what does it mean for the trajectory of inflation and the appropriate monetary</w:t>
      </w:r>
      <w:r>
        <w:rPr>
          <w:spacing w:val="-4"/>
        </w:rPr>
        <w:t> </w:t>
      </w:r>
      <w:r>
        <w:rPr/>
        <w:t>policy.</w:t>
      </w:r>
    </w:p>
    <w:p>
      <w:pPr>
        <w:pStyle w:val="BodyText"/>
        <w:spacing w:before="8"/>
        <w:rPr>
          <w:sz w:val="29"/>
        </w:rPr>
      </w:pPr>
    </w:p>
    <w:p>
      <w:pPr>
        <w:pStyle w:val="Heading1"/>
        <w:numPr>
          <w:ilvl w:val="0"/>
          <w:numId w:val="1"/>
        </w:numPr>
        <w:tabs>
          <w:tab w:pos="591" w:val="left" w:leader="none"/>
        </w:tabs>
        <w:spacing w:line="240" w:lineRule="auto" w:before="0" w:after="0"/>
        <w:ind w:left="590" w:right="0" w:hanging="358"/>
        <w:jc w:val="left"/>
      </w:pPr>
      <w:r>
        <w:rPr/>
        <w:t>The sustainability of a recovery and monetary</w:t>
      </w:r>
      <w:r>
        <w:rPr>
          <w:spacing w:val="-7"/>
        </w:rPr>
        <w:t> </w:t>
      </w:r>
      <w:r>
        <w:rPr/>
        <w:t>policy</w:t>
      </w:r>
    </w:p>
    <w:p>
      <w:pPr>
        <w:pStyle w:val="BodyText"/>
        <w:rPr>
          <w:b/>
          <w:sz w:val="22"/>
        </w:rPr>
      </w:pPr>
    </w:p>
    <w:p>
      <w:pPr>
        <w:pStyle w:val="BodyText"/>
        <w:spacing w:before="1"/>
        <w:rPr>
          <w:b/>
          <w:sz w:val="18"/>
        </w:rPr>
      </w:pPr>
    </w:p>
    <w:p>
      <w:pPr>
        <w:pStyle w:val="BodyText"/>
        <w:spacing w:line="360" w:lineRule="auto"/>
        <w:ind w:left="233" w:right="1151"/>
      </w:pPr>
      <w:r>
        <w:rPr/>
        <w:t>I think there are good reasons to believe that for an economy that has been in a deep recession there can be multiple equilibrium paths forward. By which I mean that for a given stance of policy there can be different paths for output.  On some of them people are more optimistic in a way that is self-confirming.  On others, low confidence about activity also becomes self-confirming. I think it is pretty clear that the higher growth, more-optimistic path is better, and indeed much of the academic literature on multiple equilibria in the aggregate economy shows that some paths are unambiguously better than others (they are Pareto</w:t>
      </w:r>
      <w:r>
        <w:rPr>
          <w:spacing w:val="-31"/>
        </w:rPr>
        <w:t> </w:t>
      </w:r>
      <w:r>
        <w:rPr/>
        <w:t>superior).</w:t>
      </w:r>
    </w:p>
    <w:p>
      <w:pPr>
        <w:pStyle w:val="BodyText"/>
        <w:spacing w:before="3"/>
        <w:rPr>
          <w:sz w:val="30"/>
        </w:rPr>
      </w:pPr>
    </w:p>
    <w:p>
      <w:pPr>
        <w:pStyle w:val="BodyText"/>
        <w:spacing w:line="360" w:lineRule="auto"/>
        <w:ind w:left="233" w:right="1133"/>
      </w:pPr>
      <w:r>
        <w:rPr/>
        <w:t>This idea that there are multiple paths for the aggregate economy each of which could be an equilibrium has a long tradition in economics. </w:t>
      </w:r>
      <w:r>
        <w:rPr>
          <w:vertAlign w:val="superscript"/>
        </w:rPr>
        <w:t>4</w:t>
      </w:r>
      <w:r>
        <w:rPr>
          <w:vertAlign w:val="baseline"/>
        </w:rPr>
        <w:t> It is probably the central message of Keynesian economics. Keynes argued that expectations over future returns are volatile and crucial in shaping investment and consumption plans.</w:t>
      </w:r>
      <w:r>
        <w:rPr>
          <w:vertAlign w:val="superscript"/>
        </w:rPr>
        <w:t>5</w:t>
      </w:r>
      <w:r>
        <w:rPr>
          <w:vertAlign w:val="baseline"/>
        </w:rPr>
        <w:t> Swings in households’ and firms’ expectations can move the economy from a good to a bad equilibrium, and vice versa.</w:t>
      </w:r>
    </w:p>
    <w:p>
      <w:pPr>
        <w:pStyle w:val="BodyText"/>
        <w:spacing w:before="10"/>
        <w:rPr>
          <w:sz w:val="29"/>
        </w:rPr>
      </w:pPr>
    </w:p>
    <w:p>
      <w:pPr>
        <w:pStyle w:val="BodyText"/>
        <w:spacing w:line="360" w:lineRule="auto"/>
        <w:ind w:left="233" w:right="1158"/>
      </w:pPr>
      <w:r>
        <w:rPr/>
        <w:t>But Keynes’ central message – that there can be multiple equilibria – has been lost in the standard models most economists have used over the past 10 to 15 years. These are models that get labelled New Keynesian, but in which assumptions are usually made to ensure that the model has a unique equilibrium for output and employment. Such models also have the property that the real economy tends to be</w:t>
      </w:r>
    </w:p>
    <w:p>
      <w:pPr>
        <w:pStyle w:val="BodyText"/>
        <w:spacing w:line="360" w:lineRule="auto" w:before="1"/>
        <w:ind w:left="233" w:right="1133"/>
      </w:pPr>
      <w:r>
        <w:rPr/>
        <w:t>self-correcting – shocks will take the level of output, investment and employment away from its steady path for a while but there are strong forces which attract them back towards the path they were on in the absence of shocks.</w:t>
      </w:r>
    </w:p>
    <w:p>
      <w:pPr>
        <w:pStyle w:val="BodyText"/>
        <w:rPr>
          <w:sz w:val="30"/>
        </w:rPr>
      </w:pPr>
    </w:p>
    <w:p>
      <w:pPr>
        <w:pStyle w:val="BodyText"/>
        <w:spacing w:line="360" w:lineRule="auto"/>
        <w:ind w:left="233" w:right="1133"/>
      </w:pPr>
      <w:r>
        <w:rPr/>
        <w:t>I have much sympathy with the idea that the central message from Keynes – that there can be multiple equilibria – has been lost in the standard models most economists, and central banks, have used in recent years. Roger Farmer</w:t>
      </w:r>
      <w:r>
        <w:rPr>
          <w:vertAlign w:val="superscript"/>
        </w:rPr>
        <w:t>6</w:t>
      </w:r>
      <w:r>
        <w:rPr>
          <w:vertAlign w:val="baseline"/>
        </w:rPr>
        <w:t> and Lawrence Summers – amongst others – have made this point and some of the ideas in Robert Hall’s recent Jackson Hole paper chime with it.</w:t>
      </w:r>
      <w:r>
        <w:rPr>
          <w:vertAlign w:val="superscript"/>
        </w:rPr>
        <w:t>7</w:t>
      </w:r>
    </w:p>
    <w:p>
      <w:pPr>
        <w:pStyle w:val="BodyText"/>
      </w:pPr>
    </w:p>
    <w:p>
      <w:pPr>
        <w:pStyle w:val="BodyText"/>
        <w:spacing w:before="3"/>
        <w:rPr>
          <w:sz w:val="29"/>
        </w:rPr>
      </w:pPr>
      <w:r>
        <w:rPr/>
        <w:pict>
          <v:shape style="position:absolute;margin-left:56.664001pt;margin-top:19.049198pt;width:144.050pt;height:.1pt;mso-position-horizontal-relative:page;mso-position-vertical-relative:paragraph;z-index:-251640832;mso-wrap-distance-left:0;mso-wrap-distance-right:0" coordorigin="1133,381" coordsize="2881,0" path="m1133,381l4014,381e" filled="false" stroked="true" strokeweight=".48004pt" strokecolor="#000000">
            <v:path arrowok="t"/>
            <v:stroke dashstyle="solid"/>
            <w10:wrap type="topAndBottom"/>
          </v:shape>
        </w:pict>
      </w:r>
    </w:p>
    <w:p>
      <w:pPr>
        <w:spacing w:before="30"/>
        <w:ind w:left="233" w:right="1277" w:firstLine="0"/>
        <w:jc w:val="left"/>
        <w:rPr>
          <w:sz w:val="16"/>
        </w:rPr>
      </w:pPr>
      <w:r>
        <w:rPr>
          <w:position w:val="8"/>
          <w:sz w:val="10"/>
        </w:rPr>
        <w:t>4 </w:t>
      </w:r>
      <w:r>
        <w:rPr>
          <w:sz w:val="16"/>
        </w:rPr>
        <w:t>Costas Azarides provides a concise overview in the New Palgrave Dictionary of Economics, Second Edition, 2008. For a discussion from a game-theoretic angle, see Russell Cooper (1999), “Coordination games: Complementarities and Macroeconomics”, Cambridge University Press.</w:t>
      </w:r>
    </w:p>
    <w:p>
      <w:pPr>
        <w:spacing w:line="182" w:lineRule="exact" w:before="4"/>
        <w:ind w:left="233" w:right="1133" w:firstLine="0"/>
        <w:jc w:val="left"/>
        <w:rPr>
          <w:sz w:val="16"/>
        </w:rPr>
      </w:pPr>
      <w:r>
        <w:rPr>
          <w:position w:val="8"/>
          <w:sz w:val="10"/>
        </w:rPr>
        <w:t>5 </w:t>
      </w:r>
      <w:r>
        <w:rPr>
          <w:sz w:val="16"/>
        </w:rPr>
        <w:t>Much of this literature formalises ideas that are in chapters 5 and 12 of Keynes’ 1936, </w:t>
      </w:r>
      <w:r>
        <w:rPr>
          <w:i/>
          <w:sz w:val="16"/>
        </w:rPr>
        <w:t>The general theory of employment, interest and </w:t>
      </w:r>
      <w:r>
        <w:rPr>
          <w:i/>
          <w:sz w:val="16"/>
        </w:rPr>
        <w:t>money</w:t>
      </w:r>
      <w:r>
        <w:rPr>
          <w:sz w:val="16"/>
        </w:rPr>
        <w:t>, London: Macmillan.</w:t>
      </w:r>
    </w:p>
    <w:p>
      <w:pPr>
        <w:spacing w:line="171" w:lineRule="exact" w:before="0"/>
        <w:ind w:left="233" w:right="0" w:firstLine="0"/>
        <w:jc w:val="left"/>
        <w:rPr>
          <w:sz w:val="16"/>
        </w:rPr>
      </w:pPr>
      <w:r>
        <w:rPr>
          <w:position w:val="8"/>
          <w:sz w:val="10"/>
        </w:rPr>
        <w:t>6 </w:t>
      </w:r>
      <w:r>
        <w:rPr>
          <w:sz w:val="16"/>
        </w:rPr>
        <w:t>Roger E A Farmer (2013), </w:t>
      </w:r>
      <w:r>
        <w:rPr>
          <w:i/>
          <w:sz w:val="16"/>
        </w:rPr>
        <w:t>The Natural Rate Hypothesis: An idea past its sell-by-date</w:t>
      </w:r>
      <w:r>
        <w:rPr>
          <w:sz w:val="16"/>
        </w:rPr>
        <w:t>, NBER Working Paper No. 19267.</w:t>
      </w:r>
    </w:p>
    <w:p>
      <w:pPr>
        <w:spacing w:line="196" w:lineRule="exact" w:before="0"/>
        <w:ind w:left="233" w:right="0" w:firstLine="0"/>
        <w:jc w:val="left"/>
        <w:rPr>
          <w:sz w:val="16"/>
        </w:rPr>
      </w:pPr>
      <w:r>
        <w:rPr>
          <w:position w:val="8"/>
          <w:sz w:val="10"/>
        </w:rPr>
        <w:t>7 </w:t>
      </w:r>
      <w:r>
        <w:rPr>
          <w:sz w:val="16"/>
        </w:rPr>
        <w:t>Robert E Hall (2013), </w:t>
      </w:r>
      <w:r>
        <w:rPr>
          <w:i/>
          <w:sz w:val="16"/>
        </w:rPr>
        <w:t>The Natural Rate of Interest, Financial Crises, and the Zero Lower Bound</w:t>
      </w:r>
      <w:r>
        <w:rPr>
          <w:sz w:val="16"/>
        </w:rPr>
        <w:t>, Mimeo.</w:t>
      </w:r>
    </w:p>
    <w:p>
      <w:pPr>
        <w:spacing w:after="0" w:line="196" w:lineRule="exact"/>
        <w:jc w:val="left"/>
        <w:rPr>
          <w:sz w:val="16"/>
        </w:rPr>
        <w:sectPr>
          <w:footerReference w:type="default" r:id="rId10"/>
          <w:pgSz w:w="11910" w:h="16840"/>
          <w:pgMar w:footer="1338" w:header="0" w:top="1520" w:bottom="1520" w:left="900" w:right="0"/>
          <w:pgNumType w:start="7"/>
        </w:sectPr>
      </w:pPr>
    </w:p>
    <w:p>
      <w:pPr>
        <w:pStyle w:val="BodyText"/>
        <w:spacing w:line="360" w:lineRule="auto" w:before="79"/>
        <w:ind w:left="233" w:right="1171"/>
      </w:pPr>
      <w:r>
        <w:rPr/>
        <w:t>For much of the time a view of the world that sees it as having strong self-correcting characteristics that generates a path for output which fluctuates around a fairly smooth expansion path may be a reasonable approximation. But when shocks are really big the forces drawing real output and employment back towards the path they had been on – a path that in some sense remains a feasible one despite the shock – can be very weak. So weak in fact that the economy may get stuck on a different trajectory for activity for so long that for practical purposes it might as well be considered as a new equilibrium path that does not converge back to the old one. One might – somewhat loosely – think of this view of the world as one with multiple equilibria.</w:t>
      </w:r>
    </w:p>
    <w:p>
      <w:pPr>
        <w:pStyle w:val="BodyText"/>
        <w:spacing w:before="10"/>
        <w:rPr>
          <w:sz w:val="29"/>
        </w:rPr>
      </w:pPr>
    </w:p>
    <w:p>
      <w:pPr>
        <w:pStyle w:val="BodyText"/>
        <w:spacing w:line="360" w:lineRule="auto"/>
        <w:ind w:left="233" w:right="1133"/>
      </w:pPr>
      <w:r>
        <w:rPr/>
        <w:t>Let me sketch</w:t>
      </w:r>
      <w:r>
        <w:rPr>
          <w:vertAlign w:val="superscript"/>
        </w:rPr>
        <w:t>8</w:t>
      </w:r>
      <w:r>
        <w:rPr>
          <w:vertAlign w:val="baseline"/>
        </w:rPr>
        <w:t> one version of the multiple equilibria story which seems relevant to the UK economy and to the sustainability of a path forwards from here along which there is much higher growth. It seems sensible to start by considering where we start from.</w:t>
      </w:r>
    </w:p>
    <w:p>
      <w:pPr>
        <w:pStyle w:val="BodyText"/>
        <w:rPr>
          <w:sz w:val="30"/>
        </w:rPr>
      </w:pPr>
    </w:p>
    <w:p>
      <w:pPr>
        <w:pStyle w:val="BodyText"/>
        <w:spacing w:line="360" w:lineRule="auto" w:before="1"/>
        <w:ind w:left="233" w:right="1133"/>
      </w:pPr>
      <w:r>
        <w:rPr/>
        <w:t>The financial crisis hit the UK economy hard. In 2008 and 2009 a dramatic rise in uncertainty and a rational fear that future incomes might be much lower sharply reduced the value of assets. That reinforced the pessimistic assessment of people’s own finances and of the general economic situation taking their expectations to new lows (Chart 7). Unsurprisingly, consumption spending declined sharply (Chart 8).</w:t>
      </w:r>
    </w:p>
    <w:p>
      <w:pPr>
        <w:pStyle w:val="BodyText"/>
        <w:spacing w:before="9"/>
        <w:rPr>
          <w:sz w:val="29"/>
        </w:rPr>
      </w:pPr>
    </w:p>
    <w:p>
      <w:pPr>
        <w:pStyle w:val="BodyText"/>
        <w:ind w:left="233"/>
      </w:pPr>
      <w:r>
        <w:rPr>
          <w:b/>
        </w:rPr>
        <w:t>Chart 7</w:t>
      </w:r>
      <w:r>
        <w:rPr/>
        <w:t>: Households’ personal financial and general economic situation expectations</w:t>
      </w:r>
    </w:p>
    <w:p>
      <w:pPr>
        <w:pStyle w:val="BodyText"/>
      </w:pPr>
    </w:p>
    <w:p>
      <w:pPr>
        <w:pStyle w:val="BodyText"/>
        <w:spacing w:before="6"/>
        <w:rPr>
          <w:sz w:val="16"/>
        </w:rPr>
      </w:pPr>
    </w:p>
    <w:p>
      <w:pPr>
        <w:spacing w:line="178" w:lineRule="exact" w:before="96"/>
        <w:ind w:left="0" w:right="4601" w:firstLine="0"/>
        <w:jc w:val="center"/>
        <w:rPr>
          <w:sz w:val="16"/>
        </w:rPr>
      </w:pPr>
      <w:r>
        <w:rPr>
          <w:sz w:val="16"/>
        </w:rPr>
        <w:t>Net balances (percentage point differences from averages since 1997)</w:t>
      </w:r>
    </w:p>
    <w:p>
      <w:pPr>
        <w:spacing w:line="178" w:lineRule="exact" w:before="0"/>
        <w:ind w:left="0" w:right="103" w:firstLine="0"/>
        <w:jc w:val="center"/>
        <w:rPr>
          <w:sz w:val="16"/>
        </w:rPr>
      </w:pPr>
      <w:r>
        <w:rPr/>
        <w:pict>
          <v:group style="position:absolute;margin-left:78.959999pt;margin-top:4.439302pt;width:228.75pt;height:127pt;mso-position-horizontal-relative:page;mso-position-vertical-relative:paragraph;z-index:251679744" coordorigin="1579,89" coordsize="4575,2540">
            <v:shape style="position:absolute;left:1596;top:91;width:4527;height:2535" coordorigin="1596,91" coordsize="4527,2535" path="m6122,2626l6122,91m6074,2626l6122,2626m6074,2263l6122,2263m6074,1901l6122,1901m6074,1538l6122,1538m6074,1178l6122,1178m6074,816l6122,816m6074,454l6122,454m6074,91l6122,91m1596,2626l6122,2626m1596,2578l1596,2626m2198,2578l2198,2626m2803,2578l2803,2626m3408,2578l3408,2626m4010,2578l4010,2626m4615,2578l4615,2626m5218,2578l5218,2626m5822,2578l5822,2626e" filled="false" stroked="true" strokeweight=".24pt" strokecolor="#000000">
              <v:path arrowok="t"/>
              <v:stroke dashstyle="solid"/>
            </v:shape>
            <v:shape style="position:absolute;left:1596;top:854;width:4541;height:1047" coordorigin="1596,854" coordsize="4541,1047" path="m1596,1001l1642,902,1694,1051,1742,854,1795,943,1843,876,1896,958,1946,946,1997,974,2047,876,2098,936,2148,914,2198,1015,2246,960,2297,950,2347,982,2398,914,2448,917,2498,914,2549,931,2599,900,2650,869,2700,982,2753,982,2803,1068,2851,1104,2902,1123,2952,1330,3002,1428,3053,1622,3103,1901,3156,1735,3204,1706,3257,1759,3305,1692,3358,1694,3408,1848,3454,1706,3506,1601,3554,1550,3607,1442,3655,1380,3708,1322,3758,1354,3809,1178,3859,1130,3910,1135,3960,1181,4010,1104,4058,1087,4109,1145,4159,1210,4210,1351,4260,1308,4310,1373,4361,1337,4411,1464,4462,1402,4512,1543,4562,1558,4615,1692,4661,1714,4711,1721,4762,1848,4812,1514,4862,1630,4915,1644,4966,1687,5016,1723,5066,1752,5117,1723,5167,1709,5218,1615,5266,1608,5318,1714,5366,1750,5419,1694,5467,1666,5520,1529,5570,1630,5621,1630,5671,1800,5722,1601,5772,1579,5822,1543,5870,1622,5921,1543,5971,1514,6022,1550,6072,1572,6122,1282,6137,1292e" filled="false" stroked="true" strokeweight="1.68pt" strokecolor="#000080">
              <v:path arrowok="t"/>
              <v:stroke dashstyle="solid"/>
            </v:shape>
            <v:shape style="position:absolute;left:1596;top:352;width:4541;height:2124" coordorigin="1596,353" coordsize="4541,2124" path="m1596,1193l1642,1135,1694,1274,1742,1330,1795,1392,1843,1387,1896,1236,1946,1392,1997,1342,2047,1130,2098,1286,2148,1250,2198,1373,2246,1399,2297,1344,2347,1344,2398,1138,2448,1114,2498,1166,2549,1121,2599,1202,2650,1217,2700,1308,2753,1442,2803,1495,2851,1608,2902,1666,2952,1901,3002,2018,3053,2220,3103,2477,3156,2261,3204,2076,3257,2064,3305,1958,3358,2122,3408,2362,3454,2143,3506,1850,3554,1366,3607,1416,3655,1094,3708,1015,3758,967,3809,581,3859,636,3910,559,3960,689,4010,504,4058,353,4109,494,4159,602,4210,888,4260,1003,4310,1327,4361,1037,4411,1303,4462,1385,4512,1457,4562,1363,4615,1601,4661,1750,4711,1721,4762,1870,4812,1370,4862,1459,4915,1550,4966,1745,5016,1750,5066,1908,5117,1927,5167,2042,5218,1750,5266,1699,5318,1745,5366,1930,5419,1766,5467,1877,5520,1663,5570,1630,5621,1757,5671,1774,5722,1310,5772,1615,5822,1423,5870,1510,5921,1606,5971,1584,6022,1471,6072,1330,6122,938,6137,886e" filled="false" stroked="true" strokeweight="1.68pt" strokecolor="#ff66ff">
              <v:path arrowok="t"/>
              <v:stroke dashstyle="solid"/>
            </v:shape>
            <v:line style="position:absolute" from="1586,1178" to="6146,1178" stroked="true" strokeweight=".96pt" strokecolor="#000000">
              <v:stroke dashstyle="solid"/>
            </v:line>
            <v:shape style="position:absolute;left:1684;top:481;width:1690;height:363" type="#_x0000_t202" filled="false" stroked="false">
              <v:textbox inset="0,0,0,0">
                <w:txbxContent>
                  <w:p>
                    <w:pPr>
                      <w:spacing w:line="237" w:lineRule="auto" w:before="0"/>
                      <w:ind w:left="0" w:right="9" w:firstLine="0"/>
                      <w:jc w:val="left"/>
                      <w:rPr>
                        <w:sz w:val="10"/>
                      </w:rPr>
                    </w:pPr>
                    <w:r>
                      <w:rPr>
                        <w:sz w:val="16"/>
                      </w:rPr>
                      <w:t>Personal financial situation expectations</w:t>
                    </w:r>
                    <w:r>
                      <w:rPr>
                        <w:position w:val="5"/>
                        <w:sz w:val="10"/>
                      </w:rPr>
                      <w:t>(a)</w:t>
                    </w:r>
                  </w:p>
                </w:txbxContent>
              </v:textbox>
              <w10:wrap type="none"/>
            </v:shape>
            <v:shape style="position:absolute;left:1675;top:1775;width:1324;height:547" type="#_x0000_t202" filled="false" stroked="false">
              <v:textbox inset="0,0,0,0">
                <w:txbxContent>
                  <w:p>
                    <w:pPr>
                      <w:spacing w:line="240" w:lineRule="auto" w:before="0"/>
                      <w:ind w:left="0" w:right="5" w:firstLine="0"/>
                      <w:jc w:val="left"/>
                      <w:rPr>
                        <w:sz w:val="10"/>
                      </w:rPr>
                    </w:pPr>
                    <w:r>
                      <w:rPr>
                        <w:sz w:val="16"/>
                      </w:rPr>
                      <w:t>General economic situation expectations</w:t>
                    </w:r>
                    <w:r>
                      <w:rPr>
                        <w:position w:val="5"/>
                        <w:sz w:val="10"/>
                      </w:rPr>
                      <w:t>(b)</w:t>
                    </w:r>
                  </w:p>
                </w:txbxContent>
              </v:textbox>
              <w10:wrap type="none"/>
            </v:shape>
            <w10:wrap type="none"/>
          </v:group>
        </w:pict>
      </w:r>
      <w:r>
        <w:rPr>
          <w:sz w:val="16"/>
        </w:rPr>
        <w:t>30</w:t>
      </w:r>
    </w:p>
    <w:p>
      <w:pPr>
        <w:pStyle w:val="BodyText"/>
        <w:spacing w:before="5"/>
        <w:rPr>
          <w:sz w:val="15"/>
        </w:rPr>
      </w:pPr>
    </w:p>
    <w:p>
      <w:pPr>
        <w:spacing w:before="1"/>
        <w:ind w:left="0" w:right="103" w:firstLine="0"/>
        <w:jc w:val="center"/>
        <w:rPr>
          <w:sz w:val="16"/>
        </w:rPr>
      </w:pPr>
      <w:r>
        <w:rPr>
          <w:sz w:val="16"/>
        </w:rPr>
        <w:t>20</w:t>
      </w:r>
    </w:p>
    <w:p>
      <w:pPr>
        <w:pStyle w:val="BodyText"/>
        <w:spacing w:before="5"/>
        <w:rPr>
          <w:sz w:val="15"/>
        </w:rPr>
      </w:pPr>
    </w:p>
    <w:p>
      <w:pPr>
        <w:spacing w:before="0"/>
        <w:ind w:left="0" w:right="103" w:firstLine="0"/>
        <w:jc w:val="center"/>
        <w:rPr>
          <w:sz w:val="16"/>
        </w:rPr>
      </w:pPr>
      <w:r>
        <w:rPr>
          <w:sz w:val="16"/>
        </w:rPr>
        <w:t>10</w:t>
      </w:r>
    </w:p>
    <w:p>
      <w:pPr>
        <w:pStyle w:val="BodyText"/>
        <w:spacing w:before="5"/>
        <w:rPr>
          <w:sz w:val="15"/>
        </w:rPr>
      </w:pPr>
    </w:p>
    <w:p>
      <w:pPr>
        <w:spacing w:before="0"/>
        <w:ind w:left="0" w:right="191" w:firstLine="0"/>
        <w:jc w:val="center"/>
        <w:rPr>
          <w:sz w:val="16"/>
        </w:rPr>
      </w:pPr>
      <w:r>
        <w:rPr>
          <w:w w:val="100"/>
          <w:sz w:val="16"/>
        </w:rPr>
        <w:t>0</w:t>
      </w:r>
    </w:p>
    <w:p>
      <w:pPr>
        <w:pStyle w:val="BodyText"/>
        <w:spacing w:before="6"/>
        <w:rPr>
          <w:sz w:val="15"/>
        </w:rPr>
      </w:pPr>
    </w:p>
    <w:p>
      <w:pPr>
        <w:spacing w:before="0"/>
        <w:ind w:left="0" w:right="51" w:firstLine="0"/>
        <w:jc w:val="center"/>
        <w:rPr>
          <w:sz w:val="16"/>
        </w:rPr>
      </w:pPr>
      <w:r>
        <w:rPr>
          <w:sz w:val="16"/>
        </w:rPr>
        <w:t>-10</w:t>
      </w:r>
    </w:p>
    <w:p>
      <w:pPr>
        <w:pStyle w:val="BodyText"/>
        <w:spacing w:before="5"/>
        <w:rPr>
          <w:sz w:val="15"/>
        </w:rPr>
      </w:pPr>
    </w:p>
    <w:p>
      <w:pPr>
        <w:spacing w:before="0"/>
        <w:ind w:left="0" w:right="51" w:firstLine="0"/>
        <w:jc w:val="center"/>
        <w:rPr>
          <w:sz w:val="16"/>
        </w:rPr>
      </w:pPr>
      <w:r>
        <w:rPr>
          <w:sz w:val="16"/>
        </w:rPr>
        <w:t>-20</w:t>
      </w:r>
    </w:p>
    <w:p>
      <w:pPr>
        <w:pStyle w:val="BodyText"/>
        <w:spacing w:before="6"/>
        <w:rPr>
          <w:sz w:val="15"/>
        </w:rPr>
      </w:pPr>
    </w:p>
    <w:p>
      <w:pPr>
        <w:spacing w:before="0"/>
        <w:ind w:left="0" w:right="51" w:firstLine="0"/>
        <w:jc w:val="center"/>
        <w:rPr>
          <w:sz w:val="16"/>
        </w:rPr>
      </w:pPr>
      <w:r>
        <w:rPr>
          <w:sz w:val="16"/>
        </w:rPr>
        <w:t>-30</w:t>
      </w:r>
    </w:p>
    <w:p>
      <w:pPr>
        <w:pStyle w:val="BodyText"/>
        <w:spacing w:before="5"/>
        <w:rPr>
          <w:sz w:val="15"/>
        </w:rPr>
      </w:pPr>
    </w:p>
    <w:p>
      <w:pPr>
        <w:spacing w:before="0"/>
        <w:ind w:left="0" w:right="51" w:firstLine="0"/>
        <w:jc w:val="center"/>
        <w:rPr>
          <w:sz w:val="16"/>
        </w:rPr>
      </w:pPr>
      <w:r>
        <w:rPr>
          <w:sz w:val="16"/>
        </w:rPr>
        <w:t>-40</w:t>
      </w:r>
    </w:p>
    <w:p>
      <w:pPr>
        <w:tabs>
          <w:tab w:pos="603" w:val="left" w:leader="none"/>
          <w:tab w:pos="1207" w:val="left" w:leader="none"/>
          <w:tab w:pos="1811" w:val="left" w:leader="none"/>
          <w:tab w:pos="2415" w:val="left" w:leader="none"/>
          <w:tab w:pos="3019" w:val="left" w:leader="none"/>
          <w:tab w:pos="3622" w:val="left" w:leader="none"/>
          <w:tab w:pos="4228" w:val="left" w:leader="none"/>
        </w:tabs>
        <w:spacing w:before="7"/>
        <w:ind w:left="0" w:right="5385" w:firstLine="0"/>
        <w:jc w:val="center"/>
        <w:rPr>
          <w:sz w:val="16"/>
        </w:rPr>
      </w:pPr>
      <w:r>
        <w:rPr>
          <w:sz w:val="16"/>
        </w:rPr>
        <w:t>2006</w:t>
        <w:tab/>
        <w:t>2007</w:t>
        <w:tab/>
        <w:t>2008</w:t>
        <w:tab/>
        <w:t>2009</w:t>
        <w:tab/>
        <w:t>2010</w:t>
        <w:tab/>
        <w:t>2011</w:t>
        <w:tab/>
        <w:t>2012</w:t>
        <w:tab/>
        <w:t>2013</w:t>
      </w:r>
    </w:p>
    <w:p>
      <w:pPr>
        <w:pStyle w:val="BodyText"/>
      </w:pPr>
    </w:p>
    <w:p>
      <w:pPr>
        <w:pStyle w:val="BodyText"/>
        <w:spacing w:before="9"/>
        <w:rPr>
          <w:sz w:val="18"/>
        </w:rPr>
      </w:pPr>
    </w:p>
    <w:p>
      <w:pPr>
        <w:spacing w:before="0"/>
        <w:ind w:left="233" w:right="0" w:firstLine="0"/>
        <w:jc w:val="left"/>
        <w:rPr>
          <w:sz w:val="16"/>
        </w:rPr>
      </w:pPr>
      <w:r>
        <w:rPr>
          <w:sz w:val="16"/>
        </w:rPr>
        <w:t>Source: Research carried out by GfK NOP on behalf of the European Commission.</w:t>
      </w:r>
    </w:p>
    <w:p>
      <w:pPr>
        <w:pStyle w:val="BodyText"/>
        <w:spacing w:before="11"/>
        <w:rPr>
          <w:sz w:val="15"/>
        </w:rPr>
      </w:pPr>
    </w:p>
    <w:p>
      <w:pPr>
        <w:pStyle w:val="ListParagraph"/>
        <w:numPr>
          <w:ilvl w:val="0"/>
          <w:numId w:val="4"/>
        </w:numPr>
        <w:tabs>
          <w:tab w:pos="474" w:val="left" w:leader="none"/>
        </w:tabs>
        <w:spacing w:line="240" w:lineRule="auto" w:before="0" w:after="0"/>
        <w:ind w:left="473" w:right="0" w:hanging="241"/>
        <w:jc w:val="left"/>
        <w:rPr>
          <w:sz w:val="16"/>
        </w:rPr>
      </w:pPr>
      <w:r>
        <w:rPr>
          <w:sz w:val="16"/>
        </w:rPr>
        <w:t>The question asks how households expect their personal financial situation to change over the next twelve</w:t>
      </w:r>
      <w:r>
        <w:rPr>
          <w:spacing w:val="-19"/>
          <w:sz w:val="16"/>
        </w:rPr>
        <w:t> </w:t>
      </w:r>
      <w:r>
        <w:rPr>
          <w:sz w:val="16"/>
        </w:rPr>
        <w:t>months.</w:t>
      </w:r>
    </w:p>
    <w:p>
      <w:pPr>
        <w:pStyle w:val="ListParagraph"/>
        <w:numPr>
          <w:ilvl w:val="0"/>
          <w:numId w:val="4"/>
        </w:numPr>
        <w:tabs>
          <w:tab w:pos="474" w:val="left" w:leader="none"/>
        </w:tabs>
        <w:spacing w:line="240" w:lineRule="auto" w:before="1" w:after="0"/>
        <w:ind w:left="473" w:right="0" w:hanging="241"/>
        <w:jc w:val="left"/>
        <w:rPr>
          <w:sz w:val="16"/>
        </w:rPr>
      </w:pPr>
      <w:r>
        <w:rPr>
          <w:sz w:val="16"/>
        </w:rPr>
        <w:t>The question asks how households expect the general economic situation to change over the next twelve</w:t>
      </w:r>
      <w:r>
        <w:rPr>
          <w:spacing w:val="-16"/>
          <w:sz w:val="16"/>
        </w:rPr>
        <w:t> </w:t>
      </w:r>
      <w:r>
        <w:rPr>
          <w:sz w:val="16"/>
        </w:rPr>
        <w:t>months.</w:t>
      </w:r>
    </w:p>
    <w:p>
      <w:pPr>
        <w:pStyle w:val="BodyText"/>
      </w:pPr>
    </w:p>
    <w:p>
      <w:pPr>
        <w:pStyle w:val="BodyText"/>
      </w:pPr>
    </w:p>
    <w:p>
      <w:pPr>
        <w:pStyle w:val="BodyText"/>
      </w:pPr>
    </w:p>
    <w:p>
      <w:pPr>
        <w:pStyle w:val="BodyText"/>
      </w:pPr>
    </w:p>
    <w:p>
      <w:pPr>
        <w:pStyle w:val="BodyText"/>
        <w:spacing w:before="10"/>
        <w:rPr>
          <w:sz w:val="15"/>
        </w:rPr>
      </w:pPr>
      <w:r>
        <w:rPr/>
        <w:pict>
          <v:shape style="position:absolute;margin-left:56.664001pt;margin-top:11.370013pt;width:144.050pt;height:.1pt;mso-position-horizontal-relative:page;mso-position-vertical-relative:paragraph;z-index:-251639808;mso-wrap-distance-left:0;mso-wrap-distance-right:0" coordorigin="1133,227" coordsize="2881,0" path="m1133,227l4014,227e" filled="false" stroked="true" strokeweight=".47998pt" strokecolor="#000000">
            <v:path arrowok="t"/>
            <v:stroke dashstyle="solid"/>
            <w10:wrap type="topAndBottom"/>
          </v:shape>
        </w:pict>
      </w:r>
    </w:p>
    <w:p>
      <w:pPr>
        <w:spacing w:before="30"/>
        <w:ind w:left="233" w:right="1205" w:firstLine="0"/>
        <w:jc w:val="left"/>
        <w:rPr>
          <w:sz w:val="16"/>
        </w:rPr>
      </w:pPr>
      <w:r>
        <w:rPr>
          <w:position w:val="8"/>
          <w:sz w:val="10"/>
        </w:rPr>
        <w:t>8 </w:t>
      </w:r>
      <w:r>
        <w:rPr>
          <w:sz w:val="16"/>
        </w:rPr>
        <w:t>This is very much a sketch – and is not a formal model. But there are formal models consistent with this sketch. For formal models of the link between multiple equilbria and policy see, eg, Cooper (2002), ‘Financial Collapse: Lessons from the Great Depression’, Journal of Economic Theory 107, pages 159-190, and Morris, Stephen and Shin, Hyun Song (2000), ‘Rethinking Multiple Equilibria in Macroeconomic Modelling’, NBER Macroeconomics Annual, Volume 15. See also King and Wolman (2004) ‘Monetary Discretion, Pricing Complementarity and Dynamic Multiple Equilibria”, Quarterly Journal of Economics, pages 1513-1553.</w:t>
      </w:r>
    </w:p>
    <w:p>
      <w:pPr>
        <w:spacing w:after="0"/>
        <w:jc w:val="left"/>
        <w:rPr>
          <w:sz w:val="16"/>
        </w:rPr>
        <w:sectPr>
          <w:footerReference w:type="default" r:id="rId11"/>
          <w:pgSz w:w="11910" w:h="16840"/>
          <w:pgMar w:footer="1338" w:header="0" w:top="1520" w:bottom="1520" w:left="900" w:right="0"/>
          <w:pgNumType w:start="8"/>
        </w:sectPr>
      </w:pPr>
    </w:p>
    <w:p>
      <w:pPr>
        <w:pStyle w:val="BodyText"/>
        <w:spacing w:before="76"/>
        <w:ind w:left="233"/>
      </w:pPr>
      <w:r>
        <w:rPr>
          <w:b/>
        </w:rPr>
        <w:t>Chart 8</w:t>
      </w:r>
      <w:r>
        <w:rPr/>
        <w:t>: Household consumption and real income</w:t>
      </w:r>
    </w:p>
    <w:p>
      <w:pPr>
        <w:pStyle w:val="BodyText"/>
        <w:rPr>
          <w:sz w:val="13"/>
        </w:rPr>
      </w:pPr>
    </w:p>
    <w:p>
      <w:pPr>
        <w:spacing w:before="95"/>
        <w:ind w:left="5182" w:right="5443" w:firstLine="0"/>
        <w:jc w:val="center"/>
        <w:rPr>
          <w:sz w:val="17"/>
        </w:rPr>
      </w:pPr>
      <w:r>
        <w:rPr/>
        <w:pict>
          <v:group style="position:absolute;margin-left:74.400002pt;margin-top:5.009951pt;width:230.85pt;height:132.2pt;mso-position-horizontal-relative:page;mso-position-vertical-relative:paragraph;z-index:251682816" coordorigin="1488,100" coordsize="4617,2644">
            <v:shape style="position:absolute;left:1502;top:393;width:4580;height:2348" coordorigin="1502,394" coordsize="4580,2348" path="m6082,2741l6082,394m6031,2741l6082,2741m6031,2350l6082,2350m6031,1958l6082,1958m6031,1567l6082,1567m6031,1176l6082,1176m6031,785l6082,785m6031,394l6082,394m1502,2741l6082,2741m1502,2688l1502,2741m2520,2688l2520,2741m3538,2688l3538,2741m4555,2688l4555,2741m5573,2688l5573,2741e" filled="false" stroked="true" strokeweight=".24pt" strokecolor="#000000">
              <v:path arrowok="t"/>
              <v:stroke dashstyle="solid"/>
            </v:shape>
            <v:shape style="position:absolute;left:1502;top:820;width:4580;height:1726" coordorigin="1502,821" coordsize="4580,1726" path="m1502,821l1630,1013,1757,936,1884,1056,2011,979,2138,1152,2266,1066,2393,934,2520,1250,2647,1109,2774,1198,2902,1339,3029,1126,3156,1178,3283,977,3410,871,3538,1102,3665,1495,3792,1975,3919,2438,4046,2546,4174,2530,4301,2249,4428,1738,4555,1682,4682,1171,4810,1255,4937,1351,5064,1428,5191,1711,5318,1738,5446,1706,5573,1464,5700,1358,5827,1289,5954,1322,6082,1241e" filled="false" stroked="true" strokeweight="1.44pt" strokecolor="#a21a7d">
              <v:path arrowok="t"/>
              <v:stroke dashstyle="solid"/>
            </v:shape>
            <v:shape style="position:absolute;left:1502;top:650;width:4580;height:1503" coordorigin="1502,650" coordsize="4580,1503" path="m1502,1198l1630,919,1757,878,1884,1217,2011,1126,2138,1512,2266,1306,2393,919,2520,943,2647,1003,2774,1169,2902,1399,3029,1603,3156,1236,3283,1097,3410,1222,3538,1416,3665,1510,3792,2153,3919,1910,4046,1946,4174,1325,4301,878,4428,1037,4555,650,4682,1560,4810,1416,4937,1517,5064,1862,5191,1644,5318,1980,5446,1615,5573,1207,5700,1474,5827,1147,5954,1579,6082,1903e" filled="false" stroked="true" strokeweight="1.44pt" strokecolor="#165687">
              <v:path arrowok="t"/>
              <v:stroke dashstyle="solid"/>
            </v:shape>
            <v:line style="position:absolute" from="1502,1566" to="6084,1566" stroked="true" strokeweight=".140pt" strokecolor="#000000">
              <v:stroke dashstyle="solid"/>
            </v:line>
            <v:shape style="position:absolute;left:2190;top:100;width:3914;height:474" type="#_x0000_t202" filled="false" stroked="false">
              <v:textbox inset="0,0,0,0">
                <w:txbxContent>
                  <w:p>
                    <w:pPr>
                      <w:spacing w:line="190" w:lineRule="exact" w:before="0"/>
                      <w:ind w:left="1439" w:right="0" w:firstLine="0"/>
                      <w:jc w:val="left"/>
                      <w:rPr>
                        <w:sz w:val="17"/>
                      </w:rPr>
                    </w:pPr>
                    <w:r>
                      <w:rPr>
                        <w:sz w:val="17"/>
                      </w:rPr>
                      <w:t>Percentage changes on a year e</w:t>
                    </w:r>
                  </w:p>
                  <w:p>
                    <w:pPr>
                      <w:spacing w:before="88"/>
                      <w:ind w:left="0" w:right="0" w:firstLine="0"/>
                      <w:jc w:val="left"/>
                      <w:rPr>
                        <w:sz w:val="17"/>
                      </w:rPr>
                    </w:pPr>
                    <w:r>
                      <w:rPr>
                        <w:sz w:val="17"/>
                      </w:rPr>
                      <w:t>Real post-tax household income (a)</w:t>
                    </w:r>
                  </w:p>
                </w:txbxContent>
              </v:textbox>
              <w10:wrap type="none"/>
            </v:shape>
            <v:shape style="position:absolute;left:4247;top:2491;width:1276;height:191" type="#_x0000_t202" filled="false" stroked="false">
              <v:textbox inset="0,0,0,0">
                <w:txbxContent>
                  <w:p>
                    <w:pPr>
                      <w:spacing w:line="190" w:lineRule="exact" w:before="0"/>
                      <w:ind w:left="0" w:right="0" w:firstLine="0"/>
                      <w:jc w:val="left"/>
                      <w:rPr>
                        <w:sz w:val="17"/>
                      </w:rPr>
                    </w:pPr>
                    <w:r>
                      <w:rPr>
                        <w:sz w:val="17"/>
                      </w:rPr>
                      <w:t>Consumption (b)</w:t>
                    </w:r>
                  </w:p>
                </w:txbxContent>
              </v:textbox>
              <w10:wrap type="none"/>
            </v:shape>
            <w10:wrap type="none"/>
          </v:group>
        </w:pict>
      </w:r>
      <w:r>
        <w:rPr>
          <w:sz w:val="17"/>
        </w:rPr>
        <w:t>arlier 6</w:t>
      </w:r>
    </w:p>
    <w:p>
      <w:pPr>
        <w:pStyle w:val="BodyText"/>
        <w:spacing w:before="11"/>
        <w:rPr>
          <w:sz w:val="16"/>
        </w:rPr>
      </w:pPr>
    </w:p>
    <w:p>
      <w:pPr>
        <w:spacing w:before="0"/>
        <w:ind w:left="0" w:right="250" w:firstLine="0"/>
        <w:jc w:val="center"/>
        <w:rPr>
          <w:sz w:val="17"/>
        </w:rPr>
      </w:pPr>
      <w:r>
        <w:rPr>
          <w:w w:val="100"/>
          <w:sz w:val="17"/>
        </w:rPr>
        <w:t>4</w:t>
      </w:r>
    </w:p>
    <w:p>
      <w:pPr>
        <w:pStyle w:val="BodyText"/>
        <w:spacing w:before="9"/>
        <w:rPr>
          <w:sz w:val="8"/>
        </w:rPr>
      </w:pPr>
    </w:p>
    <w:p>
      <w:pPr>
        <w:spacing w:before="95"/>
        <w:ind w:left="0" w:right="250" w:firstLine="0"/>
        <w:jc w:val="center"/>
        <w:rPr>
          <w:sz w:val="17"/>
        </w:rPr>
      </w:pPr>
      <w:r>
        <w:rPr>
          <w:w w:val="100"/>
          <w:sz w:val="17"/>
        </w:rPr>
        <w:t>2</w:t>
      </w:r>
    </w:p>
    <w:p>
      <w:pPr>
        <w:pStyle w:val="BodyText"/>
        <w:spacing w:before="8"/>
        <w:rPr>
          <w:sz w:val="8"/>
        </w:rPr>
      </w:pPr>
    </w:p>
    <w:p>
      <w:pPr>
        <w:spacing w:before="95"/>
        <w:ind w:left="0" w:right="250" w:firstLine="0"/>
        <w:jc w:val="center"/>
        <w:rPr>
          <w:sz w:val="17"/>
        </w:rPr>
      </w:pPr>
      <w:r>
        <w:rPr>
          <w:w w:val="100"/>
          <w:sz w:val="17"/>
        </w:rPr>
        <w:t>0</w:t>
      </w:r>
    </w:p>
    <w:p>
      <w:pPr>
        <w:pStyle w:val="BodyText"/>
        <w:spacing w:before="9"/>
        <w:rPr>
          <w:sz w:val="8"/>
        </w:rPr>
      </w:pPr>
    </w:p>
    <w:p>
      <w:pPr>
        <w:spacing w:before="95"/>
        <w:ind w:left="0" w:right="192" w:firstLine="0"/>
        <w:jc w:val="center"/>
        <w:rPr>
          <w:sz w:val="17"/>
        </w:rPr>
      </w:pPr>
      <w:r>
        <w:rPr>
          <w:sz w:val="17"/>
        </w:rPr>
        <w:t>-2</w:t>
      </w:r>
    </w:p>
    <w:p>
      <w:pPr>
        <w:pStyle w:val="BodyText"/>
        <w:spacing w:before="8"/>
        <w:rPr>
          <w:sz w:val="8"/>
        </w:rPr>
      </w:pPr>
    </w:p>
    <w:p>
      <w:pPr>
        <w:spacing w:before="95"/>
        <w:ind w:left="0" w:right="192" w:firstLine="0"/>
        <w:jc w:val="center"/>
        <w:rPr>
          <w:sz w:val="17"/>
        </w:rPr>
      </w:pPr>
      <w:r>
        <w:rPr>
          <w:sz w:val="17"/>
        </w:rPr>
        <w:t>-4</w:t>
      </w:r>
    </w:p>
    <w:p>
      <w:pPr>
        <w:pStyle w:val="BodyText"/>
        <w:spacing w:before="8"/>
        <w:rPr>
          <w:sz w:val="8"/>
        </w:rPr>
      </w:pPr>
    </w:p>
    <w:p>
      <w:pPr>
        <w:spacing w:before="95"/>
        <w:ind w:left="0" w:right="192" w:firstLine="0"/>
        <w:jc w:val="center"/>
        <w:rPr>
          <w:sz w:val="17"/>
        </w:rPr>
      </w:pPr>
      <w:r>
        <w:rPr>
          <w:sz w:val="17"/>
        </w:rPr>
        <w:t>-6</w:t>
      </w:r>
    </w:p>
    <w:p>
      <w:pPr>
        <w:tabs>
          <w:tab w:pos="1017" w:val="left" w:leader="none"/>
          <w:tab w:pos="2035" w:val="left" w:leader="none"/>
          <w:tab w:pos="3052" w:val="left" w:leader="none"/>
          <w:tab w:pos="4070" w:val="left" w:leader="none"/>
        </w:tabs>
        <w:spacing w:before="8"/>
        <w:ind w:left="0" w:right="5726" w:firstLine="0"/>
        <w:jc w:val="center"/>
        <w:rPr>
          <w:sz w:val="17"/>
        </w:rPr>
      </w:pPr>
      <w:r>
        <w:rPr>
          <w:sz w:val="17"/>
        </w:rPr>
        <w:t>2004</w:t>
        <w:tab/>
        <w:t>2006</w:t>
        <w:tab/>
        <w:t>2008</w:t>
        <w:tab/>
        <w:t>2010</w:t>
        <w:tab/>
        <w:t>2012</w:t>
      </w:r>
    </w:p>
    <w:p>
      <w:pPr>
        <w:pStyle w:val="BodyText"/>
        <w:spacing w:before="4"/>
        <w:rPr>
          <w:sz w:val="15"/>
        </w:rPr>
      </w:pPr>
    </w:p>
    <w:p>
      <w:pPr>
        <w:pStyle w:val="ListParagraph"/>
        <w:numPr>
          <w:ilvl w:val="0"/>
          <w:numId w:val="5"/>
        </w:numPr>
        <w:tabs>
          <w:tab w:pos="474" w:val="left" w:leader="none"/>
        </w:tabs>
        <w:spacing w:line="240" w:lineRule="auto" w:before="0" w:after="0"/>
        <w:ind w:left="233" w:right="1813" w:firstLine="0"/>
        <w:jc w:val="left"/>
        <w:rPr>
          <w:sz w:val="16"/>
        </w:rPr>
      </w:pPr>
      <w:r>
        <w:rPr>
          <w:sz w:val="16"/>
        </w:rPr>
        <w:t>Total available household resources, deflated by the consumer expenditure deflator. Includes non-profit institutions serving households.</w:t>
      </w:r>
    </w:p>
    <w:p>
      <w:pPr>
        <w:pStyle w:val="ListParagraph"/>
        <w:numPr>
          <w:ilvl w:val="0"/>
          <w:numId w:val="5"/>
        </w:numPr>
        <w:tabs>
          <w:tab w:pos="474" w:val="left" w:leader="none"/>
        </w:tabs>
        <w:spacing w:line="240" w:lineRule="auto" w:before="2" w:after="0"/>
        <w:ind w:left="473" w:right="0" w:hanging="241"/>
        <w:jc w:val="left"/>
        <w:rPr>
          <w:sz w:val="16"/>
        </w:rPr>
      </w:pPr>
      <w:r>
        <w:rPr>
          <w:sz w:val="16"/>
        </w:rPr>
        <w:t>Chained-volume measure. Includes non-profit institutions serving</w:t>
      </w:r>
      <w:r>
        <w:rPr>
          <w:spacing w:val="-4"/>
          <w:sz w:val="16"/>
        </w:rPr>
        <w:t> </w:t>
      </w:r>
      <w:r>
        <w:rPr>
          <w:sz w:val="16"/>
        </w:rPr>
        <w:t>households.</w:t>
      </w:r>
    </w:p>
    <w:p>
      <w:pPr>
        <w:pStyle w:val="BodyText"/>
        <w:rPr>
          <w:sz w:val="18"/>
        </w:rPr>
      </w:pPr>
    </w:p>
    <w:p>
      <w:pPr>
        <w:pStyle w:val="BodyText"/>
        <w:rPr>
          <w:sz w:val="22"/>
        </w:rPr>
      </w:pPr>
    </w:p>
    <w:p>
      <w:pPr>
        <w:pStyle w:val="BodyText"/>
        <w:spacing w:line="360" w:lineRule="auto"/>
        <w:ind w:left="233" w:right="1196"/>
      </w:pPr>
      <w:r>
        <w:rPr/>
        <w:t>Investment fell even more sharply than consumption. The decline in real interest rates on safe assets was not reflected in a fall in the cost of finance to companies so there was no offset to the joint effects of lower demand and falling confidence (Chart 9).</w:t>
      </w:r>
    </w:p>
    <w:p>
      <w:pPr>
        <w:pStyle w:val="BodyText"/>
        <w:spacing w:before="8"/>
        <w:rPr>
          <w:sz w:val="21"/>
        </w:rPr>
      </w:pPr>
    </w:p>
    <w:p>
      <w:pPr>
        <w:spacing w:after="0"/>
        <w:rPr>
          <w:sz w:val="21"/>
        </w:rPr>
        <w:sectPr>
          <w:pgSz w:w="11910" w:h="16840"/>
          <w:pgMar w:header="0" w:footer="1338" w:top="1520" w:bottom="1520" w:left="900" w:right="0"/>
        </w:sectPr>
      </w:pPr>
    </w:p>
    <w:p>
      <w:pPr>
        <w:pStyle w:val="BodyText"/>
        <w:spacing w:before="93"/>
        <w:ind w:left="233"/>
      </w:pPr>
      <w:r>
        <w:rPr>
          <w:b/>
        </w:rPr>
        <w:t>Chart 9</w:t>
      </w:r>
      <w:r>
        <w:rPr/>
        <w:t>: Business confidence and investment</w:t>
      </w:r>
    </w:p>
    <w:p>
      <w:pPr>
        <w:spacing w:before="188"/>
        <w:ind w:left="741" w:right="0" w:firstLine="0"/>
        <w:jc w:val="left"/>
        <w:rPr>
          <w:sz w:val="17"/>
        </w:rPr>
      </w:pPr>
      <w:r>
        <w:rPr/>
        <w:pict>
          <v:group style="position:absolute;margin-left:91.440002pt;margin-top:10.7029pt;width:201.5pt;height:125.9pt;mso-position-horizontal-relative:page;mso-position-vertical-relative:paragraph;z-index:251684864" coordorigin="1829,214" coordsize="4030,2518">
            <v:shape style="position:absolute;left:1914;top:451;width:3859;height:2157" coordorigin="1915,452" coordsize="3859,2157" path="m4270,701l4050,701,4119,721,4188,856,4257,933,4326,1080,4395,1544,4464,1623,4532,2008,4601,2608,4627,2514,4601,2514,4532,1767,4464,1497,4395,1042,4326,853,4270,701xm4946,756l4877,856,4808,916,4739,1260,4670,1957,4601,2514,4627,2514,4670,2360,4739,1828,4808,1431,4877,1390,4946,1166,5115,1166,5084,1092,5015,1024,4946,756xm2518,890l2466,890,2535,1162,2603,1538,2672,1753,2731,1076,2672,1076,2603,1064,2535,957,2518,890xm5332,1234l5290,1234,5359,1531,5428,1557,5469,1374,5359,1374,5332,1234xm5115,1166l4946,1166,5015,1241,5084,1469,5153,1313,5221,1276,5255,1256,5153,1256,5115,1166xm5617,1236l5566,1236,5635,1367,5704,1462,5755,1310,5635,1310,5617,1236xm5497,1024l5428,1373,5359,1374,5469,1374,5497,1250,5566,1236,5617,1236,5566,1032,5497,1024xm5773,861l5704,961,5635,1310,5755,1310,5773,1258,5773,861xm5221,911l5153,1256,5255,1256,5290,1234,5332,1234,5290,1022,5221,911xm2820,772l2810,772,2879,1215,2948,1154,3052,1154,3080,1120,3017,1120,2948,913,2879,838,2820,772xm3052,1154l2948,1154,3017,1198,3052,1154xm2052,570l1983,640,1915,917,1915,1138,1983,973,2052,834,2121,781,2190,769,2379,769,2328,679,2290,671,2121,671,2052,570xm3604,780l3568,780,3637,1124,3706,1022,3765,939,3706,939,3637,899,3604,780xm3292,452l3224,553,3155,794,3086,1001,3017,1120,3080,1120,3086,1112,3155,996,3224,832,3292,747,3409,747,3361,633,3292,452xm2741,733l2672,1076,2731,1076,2741,959,2810,772,2820,772,2810,760,2741,733xm4010,853l3844,853,3912,1062,3981,960,4010,853xm3409,747l3292,747,3361,820,3430,1052,3499,990,3562,799,3430,799,3409,747xm3844,668l3775,795,3706,939,3765,939,3775,925,3844,853,4010,853,4032,769,3912,769,3844,668xm2379,769l2190,769,2259,900,2328,934,2397,900,2466,890,2518,890,2497,800,2397,800,2379,769xm2466,668l2397,800,2497,800,2466,668xm3568,652l3499,747,3430,799,3562,799,3568,780,3604,780,3568,652xm4119,611l4050,664,3981,701,3912,769,4032,769,4050,701,4270,701,4265,687,4188,687,4119,611xm4257,666l4188,687,4265,687,4257,666xm2190,655l2121,671,2290,671,2259,664,2190,655xe" filled="true" fillcolor="#9bba58" stroked="false">
              <v:path arrowok="t"/>
              <v:fill type="solid"/>
            </v:shape>
            <v:shape style="position:absolute;left:1828;top:221;width:4030;height:2504" coordorigin="1829,221" coordsize="4030,2504" path="m5808,2724l5808,221m5808,2724l5858,2724m5808,2307l5858,2307m5808,1889l5858,1889m5808,1472l5858,1472m5808,1054l5858,1054m5808,639l5858,639m5808,221l5858,221m1879,2724l1879,221m1829,2724l1879,2724m1829,2240l1879,2240m1829,1752l1879,1752m1829,1265l1879,1265m1829,780l1879,780m1829,293l1879,293m1879,1265l5808,1265m1879,1265l1879,1318m2155,1265l2155,1318m2431,1265l2431,1318m2707,1265l2707,1318m2983,1265l2983,1318m3257,1265l3257,1318m3533,1265l3533,1318m3809,1265l3809,1318m4085,1265l4085,1318m4361,1265l4361,1318m4637,1265l4637,1318m4910,1265l4910,1318m5186,1265l5186,1318m5462,1265l5462,1318m5738,1265l5738,1318e" filled="false" stroked="true" strokeweight=".72pt" strokecolor="#858585">
              <v:path arrowok="t"/>
              <v:stroke dashstyle="solid"/>
            </v:shape>
            <v:shape style="position:absolute;left:1915;top:391;width:3857;height:1731" coordorigin="1915,392" coordsize="3857,1731" path="m1915,910l1982,1109,2052,1172,2122,1512,2191,1304,2258,1138,2328,1088,2398,1294,2465,1268,2534,1510,2604,1301,2671,1668,2741,939,2810,1479,2880,1712,2947,1160,3017,1433,3086,1292,3154,1301,3223,1270,3293,1647,3362,958,3430,1328,3499,1150,3569,987,3636,1467,3706,1479,3775,1724,3842,1529,3912,1368,3982,1150,4051,581,4118,956,4188,586,4258,416,4325,788,4394,392,4464,876,4534,1342,4601,1738,4670,2122,4740,1894,4807,2050,4877,1448,4946,1174,5014,1659,5083,701,5153,1164,5222,1774,5290,864,5359,1376,5429,1208,5496,850,5566,1402,5635,1124,5705,1340,5772,1496e" filled="false" stroked="true" strokeweight="2.16pt" strokecolor="#497dba">
              <v:path arrowok="t"/>
              <v:stroke dashstyle="solid"/>
            </v:shape>
            <v:line style="position:absolute" from="2134,2006" to="2518,2006" stroked="true" strokeweight="4.2pt" strokecolor="#9bba58">
              <v:stroke dashstyle="solid"/>
            </v:line>
            <v:line style="position:absolute" from="2134,2379" to="2518,2379" stroked="true" strokeweight="2.16pt" strokecolor="#497dba">
              <v:stroke dashstyle="solid"/>
            </v:line>
            <v:shape style="position:absolute;left:1828;top:214;width:4030;height:2518"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21"/>
                      </w:rPr>
                    </w:pPr>
                  </w:p>
                  <w:p>
                    <w:pPr>
                      <w:spacing w:line="232" w:lineRule="auto" w:before="1"/>
                      <w:ind w:left="730" w:right="1220" w:firstLine="0"/>
                      <w:jc w:val="left"/>
                      <w:rPr>
                        <w:sz w:val="17"/>
                      </w:rPr>
                    </w:pPr>
                    <w:r>
                      <w:rPr>
                        <w:sz w:val="17"/>
                      </w:rPr>
                      <w:t>Range of Output Growth Survey Indicators (LHS) (a) ONS Business Investment (RHS) (b)</w:t>
                    </w:r>
                  </w:p>
                </w:txbxContent>
              </v:textbox>
              <w10:wrap type="none"/>
            </v:shape>
            <w10:wrap type="none"/>
          </v:group>
        </w:pict>
      </w:r>
      <w:r>
        <w:rPr/>
        <w:pict>
          <v:shape style="position:absolute;margin-left:57.431068pt;margin-top:24.308655pt;width:21.4pt;height:98.85pt;mso-position-horizontal-relative:page;mso-position-vertical-relative:paragraph;z-index:251685888" type="#_x0000_t202" filled="false" stroked="false">
            <v:textbox inset="0,0,0,0" style="layout-flow:vertical;mso-layout-flow-alt:bottom-to-top">
              <w:txbxContent>
                <w:p>
                  <w:pPr>
                    <w:spacing w:before="15"/>
                    <w:ind w:left="459" w:right="0" w:hanging="440"/>
                    <w:jc w:val="left"/>
                    <w:rPr>
                      <w:sz w:val="17"/>
                    </w:rPr>
                  </w:pPr>
                  <w:r>
                    <w:rPr>
                      <w:sz w:val="17"/>
                    </w:rPr>
                    <w:t>Percentage changes on a quarter earlier</w:t>
                  </w:r>
                </w:p>
              </w:txbxContent>
            </v:textbox>
            <w10:wrap type="none"/>
          </v:shape>
        </w:pict>
      </w:r>
      <w:r>
        <w:rPr>
          <w:w w:val="100"/>
          <w:sz w:val="17"/>
        </w:rPr>
        <w:t>2</w:t>
      </w:r>
    </w:p>
    <w:p>
      <w:pPr>
        <w:pStyle w:val="BodyText"/>
        <w:spacing w:before="3"/>
        <w:rPr>
          <w:sz w:val="25"/>
        </w:rPr>
      </w:pPr>
    </w:p>
    <w:p>
      <w:pPr>
        <w:spacing w:before="0"/>
        <w:ind w:left="741" w:right="0" w:firstLine="0"/>
        <w:jc w:val="left"/>
        <w:rPr>
          <w:sz w:val="17"/>
        </w:rPr>
      </w:pPr>
      <w:r>
        <w:rPr>
          <w:w w:val="100"/>
          <w:sz w:val="17"/>
        </w:rPr>
        <w:t>1</w:t>
      </w:r>
    </w:p>
    <w:p>
      <w:pPr>
        <w:pStyle w:val="BodyText"/>
        <w:spacing w:before="4"/>
        <w:rPr>
          <w:sz w:val="25"/>
        </w:rPr>
      </w:pPr>
    </w:p>
    <w:p>
      <w:pPr>
        <w:spacing w:before="0"/>
        <w:ind w:left="741" w:right="0" w:firstLine="0"/>
        <w:jc w:val="left"/>
        <w:rPr>
          <w:sz w:val="17"/>
        </w:rPr>
      </w:pPr>
      <w:r>
        <w:rPr>
          <w:w w:val="100"/>
          <w:sz w:val="17"/>
        </w:rPr>
        <w:t>0</w:t>
      </w:r>
    </w:p>
    <w:p>
      <w:pPr>
        <w:pStyle w:val="BodyText"/>
        <w:spacing w:before="3"/>
        <w:rPr>
          <w:sz w:val="25"/>
        </w:rPr>
      </w:pPr>
    </w:p>
    <w:p>
      <w:pPr>
        <w:spacing w:before="0"/>
        <w:ind w:left="684" w:right="0" w:firstLine="0"/>
        <w:jc w:val="left"/>
        <w:rPr>
          <w:sz w:val="17"/>
        </w:rPr>
      </w:pPr>
      <w:r>
        <w:rPr>
          <w:sz w:val="17"/>
        </w:rPr>
        <w:t>-1</w:t>
      </w:r>
    </w:p>
    <w:p>
      <w:pPr>
        <w:pStyle w:val="BodyText"/>
        <w:spacing w:before="4"/>
        <w:rPr>
          <w:sz w:val="25"/>
        </w:rPr>
      </w:pPr>
    </w:p>
    <w:p>
      <w:pPr>
        <w:spacing w:before="0"/>
        <w:ind w:left="684" w:right="0" w:firstLine="0"/>
        <w:jc w:val="left"/>
        <w:rPr>
          <w:sz w:val="17"/>
        </w:rPr>
      </w:pPr>
      <w:r>
        <w:rPr>
          <w:sz w:val="17"/>
        </w:rPr>
        <w:t>-2</w:t>
      </w:r>
    </w:p>
    <w:p>
      <w:pPr>
        <w:pStyle w:val="BodyText"/>
        <w:rPr>
          <w:sz w:val="18"/>
        </w:rPr>
      </w:pPr>
      <w:r>
        <w:rPr/>
        <w:br w:type="column"/>
      </w:r>
      <w:r>
        <w:rPr>
          <w:sz w:val="18"/>
        </w:rPr>
      </w:r>
    </w:p>
    <w:p>
      <w:pPr>
        <w:pStyle w:val="BodyText"/>
        <w:spacing w:before="1"/>
      </w:pPr>
    </w:p>
    <w:p>
      <w:pPr>
        <w:spacing w:before="0"/>
        <w:ind w:left="233" w:right="0" w:firstLine="0"/>
        <w:jc w:val="left"/>
        <w:rPr>
          <w:sz w:val="17"/>
        </w:rPr>
      </w:pPr>
      <w:r>
        <w:rPr>
          <w:sz w:val="17"/>
        </w:rPr>
        <w:t>25</w:t>
      </w:r>
    </w:p>
    <w:p>
      <w:pPr>
        <w:pStyle w:val="BodyText"/>
        <w:spacing w:before="3"/>
        <w:rPr>
          <w:sz w:val="19"/>
        </w:rPr>
      </w:pPr>
    </w:p>
    <w:p>
      <w:pPr>
        <w:spacing w:before="0"/>
        <w:ind w:left="233" w:right="0" w:firstLine="0"/>
        <w:jc w:val="left"/>
        <w:rPr>
          <w:sz w:val="17"/>
        </w:rPr>
      </w:pPr>
      <w:r>
        <w:rPr/>
        <w:pict>
          <v:shape style="position:absolute;margin-left:308.737061pt;margin-top:-11.548297pt;width:21.4pt;height:117.55pt;mso-position-horizontal-relative:page;mso-position-vertical-relative:paragraph;z-index:251686912" type="#_x0000_t202" filled="false" stroked="false">
            <v:textbox inset="0,0,0,0" style="layout-flow:vertical;mso-layout-flow-alt:bottom-to-top">
              <w:txbxContent>
                <w:p>
                  <w:pPr>
                    <w:spacing w:before="15"/>
                    <w:ind w:left="941" w:right="-4" w:hanging="922"/>
                    <w:jc w:val="left"/>
                    <w:rPr>
                      <w:sz w:val="17"/>
                    </w:rPr>
                  </w:pPr>
                  <w:r>
                    <w:rPr>
                      <w:sz w:val="17"/>
                    </w:rPr>
                    <w:t>Percentage changes on a year earlier</w:t>
                  </w:r>
                </w:p>
              </w:txbxContent>
            </v:textbox>
            <w10:wrap type="none"/>
          </v:shape>
        </w:pict>
      </w:r>
      <w:r>
        <w:rPr>
          <w:sz w:val="17"/>
        </w:rPr>
        <w:t>15</w:t>
      </w:r>
    </w:p>
    <w:p>
      <w:pPr>
        <w:pStyle w:val="BodyText"/>
        <w:spacing w:before="3"/>
        <w:rPr>
          <w:sz w:val="19"/>
        </w:rPr>
      </w:pPr>
    </w:p>
    <w:p>
      <w:pPr>
        <w:spacing w:before="1"/>
        <w:ind w:left="233" w:right="0" w:firstLine="0"/>
        <w:jc w:val="left"/>
        <w:rPr>
          <w:sz w:val="17"/>
        </w:rPr>
      </w:pPr>
      <w:r>
        <w:rPr>
          <w:w w:val="100"/>
          <w:sz w:val="17"/>
        </w:rPr>
        <w:t>5</w:t>
      </w:r>
    </w:p>
    <w:p>
      <w:pPr>
        <w:pStyle w:val="BodyText"/>
        <w:spacing w:before="3"/>
        <w:rPr>
          <w:sz w:val="19"/>
        </w:rPr>
      </w:pPr>
    </w:p>
    <w:p>
      <w:pPr>
        <w:spacing w:before="0"/>
        <w:ind w:left="233" w:right="0" w:firstLine="0"/>
        <w:jc w:val="left"/>
        <w:rPr>
          <w:sz w:val="17"/>
        </w:rPr>
      </w:pPr>
      <w:r>
        <w:rPr>
          <w:sz w:val="17"/>
        </w:rPr>
        <w:t>-5</w:t>
      </w:r>
    </w:p>
    <w:p>
      <w:pPr>
        <w:pStyle w:val="BodyText"/>
        <w:spacing w:before="4"/>
        <w:rPr>
          <w:sz w:val="19"/>
        </w:rPr>
      </w:pPr>
    </w:p>
    <w:p>
      <w:pPr>
        <w:spacing w:before="0"/>
        <w:ind w:left="233" w:right="0" w:firstLine="0"/>
        <w:jc w:val="left"/>
        <w:rPr>
          <w:sz w:val="17"/>
        </w:rPr>
      </w:pPr>
      <w:r>
        <w:rPr>
          <w:sz w:val="17"/>
        </w:rPr>
        <w:t>-15</w:t>
      </w:r>
    </w:p>
    <w:p>
      <w:pPr>
        <w:pStyle w:val="BodyText"/>
        <w:spacing w:before="3"/>
        <w:rPr>
          <w:sz w:val="19"/>
        </w:rPr>
      </w:pPr>
    </w:p>
    <w:p>
      <w:pPr>
        <w:spacing w:before="1"/>
        <w:ind w:left="233" w:right="0" w:firstLine="0"/>
        <w:jc w:val="left"/>
        <w:rPr>
          <w:sz w:val="17"/>
        </w:rPr>
      </w:pPr>
      <w:r>
        <w:rPr>
          <w:sz w:val="17"/>
        </w:rPr>
        <w:t>-25</w:t>
      </w:r>
    </w:p>
    <w:p>
      <w:pPr>
        <w:spacing w:after="0"/>
        <w:jc w:val="left"/>
        <w:rPr>
          <w:sz w:val="17"/>
        </w:rPr>
        <w:sectPr>
          <w:type w:val="continuous"/>
          <w:pgSz w:w="11910" w:h="16840"/>
          <w:pgMar w:top="1180" w:bottom="1520" w:left="900" w:right="0"/>
          <w:cols w:num="2" w:equalWidth="0">
            <w:col w:w="4319" w:space="504"/>
            <w:col w:w="6187"/>
          </w:cols>
        </w:sectPr>
      </w:pPr>
    </w:p>
    <w:p>
      <w:pPr>
        <w:pStyle w:val="BodyText"/>
        <w:rPr>
          <w:sz w:val="11"/>
        </w:rPr>
      </w:pPr>
    </w:p>
    <w:p>
      <w:pPr>
        <w:spacing w:after="0"/>
        <w:rPr>
          <w:sz w:val="11"/>
        </w:rPr>
        <w:sectPr>
          <w:type w:val="continuous"/>
          <w:pgSz w:w="11910" w:h="16840"/>
          <w:pgMar w:top="1180" w:bottom="1520" w:left="900" w:right="0"/>
        </w:sectPr>
      </w:pPr>
    </w:p>
    <w:p>
      <w:pPr>
        <w:spacing w:before="95"/>
        <w:ind w:left="684" w:right="0" w:firstLine="0"/>
        <w:jc w:val="left"/>
        <w:rPr>
          <w:sz w:val="17"/>
        </w:rPr>
      </w:pPr>
      <w:r>
        <w:rPr>
          <w:sz w:val="17"/>
        </w:rPr>
        <w:t>-3</w:t>
      </w:r>
    </w:p>
    <w:p>
      <w:pPr>
        <w:spacing w:line="195" w:lineRule="exact" w:before="7"/>
        <w:ind w:left="827" w:right="0" w:firstLine="0"/>
        <w:jc w:val="left"/>
        <w:rPr>
          <w:sz w:val="17"/>
        </w:rPr>
      </w:pPr>
      <w:r>
        <w:rPr>
          <w:spacing w:val="-1"/>
          <w:sz w:val="17"/>
        </w:rPr>
        <w:t>1999</w:t>
      </w:r>
    </w:p>
    <w:p>
      <w:pPr>
        <w:spacing w:line="195" w:lineRule="exact" w:before="0"/>
        <w:ind w:left="903" w:right="0" w:firstLine="0"/>
        <w:jc w:val="left"/>
        <w:rPr>
          <w:sz w:val="17"/>
        </w:rPr>
      </w:pPr>
      <w:r>
        <w:rPr>
          <w:sz w:val="17"/>
        </w:rPr>
        <w:t>Q1</w:t>
      </w:r>
    </w:p>
    <w:p>
      <w:pPr>
        <w:pStyle w:val="BodyText"/>
        <w:spacing w:before="10"/>
        <w:rPr>
          <w:sz w:val="25"/>
        </w:rPr>
      </w:pPr>
      <w:r>
        <w:rPr/>
        <w:br w:type="column"/>
      </w:r>
      <w:r>
        <w:rPr>
          <w:sz w:val="25"/>
        </w:rPr>
      </w:r>
    </w:p>
    <w:p>
      <w:pPr>
        <w:spacing w:line="195" w:lineRule="exact" w:before="0"/>
        <w:ind w:left="133" w:right="0" w:firstLine="0"/>
        <w:jc w:val="left"/>
        <w:rPr>
          <w:sz w:val="17"/>
        </w:rPr>
      </w:pPr>
      <w:r>
        <w:rPr>
          <w:sz w:val="17"/>
        </w:rPr>
        <w:t>2001</w:t>
      </w:r>
    </w:p>
    <w:p>
      <w:pPr>
        <w:spacing w:line="195" w:lineRule="exact" w:before="0"/>
        <w:ind w:left="210" w:right="0" w:firstLine="0"/>
        <w:jc w:val="left"/>
        <w:rPr>
          <w:sz w:val="17"/>
        </w:rPr>
      </w:pPr>
      <w:r>
        <w:rPr>
          <w:sz w:val="17"/>
        </w:rPr>
        <w:t>Q1</w:t>
      </w:r>
    </w:p>
    <w:p>
      <w:pPr>
        <w:pStyle w:val="BodyText"/>
        <w:spacing w:before="10"/>
        <w:rPr>
          <w:sz w:val="25"/>
        </w:rPr>
      </w:pPr>
      <w:r>
        <w:rPr/>
        <w:br w:type="column"/>
      </w:r>
      <w:r>
        <w:rPr>
          <w:sz w:val="25"/>
        </w:rPr>
      </w:r>
    </w:p>
    <w:p>
      <w:pPr>
        <w:spacing w:line="195" w:lineRule="exact" w:before="0"/>
        <w:ind w:left="133" w:right="0" w:firstLine="0"/>
        <w:jc w:val="left"/>
        <w:rPr>
          <w:sz w:val="17"/>
        </w:rPr>
      </w:pPr>
      <w:r>
        <w:rPr>
          <w:spacing w:val="-1"/>
          <w:sz w:val="17"/>
        </w:rPr>
        <w:t>2003</w:t>
      </w:r>
    </w:p>
    <w:p>
      <w:pPr>
        <w:spacing w:line="195" w:lineRule="exact" w:before="0"/>
        <w:ind w:left="210" w:right="0" w:firstLine="0"/>
        <w:jc w:val="left"/>
        <w:rPr>
          <w:sz w:val="17"/>
        </w:rPr>
      </w:pPr>
      <w:r>
        <w:rPr>
          <w:sz w:val="17"/>
        </w:rPr>
        <w:t>Q1</w:t>
      </w:r>
    </w:p>
    <w:p>
      <w:pPr>
        <w:pStyle w:val="BodyText"/>
        <w:spacing w:before="10"/>
        <w:rPr>
          <w:sz w:val="25"/>
        </w:rPr>
      </w:pPr>
      <w:r>
        <w:rPr/>
        <w:br w:type="column"/>
      </w:r>
      <w:r>
        <w:rPr>
          <w:sz w:val="25"/>
        </w:rPr>
      </w:r>
    </w:p>
    <w:p>
      <w:pPr>
        <w:spacing w:line="195" w:lineRule="exact" w:before="0"/>
        <w:ind w:left="133" w:right="0" w:firstLine="0"/>
        <w:jc w:val="left"/>
        <w:rPr>
          <w:sz w:val="17"/>
        </w:rPr>
      </w:pPr>
      <w:r>
        <w:rPr>
          <w:sz w:val="17"/>
        </w:rPr>
        <w:t>2005</w:t>
      </w:r>
    </w:p>
    <w:p>
      <w:pPr>
        <w:spacing w:line="195" w:lineRule="exact" w:before="0"/>
        <w:ind w:left="210" w:right="0" w:firstLine="0"/>
        <w:jc w:val="left"/>
        <w:rPr>
          <w:sz w:val="17"/>
        </w:rPr>
      </w:pPr>
      <w:r>
        <w:rPr>
          <w:sz w:val="17"/>
        </w:rPr>
        <w:t>Q1</w:t>
      </w:r>
    </w:p>
    <w:p>
      <w:pPr>
        <w:pStyle w:val="BodyText"/>
        <w:spacing w:before="10"/>
        <w:rPr>
          <w:sz w:val="25"/>
        </w:rPr>
      </w:pPr>
      <w:r>
        <w:rPr/>
        <w:br w:type="column"/>
      </w:r>
      <w:r>
        <w:rPr>
          <w:sz w:val="25"/>
        </w:rPr>
      </w:r>
    </w:p>
    <w:p>
      <w:pPr>
        <w:spacing w:line="195" w:lineRule="exact" w:before="0"/>
        <w:ind w:left="133" w:right="0" w:firstLine="0"/>
        <w:jc w:val="left"/>
        <w:rPr>
          <w:sz w:val="17"/>
        </w:rPr>
      </w:pPr>
      <w:r>
        <w:rPr>
          <w:sz w:val="17"/>
        </w:rPr>
        <w:t>2007</w:t>
      </w:r>
    </w:p>
    <w:p>
      <w:pPr>
        <w:spacing w:line="195" w:lineRule="exact" w:before="0"/>
        <w:ind w:left="210" w:right="0" w:firstLine="0"/>
        <w:jc w:val="left"/>
        <w:rPr>
          <w:sz w:val="17"/>
        </w:rPr>
      </w:pPr>
      <w:r>
        <w:rPr>
          <w:sz w:val="17"/>
        </w:rPr>
        <w:t>Q1</w:t>
      </w:r>
    </w:p>
    <w:p>
      <w:pPr>
        <w:pStyle w:val="BodyText"/>
        <w:spacing w:before="10"/>
        <w:rPr>
          <w:sz w:val="25"/>
        </w:rPr>
      </w:pPr>
      <w:r>
        <w:rPr/>
        <w:br w:type="column"/>
      </w:r>
      <w:r>
        <w:rPr>
          <w:sz w:val="25"/>
        </w:rPr>
      </w:r>
    </w:p>
    <w:p>
      <w:pPr>
        <w:spacing w:line="195" w:lineRule="exact" w:before="0"/>
        <w:ind w:left="133" w:right="0" w:firstLine="0"/>
        <w:jc w:val="left"/>
        <w:rPr>
          <w:sz w:val="17"/>
        </w:rPr>
      </w:pPr>
      <w:r>
        <w:rPr>
          <w:sz w:val="17"/>
        </w:rPr>
        <w:t>2009</w:t>
      </w:r>
    </w:p>
    <w:p>
      <w:pPr>
        <w:spacing w:line="195" w:lineRule="exact" w:before="0"/>
        <w:ind w:left="210" w:right="0" w:firstLine="0"/>
        <w:jc w:val="left"/>
        <w:rPr>
          <w:sz w:val="17"/>
        </w:rPr>
      </w:pPr>
      <w:r>
        <w:rPr>
          <w:sz w:val="17"/>
        </w:rPr>
        <w:t>Q1</w:t>
      </w:r>
    </w:p>
    <w:p>
      <w:pPr>
        <w:pStyle w:val="BodyText"/>
        <w:spacing w:before="10"/>
        <w:rPr>
          <w:sz w:val="25"/>
        </w:rPr>
      </w:pPr>
      <w:r>
        <w:rPr/>
        <w:br w:type="column"/>
      </w:r>
      <w:r>
        <w:rPr>
          <w:sz w:val="25"/>
        </w:rPr>
      </w:r>
    </w:p>
    <w:p>
      <w:pPr>
        <w:spacing w:line="195" w:lineRule="exact" w:before="0"/>
        <w:ind w:left="133" w:right="0" w:firstLine="0"/>
        <w:jc w:val="left"/>
        <w:rPr>
          <w:sz w:val="17"/>
        </w:rPr>
      </w:pPr>
      <w:r>
        <w:rPr>
          <w:sz w:val="17"/>
        </w:rPr>
        <w:t>2011</w:t>
      </w:r>
    </w:p>
    <w:p>
      <w:pPr>
        <w:spacing w:line="195" w:lineRule="exact" w:before="0"/>
        <w:ind w:left="210" w:right="0" w:firstLine="0"/>
        <w:jc w:val="left"/>
        <w:rPr>
          <w:sz w:val="17"/>
        </w:rPr>
      </w:pPr>
      <w:r>
        <w:rPr>
          <w:sz w:val="17"/>
        </w:rPr>
        <w:t>Q1</w:t>
      </w:r>
    </w:p>
    <w:p>
      <w:pPr>
        <w:spacing w:before="95"/>
        <w:ind w:left="503" w:right="0" w:firstLine="0"/>
        <w:jc w:val="left"/>
        <w:rPr>
          <w:sz w:val="17"/>
        </w:rPr>
      </w:pPr>
      <w:r>
        <w:rPr/>
        <w:br w:type="column"/>
      </w:r>
      <w:r>
        <w:rPr>
          <w:sz w:val="17"/>
        </w:rPr>
        <w:t>-35</w:t>
      </w:r>
    </w:p>
    <w:p>
      <w:pPr>
        <w:spacing w:line="195" w:lineRule="exact" w:before="7"/>
        <w:ind w:left="133" w:right="0" w:firstLine="0"/>
        <w:jc w:val="left"/>
        <w:rPr>
          <w:sz w:val="17"/>
        </w:rPr>
      </w:pPr>
      <w:r>
        <w:rPr>
          <w:sz w:val="17"/>
        </w:rPr>
        <w:t>2013</w:t>
      </w:r>
    </w:p>
    <w:p>
      <w:pPr>
        <w:spacing w:line="195" w:lineRule="exact" w:before="0"/>
        <w:ind w:left="210" w:right="0" w:firstLine="0"/>
        <w:jc w:val="left"/>
        <w:rPr>
          <w:sz w:val="17"/>
        </w:rPr>
      </w:pPr>
      <w:r>
        <w:rPr>
          <w:sz w:val="17"/>
        </w:rPr>
        <w:t>Q1</w:t>
      </w:r>
    </w:p>
    <w:p>
      <w:pPr>
        <w:spacing w:after="0" w:line="195" w:lineRule="exact"/>
        <w:jc w:val="left"/>
        <w:rPr>
          <w:sz w:val="17"/>
        </w:rPr>
        <w:sectPr>
          <w:type w:val="continuous"/>
          <w:pgSz w:w="11910" w:h="16840"/>
          <w:pgMar w:top="1180" w:bottom="1520" w:left="900" w:right="0"/>
          <w:cols w:num="8" w:equalWidth="0">
            <w:col w:w="1205" w:space="40"/>
            <w:col w:w="512" w:space="39"/>
            <w:col w:w="511" w:space="40"/>
            <w:col w:w="512" w:space="40"/>
            <w:col w:w="512" w:space="39"/>
            <w:col w:w="512" w:space="39"/>
            <w:col w:w="512" w:space="40"/>
            <w:col w:w="6457"/>
          </w:cols>
        </w:sectPr>
      </w:pPr>
    </w:p>
    <w:p>
      <w:pPr>
        <w:spacing w:before="148"/>
        <w:ind w:left="233" w:right="0" w:firstLine="0"/>
        <w:jc w:val="left"/>
        <w:rPr>
          <w:sz w:val="16"/>
        </w:rPr>
      </w:pPr>
      <w:r>
        <w:rPr>
          <w:sz w:val="16"/>
        </w:rPr>
        <w:t>Sources: Bank of England, BCC, CBI, CBI/PwC, Markit Economics, ONS and Bank calculations.</w:t>
      </w:r>
    </w:p>
    <w:p>
      <w:pPr>
        <w:pStyle w:val="ListParagraph"/>
        <w:numPr>
          <w:ilvl w:val="1"/>
          <w:numId w:val="5"/>
        </w:numPr>
        <w:tabs>
          <w:tab w:pos="954" w:val="left" w:leader="none"/>
        </w:tabs>
        <w:spacing w:line="240" w:lineRule="auto" w:before="121" w:after="0"/>
        <w:ind w:left="953" w:right="1162" w:hanging="360"/>
        <w:jc w:val="left"/>
        <w:rPr>
          <w:sz w:val="16"/>
        </w:rPr>
      </w:pPr>
      <w:r>
        <w:rPr>
          <w:sz w:val="16"/>
        </w:rPr>
        <w:t>Aggregate</w:t>
      </w:r>
      <w:r>
        <w:rPr>
          <w:spacing w:val="-5"/>
          <w:sz w:val="16"/>
        </w:rPr>
        <w:t> </w:t>
      </w:r>
      <w:r>
        <w:rPr>
          <w:sz w:val="16"/>
        </w:rPr>
        <w:t>measures</w:t>
      </w:r>
      <w:r>
        <w:rPr>
          <w:spacing w:val="-4"/>
          <w:sz w:val="16"/>
        </w:rPr>
        <w:t> </w:t>
      </w:r>
      <w:r>
        <w:rPr>
          <w:sz w:val="16"/>
        </w:rPr>
        <w:t>of</w:t>
      </w:r>
      <w:r>
        <w:rPr>
          <w:spacing w:val="-1"/>
          <w:sz w:val="16"/>
        </w:rPr>
        <w:t> </w:t>
      </w:r>
      <w:r>
        <w:rPr>
          <w:sz w:val="16"/>
        </w:rPr>
        <w:t>business</w:t>
      </w:r>
      <w:r>
        <w:rPr>
          <w:spacing w:val="-6"/>
          <w:sz w:val="16"/>
        </w:rPr>
        <w:t> </w:t>
      </w:r>
      <w:r>
        <w:rPr>
          <w:sz w:val="16"/>
        </w:rPr>
        <w:t>expectations</w:t>
      </w:r>
      <w:r>
        <w:rPr>
          <w:spacing w:val="-4"/>
          <w:sz w:val="16"/>
        </w:rPr>
        <w:t> </w:t>
      </w:r>
      <w:r>
        <w:rPr>
          <w:sz w:val="16"/>
        </w:rPr>
        <w:t>from</w:t>
      </w:r>
      <w:r>
        <w:rPr>
          <w:spacing w:val="-1"/>
          <w:sz w:val="16"/>
        </w:rPr>
        <w:t> </w:t>
      </w:r>
      <w:r>
        <w:rPr>
          <w:sz w:val="16"/>
        </w:rPr>
        <w:t>the</w:t>
      </w:r>
      <w:r>
        <w:rPr>
          <w:spacing w:val="-5"/>
          <w:sz w:val="16"/>
        </w:rPr>
        <w:t> </w:t>
      </w:r>
      <w:r>
        <w:rPr>
          <w:sz w:val="16"/>
        </w:rPr>
        <w:t>BCC,</w:t>
      </w:r>
      <w:r>
        <w:rPr>
          <w:spacing w:val="-2"/>
          <w:sz w:val="16"/>
        </w:rPr>
        <w:t> </w:t>
      </w:r>
      <w:r>
        <w:rPr>
          <w:sz w:val="16"/>
        </w:rPr>
        <w:t>CBI</w:t>
      </w:r>
      <w:r>
        <w:rPr>
          <w:spacing w:val="-3"/>
          <w:sz w:val="16"/>
        </w:rPr>
        <w:t> </w:t>
      </w:r>
      <w:r>
        <w:rPr>
          <w:sz w:val="16"/>
        </w:rPr>
        <w:t>and</w:t>
      </w:r>
      <w:r>
        <w:rPr>
          <w:spacing w:val="-3"/>
          <w:sz w:val="16"/>
        </w:rPr>
        <w:t> </w:t>
      </w:r>
      <w:r>
        <w:rPr>
          <w:sz w:val="16"/>
        </w:rPr>
        <w:t>Markit/CIPS</w:t>
      </w:r>
      <w:r>
        <w:rPr>
          <w:spacing w:val="-4"/>
          <w:sz w:val="16"/>
        </w:rPr>
        <w:t> </w:t>
      </w:r>
      <w:r>
        <w:rPr>
          <w:sz w:val="16"/>
        </w:rPr>
        <w:t>surveys</w:t>
      </w:r>
      <w:r>
        <w:rPr>
          <w:spacing w:val="-1"/>
          <w:sz w:val="16"/>
        </w:rPr>
        <w:t> </w:t>
      </w:r>
      <w:r>
        <w:rPr>
          <w:sz w:val="16"/>
        </w:rPr>
        <w:t>have</w:t>
      </w:r>
      <w:r>
        <w:rPr>
          <w:spacing w:val="-2"/>
          <w:sz w:val="16"/>
        </w:rPr>
        <w:t> </w:t>
      </w:r>
      <w:r>
        <w:rPr>
          <w:sz w:val="16"/>
        </w:rPr>
        <w:t>been</w:t>
      </w:r>
      <w:r>
        <w:rPr>
          <w:spacing w:val="-3"/>
          <w:sz w:val="16"/>
        </w:rPr>
        <w:t> </w:t>
      </w:r>
      <w:r>
        <w:rPr>
          <w:sz w:val="16"/>
        </w:rPr>
        <w:t>produced</w:t>
      </w:r>
      <w:r>
        <w:rPr>
          <w:spacing w:val="-3"/>
          <w:sz w:val="16"/>
        </w:rPr>
        <w:t> </w:t>
      </w:r>
      <w:r>
        <w:rPr>
          <w:sz w:val="16"/>
        </w:rPr>
        <w:t>by</w:t>
      </w:r>
      <w:r>
        <w:rPr>
          <w:spacing w:val="-3"/>
          <w:sz w:val="16"/>
        </w:rPr>
        <w:t> </w:t>
      </w:r>
      <w:r>
        <w:rPr>
          <w:sz w:val="16"/>
        </w:rPr>
        <w:t>weighting together sectoral surveys using nominal shares in value added. The surveys used are: BCC turnover</w:t>
      </w:r>
      <w:r>
        <w:rPr>
          <w:spacing w:val="-25"/>
          <w:sz w:val="16"/>
        </w:rPr>
        <w:t> </w:t>
      </w:r>
      <w:r>
        <w:rPr>
          <w:sz w:val="16"/>
        </w:rPr>
        <w:t>confidence</w:t>
      </w:r>
    </w:p>
    <w:p>
      <w:pPr>
        <w:spacing w:before="0"/>
        <w:ind w:left="953" w:right="1535" w:firstLine="0"/>
        <w:jc w:val="left"/>
        <w:rPr>
          <w:sz w:val="16"/>
        </w:rPr>
      </w:pPr>
      <w:r>
        <w:rPr>
          <w:sz w:val="16"/>
        </w:rPr>
        <w:t>(non-services and services), CBI business optimism (manufacturing, financial services, business/consumer services and distributive trades) and Markit/CIPS orders (manufacturing) and business expectations (services). The BCC data are</w:t>
      </w:r>
    </w:p>
    <w:p>
      <w:pPr>
        <w:spacing w:before="0"/>
        <w:ind w:left="953" w:right="1133" w:firstLine="0"/>
        <w:jc w:val="left"/>
        <w:rPr>
          <w:sz w:val="16"/>
        </w:rPr>
      </w:pPr>
      <w:r>
        <w:rPr>
          <w:sz w:val="16"/>
        </w:rPr>
        <w:t>non-seasonally adjusted. The aggregate measures have been adjusted to have the same mean and variance as quarterly GDP growth over the period 1999–2013 Q2. Survey indicators have been moved forward one quarter.</w:t>
      </w:r>
    </w:p>
    <w:p>
      <w:pPr>
        <w:pStyle w:val="ListParagraph"/>
        <w:numPr>
          <w:ilvl w:val="1"/>
          <w:numId w:val="5"/>
        </w:numPr>
        <w:tabs>
          <w:tab w:pos="954" w:val="left" w:leader="none"/>
        </w:tabs>
        <w:spacing w:line="240" w:lineRule="auto" w:before="0" w:after="0"/>
        <w:ind w:left="953" w:right="1515" w:hanging="360"/>
        <w:jc w:val="left"/>
        <w:rPr>
          <w:sz w:val="16"/>
        </w:rPr>
      </w:pPr>
      <w:r>
        <w:rPr>
          <w:sz w:val="16"/>
        </w:rPr>
        <w:t>Chained-volume measure. Business investment data have been adjusted by Bank staff to take account of the transfer of nuclear reactors from the public corporation sector to central government in 2005 Q2. Data are to 2013</w:t>
      </w:r>
      <w:r>
        <w:rPr>
          <w:spacing w:val="-23"/>
          <w:sz w:val="16"/>
        </w:rPr>
        <w:t> </w:t>
      </w:r>
      <w:r>
        <w:rPr>
          <w:sz w:val="16"/>
        </w:rPr>
        <w:t>Q1.</w:t>
      </w:r>
    </w:p>
    <w:p>
      <w:pPr>
        <w:pStyle w:val="BodyText"/>
        <w:rPr>
          <w:sz w:val="18"/>
        </w:rPr>
      </w:pPr>
    </w:p>
    <w:p>
      <w:pPr>
        <w:pStyle w:val="BodyText"/>
        <w:spacing w:line="357" w:lineRule="auto" w:before="144"/>
        <w:ind w:left="233" w:right="1133"/>
      </w:pPr>
      <w:r>
        <w:rPr/>
        <w:t>Employment declined, but by less than anticipated, in part because employers were mindful of the costs of rebuilding a workforce later and workers accepted pay freezes to preserve their jobs (Chart 10).</w:t>
      </w:r>
    </w:p>
    <w:p>
      <w:pPr>
        <w:spacing w:after="0" w:line="357" w:lineRule="auto"/>
        <w:sectPr>
          <w:type w:val="continuous"/>
          <w:pgSz w:w="11910" w:h="16840"/>
          <w:pgMar w:top="1180" w:bottom="1520" w:left="900" w:right="0"/>
        </w:sectPr>
      </w:pPr>
    </w:p>
    <w:p>
      <w:pPr>
        <w:pStyle w:val="BodyText"/>
        <w:spacing w:before="76"/>
        <w:ind w:left="233"/>
      </w:pPr>
      <w:r>
        <w:rPr>
          <w:b/>
        </w:rPr>
        <w:t>Chart 10</w:t>
      </w:r>
      <w:r>
        <w:rPr/>
        <w:t>: Private sector output and employment</w:t>
      </w:r>
    </w:p>
    <w:p>
      <w:pPr>
        <w:spacing w:after="0"/>
        <w:sectPr>
          <w:pgSz w:w="11910" w:h="16840"/>
          <w:pgMar w:header="0" w:footer="1338" w:top="1520" w:bottom="1520" w:left="900" w:right="0"/>
        </w:sectPr>
      </w:pPr>
    </w:p>
    <w:p>
      <w:pPr>
        <w:spacing w:before="162"/>
        <w:ind w:left="358" w:right="18" w:firstLine="0"/>
        <w:jc w:val="left"/>
        <w:rPr>
          <w:sz w:val="17"/>
        </w:rPr>
      </w:pPr>
      <w:r>
        <w:rPr>
          <w:sz w:val="17"/>
        </w:rPr>
        <w:t>Percentage change on a year earlier</w:t>
      </w:r>
    </w:p>
    <w:p>
      <w:pPr>
        <w:spacing w:before="26"/>
        <w:ind w:left="379" w:right="0" w:firstLine="0"/>
        <w:jc w:val="left"/>
        <w:rPr>
          <w:sz w:val="17"/>
        </w:rPr>
      </w:pPr>
      <w:r>
        <w:rPr/>
        <w:pict>
          <v:group style="position:absolute;margin-left:75.239998pt;margin-top:6.2229pt;width:235.8pt;height:112.1pt;mso-position-horizontal-relative:page;mso-position-vertical-relative:paragraph;z-index:251689984" coordorigin="1505,124" coordsize="4716,2242">
            <v:shape style="position:absolute;left:1519;top:131;width:53;height:2228" coordorigin="1519,132" coordsize="53,2228" path="m1519,2359l1519,132m1519,2359l1572,2359m1519,2138l1572,2138m1519,1915l1572,1915m1519,1692l1572,1692m1519,1468l1572,1468m1519,1245l1572,1245m1519,1022l1572,1022m1519,799l1572,799m1519,576l1572,576m1519,352l1572,352m1519,132l1572,132e" filled="false" stroked="true" strokeweight=".72pt" strokecolor="#000000">
              <v:path arrowok="t"/>
              <v:stroke dashstyle="solid"/>
            </v:shape>
            <v:shape style="position:absolute;left:1519;top:131;width:4700;height:2228" coordorigin="1519,132" coordsize="4700,2228" path="m6218,2359l6218,132m6168,2359l6218,2359m6168,2138l6218,2138m6168,1915l6218,1915m6168,1692l6218,1692m6168,1468l6218,1468m6168,1245l6218,1245m6168,1022l6218,1022m6168,799l6218,799m6168,576l6218,576m6168,352l6218,352m6168,132l6218,132m1519,2359l6218,2359m1519,2308l1519,2359m2239,2308l2239,2359m2962,2308l2962,2359m3682,2308l3682,2359m4402,2308l4402,2359m5122,2308l5122,2359m5844,2308l5844,2359e" filled="false" stroked="true" strokeweight=".24pt" strokecolor="#000000">
              <v:path arrowok="t"/>
              <v:stroke dashstyle="solid"/>
            </v:shape>
            <v:shape style="position:absolute;left:1519;top:566;width:4685;height:1683" coordorigin="1519,566" coordsize="4685,1683" path="m1519,710l1610,566,1699,744,1790,866,1879,854,1970,1034,2059,1034,2150,1089,2239,1178,2330,1135,2419,1068,2510,933,2602,912,2690,820,2782,756,2870,698,2962,710,3050,820,3142,979,3230,1056,3322,1010,3410,878,3502,820,3590,722,3682,777,3770,900,3862,933,3950,1010,4042,900,4133,756,4222,633,4313,732,4402,888,4493,1135,4582,1512,4673,1836,4762,2215,4853,2248,4942,2104,5033,1725,5122,1233,5213,979,5302,844,5393,979,5482,1010,5573,1101,5662,1111,5753,1089,5844,1178,5933,1291,6024,1279,6113,1279,6204,1233e" filled="false" stroked="true" strokeweight="1.44pt" strokecolor="#efab00">
              <v:path arrowok="t"/>
              <v:stroke dashstyle="solid"/>
            </v:shape>
            <v:line style="position:absolute" from="1519,1244" to="6204,1244" stroked="true" strokeweight=".140pt" strokecolor="#000000">
              <v:stroke dashstyle="solid"/>
            </v:line>
            <v:shape style="position:absolute;left:1610;top:546;width:4594;height:1575" coordorigin="1610,547" coordsize="4594,1575" path="m1610,945l1699,984,1790,1089,1879,1060,1970,1094,2059,1173,2150,1089,2239,1192,2330,1149,2419,1171,2510,1094,2602,1104,2690,1125,2782,1104,2870,1228,2962,1053,3050,1137,3142,1111,3230,996,3322,1027,3410,1041,3502,952,3590,1132,3682,1046,3770,957,3862,988,3950,890,4042,1070,4133,1020,4222,1010,4313,914,4402,787,4493,883,4582,1142,4673,1509,4762,1843,4853,2121,4942,2013,5033,1766,5122,1610,5213,1161,5302,873,5393,904,5482,698,5573,830,5662,1168,5753,1048,5844,1029,5933,861,6024,624,6113,547,6204,724e" filled="false" stroked="true" strokeweight="1.44pt" strokecolor="#660066">
              <v:path arrowok="t"/>
              <v:stroke dashstyle="solid"/>
            </v:shape>
            <v:shape style="position:absolute;left:4116;top:1637;width:398;height:163" type="#_x0000_t75" stroked="false">
              <v:imagedata r:id="rId12" o:title=""/>
            </v:shape>
            <v:shape style="position:absolute;left:4961;top:486;width:380;height:221" type="#_x0000_t75" stroked="false">
              <v:imagedata r:id="rId13" o:title=""/>
            </v:shape>
            <v:shape style="position:absolute;left:2711;top:216;width:2402;height:191" type="#_x0000_t202" filled="false" stroked="false">
              <v:textbox inset="0,0,0,0">
                <w:txbxContent>
                  <w:p>
                    <w:pPr>
                      <w:spacing w:line="190" w:lineRule="exact" w:before="0"/>
                      <w:ind w:left="0" w:right="0" w:firstLine="0"/>
                      <w:jc w:val="left"/>
                      <w:rPr>
                        <w:sz w:val="17"/>
                      </w:rPr>
                    </w:pPr>
                    <w:r>
                      <w:rPr>
                        <w:sz w:val="17"/>
                      </w:rPr>
                      <w:t>Employment </w:t>
                    </w:r>
                    <w:r>
                      <w:rPr>
                        <w:position w:val="5"/>
                        <w:sz w:val="11"/>
                      </w:rPr>
                      <w:t>(a) </w:t>
                    </w:r>
                    <w:r>
                      <w:rPr>
                        <w:sz w:val="17"/>
                      </w:rPr>
                      <w:t>(left-hand scale)</w:t>
                    </w:r>
                  </w:p>
                </w:txbxContent>
              </v:textbox>
              <w10:wrap type="none"/>
            </v:shape>
            <v:shape style="position:absolute;left:2043;top:1892;width:2057;height:191" type="#_x0000_t202" filled="false" stroked="false">
              <v:textbox inset="0,0,0,0">
                <w:txbxContent>
                  <w:p>
                    <w:pPr>
                      <w:spacing w:line="190" w:lineRule="exact" w:before="0"/>
                      <w:ind w:left="0" w:right="0" w:firstLine="0"/>
                      <w:jc w:val="left"/>
                      <w:rPr>
                        <w:sz w:val="17"/>
                      </w:rPr>
                    </w:pPr>
                    <w:r>
                      <w:rPr>
                        <w:sz w:val="17"/>
                      </w:rPr>
                      <w:t>Output</w:t>
                    </w:r>
                    <w:r>
                      <w:rPr>
                        <w:position w:val="5"/>
                        <w:sz w:val="11"/>
                      </w:rPr>
                      <w:t>(b) </w:t>
                    </w:r>
                    <w:r>
                      <w:rPr>
                        <w:sz w:val="17"/>
                      </w:rPr>
                      <w:t>(right-hand scale)</w:t>
                    </w:r>
                  </w:p>
                </w:txbxContent>
              </v:textbox>
              <w10:wrap type="none"/>
            </v:shape>
            <w10:wrap type="none"/>
          </v:group>
        </w:pict>
      </w:r>
      <w:r>
        <w:rPr>
          <w:w w:val="100"/>
          <w:sz w:val="17"/>
        </w:rPr>
        <w:t>5</w:t>
      </w:r>
    </w:p>
    <w:p>
      <w:pPr>
        <w:spacing w:before="28"/>
        <w:ind w:left="379" w:right="0" w:firstLine="0"/>
        <w:jc w:val="left"/>
        <w:rPr>
          <w:sz w:val="17"/>
        </w:rPr>
      </w:pPr>
      <w:r>
        <w:rPr>
          <w:w w:val="100"/>
          <w:sz w:val="17"/>
        </w:rPr>
        <w:t>4</w:t>
      </w:r>
    </w:p>
    <w:p>
      <w:pPr>
        <w:spacing w:before="27"/>
        <w:ind w:left="379" w:right="0" w:firstLine="0"/>
        <w:jc w:val="left"/>
        <w:rPr>
          <w:sz w:val="17"/>
        </w:rPr>
      </w:pPr>
      <w:r>
        <w:rPr>
          <w:w w:val="100"/>
          <w:sz w:val="17"/>
        </w:rPr>
        <w:t>3</w:t>
      </w:r>
    </w:p>
    <w:p>
      <w:pPr>
        <w:spacing w:before="28"/>
        <w:ind w:left="379" w:right="0" w:firstLine="0"/>
        <w:jc w:val="left"/>
        <w:rPr>
          <w:sz w:val="17"/>
        </w:rPr>
      </w:pPr>
      <w:r>
        <w:rPr>
          <w:w w:val="100"/>
          <w:sz w:val="17"/>
        </w:rPr>
        <w:t>2</w:t>
      </w:r>
    </w:p>
    <w:p>
      <w:pPr>
        <w:spacing w:before="27"/>
        <w:ind w:left="379" w:right="0" w:firstLine="0"/>
        <w:jc w:val="left"/>
        <w:rPr>
          <w:sz w:val="17"/>
        </w:rPr>
      </w:pPr>
      <w:r>
        <w:rPr>
          <w:w w:val="100"/>
          <w:sz w:val="17"/>
        </w:rPr>
        <w:t>1</w:t>
      </w:r>
    </w:p>
    <w:p>
      <w:pPr>
        <w:spacing w:before="28"/>
        <w:ind w:left="379" w:right="0" w:firstLine="0"/>
        <w:jc w:val="left"/>
        <w:rPr>
          <w:sz w:val="17"/>
        </w:rPr>
      </w:pPr>
      <w:r>
        <w:rPr>
          <w:w w:val="100"/>
          <w:sz w:val="17"/>
        </w:rPr>
        <w:t>0</w:t>
      </w:r>
    </w:p>
    <w:p>
      <w:pPr>
        <w:spacing w:before="27"/>
        <w:ind w:left="322" w:right="0" w:firstLine="0"/>
        <w:jc w:val="left"/>
        <w:rPr>
          <w:sz w:val="17"/>
        </w:rPr>
      </w:pPr>
      <w:r>
        <w:rPr>
          <w:sz w:val="17"/>
        </w:rPr>
        <w:t>-1</w:t>
      </w:r>
    </w:p>
    <w:p>
      <w:pPr>
        <w:spacing w:before="28"/>
        <w:ind w:left="322" w:right="0" w:firstLine="0"/>
        <w:jc w:val="left"/>
        <w:rPr>
          <w:sz w:val="17"/>
        </w:rPr>
      </w:pPr>
      <w:r>
        <w:rPr>
          <w:sz w:val="17"/>
        </w:rPr>
        <w:t>-2</w:t>
      </w:r>
    </w:p>
    <w:p>
      <w:pPr>
        <w:spacing w:before="27"/>
        <w:ind w:left="322" w:right="0" w:firstLine="0"/>
        <w:jc w:val="left"/>
        <w:rPr>
          <w:sz w:val="17"/>
        </w:rPr>
      </w:pPr>
      <w:r>
        <w:rPr>
          <w:sz w:val="17"/>
        </w:rPr>
        <w:t>-3</w:t>
      </w:r>
    </w:p>
    <w:p>
      <w:pPr>
        <w:spacing w:before="28"/>
        <w:ind w:left="322" w:right="0" w:firstLine="0"/>
        <w:jc w:val="left"/>
        <w:rPr>
          <w:sz w:val="17"/>
        </w:rPr>
      </w:pPr>
      <w:r>
        <w:rPr>
          <w:sz w:val="17"/>
        </w:rPr>
        <w:t>-4</w:t>
      </w:r>
    </w:p>
    <w:p>
      <w:pPr>
        <w:spacing w:before="27"/>
        <w:ind w:left="322" w:right="0" w:firstLine="0"/>
        <w:jc w:val="left"/>
        <w:rPr>
          <w:sz w:val="17"/>
        </w:rPr>
      </w:pPr>
      <w:r>
        <w:rPr>
          <w:sz w:val="17"/>
        </w:rPr>
        <w:t>-5</w:t>
      </w:r>
    </w:p>
    <w:p>
      <w:pPr>
        <w:spacing w:before="162"/>
        <w:ind w:left="0" w:right="5307" w:firstLine="0"/>
        <w:jc w:val="right"/>
        <w:rPr>
          <w:sz w:val="17"/>
        </w:rPr>
      </w:pPr>
      <w:r>
        <w:rPr/>
        <w:br w:type="column"/>
      </w:r>
      <w:r>
        <w:rPr>
          <w:sz w:val="17"/>
        </w:rPr>
        <w:t>Percentage change on</w:t>
      </w:r>
      <w:r>
        <w:rPr>
          <w:spacing w:val="-15"/>
          <w:sz w:val="17"/>
        </w:rPr>
        <w:t> </w:t>
      </w:r>
      <w:r>
        <w:rPr>
          <w:sz w:val="17"/>
        </w:rPr>
        <w:t>a</w:t>
      </w:r>
    </w:p>
    <w:p>
      <w:pPr>
        <w:spacing w:before="1"/>
        <w:ind w:left="0" w:right="5308" w:firstLine="0"/>
        <w:jc w:val="right"/>
        <w:rPr>
          <w:sz w:val="17"/>
        </w:rPr>
      </w:pPr>
      <w:r>
        <w:rPr>
          <w:sz w:val="17"/>
        </w:rPr>
        <w:t>year</w:t>
      </w:r>
      <w:r>
        <w:rPr>
          <w:spacing w:val="-10"/>
          <w:sz w:val="17"/>
        </w:rPr>
        <w:t> </w:t>
      </w:r>
      <w:r>
        <w:rPr>
          <w:sz w:val="17"/>
        </w:rPr>
        <w:t>earlier</w:t>
      </w:r>
    </w:p>
    <w:p>
      <w:pPr>
        <w:spacing w:before="25"/>
        <w:ind w:left="0" w:right="5351" w:firstLine="0"/>
        <w:jc w:val="right"/>
        <w:rPr>
          <w:sz w:val="17"/>
        </w:rPr>
      </w:pPr>
      <w:r>
        <w:rPr>
          <w:spacing w:val="-2"/>
          <w:sz w:val="17"/>
        </w:rPr>
        <w:t>10</w:t>
      </w:r>
    </w:p>
    <w:p>
      <w:pPr>
        <w:spacing w:before="28"/>
        <w:ind w:left="1941" w:right="0" w:firstLine="0"/>
        <w:jc w:val="left"/>
        <w:rPr>
          <w:sz w:val="17"/>
        </w:rPr>
      </w:pPr>
      <w:r>
        <w:rPr>
          <w:w w:val="100"/>
          <w:sz w:val="17"/>
        </w:rPr>
        <w:t>8</w:t>
      </w:r>
    </w:p>
    <w:p>
      <w:pPr>
        <w:spacing w:before="27"/>
        <w:ind w:left="1941" w:right="0" w:firstLine="0"/>
        <w:jc w:val="left"/>
        <w:rPr>
          <w:sz w:val="17"/>
        </w:rPr>
      </w:pPr>
      <w:r>
        <w:rPr>
          <w:w w:val="100"/>
          <w:sz w:val="17"/>
        </w:rPr>
        <w:t>6</w:t>
      </w:r>
    </w:p>
    <w:p>
      <w:pPr>
        <w:spacing w:before="28"/>
        <w:ind w:left="1941" w:right="0" w:firstLine="0"/>
        <w:jc w:val="left"/>
        <w:rPr>
          <w:sz w:val="17"/>
        </w:rPr>
      </w:pPr>
      <w:r>
        <w:rPr>
          <w:w w:val="100"/>
          <w:sz w:val="17"/>
        </w:rPr>
        <w:t>4</w:t>
      </w:r>
    </w:p>
    <w:p>
      <w:pPr>
        <w:spacing w:before="27"/>
        <w:ind w:left="1941" w:right="0" w:firstLine="0"/>
        <w:jc w:val="left"/>
        <w:rPr>
          <w:sz w:val="17"/>
        </w:rPr>
      </w:pPr>
      <w:r>
        <w:rPr>
          <w:w w:val="100"/>
          <w:sz w:val="17"/>
        </w:rPr>
        <w:t>2</w:t>
      </w:r>
    </w:p>
    <w:p>
      <w:pPr>
        <w:spacing w:before="28"/>
        <w:ind w:left="1941" w:right="0" w:firstLine="0"/>
        <w:jc w:val="left"/>
        <w:rPr>
          <w:sz w:val="17"/>
        </w:rPr>
      </w:pPr>
      <w:r>
        <w:rPr>
          <w:w w:val="100"/>
          <w:sz w:val="17"/>
        </w:rPr>
        <w:t>0</w:t>
      </w:r>
    </w:p>
    <w:p>
      <w:pPr>
        <w:spacing w:before="27"/>
        <w:ind w:left="1941" w:right="0" w:firstLine="0"/>
        <w:jc w:val="left"/>
        <w:rPr>
          <w:sz w:val="17"/>
        </w:rPr>
      </w:pPr>
      <w:r>
        <w:rPr>
          <w:sz w:val="17"/>
        </w:rPr>
        <w:t>-2</w:t>
      </w:r>
    </w:p>
    <w:p>
      <w:pPr>
        <w:spacing w:before="28"/>
        <w:ind w:left="1941" w:right="0" w:firstLine="0"/>
        <w:jc w:val="left"/>
        <w:rPr>
          <w:sz w:val="17"/>
        </w:rPr>
      </w:pPr>
      <w:r>
        <w:rPr>
          <w:sz w:val="17"/>
        </w:rPr>
        <w:t>-4</w:t>
      </w:r>
    </w:p>
    <w:p>
      <w:pPr>
        <w:spacing w:before="27"/>
        <w:ind w:left="1941" w:right="0" w:firstLine="0"/>
        <w:jc w:val="left"/>
        <w:rPr>
          <w:sz w:val="17"/>
        </w:rPr>
      </w:pPr>
      <w:r>
        <w:rPr>
          <w:sz w:val="17"/>
        </w:rPr>
        <w:t>-6</w:t>
      </w:r>
    </w:p>
    <w:p>
      <w:pPr>
        <w:spacing w:before="28"/>
        <w:ind w:left="1941" w:right="0" w:firstLine="0"/>
        <w:jc w:val="left"/>
        <w:rPr>
          <w:sz w:val="17"/>
        </w:rPr>
      </w:pPr>
      <w:r>
        <w:rPr>
          <w:sz w:val="17"/>
        </w:rPr>
        <w:t>-8</w:t>
      </w:r>
    </w:p>
    <w:p>
      <w:pPr>
        <w:spacing w:before="27"/>
        <w:ind w:left="1941" w:right="0" w:firstLine="0"/>
        <w:jc w:val="left"/>
        <w:rPr>
          <w:sz w:val="17"/>
        </w:rPr>
      </w:pPr>
      <w:r>
        <w:rPr>
          <w:sz w:val="17"/>
        </w:rPr>
        <w:t>-10</w:t>
      </w:r>
    </w:p>
    <w:p>
      <w:pPr>
        <w:spacing w:after="0"/>
        <w:jc w:val="left"/>
        <w:rPr>
          <w:sz w:val="17"/>
        </w:rPr>
        <w:sectPr>
          <w:type w:val="continuous"/>
          <w:pgSz w:w="11910" w:h="16840"/>
          <w:pgMar w:top="1180" w:bottom="1520" w:left="900" w:right="0"/>
          <w:cols w:num="2" w:equalWidth="0">
            <w:col w:w="2249" w:space="1276"/>
            <w:col w:w="7485"/>
          </w:cols>
        </w:sectPr>
      </w:pPr>
    </w:p>
    <w:p>
      <w:pPr>
        <w:tabs>
          <w:tab w:pos="1151" w:val="left" w:leader="none"/>
          <w:tab w:pos="1872" w:val="left" w:leader="none"/>
          <w:tab w:pos="2592" w:val="left" w:leader="none"/>
          <w:tab w:pos="3313" w:val="left" w:leader="none"/>
          <w:tab w:pos="4034" w:val="left" w:leader="none"/>
          <w:tab w:pos="4754" w:val="left" w:leader="none"/>
        </w:tabs>
        <w:spacing w:before="7"/>
        <w:ind w:left="431" w:right="0" w:firstLine="0"/>
        <w:jc w:val="left"/>
        <w:rPr>
          <w:sz w:val="17"/>
        </w:rPr>
      </w:pPr>
      <w:r>
        <w:rPr>
          <w:sz w:val="17"/>
        </w:rPr>
        <w:t>2000</w:t>
        <w:tab/>
        <w:t>2002</w:t>
        <w:tab/>
        <w:t>2004</w:t>
        <w:tab/>
        <w:t>2006</w:t>
        <w:tab/>
        <w:t>2008</w:t>
        <w:tab/>
        <w:t>2010</w:t>
        <w:tab/>
        <w:t>2012</w:t>
      </w:r>
    </w:p>
    <w:p>
      <w:pPr>
        <w:spacing w:before="148"/>
        <w:ind w:left="233" w:right="0" w:firstLine="0"/>
        <w:jc w:val="left"/>
        <w:rPr>
          <w:sz w:val="16"/>
        </w:rPr>
      </w:pPr>
      <w:r>
        <w:rPr>
          <w:sz w:val="16"/>
        </w:rPr>
        <w:t>Sources: ONS (including the Labour Force Survey) and Bank calculations.</w:t>
      </w:r>
    </w:p>
    <w:p>
      <w:pPr>
        <w:pStyle w:val="ListParagraph"/>
        <w:numPr>
          <w:ilvl w:val="0"/>
          <w:numId w:val="6"/>
        </w:numPr>
        <w:tabs>
          <w:tab w:pos="474" w:val="left" w:leader="none"/>
        </w:tabs>
        <w:spacing w:line="240" w:lineRule="auto" w:before="121" w:after="0"/>
        <w:ind w:left="233" w:right="1210" w:firstLine="0"/>
        <w:jc w:val="left"/>
        <w:rPr>
          <w:sz w:val="16"/>
        </w:rPr>
      </w:pPr>
      <w:r>
        <w:rPr>
          <w:sz w:val="16"/>
        </w:rPr>
        <w:t>LFS private sector employment. Calculated as the difference between LFS whole-economy employment and total public sector employment excluding publicly owned English further education corporations and sixth-form college corporations from the ONS’s public sector employment release, adjusted to be on a calendar-quarter basis. Data start in 2000</w:t>
      </w:r>
      <w:r>
        <w:rPr>
          <w:spacing w:val="-14"/>
          <w:sz w:val="16"/>
        </w:rPr>
        <w:t> </w:t>
      </w:r>
      <w:r>
        <w:rPr>
          <w:sz w:val="16"/>
        </w:rPr>
        <w:t>Q2.</w:t>
      </w:r>
    </w:p>
    <w:p>
      <w:pPr>
        <w:pStyle w:val="ListParagraph"/>
        <w:numPr>
          <w:ilvl w:val="0"/>
          <w:numId w:val="6"/>
        </w:numPr>
        <w:tabs>
          <w:tab w:pos="474" w:val="left" w:leader="none"/>
        </w:tabs>
        <w:spacing w:line="240" w:lineRule="auto" w:before="121" w:after="0"/>
        <w:ind w:left="473" w:right="0" w:hanging="241"/>
        <w:jc w:val="left"/>
        <w:rPr>
          <w:sz w:val="16"/>
        </w:rPr>
      </w:pPr>
      <w:r>
        <w:rPr>
          <w:sz w:val="16"/>
        </w:rPr>
        <w:t>Market sector gross value added. Chained-volume measure at market</w:t>
      </w:r>
      <w:r>
        <w:rPr>
          <w:spacing w:val="-4"/>
          <w:sz w:val="16"/>
        </w:rPr>
        <w:t> </w:t>
      </w:r>
      <w:r>
        <w:rPr>
          <w:sz w:val="16"/>
        </w:rPr>
        <w:t>prices.</w:t>
      </w:r>
    </w:p>
    <w:p>
      <w:pPr>
        <w:pStyle w:val="BodyText"/>
        <w:rPr>
          <w:sz w:val="18"/>
        </w:rPr>
      </w:pPr>
    </w:p>
    <w:p>
      <w:pPr>
        <w:pStyle w:val="BodyText"/>
        <w:spacing w:before="5"/>
        <w:rPr>
          <w:sz w:val="22"/>
        </w:rPr>
      </w:pPr>
    </w:p>
    <w:p>
      <w:pPr>
        <w:pStyle w:val="BodyText"/>
        <w:spacing w:line="360" w:lineRule="auto"/>
        <w:ind w:left="233" w:right="1133"/>
      </w:pPr>
      <w:r>
        <w:rPr/>
        <w:t>With activity falling faster than employment, labour productivity declined. Real wages fell, in line with weak productivity (Chart 11). But unit labour costs rose, pushing up inflation (Chart 12).</w:t>
      </w:r>
    </w:p>
    <w:p>
      <w:pPr>
        <w:pStyle w:val="BodyText"/>
        <w:spacing w:before="2"/>
        <w:rPr>
          <w:sz w:val="30"/>
        </w:rPr>
      </w:pPr>
    </w:p>
    <w:p>
      <w:pPr>
        <w:pStyle w:val="BodyText"/>
        <w:spacing w:line="357" w:lineRule="auto"/>
        <w:ind w:left="233" w:right="1551"/>
      </w:pPr>
      <w:r>
        <w:rPr/>
        <w:t>Starting from such a situation and after a series of such large negative shocks one can envisage how an economy might evolve along two very different paths. One is a ‘low confidence, weak growth’ path.</w:t>
      </w:r>
    </w:p>
    <w:p>
      <w:pPr>
        <w:pStyle w:val="BodyText"/>
        <w:spacing w:line="360" w:lineRule="auto" w:before="3"/>
        <w:ind w:left="233" w:right="1180"/>
      </w:pPr>
      <w:r>
        <w:rPr/>
        <w:t>Investment would remain weak, labour productivity would not pick up, and real wages would stagnate to match poor productivity. Because of weak productivity, unit labour cost growth might continue to be positive, so cost and inflation pressures would not look unusually weak even though the economy is in a deep recession. Falling real wages would not bring forth a return to full employment because demand for labour would not rise enough in an environment where firms expect demand for their goods to continue to be weak. I think this is roughly the path the UK has been on for much of the period since the financial train wreck.</w:t>
      </w:r>
    </w:p>
    <w:p>
      <w:pPr>
        <w:pStyle w:val="BodyText"/>
        <w:spacing w:line="360" w:lineRule="auto"/>
        <w:ind w:left="233" w:right="1133"/>
      </w:pPr>
      <w:r>
        <w:rPr/>
        <w:t>But an alternative, self-fulfilling upswing may also be possible. On this path productivity growth is faster, real wages can rise, and rising real incomes can justify greater spending. In this case greater optimism is</w:t>
      </w:r>
    </w:p>
    <w:p>
      <w:pPr>
        <w:pStyle w:val="BodyText"/>
        <w:spacing w:line="360" w:lineRule="auto" w:before="1"/>
        <w:ind w:left="233" w:right="602"/>
      </w:pPr>
      <w:r>
        <w:rPr/>
        <w:t>self-confirming and greater activity generates a sustainable upswing during which productivity is stronger and higher incomes make the expectation of higher demand consistent with household plans.</w:t>
      </w:r>
    </w:p>
    <w:p>
      <w:pPr>
        <w:pStyle w:val="BodyText"/>
        <w:spacing w:before="11"/>
        <w:rPr>
          <w:sz w:val="29"/>
        </w:rPr>
      </w:pPr>
    </w:p>
    <w:p>
      <w:pPr>
        <w:pStyle w:val="BodyText"/>
        <w:spacing w:line="360" w:lineRule="auto"/>
        <w:ind w:left="233" w:right="1330"/>
      </w:pPr>
      <w:r>
        <w:rPr/>
        <w:t>Inflation pressures generated within the economy may be quite similar along both paths, but for different reasons. In the first, inflation pressures do not fall much because unit labour cost growth is not unusually low; in the second, inflation pressures do not rise since stronger growth itself helps hold down unit costs of production because endogenous productivity growth creates flat costs of production.</w:t>
      </w:r>
    </w:p>
    <w:p>
      <w:pPr>
        <w:spacing w:after="0" w:line="360" w:lineRule="auto"/>
        <w:sectPr>
          <w:type w:val="continuous"/>
          <w:pgSz w:w="11910" w:h="16840"/>
          <w:pgMar w:top="1180" w:bottom="1520" w:left="900" w:right="0"/>
        </w:sectPr>
      </w:pPr>
    </w:p>
    <w:p>
      <w:pPr>
        <w:pStyle w:val="BodyText"/>
        <w:spacing w:before="76"/>
        <w:ind w:left="233"/>
      </w:pPr>
      <w:r>
        <w:rPr>
          <w:b/>
        </w:rPr>
        <w:t>Chart 11: </w:t>
      </w:r>
      <w:r>
        <w:rPr/>
        <w:t>Annual labour productivity growth and real wage growth</w:t>
      </w:r>
    </w:p>
    <w:p>
      <w:pPr>
        <w:spacing w:before="114"/>
        <w:ind w:left="664" w:right="0" w:firstLine="0"/>
        <w:jc w:val="left"/>
        <w:rPr>
          <w:sz w:val="17"/>
        </w:rPr>
      </w:pPr>
      <w:r>
        <w:rPr/>
        <w:pict>
          <v:group style="position:absolute;margin-left:94.68pt;margin-top:5.96pt;width:217.35pt;height:140.4pt;mso-position-horizontal-relative:page;mso-position-vertical-relative:paragraph;z-index:251692032" coordorigin="1894,119" coordsize="4347,2808">
            <v:shape style="position:absolute;left:1893;top:219;width:4347;height:2700" coordorigin="1894,220" coordsize="4347,2700" path="m1946,2920l1946,220m1894,2920l1946,2920m1894,2533l1946,2533m1894,2147l1946,2147m1894,1763l1946,1763m1894,1376l1946,1376m1894,990l1946,990m1894,604l1946,604m1894,220l1946,220m1946,1376l6240,1376m1946,1376l1946,1427m2986,1376l2986,1427m4027,1376l4027,1427m5069,1376l5069,1427m6110,1376l6110,1427e" filled="false" stroked="true" strokeweight=".72pt" strokecolor="#858585">
              <v:path arrowok="t"/>
              <v:stroke dashstyle="solid"/>
            </v:shape>
            <v:shape style="position:absolute;left:2011;top:740;width:4164;height:1524" coordorigin="2011,740" coordsize="4164,1524" path="m2011,1086l2141,1376,2270,1144,2400,779,2532,875,2662,779,2791,952,2921,1201,3053,952,3182,913,3312,740,3442,856,3574,932,3703,1163,3833,1568,3962,1878,4092,2204,4224,2264,4354,1955,4483,1744,4613,1086,4745,1124,4874,1124,5004,1067,5134,1530,5266,1067,5395,1201,5525,1124,5654,1319,5784,1801,5916,1840,6046,1878,6175,1744e" filled="false" stroked="true" strokeweight="1.44pt" strokecolor="#497dba">
              <v:path arrowok="t"/>
              <v:stroke dashstyle="solid"/>
            </v:shape>
            <v:shape style="position:absolute;left:2011;top:570;width:4164;height:2160" coordorigin="2011,570" coordsize="4164,2160" path="m2011,966l2141,925,2270,932,2400,942,2532,570,2662,774,2791,1105,2921,844,3053,1112,3182,1050,3312,685,3442,1235,3574,930,3703,1472,3833,1825,3962,1480,4092,2730,4224,1595,4354,1496,4483,1525,4613,764,4745,1643,4874,1525,5004,1864,5134,1631,5266,1535,5395,1969,5525,1828,5654,1780,5784,1631,5916,1456,6046,1643,6175,1938m3274,570l3658,570e" filled="false" stroked="true" strokeweight="1.44pt" strokecolor="#bd4a47">
              <v:path arrowok="t"/>
              <v:stroke dashstyle="solid"/>
            </v:shape>
            <v:shape style="position:absolute;left:1893;top:119;width:4347;height:2808" type="#_x0000_t202" filled="false" stroked="false">
              <v:textbox inset="0,0,0,0">
                <w:txbxContent>
                  <w:p>
                    <w:pPr>
                      <w:tabs>
                        <w:tab w:pos="1805" w:val="left" w:leader="none"/>
                      </w:tabs>
                      <w:spacing w:line="343" w:lineRule="auto" w:before="66"/>
                      <w:ind w:left="1806" w:right="27" w:hanging="427"/>
                      <w:jc w:val="left"/>
                      <w:rPr>
                        <w:sz w:val="17"/>
                      </w:rPr>
                    </w:pPr>
                    <w:r>
                      <w:rPr>
                        <w:w w:val="100"/>
                        <w:position w:val="7"/>
                        <w:sz w:val="17"/>
                        <w:u w:val="thick" w:color="497DBA"/>
                      </w:rPr>
                      <w:t> </w:t>
                    </w:r>
                    <w:r>
                      <w:rPr>
                        <w:position w:val="7"/>
                        <w:sz w:val="17"/>
                        <w:u w:val="thick" w:color="497DBA"/>
                      </w:rPr>
                      <w:tab/>
                    </w:r>
                    <w:r>
                      <w:rPr>
                        <w:sz w:val="17"/>
                      </w:rPr>
                      <w:t>Annual labour productivity</w:t>
                    </w:r>
                    <w:r>
                      <w:rPr>
                        <w:spacing w:val="-16"/>
                        <w:sz w:val="17"/>
                      </w:rPr>
                      <w:t> </w:t>
                    </w:r>
                    <w:r>
                      <w:rPr>
                        <w:sz w:val="17"/>
                      </w:rPr>
                      <w:t>growth Real weekly</w:t>
                    </w:r>
                    <w:r>
                      <w:rPr>
                        <w:spacing w:val="-2"/>
                        <w:sz w:val="17"/>
                      </w:rPr>
                      <w:t> </w:t>
                    </w:r>
                    <w:r>
                      <w:rPr>
                        <w:sz w:val="17"/>
                      </w:rPr>
                      <w:t>earnings</w:t>
                    </w:r>
                  </w:p>
                </w:txbxContent>
              </v:textbox>
              <w10:wrap type="none"/>
            </v:shape>
            <w10:wrap type="none"/>
          </v:group>
        </w:pict>
      </w:r>
      <w:r>
        <w:rPr>
          <w:sz w:val="17"/>
        </w:rPr>
        <w:t>6.0</w:t>
      </w:r>
    </w:p>
    <w:p>
      <w:pPr>
        <w:pStyle w:val="BodyText"/>
        <w:spacing w:before="6"/>
        <w:rPr>
          <w:sz w:val="16"/>
        </w:rPr>
      </w:pPr>
    </w:p>
    <w:p>
      <w:pPr>
        <w:spacing w:before="0"/>
        <w:ind w:left="664" w:right="0" w:firstLine="0"/>
        <w:jc w:val="left"/>
        <w:rPr>
          <w:sz w:val="17"/>
        </w:rPr>
      </w:pPr>
      <w:r>
        <w:rPr>
          <w:sz w:val="17"/>
        </w:rPr>
        <w:t>4.0</w:t>
      </w:r>
    </w:p>
    <w:p>
      <w:pPr>
        <w:pStyle w:val="BodyText"/>
        <w:spacing w:before="6"/>
        <w:rPr>
          <w:sz w:val="16"/>
        </w:rPr>
      </w:pPr>
    </w:p>
    <w:p>
      <w:pPr>
        <w:spacing w:before="1"/>
        <w:ind w:left="664" w:right="0" w:firstLine="0"/>
        <w:jc w:val="left"/>
        <w:rPr>
          <w:sz w:val="17"/>
        </w:rPr>
      </w:pPr>
      <w:r>
        <w:rPr>
          <w:sz w:val="17"/>
        </w:rPr>
        <w:t>2.0</w:t>
      </w:r>
    </w:p>
    <w:p>
      <w:pPr>
        <w:pStyle w:val="BodyText"/>
        <w:spacing w:before="6"/>
        <w:rPr>
          <w:sz w:val="16"/>
        </w:rPr>
      </w:pPr>
    </w:p>
    <w:p>
      <w:pPr>
        <w:spacing w:before="0"/>
        <w:ind w:left="664" w:right="0" w:firstLine="0"/>
        <w:jc w:val="left"/>
        <w:rPr>
          <w:sz w:val="17"/>
        </w:rPr>
      </w:pPr>
      <w:r>
        <w:rPr/>
        <w:pict>
          <v:shape style="position:absolute;margin-left:57.431068pt;margin-top:6.645194pt;width:11.55pt;height:33.65pt;mso-position-horizontal-relative:page;mso-position-vertical-relative:paragraph;z-index:251696128" type="#_x0000_t202" filled="false" stroked="false">
            <v:textbox inset="0,0,0,0" style="layout-flow:vertical;mso-layout-flow-alt:bottom-to-top">
              <w:txbxContent>
                <w:p>
                  <w:pPr>
                    <w:spacing w:before="15"/>
                    <w:ind w:left="20" w:right="0" w:firstLine="0"/>
                    <w:jc w:val="left"/>
                    <w:rPr>
                      <w:sz w:val="17"/>
                    </w:rPr>
                  </w:pPr>
                  <w:r>
                    <w:rPr>
                      <w:sz w:val="17"/>
                    </w:rPr>
                    <w:t>Per cent</w:t>
                  </w:r>
                </w:p>
              </w:txbxContent>
            </v:textbox>
            <w10:wrap type="none"/>
          </v:shape>
        </w:pict>
      </w:r>
      <w:r>
        <w:rPr>
          <w:sz w:val="17"/>
        </w:rPr>
        <w:t>0.0</w:t>
      </w:r>
    </w:p>
    <w:p>
      <w:pPr>
        <w:pStyle w:val="BodyText"/>
        <w:spacing w:before="6"/>
        <w:rPr>
          <w:sz w:val="16"/>
        </w:rPr>
      </w:pPr>
    </w:p>
    <w:p>
      <w:pPr>
        <w:spacing w:before="0"/>
        <w:ind w:left="608" w:right="0" w:firstLine="0"/>
        <w:jc w:val="left"/>
        <w:rPr>
          <w:sz w:val="17"/>
        </w:rPr>
      </w:pPr>
      <w:r>
        <w:rPr>
          <w:sz w:val="17"/>
        </w:rPr>
        <w:t>-2.0</w:t>
      </w:r>
    </w:p>
    <w:p>
      <w:pPr>
        <w:pStyle w:val="BodyText"/>
        <w:spacing w:before="6"/>
        <w:rPr>
          <w:sz w:val="16"/>
        </w:rPr>
      </w:pPr>
    </w:p>
    <w:p>
      <w:pPr>
        <w:spacing w:before="0"/>
        <w:ind w:left="608" w:right="0" w:firstLine="0"/>
        <w:jc w:val="left"/>
        <w:rPr>
          <w:sz w:val="17"/>
        </w:rPr>
      </w:pPr>
      <w:r>
        <w:rPr>
          <w:sz w:val="17"/>
        </w:rPr>
        <w:t>-4.0</w:t>
      </w:r>
    </w:p>
    <w:p>
      <w:pPr>
        <w:pStyle w:val="BodyText"/>
        <w:spacing w:before="7"/>
        <w:rPr>
          <w:sz w:val="16"/>
        </w:rPr>
      </w:pPr>
    </w:p>
    <w:p>
      <w:pPr>
        <w:spacing w:before="0"/>
        <w:ind w:left="608" w:right="0" w:firstLine="0"/>
        <w:jc w:val="left"/>
        <w:rPr>
          <w:sz w:val="17"/>
        </w:rPr>
      </w:pPr>
      <w:r>
        <w:rPr>
          <w:sz w:val="17"/>
        </w:rPr>
        <w:t>-6.0</w:t>
      </w:r>
    </w:p>
    <w:p>
      <w:pPr>
        <w:pStyle w:val="BodyText"/>
        <w:spacing w:before="6"/>
        <w:rPr>
          <w:sz w:val="16"/>
        </w:rPr>
      </w:pPr>
    </w:p>
    <w:p>
      <w:pPr>
        <w:spacing w:before="0"/>
        <w:ind w:left="608" w:right="0" w:firstLine="0"/>
        <w:jc w:val="left"/>
        <w:rPr>
          <w:sz w:val="17"/>
        </w:rPr>
      </w:pPr>
      <w:r>
        <w:rPr>
          <w:sz w:val="17"/>
        </w:rPr>
        <w:t>-8.0</w:t>
      </w:r>
    </w:p>
    <w:p>
      <w:pPr>
        <w:tabs>
          <w:tab w:pos="1827" w:val="left" w:leader="none"/>
          <w:tab w:pos="2868" w:val="left" w:leader="none"/>
          <w:tab w:pos="3910" w:val="left" w:leader="none"/>
          <w:tab w:pos="4952" w:val="left" w:leader="none"/>
        </w:tabs>
        <w:spacing w:before="7"/>
        <w:ind w:left="786" w:right="0" w:firstLine="0"/>
        <w:jc w:val="left"/>
        <w:rPr>
          <w:sz w:val="17"/>
        </w:rPr>
      </w:pPr>
      <w:r>
        <w:rPr>
          <w:sz w:val="17"/>
        </w:rPr>
        <w:t>2005</w:t>
      </w:r>
      <w:r>
        <w:rPr>
          <w:spacing w:val="-2"/>
          <w:sz w:val="17"/>
        </w:rPr>
        <w:t> </w:t>
      </w:r>
      <w:r>
        <w:rPr>
          <w:sz w:val="17"/>
        </w:rPr>
        <w:t>Q1</w:t>
        <w:tab/>
        <w:t>2007</w:t>
      </w:r>
      <w:r>
        <w:rPr>
          <w:spacing w:val="-2"/>
          <w:sz w:val="17"/>
        </w:rPr>
        <w:t> </w:t>
      </w:r>
      <w:r>
        <w:rPr>
          <w:sz w:val="17"/>
        </w:rPr>
        <w:t>Q1</w:t>
        <w:tab/>
        <w:t>2009</w:t>
      </w:r>
      <w:r>
        <w:rPr>
          <w:spacing w:val="-2"/>
          <w:sz w:val="17"/>
        </w:rPr>
        <w:t> </w:t>
      </w:r>
      <w:r>
        <w:rPr>
          <w:sz w:val="17"/>
        </w:rPr>
        <w:t>Q1</w:t>
        <w:tab/>
        <w:t>2011</w:t>
      </w:r>
      <w:r>
        <w:rPr>
          <w:spacing w:val="-2"/>
          <w:sz w:val="17"/>
        </w:rPr>
        <w:t> </w:t>
      </w:r>
      <w:r>
        <w:rPr>
          <w:sz w:val="17"/>
        </w:rPr>
        <w:t>Q1</w:t>
        <w:tab/>
        <w:t>2013</w:t>
      </w:r>
      <w:r>
        <w:rPr>
          <w:spacing w:val="-1"/>
          <w:sz w:val="17"/>
        </w:rPr>
        <w:t> </w:t>
      </w:r>
      <w:r>
        <w:rPr>
          <w:sz w:val="17"/>
        </w:rPr>
        <w:t>Q1</w:t>
      </w:r>
    </w:p>
    <w:p>
      <w:pPr>
        <w:spacing w:before="141"/>
        <w:ind w:left="233" w:right="0" w:firstLine="0"/>
        <w:jc w:val="left"/>
        <w:rPr>
          <w:sz w:val="16"/>
        </w:rPr>
      </w:pPr>
      <w:r>
        <w:rPr>
          <w:sz w:val="16"/>
        </w:rPr>
        <w:t>Sources: ONS, Bank calculations.</w:t>
      </w:r>
    </w:p>
    <w:p>
      <w:pPr>
        <w:spacing w:before="120"/>
        <w:ind w:left="233" w:right="0" w:firstLine="0"/>
        <w:jc w:val="left"/>
        <w:rPr>
          <w:sz w:val="16"/>
        </w:rPr>
      </w:pPr>
      <w:r>
        <w:rPr>
          <w:sz w:val="16"/>
        </w:rPr>
        <w:t>Quarterly data. Annual labour productivity growth is real GDP per hour.</w:t>
      </w:r>
    </w:p>
    <w:p>
      <w:pPr>
        <w:spacing w:before="122"/>
        <w:ind w:left="233" w:right="1121" w:firstLine="0"/>
        <w:jc w:val="left"/>
        <w:rPr>
          <w:sz w:val="16"/>
        </w:rPr>
      </w:pPr>
      <w:r>
        <w:rPr>
          <w:sz w:val="16"/>
        </w:rPr>
        <w:t>Real weekly earnings are calculated from ONS's average weekly earnings (AWE) figures, using the total earnings series deflated by CPI to 2005 prices.</w:t>
      </w:r>
    </w:p>
    <w:p>
      <w:pPr>
        <w:pStyle w:val="BodyText"/>
        <w:rPr>
          <w:sz w:val="18"/>
        </w:rPr>
      </w:pPr>
    </w:p>
    <w:p>
      <w:pPr>
        <w:pStyle w:val="BodyText"/>
        <w:spacing w:before="8"/>
        <w:rPr>
          <w:sz w:val="22"/>
        </w:rPr>
      </w:pPr>
    </w:p>
    <w:p>
      <w:pPr>
        <w:pStyle w:val="BodyText"/>
        <w:ind w:left="233"/>
      </w:pPr>
      <w:r>
        <w:rPr>
          <w:b/>
        </w:rPr>
        <w:t>Chart 12: </w:t>
      </w:r>
      <w:r>
        <w:rPr/>
        <w:t>Annual growth in nominal wages, unit labour costs and CPI</w:t>
      </w:r>
    </w:p>
    <w:p>
      <w:pPr>
        <w:spacing w:before="114"/>
        <w:ind w:left="417" w:right="0" w:firstLine="0"/>
        <w:jc w:val="left"/>
        <w:rPr>
          <w:sz w:val="17"/>
        </w:rPr>
      </w:pPr>
      <w:r>
        <w:rPr/>
        <w:pict>
          <v:group style="position:absolute;margin-left:80.040001pt;margin-top:10.672898pt;width:238pt;height:135.75pt;mso-position-horizontal-relative:page;mso-position-vertical-relative:paragraph;z-index:251694080" coordorigin="1601,213" coordsize="4760,2715">
            <v:shape style="position:absolute;left:1600;top:220;width:4760;height:2700" coordorigin="1601,221" coordsize="4760,2700" path="m1651,2921l1651,221m1601,2921l1651,2921m1601,2534l1651,2534m1601,2148l1651,2148m1601,1764l1651,1764m1601,1377l1651,1377m1601,991l1651,991m1601,605l1651,605m1601,221l1651,221m1651,2148l6360,2148m1651,2148l1651,2186m2198,2148l2198,2186m2748,2148l2748,2186m3298,2148l3298,2186m3845,2148l3845,2186m4394,2148l4394,2186m4942,2148l4942,2186m5491,2148l5491,2186m6038,2148l6038,2186m1651,2148l1651,2201m2748,2148l2748,2201m3845,2148l3845,2201m4942,2148l4942,2201m6038,2148l6038,2201e" filled="false" stroked="true" strokeweight=".72pt" strokecolor="#858585">
              <v:path arrowok="t"/>
              <v:stroke dashstyle="solid"/>
            </v:shape>
            <v:shape style="position:absolute;left:1672;top:681;width:4481;height:1680" coordorigin="1673,681" coordsize="4481,1680" path="m1673,1584l1718,1577,1766,1569,1812,1692,1858,1814,1903,1937,1949,1584,1994,1584,2040,1937,2086,1982,2131,2025,2177,2071,2222,2013,2268,1975,2314,1898,2359,1826,2405,1757,2450,1685,2496,1692,2542,1699,2587,1704,2633,1608,2678,1512,2724,1416,2772,1512,2818,1608,2863,1704,2909,1711,2954,1718,3000,1723,3046,1757,3091,1788,3137,1821,3182,1884,3228,1949,3274,2013,3319,1925,3365,1833,3410,1745,3456,1776,3502,1807,3547,1841,3593,1723,3638,1608,3684,1493,3730,1416,3778,1339,3823,1262,3869,1202,3914,1145,3960,1087,4006,953,4051,818,4097,681,4142,804,4188,926,4234,1049,4279,1010,4325,972,4370,933,4416,1113,4462,1293,4507,1473,4553,1615,4598,1757,4644,1898,4690,1956,4738,2013,4783,2071,4829,2167,4874,2265,4920,2361,4966,2232,5011,2105,5057,1975,5102,1975,5148,1975,5194,1975,5239,1910,5285,1845,5330,1783,5376,1745,5422,1704,5467,1665,5513,1646,5558,1627,5604,1608,5650,1603,5695,1596,5743,1589,5789,1615,5834,1641,5880,1665,5926,1745,5971,1821,6017,1898,6062,2013,6108,2129,6154,2244e" filled="false" stroked="true" strokeweight="1.44pt" strokecolor="#497dba">
              <v:path arrowok="t"/>
              <v:stroke dashstyle="solid"/>
            </v:shape>
            <v:shape style="position:absolute;left:1672;top:1144;width:4664;height:792" coordorigin="1673,1145" coordsize="4664,792" path="m1673,1841l1718,1821,1766,1783,1812,1783,1858,1783,1903,1764,1949,1704,1994,1685,2040,1665,2086,1704,2131,1745,2177,1783,2222,1783,2268,1764,2314,1802,2359,1764,2405,1723,2450,1665,2496,1685,2542,1665,2587,1685,2633,1685,2678,1627,2724,1569,2772,1627,2818,1608,2863,1550,2909,1608,2954,1665,3000,1685,3046,1783,3091,1802,3137,1802,3182,1745,3228,1745,3274,1745,3319,1723,3365,1665,3410,1665,3456,1569,3502,1512,3547,1416,3593,1301,3638,1243,3684,1145,3730,1281,3778,1358,3823,1550,3869,1569,3914,1531,3960,1589,4006,1704,4051,1723,4097,1802,4142,1802,4188,1841,4234,1937,4279,1860,4325,1783,4370,1589,4416,1473,4462,1569,4507,1493,4553,1435,4598,1493,4644,1531,4690,1550,4738,1550,4783,1550,4829,1531,4874,1512,4920,1435,4966,1377,5011,1301,5057,1377,5102,1281,5148,1281,5194,1339,5239,1301,5285,1281,5330,1145,5376,1183,5422,1224,5467,1339,5513,1454,5558,1493,5604,1473,5650,1569,5695,1608,5743,1685,5789,1646,5834,1665,5880,1723,5926,1627,5971,1627,6017,1627,6062,1627,6108,1608,6154,1608,6199,1685,6245,1627,6290,1589,6336,1608e" filled="false" stroked="true" strokeweight="1.44pt" strokecolor="#bd4a47">
              <v:path arrowok="t"/>
              <v:stroke dashstyle="solid"/>
            </v:shape>
            <v:shape style="position:absolute;left:1672;top:875;width:4618;height:1832" coordorigin="1673,876" coordsize="4618,1832" path="m1673,1164l1718,1125,1766,1183,1812,1202,1858,1320,1903,1301,1949,1281,1994,1243,2040,1224,2086,1262,2131,1281,2177,1320,2222,1339,2268,1224,2314,1106,2359,1087,2405,1202,2450,1224,2496,1202,2542,1262,2587,1377,2633,1397,2678,1358,2724,1243,2772,1106,2818,876,2863,953,2909,1087,2954,1301,3000,1320,3046,1281,3091,1243,3137,1164,3182,1183,3228,1224,3274,1377,3319,1416,3365,1435,3410,1320,3456,1243,3502,1262,3547,1358,3593,1454,3638,1531,3684,1569,3730,1550,3778,1589,3823,1608,3869,1704,3914,2265,3960,2688,4006,2707,4051,2265,4097,1956,4142,2033,4188,2052,4234,2052,4279,2071,4325,2071,4370,1975,4416,1937,4462,1646,4507,1339,4553,1358,4598,1627,4644,1917,4690,1821,4738,1783,4783,1745,4829,1723,4874,1704,4920,1783,4966,1646,5011,1723,5057,1627,5102,1745,5148,1665,5194,1608,5239,1589,5285,1608,5330,1704,5376,1745,5422,1745,5467,1764,5513,1898,5558,1937,5604,1956,5650,1879,5695,1860,5743,1860,5789,1860,5834,1821,5880,1802,5926,1802,5971,1860,6017,1898,6062,1917,6108,1937,6154,2033,6199,1860,6245,1802,6290,1745e" filled="false" stroked="true" strokeweight="1.44pt" strokecolor="#97b853">
              <v:path arrowok="t"/>
              <v:stroke dashstyle="solid"/>
            </v:shape>
            <v:line style="position:absolute" from="4418,343" to="4802,343" stroked="true" strokeweight="1.44pt" strokecolor="#497dba">
              <v:stroke dashstyle="solid"/>
            </v:line>
            <v:line style="position:absolute" from="4418,561" to="4802,561" stroked="true" strokeweight="1.44pt" strokecolor="#bd4a47">
              <v:stroke dashstyle="solid"/>
            </v:line>
            <v:line style="position:absolute" from="4418,782" to="4802,782" stroked="true" strokeweight="1.44pt" strokecolor="#97b853">
              <v:stroke dashstyle="solid"/>
            </v:line>
            <v:shape style="position:absolute;left:1600;top:213;width:4760;height:2715" type="#_x0000_t202" filled="false" stroked="false">
              <v:textbox inset="0,0,0,0">
                <w:txbxContent>
                  <w:p>
                    <w:pPr>
                      <w:spacing w:line="268" w:lineRule="auto" w:before="24"/>
                      <w:ind w:left="3244" w:right="135" w:firstLine="0"/>
                      <w:jc w:val="left"/>
                      <w:rPr>
                        <w:sz w:val="17"/>
                      </w:rPr>
                    </w:pPr>
                    <w:r>
                      <w:rPr>
                        <w:sz w:val="17"/>
                      </w:rPr>
                      <w:t>Unit Labour Costs CPI</w:t>
                    </w:r>
                  </w:p>
                  <w:p>
                    <w:pPr>
                      <w:spacing w:before="0"/>
                      <w:ind w:left="3244" w:right="0" w:firstLine="0"/>
                      <w:jc w:val="left"/>
                      <w:rPr>
                        <w:sz w:val="17"/>
                      </w:rPr>
                    </w:pPr>
                    <w:r>
                      <w:rPr>
                        <w:sz w:val="17"/>
                      </w:rPr>
                      <w:t>Nominal wages</w:t>
                    </w:r>
                  </w:p>
                </w:txbxContent>
              </v:textbox>
              <w10:wrap type="none"/>
            </v:shape>
            <w10:wrap type="none"/>
          </v:group>
        </w:pict>
      </w:r>
      <w:r>
        <w:rPr>
          <w:sz w:val="17"/>
        </w:rPr>
        <w:t>10</w:t>
      </w:r>
    </w:p>
    <w:p>
      <w:pPr>
        <w:pStyle w:val="BodyText"/>
        <w:spacing w:before="6"/>
        <w:rPr>
          <w:sz w:val="16"/>
        </w:rPr>
      </w:pPr>
    </w:p>
    <w:p>
      <w:pPr>
        <w:spacing w:before="0"/>
        <w:ind w:left="511" w:right="0" w:firstLine="0"/>
        <w:jc w:val="left"/>
        <w:rPr>
          <w:sz w:val="17"/>
        </w:rPr>
      </w:pPr>
      <w:r>
        <w:rPr>
          <w:w w:val="100"/>
          <w:sz w:val="17"/>
        </w:rPr>
        <w:t>8</w:t>
      </w:r>
    </w:p>
    <w:p>
      <w:pPr>
        <w:pStyle w:val="BodyText"/>
        <w:spacing w:before="7"/>
        <w:rPr>
          <w:sz w:val="16"/>
        </w:rPr>
      </w:pPr>
    </w:p>
    <w:p>
      <w:pPr>
        <w:spacing w:before="0"/>
        <w:ind w:left="511" w:right="0" w:firstLine="0"/>
        <w:jc w:val="left"/>
        <w:rPr>
          <w:sz w:val="17"/>
        </w:rPr>
      </w:pPr>
      <w:r>
        <w:rPr>
          <w:w w:val="100"/>
          <w:sz w:val="17"/>
        </w:rPr>
        <w:t>6</w:t>
      </w:r>
    </w:p>
    <w:p>
      <w:pPr>
        <w:pStyle w:val="BodyText"/>
        <w:spacing w:before="6"/>
        <w:rPr>
          <w:sz w:val="16"/>
        </w:rPr>
      </w:pPr>
    </w:p>
    <w:p>
      <w:pPr>
        <w:spacing w:before="0"/>
        <w:ind w:left="511" w:right="0" w:firstLine="0"/>
        <w:jc w:val="left"/>
        <w:rPr>
          <w:sz w:val="17"/>
        </w:rPr>
      </w:pPr>
      <w:r>
        <w:rPr/>
        <w:pict>
          <v:shape style="position:absolute;margin-left:57.431068pt;margin-top:6.675192pt;width:11.55pt;height:33.65pt;mso-position-horizontal-relative:page;mso-position-vertical-relative:paragraph;z-index:251695104" type="#_x0000_t202" filled="false" stroked="false">
            <v:textbox inset="0,0,0,0" style="layout-flow:vertical;mso-layout-flow-alt:bottom-to-top">
              <w:txbxContent>
                <w:p>
                  <w:pPr>
                    <w:spacing w:before="15"/>
                    <w:ind w:left="20" w:right="0" w:firstLine="0"/>
                    <w:jc w:val="left"/>
                    <w:rPr>
                      <w:sz w:val="17"/>
                    </w:rPr>
                  </w:pPr>
                  <w:r>
                    <w:rPr>
                      <w:sz w:val="17"/>
                    </w:rPr>
                    <w:t>Per cent</w:t>
                  </w:r>
                </w:p>
              </w:txbxContent>
            </v:textbox>
            <w10:wrap type="none"/>
          </v:shape>
        </w:pict>
      </w:r>
      <w:r>
        <w:rPr>
          <w:w w:val="100"/>
          <w:sz w:val="17"/>
        </w:rPr>
        <w:t>4</w:t>
      </w:r>
    </w:p>
    <w:p>
      <w:pPr>
        <w:pStyle w:val="BodyText"/>
        <w:spacing w:before="6"/>
        <w:rPr>
          <w:sz w:val="16"/>
        </w:rPr>
      </w:pPr>
    </w:p>
    <w:p>
      <w:pPr>
        <w:spacing w:before="1"/>
        <w:ind w:left="511" w:right="0" w:firstLine="0"/>
        <w:jc w:val="left"/>
        <w:rPr>
          <w:sz w:val="17"/>
        </w:rPr>
      </w:pPr>
      <w:r>
        <w:rPr>
          <w:w w:val="100"/>
          <w:sz w:val="17"/>
        </w:rPr>
        <w:t>2</w:t>
      </w:r>
    </w:p>
    <w:p>
      <w:pPr>
        <w:pStyle w:val="BodyText"/>
        <w:spacing w:before="6"/>
        <w:rPr>
          <w:sz w:val="16"/>
        </w:rPr>
      </w:pPr>
    </w:p>
    <w:p>
      <w:pPr>
        <w:spacing w:before="0"/>
        <w:ind w:left="511" w:right="0" w:firstLine="0"/>
        <w:jc w:val="left"/>
        <w:rPr>
          <w:sz w:val="17"/>
        </w:rPr>
      </w:pPr>
      <w:r>
        <w:rPr>
          <w:w w:val="100"/>
          <w:sz w:val="17"/>
        </w:rPr>
        <w:t>0</w:t>
      </w:r>
    </w:p>
    <w:p>
      <w:pPr>
        <w:pStyle w:val="BodyText"/>
        <w:spacing w:before="6"/>
        <w:rPr>
          <w:sz w:val="16"/>
        </w:rPr>
      </w:pPr>
    </w:p>
    <w:p>
      <w:pPr>
        <w:spacing w:before="0"/>
        <w:ind w:left="455" w:right="0" w:firstLine="0"/>
        <w:jc w:val="left"/>
        <w:rPr>
          <w:sz w:val="17"/>
        </w:rPr>
      </w:pPr>
      <w:r>
        <w:rPr>
          <w:sz w:val="17"/>
        </w:rPr>
        <w:t>-2</w:t>
      </w:r>
    </w:p>
    <w:p>
      <w:pPr>
        <w:pStyle w:val="BodyText"/>
        <w:spacing w:before="6"/>
        <w:rPr>
          <w:sz w:val="16"/>
        </w:rPr>
      </w:pPr>
    </w:p>
    <w:p>
      <w:pPr>
        <w:spacing w:before="1"/>
        <w:ind w:left="455" w:right="0" w:firstLine="0"/>
        <w:jc w:val="left"/>
        <w:rPr>
          <w:sz w:val="17"/>
        </w:rPr>
      </w:pPr>
      <w:r>
        <w:rPr>
          <w:sz w:val="17"/>
        </w:rPr>
        <w:t>-4</w:t>
      </w:r>
    </w:p>
    <w:p>
      <w:pPr>
        <w:tabs>
          <w:tab w:pos="1617" w:val="left" w:leader="none"/>
          <w:tab w:pos="2714" w:val="left" w:leader="none"/>
          <w:tab w:pos="3812" w:val="left" w:leader="none"/>
          <w:tab w:pos="4909" w:val="left" w:leader="none"/>
        </w:tabs>
        <w:spacing w:before="7"/>
        <w:ind w:left="520" w:right="0" w:firstLine="0"/>
        <w:jc w:val="left"/>
        <w:rPr>
          <w:sz w:val="17"/>
        </w:rPr>
      </w:pPr>
      <w:r>
        <w:rPr>
          <w:sz w:val="17"/>
        </w:rPr>
        <w:t>Jan</w:t>
      </w:r>
      <w:r>
        <w:rPr>
          <w:spacing w:val="-2"/>
          <w:sz w:val="17"/>
        </w:rPr>
        <w:t> </w:t>
      </w:r>
      <w:r>
        <w:rPr>
          <w:sz w:val="17"/>
        </w:rPr>
        <w:t>05</w:t>
        <w:tab/>
        <w:t>Jan</w:t>
      </w:r>
      <w:r>
        <w:rPr>
          <w:spacing w:val="-2"/>
          <w:sz w:val="17"/>
        </w:rPr>
        <w:t> </w:t>
      </w:r>
      <w:r>
        <w:rPr>
          <w:sz w:val="17"/>
        </w:rPr>
        <w:t>07</w:t>
        <w:tab/>
        <w:t>Jan</w:t>
      </w:r>
      <w:r>
        <w:rPr>
          <w:spacing w:val="-1"/>
          <w:sz w:val="17"/>
        </w:rPr>
        <w:t> </w:t>
      </w:r>
      <w:r>
        <w:rPr>
          <w:sz w:val="17"/>
        </w:rPr>
        <w:t>09</w:t>
        <w:tab/>
        <w:t>Jan</w:t>
      </w:r>
      <w:r>
        <w:rPr>
          <w:spacing w:val="-2"/>
          <w:sz w:val="17"/>
        </w:rPr>
        <w:t> </w:t>
      </w:r>
      <w:r>
        <w:rPr>
          <w:sz w:val="17"/>
        </w:rPr>
        <w:t>11</w:t>
        <w:tab/>
        <w:t>Jan</w:t>
      </w:r>
      <w:r>
        <w:rPr>
          <w:spacing w:val="-1"/>
          <w:sz w:val="17"/>
        </w:rPr>
        <w:t> </w:t>
      </w:r>
      <w:r>
        <w:rPr>
          <w:sz w:val="17"/>
        </w:rPr>
        <w:t>13</w:t>
      </w:r>
    </w:p>
    <w:p>
      <w:pPr>
        <w:spacing w:before="142"/>
        <w:ind w:left="233" w:right="0" w:firstLine="0"/>
        <w:jc w:val="left"/>
        <w:rPr>
          <w:sz w:val="16"/>
        </w:rPr>
      </w:pPr>
      <w:r>
        <w:rPr>
          <w:sz w:val="16"/>
        </w:rPr>
        <w:t>Source: ONS.</w:t>
      </w:r>
    </w:p>
    <w:p>
      <w:pPr>
        <w:spacing w:before="121"/>
        <w:ind w:left="233" w:right="1330" w:firstLine="0"/>
        <w:jc w:val="left"/>
        <w:rPr>
          <w:sz w:val="16"/>
        </w:rPr>
      </w:pPr>
      <w:r>
        <w:rPr>
          <w:sz w:val="16"/>
        </w:rPr>
        <w:t>The growth rate of unit labour costs are quarterly data, CPI is monthly. Nominal wage growth figures are monthly 3-month averages and they are based on seasonally adjusted total nominal average weekly earnings.</w:t>
      </w:r>
    </w:p>
    <w:p>
      <w:pPr>
        <w:pStyle w:val="BodyText"/>
        <w:rPr>
          <w:sz w:val="18"/>
        </w:rPr>
      </w:pPr>
    </w:p>
    <w:p>
      <w:pPr>
        <w:pStyle w:val="BodyText"/>
        <w:spacing w:before="10"/>
        <w:rPr>
          <w:sz w:val="22"/>
        </w:rPr>
      </w:pPr>
    </w:p>
    <w:p>
      <w:pPr>
        <w:pStyle w:val="BodyText"/>
        <w:spacing w:line="360" w:lineRule="auto"/>
        <w:ind w:left="233" w:right="1133"/>
      </w:pPr>
      <w:r>
        <w:rPr/>
        <w:t>This story – where different paths of output and slack generate rather similar paths for costs and inflation – would mean that the link between spare capacity and inflation would be quite weak. In other words, the Phillips curve would be quite flat. The evidence from a range of countries in recent years is consistent with that. A recent IMF study found that inflation increases almost one for one with longer-term inflation expectations but that a 1pp increase in cyclical unemployment would only lead to a 0.1pp reduction in contemporaneous inflation. Chart 13 shows the distribution of their time-varying estimates of the slope of the Phillips curve for 21 advanced economies. The slopes seem to have fallen to exceptionally low levels.</w:t>
      </w:r>
    </w:p>
    <w:p>
      <w:pPr>
        <w:pStyle w:val="BodyText"/>
        <w:ind w:left="233"/>
      </w:pPr>
      <w:r>
        <w:rPr>
          <w:w w:val="99"/>
        </w:rPr>
        <w:t>.</w:t>
      </w:r>
    </w:p>
    <w:p>
      <w:pPr>
        <w:spacing w:after="0"/>
        <w:sectPr>
          <w:pgSz w:w="11910" w:h="16840"/>
          <w:pgMar w:header="0" w:footer="1338" w:top="1520" w:bottom="1520" w:left="900" w:right="0"/>
        </w:sectPr>
      </w:pPr>
    </w:p>
    <w:p>
      <w:pPr>
        <w:pStyle w:val="BodyText"/>
        <w:spacing w:before="116"/>
        <w:ind w:left="233"/>
      </w:pPr>
      <w:r>
        <w:rPr>
          <w:b/>
        </w:rPr>
        <w:t>Chart 13: </w:t>
      </w:r>
      <w:r>
        <w:rPr/>
        <w:t>Range of estimates of the slope of the Phillips curve for 21 advanced economies</w:t>
      </w:r>
      <w:r>
        <w:rPr>
          <w:vertAlign w:val="superscript"/>
        </w:rPr>
        <w:t>9</w:t>
      </w:r>
    </w:p>
    <w:p>
      <w:pPr>
        <w:pStyle w:val="BodyText"/>
        <w:spacing w:before="1"/>
        <w:rPr>
          <w:sz w:val="16"/>
        </w:rPr>
      </w:pPr>
    </w:p>
    <w:p>
      <w:pPr>
        <w:spacing w:before="0"/>
        <w:ind w:left="264" w:right="0" w:firstLine="0"/>
        <w:jc w:val="left"/>
        <w:rPr>
          <w:sz w:val="16"/>
        </w:rPr>
      </w:pPr>
      <w:r>
        <w:rPr/>
        <w:pict>
          <v:group style="position:absolute;margin-left:78.239998pt;margin-top:4.603909pt;width:319.350pt;height:135.15pt;mso-position-horizontal-relative:page;mso-position-vertical-relative:paragraph;z-index:251699200" coordorigin="1565,92" coordsize="6387,2703">
            <v:shape style="position:absolute;left:1627;top:262;width:6303;height:2420" coordorigin="1628,263" coordsize="6303,2420" path="m7930,2563l7213,2563,7244,2583,7275,2583,7306,2603,7369,2603,7400,2623,7681,2623,7712,2643,7805,2643,7837,2663,7868,2663,7899,2683,7930,2683,7930,2563xm7213,2563l6932,2563,6994,2603,7025,2603,7057,2623,7150,2623,7181,2603,7213,2563xm7930,2383l5715,2383,5746,2423,5808,2463,6401,2463,6464,2503,6495,2503,6526,2523,6651,2523,6682,2563,6745,2603,6807,2603,6838,2583,6869,2583,6901,2563,7930,2563,7930,2383xm6651,2523l6557,2523,6589,2543,6620,2543,6651,2523xm6370,2463l6183,2463,6214,2483,6245,2483,6277,2503,6308,2503,6370,2463xm7930,2363l5496,2363,5590,2423,5621,2403,5652,2403,5684,2383,7930,2383,7930,2363xm7852,2243l5278,2243,5309,2263,5372,2343,5403,2343,5465,2383,5496,2363,7930,2363,7930,2263,7868,2263,7852,2243xm1628,763l1628,2063,1659,2283,1908,2283,1940,2263,1971,2263,2002,2243,2033,2243,2064,2223,2096,2223,2158,2203,2345,2203,2470,2123,2501,2063,2532,2063,2564,2043,2595,2043,2626,2003,2657,2003,2688,1983,2720,1803,2751,1603,2782,1603,2844,1523,3406,1523,3437,1423,3468,1403,3500,1363,4872,1363,4841,1343,4779,1103,4760,1043,4404,1043,4342,1003,4280,1003,4248,963,4124,883,4092,843,4030,843,3999,823,3936,823,3905,783,1659,783,1628,763xm7337,2103l7181,2203,5122,2203,5216,2263,5247,2243,7852,2243,7837,2223,7431,2223,7400,2183,7369,2123,7337,2103xm7587,2043l7525,2123,7493,2183,7462,2223,7837,2223,7805,2203,7785,2163,7681,2163,7587,2043xm5715,1503l5684,1503,5652,1563,5621,1843,5590,1883,4748,1883,4779,1923,4935,2023,4966,2063,4997,2083,5028,2143,5060,2183,5091,2203,7181,2203,7150,2183,7119,2183,7057,2143,7025,2103,6994,2083,6401,2083,6339,2043,6308,1963,6277,1923,6245,1783,6233,1743,5840,1743,5808,1563,5715,1503xm7774,2143l7743,2143,7712,2163,7785,2163,7774,2143xm5153,1383l5060,1443,3656,1443,3718,1483,3749,1483,3780,1503,3812,1543,3874,1643,3905,1643,3936,1763,3999,1843,4030,1863,4061,1903,4092,1963,4124,2063,4155,2083,4186,2083,4217,2003,4248,1943,4280,1943,4311,1883,4342,1843,4373,1823,5535,1823,5528,1803,5434,1743,5403,1743,5340,1663,5309,1663,5278,1643,5247,1603,5216,1543,5184,1443,5153,1383xm6589,2003l6557,2043,6526,2043,6464,2083,6994,2083,6947,2023,6620,2023,6589,2003xm6776,1923l6745,1983,6713,2023,6869,2023,6807,1943,6776,1923xm6901,1983l6869,2023,6947,2023,6932,2003,6901,1983xm4685,1863l4467,1863,4498,1883,4529,2003,4560,2003,4592,1983,4685,1863xm5535,1823l4373,1823,4404,1863,4685,1863,4716,1883,5559,1883,5535,1823xm5965,1483l5933,1503,5840,1743,6233,1743,6214,1683,6152,1643,6089,1643,6058,1623,6027,1563,5965,1483xm3375,1523l2844,1523,2876,1543,2907,1603,2938,1703,2969,1703,3000,1683,3032,1683,3125,1623,3156,1623,3219,1603,3312,1543,3344,1543,3375,1523xm6121,1623l6089,1643,6152,1643,6121,1623xm4872,1363l3531,1363,3562,1423,3593,1463,3624,1463,3656,1443,5060,1443,4997,1403,4966,1403,4935,1383,4904,1383,4872,1363xm4498,803l4467,863,4436,983,4404,1043,4760,1043,4748,1003,4740,983,4623,983,4592,943,4560,883,4498,803xm4311,983l4280,1003,4342,1003,4311,983xm4716,923l4685,923,4654,963,4623,983,4740,983,4716,923xm1971,623l1908,703,1784,783,2002,783,1971,623xm2470,563l2439,563,2408,583,2376,583,2345,603,2252,603,2158,663,2096,743,2064,763,2033,763,2002,783,3905,783,3874,723,3853,643,3000,643,2969,623,2501,623,2470,563xm3468,263l3437,283,3406,443,3375,543,3344,583,3188,583,3156,603,3125,603,3094,623,3032,623,3000,643,3853,643,3843,603,3812,543,3718,423,3687,403,3562,403,3531,323,3500,303,3468,263xm2595,543l2532,583,2501,623,2720,623,2688,603,2626,603,2595,543xm2751,523l2720,623,2938,623,2907,603,2876,603,2844,583,2813,543,2782,543,2751,523xm3312,563l3250,563,3219,583,3344,583,3312,563xm3656,383l3624,383,3593,403,3687,403,3656,383xe" filled="true" fillcolor="#9bba58" stroked="false">
              <v:path arrowok="t"/>
              <v:fill type="solid"/>
            </v:shape>
            <v:shape style="position:absolute;left:1564;top:99;width:6382;height:2696" coordorigin="1565,99" coordsize="6382,2696" path="m1613,2746l1613,99m1565,2746l1613,2746m1565,2367l1613,2367m1565,1990l1613,1990m1565,1611l1613,1611m1565,1234l1613,1234m1565,855l1613,855m1565,476l1613,476m1565,99l1613,99m1613,2746l7946,2746m1613,2746l1613,2794m2237,2746l2237,2794m2861,2746l2861,2794m3485,2746l3485,2794m4109,2746l4109,2794m4733,2746l4733,2794m5357,2746l5357,2794m5981,2746l5981,2794m6605,2746l6605,2794m7229,2746l7229,2794m7853,2746l7853,2794e" filled="false" stroked="true" strokeweight=".72pt" strokecolor="#858585">
              <v:path arrowok="t"/>
              <v:stroke dashstyle="solid"/>
            </v:shape>
            <v:shape style="position:absolute;left:1627;top:696;width:6240;height:1868" coordorigin="1627,697" coordsize="6240,1868" path="m1627,1537l1658,1578,1690,1431,1721,1376,1752,1362,1783,1342,1814,1294,1846,1282,1877,1242,1908,1237,1939,1258,1970,1270,2002,1280,2033,1282,2064,1285,2095,1292,2126,1297,2158,1306,2189,1316,2220,1321,2251,1323,2282,1323,2314,1311,2345,1304,2376,1306,2407,1316,2438,1328,2470,1299,2501,1275,2532,1270,2563,1266,2594,1263,2626,1102,2657,1098,2688,1090,2719,1086,2750,1030,2782,1035,2813,1038,2844,1042,2875,1045,2906,1047,2938,1006,2969,958,3000,949,3031,1011,3062,992,3094,954,3125,930,3187,896,3250,817,3281,762,3312,697,3343,699,3374,723,3406,747,3437,786,3468,841,3499,858,3530,882,3562,920,3593,939,3624,954,3655,973,3686,992,3718,1028,3749,1095,3780,1136,3811,1189,3842,1268,3874,1326,3905,1369,3936,1369,3967,1366,3998,1398,4030,1419,4061,1491,4092,1604,4123,1647,4154,1671,4186,1674,4217,1669,4248,1666,4279,1652,4310,1606,4342,1592,4373,1537,4404,1606,4435,1566,4466,1467,4498,1446,4529,1498,4560,1530,4591,1537,4622,1544,4654,1551,4685,1568,4747,1578,4810,1647,4841,1698,4872,1719,4903,1726,4934,1760,4966,1803,4997,1834,5028,1875,5059,1923,5090,1974,5122,2005,5153,2022,5184,2034,5215,2046,5246,2055,5278,2062,5309,2079,5340,2086,5371,2062,5402,2074,5434,2086,5465,2098,5496,2074,5527,2077,5558,2079,5590,2166,5621,2166,5652,2168,5683,2168,5714,2170,5746,2173,5777,2170,5808,2173,5839,2187,5870,2192,5902,2209,5933,2209,5964,2216,5995,2247,6026,2264,6058,2288,6089,2283,6120,2271,6151,2274,6182,2264,6214,2257,6245,2247,6276,2230,6307,2221,6338,2223,6370,2223,6401,2262,6432,2264,6463,2266,6494,2242,6526,2247,6557,2259,6588,2276,6619,2288,6650,2310,6682,2324,6713,2331,6744,2336,6775,2346,6806,2358,6838,2372,6869,2370,6900,2370,6931,2379,6962,2389,6994,2422,7025,2430,7056,2437,7087,2439,7118,2437,7150,2434,7181,2434,7212,2432,7243,2430,7274,2432,7306,2422,7337,2406,7368,2406,7399,2410,7430,2413,7462,2418,7493,2418,7524,2415,7555,2425,7586,2427,7618,2430,7649,2437,7680,2446,7711,2454,7742,2487,7774,2511,7805,2514,7836,2538,7867,2564e" filled="false" stroked="true" strokeweight="2.16pt" strokecolor="#bd4a47">
              <v:path arrowok="t"/>
              <v:stroke dashstyle="solid"/>
            </v:shape>
            <v:shape style="position:absolute;left:7867;top:2556;width:63;height:8" coordorigin="7867,2557" coordsize="63,8" path="m7867,2564l7898,2562,7930,2557e" filled="false" stroked="true" strokeweight="2.16pt" strokecolor="#bd4a47">
              <v:path arrowok="t"/>
              <v:stroke dashstyle="solid"/>
            </v:shape>
            <v:line style="position:absolute" from="5887,598" to="6271,598" stroked="true" strokeweight="4.08pt" strokecolor="#9bba58">
              <v:stroke dashstyle="solid"/>
            </v:line>
            <v:line style="position:absolute" from="5887,795" to="6271,795" stroked="true" strokeweight="4.08pt" strokecolor="#ffffff">
              <v:stroke dashstyle="solid"/>
            </v:line>
            <v:line style="position:absolute" from="5887,992" to="6271,992" stroked="true" strokeweight="2.16pt" strokecolor="#bd4a47">
              <v:stroke dashstyle="solid"/>
            </v:line>
            <v:shape style="position:absolute;left:6314;top:503;width:1427;height:574" type="#_x0000_t202" filled="false" stroked="false">
              <v:textbox inset="0,0,0,0">
                <w:txbxContent>
                  <w:p>
                    <w:pPr>
                      <w:spacing w:line="179" w:lineRule="exact" w:before="0"/>
                      <w:ind w:left="0" w:right="0" w:firstLine="0"/>
                      <w:jc w:val="left"/>
                      <w:rPr>
                        <w:sz w:val="16"/>
                      </w:rPr>
                    </w:pPr>
                    <w:r>
                      <w:rPr>
                        <w:sz w:val="16"/>
                      </w:rPr>
                      <w:t>25th/75th percentile</w:t>
                    </w:r>
                  </w:p>
                  <w:p>
                    <w:pPr>
                      <w:spacing w:line="240" w:lineRule="auto" w:before="3"/>
                      <w:rPr>
                        <w:sz w:val="18"/>
                      </w:rPr>
                    </w:pPr>
                  </w:p>
                  <w:p>
                    <w:pPr>
                      <w:spacing w:before="0"/>
                      <w:ind w:left="0" w:right="0" w:firstLine="0"/>
                      <w:jc w:val="left"/>
                      <w:rPr>
                        <w:sz w:val="16"/>
                      </w:rPr>
                    </w:pPr>
                    <w:r>
                      <w:rPr>
                        <w:sz w:val="16"/>
                      </w:rPr>
                      <w:t>Median</w:t>
                    </w:r>
                  </w:p>
                </w:txbxContent>
              </v:textbox>
              <w10:wrap type="none"/>
            </v:shape>
            <w10:wrap type="none"/>
          </v:group>
        </w:pict>
      </w:r>
      <w:r>
        <w:rPr>
          <w:sz w:val="16"/>
        </w:rPr>
        <w:t>1.75</w:t>
      </w:r>
    </w:p>
    <w:p>
      <w:pPr>
        <w:pStyle w:val="BodyText"/>
        <w:spacing w:before="10"/>
        <w:rPr>
          <w:sz w:val="16"/>
        </w:rPr>
      </w:pPr>
    </w:p>
    <w:p>
      <w:pPr>
        <w:spacing w:before="0"/>
        <w:ind w:left="353" w:right="0" w:firstLine="0"/>
        <w:jc w:val="left"/>
        <w:rPr>
          <w:sz w:val="16"/>
        </w:rPr>
      </w:pPr>
      <w:r>
        <w:rPr>
          <w:sz w:val="16"/>
        </w:rPr>
        <w:t>1.5</w:t>
      </w:r>
    </w:p>
    <w:p>
      <w:pPr>
        <w:pStyle w:val="BodyText"/>
        <w:spacing w:before="10"/>
        <w:rPr>
          <w:sz w:val="16"/>
        </w:rPr>
      </w:pPr>
    </w:p>
    <w:p>
      <w:pPr>
        <w:spacing w:before="0"/>
        <w:ind w:left="264" w:right="0" w:firstLine="0"/>
        <w:jc w:val="left"/>
        <w:rPr>
          <w:sz w:val="16"/>
        </w:rPr>
      </w:pPr>
      <w:r>
        <w:rPr>
          <w:sz w:val="16"/>
        </w:rPr>
        <w:t>1.25</w:t>
      </w:r>
    </w:p>
    <w:p>
      <w:pPr>
        <w:pStyle w:val="BodyText"/>
        <w:spacing w:before="10"/>
        <w:rPr>
          <w:sz w:val="16"/>
        </w:rPr>
      </w:pPr>
    </w:p>
    <w:p>
      <w:pPr>
        <w:spacing w:before="0"/>
        <w:ind w:left="486" w:right="0" w:firstLine="0"/>
        <w:jc w:val="left"/>
        <w:rPr>
          <w:sz w:val="16"/>
        </w:rPr>
      </w:pPr>
      <w:r>
        <w:rPr>
          <w:w w:val="100"/>
          <w:sz w:val="16"/>
        </w:rPr>
        <w:t>1</w:t>
      </w:r>
    </w:p>
    <w:p>
      <w:pPr>
        <w:pStyle w:val="BodyText"/>
        <w:spacing w:before="10"/>
        <w:rPr>
          <w:sz w:val="16"/>
        </w:rPr>
      </w:pPr>
    </w:p>
    <w:p>
      <w:pPr>
        <w:spacing w:before="1"/>
        <w:ind w:left="264" w:right="0" w:firstLine="0"/>
        <w:jc w:val="left"/>
        <w:rPr>
          <w:sz w:val="16"/>
        </w:rPr>
      </w:pPr>
      <w:r>
        <w:rPr>
          <w:sz w:val="16"/>
        </w:rPr>
        <w:t>0.75</w:t>
      </w:r>
    </w:p>
    <w:p>
      <w:pPr>
        <w:pStyle w:val="BodyText"/>
        <w:spacing w:before="10"/>
        <w:rPr>
          <w:sz w:val="16"/>
        </w:rPr>
      </w:pPr>
    </w:p>
    <w:p>
      <w:pPr>
        <w:spacing w:before="0"/>
        <w:ind w:left="353" w:right="0" w:firstLine="0"/>
        <w:jc w:val="left"/>
        <w:rPr>
          <w:sz w:val="16"/>
        </w:rPr>
      </w:pPr>
      <w:r>
        <w:rPr>
          <w:sz w:val="16"/>
        </w:rPr>
        <w:t>0.5</w:t>
      </w:r>
    </w:p>
    <w:p>
      <w:pPr>
        <w:pStyle w:val="BodyText"/>
        <w:spacing w:before="10"/>
        <w:rPr>
          <w:sz w:val="16"/>
        </w:rPr>
      </w:pPr>
    </w:p>
    <w:p>
      <w:pPr>
        <w:spacing w:before="0"/>
        <w:ind w:left="264" w:right="0" w:firstLine="0"/>
        <w:jc w:val="left"/>
        <w:rPr>
          <w:sz w:val="16"/>
        </w:rPr>
      </w:pPr>
      <w:r>
        <w:rPr>
          <w:sz w:val="16"/>
        </w:rPr>
        <w:t>0.25</w:t>
      </w:r>
    </w:p>
    <w:p>
      <w:pPr>
        <w:pStyle w:val="BodyText"/>
        <w:spacing w:before="10"/>
        <w:rPr>
          <w:sz w:val="16"/>
        </w:rPr>
      </w:pPr>
    </w:p>
    <w:p>
      <w:pPr>
        <w:spacing w:before="0"/>
        <w:ind w:left="486" w:right="0" w:firstLine="0"/>
        <w:jc w:val="left"/>
        <w:rPr>
          <w:sz w:val="16"/>
        </w:rPr>
      </w:pPr>
      <w:r>
        <w:rPr>
          <w:w w:val="100"/>
          <w:sz w:val="16"/>
        </w:rPr>
        <w:t>0</w:t>
      </w:r>
    </w:p>
    <w:p>
      <w:pPr>
        <w:spacing w:before="7"/>
        <w:ind w:left="444" w:right="0" w:firstLine="0"/>
        <w:jc w:val="left"/>
        <w:rPr>
          <w:sz w:val="16"/>
        </w:rPr>
      </w:pPr>
      <w:r>
        <w:rPr>
          <w:sz w:val="16"/>
        </w:rPr>
        <w:t>1961Q2 1966Q2 1971Q2 1976Q2 1981Q2 1986Q2 1991Q2 1996Q2 2001Q2 2006Q2 2011Q2</w:t>
      </w:r>
    </w:p>
    <w:p>
      <w:pPr>
        <w:spacing w:before="146"/>
        <w:ind w:left="233" w:right="0" w:firstLine="0"/>
        <w:jc w:val="left"/>
        <w:rPr>
          <w:sz w:val="16"/>
        </w:rPr>
      </w:pPr>
      <w:r>
        <w:rPr>
          <w:sz w:val="16"/>
        </w:rPr>
        <w:t>Source: IMF World Economic Outlook, April 2013</w:t>
      </w:r>
    </w:p>
    <w:p>
      <w:pPr>
        <w:pStyle w:val="BodyText"/>
        <w:rPr>
          <w:sz w:val="18"/>
        </w:rPr>
      </w:pPr>
    </w:p>
    <w:p>
      <w:pPr>
        <w:pStyle w:val="BodyText"/>
        <w:spacing w:before="1"/>
        <w:rPr>
          <w:sz w:val="14"/>
        </w:rPr>
      </w:pPr>
    </w:p>
    <w:p>
      <w:pPr>
        <w:spacing w:line="360" w:lineRule="auto" w:before="0"/>
        <w:ind w:left="233" w:right="1606" w:firstLine="0"/>
        <w:jc w:val="left"/>
        <w:rPr>
          <w:sz w:val="16"/>
        </w:rPr>
      </w:pPr>
      <w:r>
        <w:rPr>
          <w:sz w:val="16"/>
        </w:rPr>
        <w:t>Country sample includes Australia, Austria, Belgium, Canada, Denmark, Finland, France, Germany, Greece, Ireland, Italy, Japan, Netherlands, New Zealand, Norway, Portugal, Spain, Sweden, Switzerland, United Kingdom, and United States.</w:t>
      </w:r>
    </w:p>
    <w:p>
      <w:pPr>
        <w:pStyle w:val="BodyText"/>
        <w:rPr>
          <w:sz w:val="18"/>
        </w:rPr>
      </w:pPr>
    </w:p>
    <w:p>
      <w:pPr>
        <w:pStyle w:val="BodyText"/>
        <w:spacing w:line="360" w:lineRule="auto" w:before="139"/>
        <w:ind w:left="233" w:right="1133"/>
      </w:pPr>
      <w:r>
        <w:rPr/>
        <w:t>But there is considerable uncertainty around the slope of the Phillips curve. Empirical estimates appear to depend on the precise specification of the equation, the estimation procedure, and the sample period.</w:t>
      </w:r>
      <w:r>
        <w:rPr>
          <w:vertAlign w:val="superscript"/>
        </w:rPr>
        <w:t>10</w:t>
      </w:r>
      <w:r>
        <w:rPr>
          <w:vertAlign w:val="baseline"/>
        </w:rPr>
        <w:t> Multiplicity of equilibria may be one reason behind these difficulties in pinning down the form of the Phillips curve.</w:t>
      </w:r>
    </w:p>
    <w:p>
      <w:pPr>
        <w:pStyle w:val="BodyText"/>
        <w:spacing w:before="1"/>
        <w:rPr>
          <w:sz w:val="30"/>
        </w:rPr>
      </w:pPr>
    </w:p>
    <w:p>
      <w:pPr>
        <w:pStyle w:val="BodyText"/>
        <w:spacing w:line="360" w:lineRule="auto"/>
        <w:ind w:left="233" w:right="1263"/>
      </w:pPr>
      <w:r>
        <w:rPr/>
        <w:t>In theory there is a very big difference between being in a world in which there are multiple equilibria or in one where the pull back towards a unique equilibrium level of real activity is very weak. But the practical difference may actually be rather small over a horizon of several years rather than several decades. That is important because the relevant horizon for monetary policy decisions is more likely to be several years than several decades.</w:t>
      </w:r>
    </w:p>
    <w:p>
      <w:pPr>
        <w:pStyle w:val="BodyText"/>
        <w:spacing w:before="8"/>
        <w:rPr>
          <w:sz w:val="29"/>
        </w:rPr>
      </w:pPr>
    </w:p>
    <w:p>
      <w:pPr>
        <w:pStyle w:val="Heading1"/>
        <w:numPr>
          <w:ilvl w:val="0"/>
          <w:numId w:val="1"/>
        </w:numPr>
        <w:tabs>
          <w:tab w:pos="591" w:val="left" w:leader="none"/>
        </w:tabs>
        <w:spacing w:line="240" w:lineRule="auto" w:before="1" w:after="0"/>
        <w:ind w:left="590" w:right="0" w:hanging="358"/>
        <w:jc w:val="left"/>
      </w:pPr>
      <w:r>
        <w:rPr/>
        <w:t>Policy</w:t>
      </w:r>
      <w:r>
        <w:rPr>
          <w:spacing w:val="-2"/>
        </w:rPr>
        <w:t> </w:t>
      </w:r>
      <w:r>
        <w:rPr/>
        <w:t>implications</w:t>
      </w:r>
    </w:p>
    <w:p>
      <w:pPr>
        <w:pStyle w:val="BodyText"/>
        <w:rPr>
          <w:b/>
          <w:sz w:val="22"/>
        </w:rPr>
      </w:pPr>
    </w:p>
    <w:p>
      <w:pPr>
        <w:pStyle w:val="BodyText"/>
        <w:spacing w:before="3"/>
        <w:rPr>
          <w:b/>
          <w:sz w:val="18"/>
        </w:rPr>
      </w:pPr>
    </w:p>
    <w:p>
      <w:pPr>
        <w:pStyle w:val="BodyText"/>
        <w:spacing w:line="360" w:lineRule="auto"/>
        <w:ind w:left="233" w:right="1252"/>
      </w:pPr>
      <w:r>
        <w:rPr/>
        <w:t>What implications does the possibility of multiple equilibria have for monetary policy in the UK? Initially, the main distinction between the paths that I sketched above appears to be one of confidence: in the first, households and firms are pessimistic about their future earnings, whereas they are optimistic in the second. In both cases, beliefs are self-confirming.</w:t>
      </w:r>
    </w:p>
    <w:p>
      <w:pPr>
        <w:pStyle w:val="BodyText"/>
        <w:spacing w:before="10"/>
        <w:rPr>
          <w:sz w:val="29"/>
        </w:rPr>
      </w:pPr>
    </w:p>
    <w:p>
      <w:pPr>
        <w:pStyle w:val="BodyText"/>
        <w:spacing w:line="360" w:lineRule="auto"/>
        <w:ind w:left="233" w:right="1133"/>
      </w:pPr>
      <w:r>
        <w:rPr/>
        <w:t>I believe that monetary policy can help to kick the economy onto the better output path. In part this could be done by changing people’s expectations about the future. Another possibility is to improve the fundamental conditions under which the economy operates. Lowering interest rates would encourage consumption and</w:t>
      </w:r>
    </w:p>
    <w:p>
      <w:pPr>
        <w:pStyle w:val="BodyText"/>
        <w:spacing w:before="9"/>
        <w:rPr>
          <w:sz w:val="19"/>
        </w:rPr>
      </w:pPr>
      <w:r>
        <w:rPr/>
        <w:pict>
          <v:shape style="position:absolute;margin-left:56.664001pt;margin-top:13.600498pt;width:144.050pt;height:.1pt;mso-position-horizontal-relative:page;mso-position-vertical-relative:paragraph;z-index:-251619328;mso-wrap-distance-left:0;mso-wrap-distance-right:0" coordorigin="1133,272" coordsize="2881,0" path="m1133,272l4014,272e" filled="false" stroked="true" strokeweight=".47998pt" strokecolor="#000000">
            <v:path arrowok="t"/>
            <v:stroke dashstyle="solid"/>
            <w10:wrap type="topAndBottom"/>
          </v:shape>
        </w:pict>
      </w:r>
    </w:p>
    <w:p>
      <w:pPr>
        <w:spacing w:before="30"/>
        <w:ind w:left="233" w:right="1133" w:firstLine="0"/>
        <w:jc w:val="left"/>
        <w:rPr>
          <w:i/>
          <w:sz w:val="16"/>
        </w:rPr>
      </w:pPr>
      <w:r>
        <w:rPr>
          <w:position w:val="8"/>
          <w:sz w:val="10"/>
        </w:rPr>
        <w:t>9 </w:t>
      </w:r>
      <w:r>
        <w:rPr>
          <w:sz w:val="16"/>
        </w:rPr>
        <w:t>Source: IMF (2013), ‘The dog that didn’t bark: Has inflation been muzzled or was it just sleeping?’, </w:t>
      </w:r>
      <w:r>
        <w:rPr>
          <w:i/>
          <w:sz w:val="16"/>
        </w:rPr>
        <w:t>World Economic Outlook, </w:t>
      </w:r>
      <w:r>
        <w:rPr>
          <w:sz w:val="16"/>
        </w:rPr>
        <w:t>April, Figure 3.6 (2)</w:t>
      </w:r>
      <w:r>
        <w:rPr>
          <w:i/>
          <w:sz w:val="16"/>
        </w:rPr>
        <w:t>.</w:t>
      </w:r>
    </w:p>
    <w:p>
      <w:pPr>
        <w:spacing w:line="184" w:lineRule="exact" w:before="2"/>
        <w:ind w:left="278" w:right="1903" w:hanging="46"/>
        <w:jc w:val="left"/>
        <w:rPr>
          <w:sz w:val="16"/>
        </w:rPr>
      </w:pPr>
      <w:r>
        <w:rPr>
          <w:position w:val="8"/>
          <w:sz w:val="10"/>
        </w:rPr>
        <w:t>10 </w:t>
      </w:r>
      <w:r>
        <w:rPr>
          <w:sz w:val="16"/>
        </w:rPr>
        <w:t>See, for example, Mavroeidis et al (2013), Empirical evidence on inflation expectations in the new Keynesian Phillips curve, University of Oxford and Harvard University.</w:t>
      </w:r>
    </w:p>
    <w:p>
      <w:pPr>
        <w:spacing w:after="0" w:line="184" w:lineRule="exact"/>
        <w:jc w:val="left"/>
        <w:rPr>
          <w:sz w:val="16"/>
        </w:rPr>
        <w:sectPr>
          <w:pgSz w:w="11910" w:h="16840"/>
          <w:pgMar w:header="0" w:footer="1338" w:top="1480" w:bottom="1520" w:left="900" w:right="0"/>
        </w:sectPr>
      </w:pPr>
    </w:p>
    <w:p>
      <w:pPr>
        <w:pStyle w:val="BodyText"/>
        <w:spacing w:line="360" w:lineRule="auto" w:before="79"/>
        <w:ind w:left="233" w:right="1118"/>
      </w:pPr>
      <w:r>
        <w:rPr/>
        <w:t>investment spending to be brought forward. Those effects can work even if the economy has a unique long run equilibrium because it can accelerate the transition back to it. Whether or not there are multiple equilibria, expectations and confidence can become more positive with a more expansionary monetary policy.</w:t>
      </w:r>
    </w:p>
    <w:p>
      <w:pPr>
        <w:pStyle w:val="BodyText"/>
        <w:rPr>
          <w:sz w:val="30"/>
        </w:rPr>
      </w:pPr>
    </w:p>
    <w:p>
      <w:pPr>
        <w:pStyle w:val="BodyText"/>
        <w:spacing w:line="360" w:lineRule="auto"/>
        <w:ind w:left="233" w:right="1133"/>
      </w:pPr>
      <w:r>
        <w:rPr/>
        <w:t>The recent rise in activity and confidence in the UK could be – I believe – sustainable and self-confirming. Until quite recently it seemed to me that we remained on a path much more likely to be a low-confidence, weak –activity equilibrium. I favoured a more expansionary monetary policy to help shift the economy onto a better trajectory. There are some signs that we may now be on such a trajectory – and that is the reason I think keeping Bank Rate and the stock of asset purchases at their current levels is the right policy for now.</w:t>
      </w:r>
    </w:p>
    <w:p>
      <w:pPr>
        <w:pStyle w:val="BodyText"/>
        <w:spacing w:before="10"/>
        <w:rPr>
          <w:sz w:val="29"/>
        </w:rPr>
      </w:pPr>
    </w:p>
    <w:p>
      <w:pPr>
        <w:pStyle w:val="BodyText"/>
        <w:spacing w:line="360" w:lineRule="auto"/>
        <w:ind w:left="233" w:right="1218"/>
      </w:pPr>
      <w:r>
        <w:rPr/>
        <w:t>I expect stronger growth to be consistent with inflation getting back to target through the course of next year because any impact faster growth might have on some input costs to firms will be offset by stronger – and cost reducing – growth in productivity. What the self-confirming and stronger path for output and confidence does </w:t>
      </w:r>
      <w:r>
        <w:rPr>
          <w:b/>
          <w:i/>
        </w:rPr>
        <w:t>not </w:t>
      </w:r>
      <w:r>
        <w:rPr/>
        <w:t>need right now is tighter monetary policy. That is why I think the guidance that has been given on monetary policy is helpful. It says that we will not raise interest rates until unemployment falls to 7%, provided inflation is under control and there are no risks to financial stability.</w:t>
      </w:r>
    </w:p>
    <w:p>
      <w:pPr>
        <w:pStyle w:val="BodyText"/>
        <w:spacing w:before="10"/>
        <w:rPr>
          <w:sz w:val="29"/>
        </w:rPr>
      </w:pPr>
    </w:p>
    <w:p>
      <w:pPr>
        <w:pStyle w:val="Heading1"/>
        <w:numPr>
          <w:ilvl w:val="0"/>
          <w:numId w:val="1"/>
        </w:numPr>
        <w:tabs>
          <w:tab w:pos="591" w:val="left" w:leader="none"/>
        </w:tabs>
        <w:spacing w:line="240" w:lineRule="auto" w:before="0" w:after="0"/>
        <w:ind w:left="590" w:right="0" w:hanging="358"/>
        <w:jc w:val="left"/>
      </w:pPr>
      <w:r>
        <w:rPr/>
        <w:t>Current</w:t>
      </w:r>
      <w:r>
        <w:rPr>
          <w:spacing w:val="-1"/>
        </w:rPr>
        <w:t> </w:t>
      </w:r>
      <w:r>
        <w:rPr/>
        <w:t>policy</w:t>
      </w:r>
    </w:p>
    <w:p>
      <w:pPr>
        <w:pStyle w:val="BodyText"/>
        <w:rPr>
          <w:b/>
          <w:sz w:val="22"/>
        </w:rPr>
      </w:pPr>
    </w:p>
    <w:p>
      <w:pPr>
        <w:pStyle w:val="BodyText"/>
        <w:spacing w:before="3"/>
        <w:rPr>
          <w:b/>
          <w:sz w:val="18"/>
        </w:rPr>
      </w:pPr>
    </w:p>
    <w:p>
      <w:pPr>
        <w:pStyle w:val="BodyText"/>
        <w:spacing w:line="357" w:lineRule="auto"/>
        <w:ind w:left="233" w:right="1133"/>
      </w:pPr>
      <w:r>
        <w:rPr/>
        <w:t>Let me come back to the current position in the UK and the policy issues. I would like to make 4 simple – indeed obvious – points:</w:t>
      </w:r>
    </w:p>
    <w:p>
      <w:pPr>
        <w:pStyle w:val="BodyText"/>
        <w:spacing w:before="4"/>
        <w:rPr>
          <w:sz w:val="30"/>
        </w:rPr>
      </w:pPr>
    </w:p>
    <w:p>
      <w:pPr>
        <w:pStyle w:val="ListParagraph"/>
        <w:numPr>
          <w:ilvl w:val="1"/>
          <w:numId w:val="1"/>
        </w:numPr>
        <w:tabs>
          <w:tab w:pos="954" w:val="left" w:leader="none"/>
        </w:tabs>
        <w:spacing w:line="360" w:lineRule="auto" w:before="1" w:after="0"/>
        <w:ind w:left="953" w:right="1574" w:hanging="360"/>
        <w:jc w:val="left"/>
        <w:rPr>
          <w:sz w:val="20"/>
        </w:rPr>
      </w:pPr>
      <w:r>
        <w:rPr>
          <w:sz w:val="20"/>
        </w:rPr>
        <w:t>Signs of stronger activity and confidence are very welcome – there is absolutely no double</w:t>
      </w:r>
      <w:r>
        <w:rPr>
          <w:spacing w:val="-28"/>
          <w:sz w:val="20"/>
        </w:rPr>
        <w:t> </w:t>
      </w:r>
      <w:r>
        <w:rPr>
          <w:sz w:val="20"/>
        </w:rPr>
        <w:t>edge aspect to this that somehow comes from a tension with our forward</w:t>
      </w:r>
      <w:r>
        <w:rPr>
          <w:spacing w:val="-7"/>
          <w:sz w:val="20"/>
        </w:rPr>
        <w:t> </w:t>
      </w:r>
      <w:r>
        <w:rPr>
          <w:sz w:val="20"/>
        </w:rPr>
        <w:t>guidance.</w:t>
      </w:r>
    </w:p>
    <w:p>
      <w:pPr>
        <w:pStyle w:val="BodyText"/>
        <w:spacing w:before="11"/>
        <w:rPr>
          <w:sz w:val="29"/>
        </w:rPr>
      </w:pPr>
    </w:p>
    <w:p>
      <w:pPr>
        <w:pStyle w:val="ListParagraph"/>
        <w:numPr>
          <w:ilvl w:val="1"/>
          <w:numId w:val="1"/>
        </w:numPr>
        <w:tabs>
          <w:tab w:pos="954" w:val="left" w:leader="none"/>
        </w:tabs>
        <w:spacing w:line="360" w:lineRule="auto" w:before="0" w:after="0"/>
        <w:ind w:left="953" w:right="1315" w:hanging="360"/>
        <w:jc w:val="left"/>
        <w:rPr>
          <w:sz w:val="20"/>
        </w:rPr>
      </w:pPr>
      <w:r>
        <w:rPr>
          <w:sz w:val="20"/>
        </w:rPr>
        <w:t>Whether stronger activity means we get to a 7% unemployment rate much faster depends on the evolution of labour supply, and on how productivity responds to stronger demand. For any given path of output the change in unemployment is very sensitive to any change in productivity. If productivity responds positively there may be only a shallow fall in unemployment, despite stronger output growth. The table below illustrates this</w:t>
      </w:r>
      <w:r>
        <w:rPr>
          <w:spacing w:val="-8"/>
          <w:sz w:val="20"/>
        </w:rPr>
        <w:t> </w:t>
      </w:r>
      <w:r>
        <w:rPr>
          <w:sz w:val="20"/>
        </w:rPr>
        <w:t>sensitivity.</w:t>
      </w:r>
    </w:p>
    <w:p>
      <w:pPr>
        <w:pStyle w:val="BodyText"/>
        <w:spacing w:before="10"/>
        <w:rPr>
          <w:sz w:val="29"/>
        </w:rPr>
      </w:pPr>
    </w:p>
    <w:p>
      <w:pPr>
        <w:pStyle w:val="ListParagraph"/>
        <w:numPr>
          <w:ilvl w:val="1"/>
          <w:numId w:val="1"/>
        </w:numPr>
        <w:tabs>
          <w:tab w:pos="954" w:val="left" w:leader="none"/>
        </w:tabs>
        <w:spacing w:line="360" w:lineRule="auto" w:before="0" w:after="0"/>
        <w:ind w:left="953" w:right="1151" w:hanging="360"/>
        <w:jc w:val="left"/>
        <w:rPr>
          <w:sz w:val="20"/>
        </w:rPr>
      </w:pPr>
      <w:r>
        <w:rPr>
          <w:sz w:val="20"/>
        </w:rPr>
        <w:t>The 7% unemployment figure should be seen as a sign post, and not a preferred measure of slack;</w:t>
      </w:r>
      <w:r>
        <w:rPr>
          <w:spacing w:val="-30"/>
          <w:sz w:val="20"/>
        </w:rPr>
        <w:t> </w:t>
      </w:r>
      <w:r>
        <w:rPr>
          <w:sz w:val="20"/>
        </w:rPr>
        <w:t>it is not a level of unemployment such that once you move below it slack is gone. </w:t>
      </w:r>
      <w:r>
        <w:rPr>
          <w:spacing w:val="3"/>
          <w:sz w:val="20"/>
        </w:rPr>
        <w:t>One </w:t>
      </w:r>
      <w:r>
        <w:rPr>
          <w:sz w:val="20"/>
        </w:rPr>
        <w:t>very powerful reason for stressing this is that I believe the unemployment numbers mean something rather different to what has been typical in recent decades. This is because so many people are now on part time work and an unusually high proportion of them want to work more. David Bell and David Blanchflower investigated the implications in a recent paper.</w:t>
      </w:r>
      <w:r>
        <w:rPr>
          <w:sz w:val="20"/>
          <w:vertAlign w:val="superscript"/>
        </w:rPr>
        <w:t>11</w:t>
      </w:r>
      <w:r>
        <w:rPr>
          <w:sz w:val="20"/>
          <w:vertAlign w:val="baseline"/>
        </w:rPr>
        <w:t> They define underemployment as</w:t>
      </w:r>
      <w:r>
        <w:rPr>
          <w:spacing w:val="-22"/>
          <w:sz w:val="20"/>
          <w:vertAlign w:val="baseline"/>
        </w:rPr>
        <w:t> </w:t>
      </w:r>
      <w:r>
        <w:rPr>
          <w:sz w:val="20"/>
          <w:vertAlign w:val="baseline"/>
        </w:rPr>
        <w:t>a</w:t>
      </w:r>
    </w:p>
    <w:p>
      <w:pPr>
        <w:pStyle w:val="BodyText"/>
        <w:spacing w:before="5"/>
        <w:rPr>
          <w:sz w:val="25"/>
        </w:rPr>
      </w:pPr>
      <w:r>
        <w:rPr/>
        <w:pict>
          <v:shape style="position:absolute;margin-left:56.664001pt;margin-top:16.833965pt;width:144.050pt;height:.1pt;mso-position-horizontal-relative:page;mso-position-vertical-relative:paragraph;z-index:-251616256;mso-wrap-distance-left:0;mso-wrap-distance-right:0" coordorigin="1133,337" coordsize="2881,0" path="m1133,337l4014,337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11 </w:t>
      </w:r>
      <w:r>
        <w:rPr>
          <w:sz w:val="16"/>
        </w:rPr>
        <w:t>Bell, D N F and Blanchflower, D G (2013), ‘Underemployment in the UK Revisited’, </w:t>
      </w:r>
      <w:r>
        <w:rPr>
          <w:i/>
          <w:sz w:val="16"/>
        </w:rPr>
        <w:t>National Institute Economic Review </w:t>
      </w:r>
      <w:r>
        <w:rPr>
          <w:sz w:val="16"/>
        </w:rPr>
        <w:t>224.</w:t>
      </w:r>
    </w:p>
    <w:p>
      <w:pPr>
        <w:spacing w:after="0"/>
        <w:jc w:val="left"/>
        <w:rPr>
          <w:sz w:val="16"/>
        </w:rPr>
        <w:sectPr>
          <w:footerReference w:type="default" r:id="rId14"/>
          <w:pgSz w:w="11910" w:h="16840"/>
          <w:pgMar w:footer="1338" w:header="0" w:top="1520" w:bottom="1520" w:left="900" w:right="0"/>
          <w:pgNumType w:start="13"/>
        </w:sectPr>
      </w:pPr>
    </w:p>
    <w:p>
      <w:pPr>
        <w:pStyle w:val="BodyText"/>
        <w:spacing w:line="360" w:lineRule="auto" w:before="79"/>
        <w:ind w:left="953" w:right="1354"/>
      </w:pPr>
      <w:r>
        <w:rPr/>
        <w:t>situation in which someone is either unemployed, or is employed but would like to increase hours worked at the going wage rate. (They subtract the hours those in employment would like to work less from their underemployment measure.) Bell and Blanchflower note that unlike unemployment, their measure of underemployment has continued to rise during most of the recession. Chart 14 illustrates this. Before the recession, those wishing to reduce their hours were balanced by those wishing to increase their hours, so the underemployment rate tracked the unemployment rate closely. But since the financial crisis, on a net basis, those working would have liked to work more hours. So the underemployment rate exceeded the unemployment rate. This means that there is likely to be more slack in the labour market than the unemployment rate suggests.</w:t>
      </w:r>
    </w:p>
    <w:p>
      <w:pPr>
        <w:pStyle w:val="BodyText"/>
        <w:spacing w:before="8"/>
        <w:rPr>
          <w:sz w:val="29"/>
        </w:rPr>
      </w:pPr>
    </w:p>
    <w:p>
      <w:pPr>
        <w:pStyle w:val="BodyText"/>
        <w:ind w:left="941"/>
      </w:pPr>
      <w:r>
        <w:rPr>
          <w:b/>
        </w:rPr>
        <w:t>Table 1: </w:t>
      </w:r>
      <w:r>
        <w:rPr/>
        <w:t>Sensitivity of the unemployment rate to changes in output and productivity</w:t>
      </w:r>
      <w:r>
        <w:rPr>
          <w:vertAlign w:val="superscript"/>
        </w:rPr>
        <w:t>(a)</w:t>
      </w:r>
    </w:p>
    <w:p>
      <w:pPr>
        <w:pStyle w:val="BodyText"/>
        <w:spacing w:before="7"/>
        <w:rPr>
          <w:sz w:val="26"/>
        </w:rPr>
      </w:pPr>
    </w:p>
    <w:tbl>
      <w:tblPr>
        <w:tblW w:w="0" w:type="auto"/>
        <w:jc w:val="left"/>
        <w:tblInd w:w="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9"/>
        <w:gridCol w:w="766"/>
        <w:gridCol w:w="921"/>
        <w:gridCol w:w="688"/>
        <w:gridCol w:w="789"/>
        <w:gridCol w:w="689"/>
        <w:gridCol w:w="712"/>
      </w:tblGrid>
      <w:tr>
        <w:trPr>
          <w:trHeight w:val="705" w:hRule="atLeast"/>
        </w:trPr>
        <w:tc>
          <w:tcPr>
            <w:tcW w:w="3805" w:type="dxa"/>
            <w:gridSpan w:val="2"/>
            <w:vMerge w:val="restart"/>
            <w:tcBorders>
              <w:bottom w:val="single" w:sz="8" w:space="0" w:color="000000"/>
              <w:right w:val="single" w:sz="8" w:space="0" w:color="000000"/>
            </w:tcBorders>
          </w:tcPr>
          <w:p>
            <w:pPr>
              <w:pStyle w:val="TableParagraph"/>
              <w:spacing w:before="0"/>
              <w:ind w:left="1163" w:right="306" w:hanging="836"/>
              <w:jc w:val="left"/>
              <w:rPr>
                <w:sz w:val="20"/>
              </w:rPr>
            </w:pPr>
            <w:r>
              <w:rPr>
                <w:b/>
                <w:sz w:val="20"/>
              </w:rPr>
              <w:t>Unemployment rate at the three-year horizon </w:t>
            </w:r>
            <w:r>
              <w:rPr>
                <w:sz w:val="20"/>
              </w:rPr>
              <w:t>(per cent)</w:t>
            </w:r>
          </w:p>
        </w:tc>
        <w:tc>
          <w:tcPr>
            <w:tcW w:w="3799" w:type="dxa"/>
            <w:gridSpan w:val="5"/>
            <w:tcBorders>
              <w:left w:val="single" w:sz="8" w:space="0" w:color="000000"/>
              <w:bottom w:val="single" w:sz="8" w:space="0" w:color="000000"/>
            </w:tcBorders>
          </w:tcPr>
          <w:p>
            <w:pPr>
              <w:pStyle w:val="TableParagraph"/>
              <w:spacing w:before="0"/>
              <w:ind w:left="829" w:right="110" w:hanging="725"/>
              <w:jc w:val="left"/>
              <w:rPr>
                <w:sz w:val="20"/>
              </w:rPr>
            </w:pPr>
            <w:r>
              <w:rPr>
                <w:b/>
                <w:sz w:val="20"/>
              </w:rPr>
              <w:t>Average four-quarter GDP growth over the forecast period </w:t>
            </w:r>
            <w:r>
              <w:rPr>
                <w:sz w:val="20"/>
              </w:rPr>
              <w:t>(per cent)</w:t>
            </w:r>
          </w:p>
        </w:tc>
      </w:tr>
      <w:tr>
        <w:trPr>
          <w:trHeight w:val="316" w:hRule="atLeast"/>
        </w:trPr>
        <w:tc>
          <w:tcPr>
            <w:tcW w:w="3805" w:type="dxa"/>
            <w:gridSpan w:val="2"/>
            <w:vMerge/>
            <w:tcBorders>
              <w:top w:val="nil"/>
              <w:bottom w:val="single" w:sz="8" w:space="0" w:color="000000"/>
              <w:right w:val="single" w:sz="8" w:space="0" w:color="000000"/>
            </w:tcBorders>
          </w:tcPr>
          <w:p>
            <w:pPr>
              <w:rPr>
                <w:sz w:val="2"/>
                <w:szCs w:val="2"/>
              </w:rPr>
            </w:pPr>
          </w:p>
        </w:tc>
        <w:tc>
          <w:tcPr>
            <w:tcW w:w="921" w:type="dxa"/>
            <w:tcBorders>
              <w:top w:val="single" w:sz="8" w:space="0" w:color="000000"/>
              <w:left w:val="single" w:sz="8" w:space="0" w:color="000000"/>
              <w:bottom w:val="single" w:sz="8" w:space="0" w:color="000000"/>
            </w:tcBorders>
          </w:tcPr>
          <w:p>
            <w:pPr>
              <w:pStyle w:val="TableParagraph"/>
              <w:spacing w:line="225" w:lineRule="exact" w:before="70"/>
              <w:ind w:right="184"/>
              <w:rPr>
                <w:sz w:val="20"/>
              </w:rPr>
            </w:pPr>
            <w:r>
              <w:rPr>
                <w:w w:val="95"/>
                <w:sz w:val="20"/>
              </w:rPr>
              <w:t>2.25</w:t>
            </w:r>
          </w:p>
        </w:tc>
        <w:tc>
          <w:tcPr>
            <w:tcW w:w="688" w:type="dxa"/>
            <w:tcBorders>
              <w:top w:val="single" w:sz="8" w:space="0" w:color="000000"/>
              <w:bottom w:val="single" w:sz="8" w:space="0" w:color="000000"/>
            </w:tcBorders>
          </w:tcPr>
          <w:p>
            <w:pPr>
              <w:pStyle w:val="TableParagraph"/>
              <w:spacing w:line="225" w:lineRule="exact" w:before="70"/>
              <w:ind w:left="185"/>
              <w:jc w:val="left"/>
              <w:rPr>
                <w:sz w:val="20"/>
              </w:rPr>
            </w:pPr>
            <w:r>
              <w:rPr>
                <w:sz w:val="20"/>
              </w:rPr>
              <w:t>2.5</w:t>
            </w:r>
          </w:p>
        </w:tc>
        <w:tc>
          <w:tcPr>
            <w:tcW w:w="789" w:type="dxa"/>
            <w:tcBorders>
              <w:top w:val="single" w:sz="8" w:space="0" w:color="000000"/>
              <w:bottom w:val="single" w:sz="8" w:space="0" w:color="000000"/>
            </w:tcBorders>
          </w:tcPr>
          <w:p>
            <w:pPr>
              <w:pStyle w:val="TableParagraph"/>
              <w:spacing w:line="225" w:lineRule="exact" w:before="70"/>
              <w:ind w:left="227" w:right="166"/>
              <w:jc w:val="center"/>
              <w:rPr>
                <w:sz w:val="20"/>
              </w:rPr>
            </w:pPr>
            <w:r>
              <w:rPr>
                <w:sz w:val="20"/>
              </w:rPr>
              <w:t>2.75</w:t>
            </w:r>
          </w:p>
        </w:tc>
        <w:tc>
          <w:tcPr>
            <w:tcW w:w="689" w:type="dxa"/>
            <w:tcBorders>
              <w:top w:val="single" w:sz="8" w:space="0" w:color="000000"/>
              <w:bottom w:val="single" w:sz="8" w:space="0" w:color="000000"/>
            </w:tcBorders>
          </w:tcPr>
          <w:p>
            <w:pPr>
              <w:pStyle w:val="TableParagraph"/>
              <w:spacing w:line="225" w:lineRule="exact" w:before="70"/>
              <w:ind w:right="247"/>
              <w:rPr>
                <w:sz w:val="20"/>
              </w:rPr>
            </w:pPr>
            <w:r>
              <w:rPr>
                <w:w w:val="99"/>
                <w:sz w:val="20"/>
              </w:rPr>
              <w:t>3</w:t>
            </w:r>
          </w:p>
        </w:tc>
        <w:tc>
          <w:tcPr>
            <w:tcW w:w="712" w:type="dxa"/>
            <w:tcBorders>
              <w:top w:val="single" w:sz="8" w:space="0" w:color="000000"/>
              <w:bottom w:val="single" w:sz="8" w:space="0" w:color="000000"/>
            </w:tcBorders>
          </w:tcPr>
          <w:p>
            <w:pPr>
              <w:pStyle w:val="TableParagraph"/>
              <w:spacing w:line="225" w:lineRule="exact" w:before="70"/>
              <w:ind w:right="109"/>
              <w:rPr>
                <w:sz w:val="20"/>
              </w:rPr>
            </w:pPr>
            <w:r>
              <w:rPr>
                <w:w w:val="95"/>
                <w:sz w:val="20"/>
              </w:rPr>
              <w:t>3.25</w:t>
            </w:r>
          </w:p>
        </w:tc>
      </w:tr>
      <w:tr>
        <w:trPr>
          <w:trHeight w:val="354" w:hRule="atLeast"/>
        </w:trPr>
        <w:tc>
          <w:tcPr>
            <w:tcW w:w="3039" w:type="dxa"/>
            <w:vMerge w:val="restart"/>
            <w:tcBorders>
              <w:top w:val="single" w:sz="8" w:space="0" w:color="000000"/>
              <w:right w:val="single" w:sz="8" w:space="0" w:color="000000"/>
            </w:tcBorders>
          </w:tcPr>
          <w:p>
            <w:pPr>
              <w:pStyle w:val="TableParagraph"/>
              <w:spacing w:before="0"/>
              <w:ind w:left="192" w:right="186"/>
              <w:jc w:val="center"/>
              <w:rPr>
                <w:sz w:val="20"/>
              </w:rPr>
            </w:pPr>
            <w:r>
              <w:rPr>
                <w:b/>
                <w:sz w:val="20"/>
              </w:rPr>
              <w:t>Average four-quarter growth in productivity per hour over the forecast period </w:t>
            </w:r>
            <w:r>
              <w:rPr>
                <w:sz w:val="20"/>
              </w:rPr>
              <w:t>(per cent)</w:t>
            </w:r>
          </w:p>
        </w:tc>
        <w:tc>
          <w:tcPr>
            <w:tcW w:w="766" w:type="dxa"/>
            <w:tcBorders>
              <w:top w:val="single" w:sz="8" w:space="0" w:color="000000"/>
              <w:left w:val="single" w:sz="8" w:space="0" w:color="000000"/>
              <w:right w:val="single" w:sz="8" w:space="0" w:color="000000"/>
            </w:tcBorders>
          </w:tcPr>
          <w:p>
            <w:pPr>
              <w:pStyle w:val="TableParagraph"/>
              <w:spacing w:before="54"/>
              <w:ind w:right="103"/>
              <w:rPr>
                <w:sz w:val="20"/>
              </w:rPr>
            </w:pPr>
            <w:r>
              <w:rPr>
                <w:w w:val="95"/>
                <w:sz w:val="20"/>
              </w:rPr>
              <w:t>2.25</w:t>
            </w:r>
          </w:p>
        </w:tc>
        <w:tc>
          <w:tcPr>
            <w:tcW w:w="921" w:type="dxa"/>
            <w:tcBorders>
              <w:top w:val="single" w:sz="8" w:space="0" w:color="000000"/>
              <w:left w:val="single" w:sz="8" w:space="0" w:color="000000"/>
            </w:tcBorders>
          </w:tcPr>
          <w:p>
            <w:pPr>
              <w:pStyle w:val="TableParagraph"/>
              <w:spacing w:before="54"/>
              <w:ind w:right="184"/>
              <w:rPr>
                <w:sz w:val="20"/>
              </w:rPr>
            </w:pPr>
            <w:r>
              <w:rPr>
                <w:w w:val="95"/>
                <w:sz w:val="20"/>
              </w:rPr>
              <w:t>9.6</w:t>
            </w:r>
          </w:p>
        </w:tc>
        <w:tc>
          <w:tcPr>
            <w:tcW w:w="688" w:type="dxa"/>
            <w:tcBorders>
              <w:top w:val="single" w:sz="8" w:space="0" w:color="000000"/>
            </w:tcBorders>
          </w:tcPr>
          <w:p>
            <w:pPr>
              <w:pStyle w:val="TableParagraph"/>
              <w:spacing w:before="54"/>
              <w:ind w:left="185"/>
              <w:jc w:val="left"/>
              <w:rPr>
                <w:sz w:val="20"/>
              </w:rPr>
            </w:pPr>
            <w:r>
              <w:rPr>
                <w:sz w:val="20"/>
              </w:rPr>
              <w:t>8.9</w:t>
            </w:r>
          </w:p>
        </w:tc>
        <w:tc>
          <w:tcPr>
            <w:tcW w:w="789" w:type="dxa"/>
            <w:tcBorders>
              <w:top w:val="single" w:sz="8" w:space="0" w:color="000000"/>
            </w:tcBorders>
          </w:tcPr>
          <w:p>
            <w:pPr>
              <w:pStyle w:val="TableParagraph"/>
              <w:spacing w:before="54"/>
              <w:ind w:left="227" w:right="66"/>
              <w:jc w:val="center"/>
              <w:rPr>
                <w:sz w:val="20"/>
              </w:rPr>
            </w:pPr>
            <w:r>
              <w:rPr>
                <w:sz w:val="20"/>
              </w:rPr>
              <w:t>8.2</w:t>
            </w:r>
          </w:p>
        </w:tc>
        <w:tc>
          <w:tcPr>
            <w:tcW w:w="689" w:type="dxa"/>
            <w:tcBorders>
              <w:top w:val="single" w:sz="8" w:space="0" w:color="000000"/>
            </w:tcBorders>
          </w:tcPr>
          <w:p>
            <w:pPr>
              <w:pStyle w:val="TableParagraph"/>
              <w:spacing w:before="54"/>
              <w:ind w:right="249"/>
              <w:rPr>
                <w:sz w:val="20"/>
              </w:rPr>
            </w:pPr>
            <w:r>
              <w:rPr>
                <w:w w:val="95"/>
                <w:sz w:val="20"/>
              </w:rPr>
              <w:t>7.5</w:t>
            </w:r>
          </w:p>
        </w:tc>
        <w:tc>
          <w:tcPr>
            <w:tcW w:w="712" w:type="dxa"/>
            <w:tcBorders>
              <w:top w:val="single" w:sz="8" w:space="0" w:color="000000"/>
            </w:tcBorders>
          </w:tcPr>
          <w:p>
            <w:pPr>
              <w:pStyle w:val="TableParagraph"/>
              <w:spacing w:before="54"/>
              <w:ind w:right="109"/>
              <w:rPr>
                <w:sz w:val="20"/>
              </w:rPr>
            </w:pPr>
            <w:r>
              <w:rPr>
                <w:w w:val="95"/>
                <w:sz w:val="20"/>
              </w:rPr>
              <w:t>6.8</w:t>
            </w:r>
          </w:p>
        </w:tc>
      </w:tr>
      <w:tr>
        <w:trPr>
          <w:trHeight w:val="320" w:hRule="atLeast"/>
        </w:trPr>
        <w:tc>
          <w:tcPr>
            <w:tcW w:w="3039" w:type="dxa"/>
            <w:vMerge/>
            <w:tcBorders>
              <w:top w:val="nil"/>
              <w:right w:val="single" w:sz="8" w:space="0" w:color="000000"/>
            </w:tcBorders>
          </w:tcPr>
          <w:p>
            <w:pPr>
              <w:rPr>
                <w:sz w:val="2"/>
                <w:szCs w:val="2"/>
              </w:rPr>
            </w:pPr>
          </w:p>
        </w:tc>
        <w:tc>
          <w:tcPr>
            <w:tcW w:w="766" w:type="dxa"/>
            <w:tcBorders>
              <w:left w:val="single" w:sz="8" w:space="0" w:color="000000"/>
              <w:right w:val="single" w:sz="8" w:space="0" w:color="000000"/>
            </w:tcBorders>
          </w:tcPr>
          <w:p>
            <w:pPr>
              <w:pStyle w:val="TableParagraph"/>
              <w:ind w:right="101"/>
              <w:rPr>
                <w:sz w:val="20"/>
              </w:rPr>
            </w:pPr>
            <w:r>
              <w:rPr>
                <w:w w:val="99"/>
                <w:sz w:val="20"/>
              </w:rPr>
              <w:t>2</w:t>
            </w:r>
          </w:p>
        </w:tc>
        <w:tc>
          <w:tcPr>
            <w:tcW w:w="921" w:type="dxa"/>
            <w:tcBorders>
              <w:left w:val="single" w:sz="8" w:space="0" w:color="000000"/>
            </w:tcBorders>
          </w:tcPr>
          <w:p>
            <w:pPr>
              <w:pStyle w:val="TableParagraph"/>
              <w:ind w:right="184"/>
              <w:rPr>
                <w:sz w:val="20"/>
              </w:rPr>
            </w:pPr>
            <w:r>
              <w:rPr>
                <w:w w:val="95"/>
                <w:sz w:val="20"/>
              </w:rPr>
              <w:t>8.9</w:t>
            </w:r>
          </w:p>
        </w:tc>
        <w:tc>
          <w:tcPr>
            <w:tcW w:w="688" w:type="dxa"/>
          </w:tcPr>
          <w:p>
            <w:pPr>
              <w:pStyle w:val="TableParagraph"/>
              <w:ind w:left="185"/>
              <w:jc w:val="left"/>
              <w:rPr>
                <w:sz w:val="20"/>
              </w:rPr>
            </w:pPr>
            <w:r>
              <w:rPr>
                <w:sz w:val="20"/>
              </w:rPr>
              <w:t>8.2</w:t>
            </w:r>
          </w:p>
        </w:tc>
        <w:tc>
          <w:tcPr>
            <w:tcW w:w="789" w:type="dxa"/>
          </w:tcPr>
          <w:p>
            <w:pPr>
              <w:pStyle w:val="TableParagraph"/>
              <w:ind w:left="227" w:right="66"/>
              <w:jc w:val="center"/>
              <w:rPr>
                <w:sz w:val="20"/>
              </w:rPr>
            </w:pPr>
            <w:r>
              <w:rPr>
                <w:sz w:val="20"/>
              </w:rPr>
              <w:t>7.5</w:t>
            </w:r>
          </w:p>
        </w:tc>
        <w:tc>
          <w:tcPr>
            <w:tcW w:w="689" w:type="dxa"/>
          </w:tcPr>
          <w:p>
            <w:pPr>
              <w:pStyle w:val="TableParagraph"/>
              <w:ind w:right="249"/>
              <w:rPr>
                <w:sz w:val="20"/>
              </w:rPr>
            </w:pPr>
            <w:r>
              <w:rPr>
                <w:w w:val="95"/>
                <w:sz w:val="20"/>
              </w:rPr>
              <w:t>6.8</w:t>
            </w:r>
          </w:p>
        </w:tc>
        <w:tc>
          <w:tcPr>
            <w:tcW w:w="712" w:type="dxa"/>
          </w:tcPr>
          <w:p>
            <w:pPr>
              <w:pStyle w:val="TableParagraph"/>
              <w:ind w:right="109"/>
              <w:rPr>
                <w:sz w:val="20"/>
              </w:rPr>
            </w:pPr>
            <w:r>
              <w:rPr>
                <w:w w:val="95"/>
                <w:sz w:val="20"/>
              </w:rPr>
              <w:t>6.1</w:t>
            </w:r>
          </w:p>
        </w:tc>
      </w:tr>
      <w:tr>
        <w:trPr>
          <w:trHeight w:val="320" w:hRule="atLeast"/>
        </w:trPr>
        <w:tc>
          <w:tcPr>
            <w:tcW w:w="3039" w:type="dxa"/>
            <w:vMerge/>
            <w:tcBorders>
              <w:top w:val="nil"/>
              <w:right w:val="single" w:sz="8" w:space="0" w:color="000000"/>
            </w:tcBorders>
          </w:tcPr>
          <w:p>
            <w:pPr>
              <w:rPr>
                <w:sz w:val="2"/>
                <w:szCs w:val="2"/>
              </w:rPr>
            </w:pPr>
          </w:p>
        </w:tc>
        <w:tc>
          <w:tcPr>
            <w:tcW w:w="766" w:type="dxa"/>
            <w:tcBorders>
              <w:left w:val="single" w:sz="8" w:space="0" w:color="000000"/>
              <w:right w:val="single" w:sz="8" w:space="0" w:color="000000"/>
            </w:tcBorders>
          </w:tcPr>
          <w:p>
            <w:pPr>
              <w:pStyle w:val="TableParagraph"/>
              <w:spacing w:before="20"/>
              <w:ind w:right="103"/>
              <w:rPr>
                <w:sz w:val="20"/>
              </w:rPr>
            </w:pPr>
            <w:r>
              <w:rPr>
                <w:w w:val="95"/>
                <w:sz w:val="20"/>
              </w:rPr>
              <w:t>1.75</w:t>
            </w:r>
          </w:p>
        </w:tc>
        <w:tc>
          <w:tcPr>
            <w:tcW w:w="921" w:type="dxa"/>
            <w:tcBorders>
              <w:left w:val="single" w:sz="8" w:space="0" w:color="000000"/>
            </w:tcBorders>
          </w:tcPr>
          <w:p>
            <w:pPr>
              <w:pStyle w:val="TableParagraph"/>
              <w:spacing w:before="20"/>
              <w:ind w:right="184"/>
              <w:rPr>
                <w:sz w:val="20"/>
              </w:rPr>
            </w:pPr>
            <w:r>
              <w:rPr>
                <w:w w:val="95"/>
                <w:sz w:val="20"/>
              </w:rPr>
              <w:t>8.2</w:t>
            </w:r>
          </w:p>
        </w:tc>
        <w:tc>
          <w:tcPr>
            <w:tcW w:w="688" w:type="dxa"/>
          </w:tcPr>
          <w:p>
            <w:pPr>
              <w:pStyle w:val="TableParagraph"/>
              <w:spacing w:before="20"/>
              <w:ind w:left="185"/>
              <w:jc w:val="left"/>
              <w:rPr>
                <w:sz w:val="20"/>
              </w:rPr>
            </w:pPr>
            <w:r>
              <w:rPr>
                <w:sz w:val="20"/>
              </w:rPr>
              <w:t>7.5</w:t>
            </w:r>
          </w:p>
        </w:tc>
        <w:tc>
          <w:tcPr>
            <w:tcW w:w="789" w:type="dxa"/>
          </w:tcPr>
          <w:p>
            <w:pPr>
              <w:pStyle w:val="TableParagraph"/>
              <w:spacing w:before="20"/>
              <w:ind w:left="227" w:right="66"/>
              <w:jc w:val="center"/>
              <w:rPr>
                <w:sz w:val="20"/>
              </w:rPr>
            </w:pPr>
            <w:r>
              <w:rPr>
                <w:sz w:val="20"/>
              </w:rPr>
              <w:t>6.9</w:t>
            </w:r>
          </w:p>
        </w:tc>
        <w:tc>
          <w:tcPr>
            <w:tcW w:w="689" w:type="dxa"/>
          </w:tcPr>
          <w:p>
            <w:pPr>
              <w:pStyle w:val="TableParagraph"/>
              <w:spacing w:before="20"/>
              <w:ind w:right="249"/>
              <w:rPr>
                <w:sz w:val="20"/>
              </w:rPr>
            </w:pPr>
            <w:r>
              <w:rPr>
                <w:w w:val="95"/>
                <w:sz w:val="20"/>
              </w:rPr>
              <w:t>6.2</w:t>
            </w:r>
          </w:p>
        </w:tc>
        <w:tc>
          <w:tcPr>
            <w:tcW w:w="712" w:type="dxa"/>
          </w:tcPr>
          <w:p>
            <w:pPr>
              <w:pStyle w:val="TableParagraph"/>
              <w:spacing w:before="20"/>
              <w:ind w:right="109"/>
              <w:rPr>
                <w:sz w:val="20"/>
              </w:rPr>
            </w:pPr>
            <w:r>
              <w:rPr>
                <w:w w:val="95"/>
                <w:sz w:val="20"/>
              </w:rPr>
              <w:t>5.5</w:t>
            </w:r>
          </w:p>
        </w:tc>
      </w:tr>
      <w:tr>
        <w:trPr>
          <w:trHeight w:val="264" w:hRule="atLeast"/>
        </w:trPr>
        <w:tc>
          <w:tcPr>
            <w:tcW w:w="3039" w:type="dxa"/>
            <w:vMerge/>
            <w:tcBorders>
              <w:top w:val="nil"/>
              <w:right w:val="single" w:sz="8" w:space="0" w:color="000000"/>
            </w:tcBorders>
          </w:tcPr>
          <w:p>
            <w:pPr>
              <w:rPr>
                <w:sz w:val="2"/>
                <w:szCs w:val="2"/>
              </w:rPr>
            </w:pPr>
          </w:p>
        </w:tc>
        <w:tc>
          <w:tcPr>
            <w:tcW w:w="766" w:type="dxa"/>
            <w:tcBorders>
              <w:left w:val="single" w:sz="8" w:space="0" w:color="000000"/>
              <w:right w:val="single" w:sz="8" w:space="0" w:color="000000"/>
            </w:tcBorders>
          </w:tcPr>
          <w:p>
            <w:pPr>
              <w:pStyle w:val="TableParagraph"/>
              <w:spacing w:line="226" w:lineRule="exact"/>
              <w:ind w:right="103"/>
              <w:rPr>
                <w:sz w:val="20"/>
              </w:rPr>
            </w:pPr>
            <w:r>
              <w:rPr>
                <w:w w:val="95"/>
                <w:sz w:val="20"/>
              </w:rPr>
              <w:t>1.5</w:t>
            </w:r>
          </w:p>
        </w:tc>
        <w:tc>
          <w:tcPr>
            <w:tcW w:w="921" w:type="dxa"/>
            <w:tcBorders>
              <w:left w:val="single" w:sz="8" w:space="0" w:color="000000"/>
            </w:tcBorders>
          </w:tcPr>
          <w:p>
            <w:pPr>
              <w:pStyle w:val="TableParagraph"/>
              <w:spacing w:line="226" w:lineRule="exact"/>
              <w:ind w:right="184"/>
              <w:rPr>
                <w:sz w:val="20"/>
              </w:rPr>
            </w:pPr>
            <w:r>
              <w:rPr>
                <w:w w:val="95"/>
                <w:sz w:val="20"/>
              </w:rPr>
              <w:t>7.6</w:t>
            </w:r>
          </w:p>
        </w:tc>
        <w:tc>
          <w:tcPr>
            <w:tcW w:w="688" w:type="dxa"/>
          </w:tcPr>
          <w:p>
            <w:pPr>
              <w:pStyle w:val="TableParagraph"/>
              <w:spacing w:line="226" w:lineRule="exact"/>
              <w:ind w:left="185"/>
              <w:jc w:val="left"/>
              <w:rPr>
                <w:sz w:val="20"/>
              </w:rPr>
            </w:pPr>
            <w:r>
              <w:rPr>
                <w:sz w:val="20"/>
              </w:rPr>
              <w:t>6.9</w:t>
            </w:r>
          </w:p>
        </w:tc>
        <w:tc>
          <w:tcPr>
            <w:tcW w:w="789" w:type="dxa"/>
          </w:tcPr>
          <w:p>
            <w:pPr>
              <w:pStyle w:val="TableParagraph"/>
              <w:spacing w:line="226" w:lineRule="exact"/>
              <w:ind w:left="227" w:right="66"/>
              <w:jc w:val="center"/>
              <w:rPr>
                <w:sz w:val="20"/>
              </w:rPr>
            </w:pPr>
            <w:r>
              <w:rPr>
                <w:sz w:val="20"/>
              </w:rPr>
              <w:t>6.2</w:t>
            </w:r>
          </w:p>
        </w:tc>
        <w:tc>
          <w:tcPr>
            <w:tcW w:w="689" w:type="dxa"/>
          </w:tcPr>
          <w:p>
            <w:pPr>
              <w:pStyle w:val="TableParagraph"/>
              <w:spacing w:line="226" w:lineRule="exact"/>
              <w:ind w:right="249"/>
              <w:rPr>
                <w:sz w:val="20"/>
              </w:rPr>
            </w:pPr>
            <w:r>
              <w:rPr>
                <w:w w:val="95"/>
                <w:sz w:val="20"/>
              </w:rPr>
              <w:t>5.5</w:t>
            </w:r>
          </w:p>
        </w:tc>
        <w:tc>
          <w:tcPr>
            <w:tcW w:w="712" w:type="dxa"/>
          </w:tcPr>
          <w:p>
            <w:pPr>
              <w:pStyle w:val="TableParagraph"/>
              <w:spacing w:line="226" w:lineRule="exact"/>
              <w:ind w:right="109"/>
              <w:rPr>
                <w:sz w:val="20"/>
              </w:rPr>
            </w:pPr>
            <w:r>
              <w:rPr>
                <w:w w:val="95"/>
                <w:sz w:val="20"/>
              </w:rPr>
              <w:t>4.8</w:t>
            </w:r>
          </w:p>
        </w:tc>
      </w:tr>
    </w:tbl>
    <w:p>
      <w:pPr>
        <w:spacing w:before="0"/>
        <w:ind w:left="941" w:right="0" w:firstLine="0"/>
        <w:jc w:val="both"/>
        <w:rPr>
          <w:sz w:val="16"/>
        </w:rPr>
      </w:pPr>
      <w:r>
        <w:rPr>
          <w:sz w:val="16"/>
        </w:rPr>
        <w:t>Sources: ONS (including the Labour Force Survey) and Bank calculations.</w:t>
      </w:r>
    </w:p>
    <w:p>
      <w:pPr>
        <w:pStyle w:val="BodyText"/>
        <w:spacing w:before="10"/>
        <w:rPr>
          <w:sz w:val="15"/>
        </w:rPr>
      </w:pPr>
    </w:p>
    <w:p>
      <w:pPr>
        <w:pStyle w:val="ListParagraph"/>
        <w:numPr>
          <w:ilvl w:val="2"/>
          <w:numId w:val="1"/>
        </w:numPr>
        <w:tabs>
          <w:tab w:pos="1184" w:val="left" w:leader="none"/>
        </w:tabs>
        <w:spacing w:line="240" w:lineRule="auto" w:before="0" w:after="0"/>
        <w:ind w:left="941" w:right="1133" w:firstLine="0"/>
        <w:jc w:val="both"/>
        <w:rPr>
          <w:sz w:val="16"/>
        </w:rPr>
      </w:pPr>
      <w:r>
        <w:rPr>
          <w:sz w:val="16"/>
        </w:rPr>
        <w:t>Unemployment rate is a percentage of the economically active 16+ population. GDP is chained-volume measure at market prices. Productivity is whole economy output per hour. This highly stylised table gives a mapping between changes</w:t>
      </w:r>
      <w:r>
        <w:rPr>
          <w:spacing w:val="-28"/>
          <w:sz w:val="16"/>
        </w:rPr>
        <w:t> </w:t>
      </w:r>
      <w:r>
        <w:rPr>
          <w:sz w:val="16"/>
        </w:rPr>
        <w:t>in</w:t>
      </w:r>
    </w:p>
    <w:p>
      <w:pPr>
        <w:spacing w:before="0"/>
        <w:ind w:left="941" w:right="1132" w:firstLine="0"/>
        <w:jc w:val="both"/>
        <w:rPr>
          <w:sz w:val="16"/>
        </w:rPr>
      </w:pPr>
      <w:r>
        <w:rPr>
          <w:sz w:val="16"/>
        </w:rPr>
        <w:t>output and changes in the unemployment rate, highlighting the sensitivity of that mapping to the response of productivity per hour. These numbers are only illustrative and are based on a number of simplifying assumptions about the elasticity of labour demand with respect to output, the extent to which increases in labour demand are met by increases in average hours worked rather than in the number of employees, and the participation rate.</w:t>
      </w:r>
    </w:p>
    <w:p>
      <w:pPr>
        <w:pStyle w:val="BodyText"/>
        <w:rPr>
          <w:sz w:val="18"/>
        </w:rPr>
      </w:pPr>
    </w:p>
    <w:p>
      <w:pPr>
        <w:pStyle w:val="ListParagraph"/>
        <w:numPr>
          <w:ilvl w:val="1"/>
          <w:numId w:val="1"/>
        </w:numPr>
        <w:tabs>
          <w:tab w:pos="954" w:val="left" w:leader="none"/>
        </w:tabs>
        <w:spacing w:line="360" w:lineRule="auto" w:before="140" w:after="0"/>
        <w:ind w:left="953" w:right="1487" w:hanging="360"/>
        <w:jc w:val="left"/>
        <w:rPr>
          <w:sz w:val="20"/>
        </w:rPr>
      </w:pPr>
      <w:r>
        <w:rPr>
          <w:sz w:val="20"/>
        </w:rPr>
        <w:t>The absence of rising inflation pressures alongside the better news on activity gives a</w:t>
      </w:r>
      <w:r>
        <w:rPr>
          <w:spacing w:val="-28"/>
          <w:sz w:val="20"/>
        </w:rPr>
        <w:t> </w:t>
      </w:r>
      <w:r>
        <w:rPr>
          <w:sz w:val="20"/>
        </w:rPr>
        <w:t>compelling case for not normalising policy until recovery has been sustained and a meaningful reduction in unemployment has been</w:t>
      </w:r>
      <w:r>
        <w:rPr>
          <w:spacing w:val="-1"/>
          <w:sz w:val="20"/>
        </w:rPr>
        <w:t> </w:t>
      </w:r>
      <w:r>
        <w:rPr>
          <w:sz w:val="20"/>
        </w:rPr>
        <w:t>achieved.</w:t>
      </w:r>
    </w:p>
    <w:p>
      <w:pPr>
        <w:spacing w:after="0" w:line="360" w:lineRule="auto"/>
        <w:jc w:val="left"/>
        <w:rPr>
          <w:sz w:val="20"/>
        </w:rPr>
        <w:sectPr>
          <w:pgSz w:w="11910" w:h="16840"/>
          <w:pgMar w:header="0" w:footer="1338" w:top="1520" w:bottom="1520" w:left="900" w:right="0"/>
        </w:sectPr>
      </w:pPr>
    </w:p>
    <w:p>
      <w:pPr>
        <w:pStyle w:val="BodyText"/>
        <w:spacing w:before="76"/>
        <w:ind w:left="590"/>
      </w:pPr>
      <w:r>
        <w:rPr>
          <w:b/>
        </w:rPr>
        <w:t>Chart 14: </w:t>
      </w:r>
      <w:r>
        <w:rPr/>
        <w:t>UK unemployment and underemployment index, 2001-12</w:t>
      </w:r>
    </w:p>
    <w:p>
      <w:pPr>
        <w:spacing w:before="121"/>
        <w:ind w:left="873" w:right="0" w:firstLine="0"/>
        <w:jc w:val="left"/>
        <w:rPr>
          <w:sz w:val="17"/>
        </w:rPr>
      </w:pPr>
      <w:r>
        <w:rPr/>
        <w:pict>
          <v:group style="position:absolute;margin-left:104.879997pt;margin-top:10.852883pt;width:224.05pt;height:136.6pt;mso-position-horizontal-relative:page;mso-position-vertical-relative:paragraph;z-index:251702272" coordorigin="2098,217" coordsize="4481,2732">
            <v:shape style="position:absolute;left:2107;top:226;width:4472;height:2722" coordorigin="2107,227" coordsize="4472,2722" path="m2107,2895l2107,227m2107,2895l2158,2895m2107,2451l2158,2451m2107,2005l2158,2005m2107,1561l2158,1561m2107,1115l2158,1115m2107,671l2158,671m2107,227l2158,227m2107,2895l6578,2895m2107,2895l2107,2948m2885,2895l2885,2948m3662,2895l3662,2948m4440,2895l4440,2948m5218,2895l5218,2948m5995,2895l5995,2948e" filled="false" stroked="true" strokeweight=".96pt" strokecolor="#000000">
              <v:path arrowok="t"/>
              <v:stroke dashstyle="solid"/>
            </v:shape>
            <v:shape style="position:absolute;left:2155;top:577;width:4373;height:1376" coordorigin="2155,577" coordsize="4373,1376" path="m2155,1871l2254,1746,2350,1849,2448,1789,2544,1839,2642,1693,2738,1878,2837,1777,2933,1892,3031,1789,3127,1950,3226,1871,3322,1952,3420,1854,3516,1950,3614,1904,3710,1871,3809,1791,3905,1808,4003,1705,4099,1679,4198,1563,4294,1667,4392,1597,4488,1707,4586,1597,4682,1763,4781,1669,4877,1669,4975,1371,5071,1326,5167,1064,5266,875,5362,747,5460,908,5556,786,5654,882,5750,723,5849,807,5945,841,6043,783,6139,577,6238,637,6334,663,6432,714,6528,673e" filled="false" stroked="true" strokeweight="1.44pt" strokecolor="#800000">
              <v:path arrowok="t"/>
              <v:stroke dashstyle="solid"/>
            </v:shape>
            <v:shape style="position:absolute;left:2155;top:1025;width:4373;height:824" coordorigin="2155,1026" coordsize="4373,824" path="m2155,1784l2254,1760,2350,1739,2448,1739,2544,1739,2642,1717,2738,1760,2837,1739,2933,1806,3031,1760,3127,1806,3226,1827,3322,1827,3420,1849,3516,1849,3614,1849,3710,1827,3809,1827,3905,1739,4003,1717,4099,1671,4198,1671,4294,1671,4392,1671,4488,1693,4586,1717,4682,1739,4781,1739,4877,1693,4975,1583,5071,1472,5167,1316,5266,1160,5362,1139,5460,1160,5556,1115,5654,1139,5750,1182,5849,1160,5945,1160,6043,1139,6139,1050,6238,1026,6334,1071,6432,1115,6528,1160e" filled="false" stroked="true" strokeweight="1.44pt" strokecolor="#000000">
              <v:path arrowok="t"/>
              <v:stroke dashstyle="solid"/>
            </v:shape>
            <v:line style="position:absolute" from="2446,488" to="2830,488" stroked="true" strokeweight="1.44pt" strokecolor="#800000">
              <v:stroke dashstyle="solid"/>
            </v:line>
            <v:line style="position:absolute" from="2446,841" to="2830,841" stroked="true" strokeweight="1.44pt" strokecolor="#000000">
              <v:stroke dashstyle="solid"/>
            </v:line>
            <v:shape style="position:absolute;left:2097;top:217;width:4481;height:2732" type="#_x0000_t202" filled="false" stroked="false">
              <v:textbox inset="0,0,0,0">
                <w:txbxContent>
                  <w:p>
                    <w:pPr>
                      <w:spacing w:line="240" w:lineRule="auto" w:before="4"/>
                      <w:rPr>
                        <w:sz w:val="14"/>
                      </w:rPr>
                    </w:pPr>
                  </w:p>
                  <w:p>
                    <w:pPr>
                      <w:spacing w:line="432" w:lineRule="auto" w:before="1"/>
                      <w:ind w:left="772" w:right="2300" w:firstLine="0"/>
                      <w:jc w:val="left"/>
                      <w:rPr>
                        <w:sz w:val="17"/>
                      </w:rPr>
                    </w:pPr>
                    <w:r>
                      <w:rPr>
                        <w:sz w:val="17"/>
                      </w:rPr>
                      <w:t>Underemployment Unemployment</w:t>
                    </w:r>
                  </w:p>
                </w:txbxContent>
              </v:textbox>
              <w10:wrap type="none"/>
            </v:shape>
            <w10:wrap type="none"/>
          </v:group>
        </w:pict>
      </w:r>
      <w:r>
        <w:rPr>
          <w:sz w:val="17"/>
        </w:rPr>
        <w:t>12</w:t>
      </w:r>
    </w:p>
    <w:p>
      <w:pPr>
        <w:pStyle w:val="BodyText"/>
        <w:spacing w:before="5"/>
        <w:rPr>
          <w:sz w:val="13"/>
        </w:rPr>
      </w:pPr>
    </w:p>
    <w:p>
      <w:pPr>
        <w:spacing w:before="95"/>
        <w:ind w:left="873" w:right="0" w:firstLine="0"/>
        <w:jc w:val="left"/>
        <w:rPr>
          <w:sz w:val="17"/>
        </w:rPr>
      </w:pPr>
      <w:r>
        <w:rPr>
          <w:sz w:val="17"/>
        </w:rPr>
        <w:t>10</w:t>
      </w:r>
    </w:p>
    <w:p>
      <w:pPr>
        <w:pStyle w:val="BodyText"/>
        <w:spacing w:before="5"/>
        <w:rPr>
          <w:sz w:val="13"/>
        </w:rPr>
      </w:pPr>
    </w:p>
    <w:p>
      <w:pPr>
        <w:spacing w:before="95"/>
        <w:ind w:left="967" w:right="0" w:firstLine="0"/>
        <w:jc w:val="left"/>
        <w:rPr>
          <w:sz w:val="17"/>
        </w:rPr>
      </w:pPr>
      <w:r>
        <w:rPr>
          <w:w w:val="100"/>
          <w:sz w:val="17"/>
        </w:rPr>
        <w:t>8</w:t>
      </w:r>
    </w:p>
    <w:p>
      <w:pPr>
        <w:pStyle w:val="BodyText"/>
        <w:spacing w:before="5"/>
        <w:rPr>
          <w:sz w:val="13"/>
        </w:rPr>
      </w:pPr>
    </w:p>
    <w:p>
      <w:pPr>
        <w:spacing w:before="95"/>
        <w:ind w:left="967" w:right="0" w:firstLine="0"/>
        <w:jc w:val="left"/>
        <w:rPr>
          <w:sz w:val="17"/>
        </w:rPr>
      </w:pPr>
      <w:r>
        <w:rPr/>
        <w:pict>
          <v:shape style="position:absolute;margin-left:78.167068pt;margin-top:-5.764797pt;width:11.55pt;height:33.65pt;mso-position-horizontal-relative:page;mso-position-vertical-relative:paragraph;z-index:251703296" type="#_x0000_t202" filled="false" stroked="false">
            <v:textbox inset="0,0,0,0" style="layout-flow:vertical;mso-layout-flow-alt:bottom-to-top">
              <w:txbxContent>
                <w:p>
                  <w:pPr>
                    <w:spacing w:before="15"/>
                    <w:ind w:left="20" w:right="0" w:firstLine="0"/>
                    <w:jc w:val="left"/>
                    <w:rPr>
                      <w:sz w:val="17"/>
                    </w:rPr>
                  </w:pPr>
                  <w:r>
                    <w:rPr>
                      <w:sz w:val="17"/>
                    </w:rPr>
                    <w:t>Per cent</w:t>
                  </w:r>
                </w:p>
              </w:txbxContent>
            </v:textbox>
            <w10:wrap type="none"/>
          </v:shape>
        </w:pict>
      </w:r>
      <w:r>
        <w:rPr>
          <w:w w:val="100"/>
          <w:sz w:val="17"/>
        </w:rPr>
        <w:t>6</w:t>
      </w:r>
    </w:p>
    <w:p>
      <w:pPr>
        <w:pStyle w:val="BodyText"/>
        <w:spacing w:before="5"/>
        <w:rPr>
          <w:sz w:val="13"/>
        </w:rPr>
      </w:pPr>
    </w:p>
    <w:p>
      <w:pPr>
        <w:spacing w:before="95"/>
        <w:ind w:left="967" w:right="0" w:firstLine="0"/>
        <w:jc w:val="left"/>
        <w:rPr>
          <w:sz w:val="17"/>
        </w:rPr>
      </w:pPr>
      <w:r>
        <w:rPr>
          <w:w w:val="100"/>
          <w:sz w:val="17"/>
        </w:rPr>
        <w:t>4</w:t>
      </w:r>
    </w:p>
    <w:p>
      <w:pPr>
        <w:pStyle w:val="BodyText"/>
        <w:spacing w:before="5"/>
        <w:rPr>
          <w:sz w:val="13"/>
        </w:rPr>
      </w:pPr>
    </w:p>
    <w:p>
      <w:pPr>
        <w:spacing w:before="95"/>
        <w:ind w:left="967" w:right="0" w:firstLine="0"/>
        <w:jc w:val="left"/>
        <w:rPr>
          <w:sz w:val="17"/>
        </w:rPr>
      </w:pPr>
      <w:r>
        <w:rPr>
          <w:w w:val="100"/>
          <w:sz w:val="17"/>
        </w:rPr>
        <w:t>2</w:t>
      </w:r>
    </w:p>
    <w:p>
      <w:pPr>
        <w:pStyle w:val="BodyText"/>
        <w:spacing w:before="6"/>
        <w:rPr>
          <w:sz w:val="13"/>
        </w:rPr>
      </w:pPr>
    </w:p>
    <w:p>
      <w:pPr>
        <w:spacing w:before="95"/>
        <w:ind w:left="967" w:right="0" w:firstLine="0"/>
        <w:jc w:val="left"/>
        <w:rPr>
          <w:sz w:val="17"/>
        </w:rPr>
      </w:pPr>
      <w:r>
        <w:rPr>
          <w:w w:val="100"/>
          <w:sz w:val="17"/>
        </w:rPr>
        <w:t>0</w:t>
      </w:r>
    </w:p>
    <w:p>
      <w:pPr>
        <w:spacing w:before="6"/>
        <w:ind w:left="930" w:right="0" w:firstLine="0"/>
        <w:jc w:val="left"/>
        <w:rPr>
          <w:sz w:val="17"/>
        </w:rPr>
      </w:pPr>
      <w:r>
        <w:rPr>
          <w:sz w:val="17"/>
        </w:rPr>
        <w:t>2001 Q2 2003 Q2 2005 Q2 2007 Q2 2009 Q2 2011 Q2</w:t>
      </w:r>
    </w:p>
    <w:p>
      <w:pPr>
        <w:pStyle w:val="BodyText"/>
        <w:spacing w:before="1"/>
        <w:rPr>
          <w:sz w:val="9"/>
        </w:rPr>
      </w:pPr>
    </w:p>
    <w:p>
      <w:pPr>
        <w:spacing w:before="96"/>
        <w:ind w:left="590" w:right="0" w:firstLine="0"/>
        <w:jc w:val="left"/>
        <w:rPr>
          <w:sz w:val="16"/>
        </w:rPr>
      </w:pPr>
      <w:r>
        <w:rPr>
          <w:sz w:val="16"/>
        </w:rPr>
        <w:t>Source: Bell and Blanchflower (2013).</w:t>
      </w:r>
    </w:p>
    <w:p>
      <w:pPr>
        <w:pStyle w:val="BodyText"/>
        <w:rPr>
          <w:sz w:val="18"/>
        </w:rPr>
      </w:pPr>
    </w:p>
    <w:p>
      <w:pPr>
        <w:pStyle w:val="BodyText"/>
        <w:spacing w:before="10"/>
        <w:rPr>
          <w:sz w:val="23"/>
        </w:rPr>
      </w:pPr>
    </w:p>
    <w:p>
      <w:pPr>
        <w:pStyle w:val="Heading1"/>
        <w:numPr>
          <w:ilvl w:val="0"/>
          <w:numId w:val="1"/>
        </w:numPr>
        <w:tabs>
          <w:tab w:pos="591" w:val="left" w:leader="none"/>
        </w:tabs>
        <w:spacing w:line="240" w:lineRule="auto" w:before="0" w:after="0"/>
        <w:ind w:left="590" w:right="0" w:hanging="358"/>
        <w:jc w:val="left"/>
      </w:pPr>
      <w:r>
        <w:rPr/>
        <w:t>Conclusion</w:t>
      </w:r>
    </w:p>
    <w:p>
      <w:pPr>
        <w:pStyle w:val="BodyText"/>
        <w:rPr>
          <w:b/>
          <w:sz w:val="22"/>
        </w:rPr>
      </w:pPr>
    </w:p>
    <w:p>
      <w:pPr>
        <w:pStyle w:val="BodyText"/>
        <w:spacing w:line="355" w:lineRule="auto" w:before="132"/>
        <w:ind w:left="233" w:right="1166"/>
      </w:pPr>
      <w:r>
        <w:rPr/>
        <w:t>I think there are good reasons to believe that for an economy that has been in a deep recession there are likely to be multiple equilibrium paths forward. On some of them people are more optimistic in a way that is self-confirming. On others, low confidence about activity also becomes self-confirming. It seems plausible that you can have quite different paths for activity with very similar paths for inflation – on the low activity paths unit labour costs may be very similar to the high activity paths. Low growth in nominal wages can be offset by low growth in productivity on the low growth path, while higher wages are offset by higher productivity growth on the high growth path. This is a powerful reason why an inflation targeting central bank should do all it can to get the economy onto the higher growth path. I view the main way in which forward guidance can help in the UK now is to raise the chances of staying on that more favourable path. I believe we may be able to achieve that with the current setting for policy. That is a more optimistic position than I took a few months ago when I believed that resuming asset purchases was warranted. The recent rise in activity and confidence has the potential – I believe – to be sustainable and self-confirming. This is not guaranteed. But I am now more confident that we are on path to recovery than at any time since I joined the MPC in the first part of 2009. </w:t>
      </w:r>
      <w:r>
        <w:rPr>
          <w:spacing w:val="2"/>
        </w:rPr>
        <w:t>What </w:t>
      </w:r>
      <w:r>
        <w:rPr/>
        <w:t>a </w:t>
      </w:r>
      <w:r>
        <w:rPr>
          <w:i/>
        </w:rPr>
        <w:t>potentially </w:t>
      </w:r>
      <w:r>
        <w:rPr/>
        <w:t>self-confirming and stronger path for output and confidence does </w:t>
      </w:r>
      <w:r>
        <w:rPr>
          <w:b/>
          <w:i/>
        </w:rPr>
        <w:t>not </w:t>
      </w:r>
      <w:r>
        <w:rPr/>
        <w:t>need right now is tighter monetary policy. That is what the guidance that has been given by the MPC is designed to</w:t>
      </w:r>
      <w:r>
        <w:rPr>
          <w:spacing w:val="-1"/>
        </w:rPr>
        <w:t> </w:t>
      </w:r>
      <w:r>
        <w:rPr/>
        <w:t>avoid.</w:t>
      </w:r>
    </w:p>
    <w:p>
      <w:pPr>
        <w:pStyle w:val="BodyText"/>
      </w:pPr>
    </w:p>
    <w:p>
      <w:pPr>
        <w:pStyle w:val="BodyText"/>
        <w:spacing w:line="360" w:lineRule="auto"/>
        <w:ind w:left="233" w:right="1133"/>
      </w:pPr>
      <w:r>
        <w:rPr/>
        <w:t>Of course we could well have a slide in activity and in confidence for other reasons – there is no shortage of things that could make that happen. But if that is how things play out we can and should do something about it.</w:t>
      </w:r>
    </w:p>
    <w:sectPr>
      <w:pgSz w:w="11910" w:h="16840"/>
      <w:pgMar w:header="0" w:footer="1338" w:top="1520" w:bottom="152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641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76313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7621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610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6006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27590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5801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569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7559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6.9pt;height:13.15pt;mso-position-horizontal-relative:page;mso-position-vertical-relative:page;z-index:-2527549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5392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528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7518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27508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4982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488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7477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27467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45728"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447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436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7426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41632"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406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395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466.9pt;height:13.15pt;mso-position-horizontal-relative:page;mso-position-vertical-relative:page;z-index:-2527385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37536" type="#_x0000_t202" filled="false" stroked="false">
          <v:textbox inset="0,0,0,0">
            <w:txbxContent>
              <w:p>
                <w:pPr>
                  <w:pStyle w:val="BodyText"/>
                  <w:spacing w:before="12"/>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953" w:hanging="36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1964" w:hanging="360"/>
      </w:pPr>
      <w:rPr>
        <w:rFonts w:hint="default"/>
        <w:lang w:val="en-gb" w:eastAsia="en-gb" w:bidi="en-gb"/>
      </w:rPr>
    </w:lvl>
    <w:lvl w:ilvl="2">
      <w:start w:val="0"/>
      <w:numFmt w:val="bullet"/>
      <w:lvlText w:val="•"/>
      <w:lvlJc w:val="left"/>
      <w:pPr>
        <w:ind w:left="2969" w:hanging="360"/>
      </w:pPr>
      <w:rPr>
        <w:rFonts w:hint="default"/>
        <w:lang w:val="en-gb" w:eastAsia="en-gb" w:bidi="en-gb"/>
      </w:rPr>
    </w:lvl>
    <w:lvl w:ilvl="3">
      <w:start w:val="0"/>
      <w:numFmt w:val="bullet"/>
      <w:lvlText w:val="•"/>
      <w:lvlJc w:val="left"/>
      <w:pPr>
        <w:ind w:left="3973" w:hanging="360"/>
      </w:pPr>
      <w:rPr>
        <w:rFonts w:hint="default"/>
        <w:lang w:val="en-gb" w:eastAsia="en-gb" w:bidi="en-gb"/>
      </w:rPr>
    </w:lvl>
    <w:lvl w:ilvl="4">
      <w:start w:val="0"/>
      <w:numFmt w:val="bullet"/>
      <w:lvlText w:val="•"/>
      <w:lvlJc w:val="left"/>
      <w:pPr>
        <w:ind w:left="4978" w:hanging="360"/>
      </w:pPr>
      <w:rPr>
        <w:rFonts w:hint="default"/>
        <w:lang w:val="en-gb" w:eastAsia="en-gb" w:bidi="en-gb"/>
      </w:rPr>
    </w:lvl>
    <w:lvl w:ilvl="5">
      <w:start w:val="0"/>
      <w:numFmt w:val="bullet"/>
      <w:lvlText w:val="•"/>
      <w:lvlJc w:val="left"/>
      <w:pPr>
        <w:ind w:left="5983" w:hanging="360"/>
      </w:pPr>
      <w:rPr>
        <w:rFonts w:hint="default"/>
        <w:lang w:val="en-gb" w:eastAsia="en-gb" w:bidi="en-gb"/>
      </w:rPr>
    </w:lvl>
    <w:lvl w:ilvl="6">
      <w:start w:val="0"/>
      <w:numFmt w:val="bullet"/>
      <w:lvlText w:val="•"/>
      <w:lvlJc w:val="left"/>
      <w:pPr>
        <w:ind w:left="6987" w:hanging="360"/>
      </w:pPr>
      <w:rPr>
        <w:rFonts w:hint="default"/>
        <w:lang w:val="en-gb" w:eastAsia="en-gb" w:bidi="en-gb"/>
      </w:rPr>
    </w:lvl>
    <w:lvl w:ilvl="7">
      <w:start w:val="0"/>
      <w:numFmt w:val="bullet"/>
      <w:lvlText w:val="•"/>
      <w:lvlJc w:val="left"/>
      <w:pPr>
        <w:ind w:left="7992" w:hanging="360"/>
      </w:pPr>
      <w:rPr>
        <w:rFonts w:hint="default"/>
        <w:lang w:val="en-gb" w:eastAsia="en-gb" w:bidi="en-gb"/>
      </w:rPr>
    </w:lvl>
    <w:lvl w:ilvl="8">
      <w:start w:val="0"/>
      <w:numFmt w:val="bullet"/>
      <w:lvlText w:val="•"/>
      <w:lvlJc w:val="left"/>
      <w:pPr>
        <w:ind w:left="8997" w:hanging="360"/>
      </w:pPr>
      <w:rPr>
        <w:rFonts w:hint="default"/>
        <w:lang w:val="en-gb" w:eastAsia="en-gb" w:bidi="en-gb"/>
      </w:rPr>
    </w:lvl>
  </w:abstractNum>
  <w:abstractNum w:abstractNumId="5">
    <w:multiLevelType w:val="hybridMultilevel"/>
    <w:lvl w:ilvl="0">
      <w:start w:val="1"/>
      <w:numFmt w:val="lowerLetter"/>
      <w:lvlText w:val="(%1)"/>
      <w:lvlJc w:val="left"/>
      <w:pPr>
        <w:ind w:left="233" w:hanging="24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1316" w:hanging="240"/>
      </w:pPr>
      <w:rPr>
        <w:rFonts w:hint="default"/>
        <w:lang w:val="en-gb" w:eastAsia="en-gb" w:bidi="en-gb"/>
      </w:rPr>
    </w:lvl>
    <w:lvl w:ilvl="2">
      <w:start w:val="0"/>
      <w:numFmt w:val="bullet"/>
      <w:lvlText w:val="•"/>
      <w:lvlJc w:val="left"/>
      <w:pPr>
        <w:ind w:left="2393" w:hanging="240"/>
      </w:pPr>
      <w:rPr>
        <w:rFonts w:hint="default"/>
        <w:lang w:val="en-gb" w:eastAsia="en-gb" w:bidi="en-gb"/>
      </w:rPr>
    </w:lvl>
    <w:lvl w:ilvl="3">
      <w:start w:val="0"/>
      <w:numFmt w:val="bullet"/>
      <w:lvlText w:val="•"/>
      <w:lvlJc w:val="left"/>
      <w:pPr>
        <w:ind w:left="3469" w:hanging="240"/>
      </w:pPr>
      <w:rPr>
        <w:rFonts w:hint="default"/>
        <w:lang w:val="en-gb" w:eastAsia="en-gb" w:bidi="en-gb"/>
      </w:rPr>
    </w:lvl>
    <w:lvl w:ilvl="4">
      <w:start w:val="0"/>
      <w:numFmt w:val="bullet"/>
      <w:lvlText w:val="•"/>
      <w:lvlJc w:val="left"/>
      <w:pPr>
        <w:ind w:left="4546" w:hanging="240"/>
      </w:pPr>
      <w:rPr>
        <w:rFonts w:hint="default"/>
        <w:lang w:val="en-gb" w:eastAsia="en-gb" w:bidi="en-gb"/>
      </w:rPr>
    </w:lvl>
    <w:lvl w:ilvl="5">
      <w:start w:val="0"/>
      <w:numFmt w:val="bullet"/>
      <w:lvlText w:val="•"/>
      <w:lvlJc w:val="left"/>
      <w:pPr>
        <w:ind w:left="5623" w:hanging="240"/>
      </w:pPr>
      <w:rPr>
        <w:rFonts w:hint="default"/>
        <w:lang w:val="en-gb" w:eastAsia="en-gb" w:bidi="en-gb"/>
      </w:rPr>
    </w:lvl>
    <w:lvl w:ilvl="6">
      <w:start w:val="0"/>
      <w:numFmt w:val="bullet"/>
      <w:lvlText w:val="•"/>
      <w:lvlJc w:val="left"/>
      <w:pPr>
        <w:ind w:left="6699" w:hanging="240"/>
      </w:pPr>
      <w:rPr>
        <w:rFonts w:hint="default"/>
        <w:lang w:val="en-gb" w:eastAsia="en-gb" w:bidi="en-gb"/>
      </w:rPr>
    </w:lvl>
    <w:lvl w:ilvl="7">
      <w:start w:val="0"/>
      <w:numFmt w:val="bullet"/>
      <w:lvlText w:val="•"/>
      <w:lvlJc w:val="left"/>
      <w:pPr>
        <w:ind w:left="7776" w:hanging="240"/>
      </w:pPr>
      <w:rPr>
        <w:rFonts w:hint="default"/>
        <w:lang w:val="en-gb" w:eastAsia="en-gb" w:bidi="en-gb"/>
      </w:rPr>
    </w:lvl>
    <w:lvl w:ilvl="8">
      <w:start w:val="0"/>
      <w:numFmt w:val="bullet"/>
      <w:lvlText w:val="•"/>
      <w:lvlJc w:val="left"/>
      <w:pPr>
        <w:ind w:left="8853" w:hanging="240"/>
      </w:pPr>
      <w:rPr>
        <w:rFonts w:hint="default"/>
        <w:lang w:val="en-gb" w:eastAsia="en-gb" w:bidi="en-gb"/>
      </w:rPr>
    </w:lvl>
  </w:abstractNum>
  <w:abstractNum w:abstractNumId="4">
    <w:multiLevelType w:val="hybridMultilevel"/>
    <w:lvl w:ilvl="0">
      <w:start w:val="1"/>
      <w:numFmt w:val="lowerLetter"/>
      <w:lvlText w:val="(%1)"/>
      <w:lvlJc w:val="left"/>
      <w:pPr>
        <w:ind w:left="233" w:hanging="240"/>
        <w:jc w:val="left"/>
      </w:pPr>
      <w:rPr>
        <w:rFonts w:hint="default" w:ascii="Arial" w:hAnsi="Arial" w:eastAsia="Arial" w:cs="Arial"/>
        <w:spacing w:val="-1"/>
        <w:w w:val="100"/>
        <w:sz w:val="16"/>
        <w:szCs w:val="16"/>
        <w:lang w:val="en-gb" w:eastAsia="en-gb" w:bidi="en-gb"/>
      </w:rPr>
    </w:lvl>
    <w:lvl w:ilvl="1">
      <w:start w:val="1"/>
      <w:numFmt w:val="lowerLetter"/>
      <w:lvlText w:val="(%2)"/>
      <w:lvlJc w:val="left"/>
      <w:pPr>
        <w:ind w:left="953" w:hanging="360"/>
        <w:jc w:val="left"/>
      </w:pPr>
      <w:rPr>
        <w:rFonts w:hint="default" w:ascii="Arial" w:hAnsi="Arial" w:eastAsia="Arial" w:cs="Arial"/>
        <w:spacing w:val="-1"/>
        <w:w w:val="100"/>
        <w:sz w:val="16"/>
        <w:szCs w:val="16"/>
        <w:lang w:val="en-gb" w:eastAsia="en-gb" w:bidi="en-gb"/>
      </w:rPr>
    </w:lvl>
    <w:lvl w:ilvl="2">
      <w:start w:val="0"/>
      <w:numFmt w:val="bullet"/>
      <w:lvlText w:val="•"/>
      <w:lvlJc w:val="left"/>
      <w:pPr>
        <w:ind w:left="2076" w:hanging="360"/>
      </w:pPr>
      <w:rPr>
        <w:rFonts w:hint="default"/>
        <w:lang w:val="en-gb" w:eastAsia="en-gb" w:bidi="en-gb"/>
      </w:rPr>
    </w:lvl>
    <w:lvl w:ilvl="3">
      <w:start w:val="0"/>
      <w:numFmt w:val="bullet"/>
      <w:lvlText w:val="•"/>
      <w:lvlJc w:val="left"/>
      <w:pPr>
        <w:ind w:left="3192" w:hanging="360"/>
      </w:pPr>
      <w:rPr>
        <w:rFonts w:hint="default"/>
        <w:lang w:val="en-gb" w:eastAsia="en-gb" w:bidi="en-gb"/>
      </w:rPr>
    </w:lvl>
    <w:lvl w:ilvl="4">
      <w:start w:val="0"/>
      <w:numFmt w:val="bullet"/>
      <w:lvlText w:val="•"/>
      <w:lvlJc w:val="left"/>
      <w:pPr>
        <w:ind w:left="4308" w:hanging="360"/>
      </w:pPr>
      <w:rPr>
        <w:rFonts w:hint="default"/>
        <w:lang w:val="en-gb" w:eastAsia="en-gb" w:bidi="en-gb"/>
      </w:rPr>
    </w:lvl>
    <w:lvl w:ilvl="5">
      <w:start w:val="0"/>
      <w:numFmt w:val="bullet"/>
      <w:lvlText w:val="•"/>
      <w:lvlJc w:val="left"/>
      <w:pPr>
        <w:ind w:left="5425" w:hanging="360"/>
      </w:pPr>
      <w:rPr>
        <w:rFonts w:hint="default"/>
        <w:lang w:val="en-gb" w:eastAsia="en-gb" w:bidi="en-gb"/>
      </w:rPr>
    </w:lvl>
    <w:lvl w:ilvl="6">
      <w:start w:val="0"/>
      <w:numFmt w:val="bullet"/>
      <w:lvlText w:val="•"/>
      <w:lvlJc w:val="left"/>
      <w:pPr>
        <w:ind w:left="6541" w:hanging="360"/>
      </w:pPr>
      <w:rPr>
        <w:rFonts w:hint="default"/>
        <w:lang w:val="en-gb" w:eastAsia="en-gb" w:bidi="en-gb"/>
      </w:rPr>
    </w:lvl>
    <w:lvl w:ilvl="7">
      <w:start w:val="0"/>
      <w:numFmt w:val="bullet"/>
      <w:lvlText w:val="•"/>
      <w:lvlJc w:val="left"/>
      <w:pPr>
        <w:ind w:left="7657" w:hanging="360"/>
      </w:pPr>
      <w:rPr>
        <w:rFonts w:hint="default"/>
        <w:lang w:val="en-gb" w:eastAsia="en-gb" w:bidi="en-gb"/>
      </w:rPr>
    </w:lvl>
    <w:lvl w:ilvl="8">
      <w:start w:val="0"/>
      <w:numFmt w:val="bullet"/>
      <w:lvlText w:val="•"/>
      <w:lvlJc w:val="left"/>
      <w:pPr>
        <w:ind w:left="8773" w:hanging="360"/>
      </w:pPr>
      <w:rPr>
        <w:rFonts w:hint="default"/>
        <w:lang w:val="en-gb" w:eastAsia="en-gb" w:bidi="en-gb"/>
      </w:rPr>
    </w:lvl>
  </w:abstractNum>
  <w:abstractNum w:abstractNumId="3">
    <w:multiLevelType w:val="hybridMultilevel"/>
    <w:lvl w:ilvl="0">
      <w:start w:val="1"/>
      <w:numFmt w:val="lowerLetter"/>
      <w:lvlText w:val="(%1)"/>
      <w:lvlJc w:val="left"/>
      <w:pPr>
        <w:ind w:left="473" w:hanging="24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1532" w:hanging="240"/>
      </w:pPr>
      <w:rPr>
        <w:rFonts w:hint="default"/>
        <w:lang w:val="en-gb" w:eastAsia="en-gb" w:bidi="en-gb"/>
      </w:rPr>
    </w:lvl>
    <w:lvl w:ilvl="2">
      <w:start w:val="0"/>
      <w:numFmt w:val="bullet"/>
      <w:lvlText w:val="•"/>
      <w:lvlJc w:val="left"/>
      <w:pPr>
        <w:ind w:left="2585" w:hanging="240"/>
      </w:pPr>
      <w:rPr>
        <w:rFonts w:hint="default"/>
        <w:lang w:val="en-gb" w:eastAsia="en-gb" w:bidi="en-gb"/>
      </w:rPr>
    </w:lvl>
    <w:lvl w:ilvl="3">
      <w:start w:val="0"/>
      <w:numFmt w:val="bullet"/>
      <w:lvlText w:val="•"/>
      <w:lvlJc w:val="left"/>
      <w:pPr>
        <w:ind w:left="3637" w:hanging="240"/>
      </w:pPr>
      <w:rPr>
        <w:rFonts w:hint="default"/>
        <w:lang w:val="en-gb" w:eastAsia="en-gb" w:bidi="en-gb"/>
      </w:rPr>
    </w:lvl>
    <w:lvl w:ilvl="4">
      <w:start w:val="0"/>
      <w:numFmt w:val="bullet"/>
      <w:lvlText w:val="•"/>
      <w:lvlJc w:val="left"/>
      <w:pPr>
        <w:ind w:left="4690" w:hanging="240"/>
      </w:pPr>
      <w:rPr>
        <w:rFonts w:hint="default"/>
        <w:lang w:val="en-gb" w:eastAsia="en-gb" w:bidi="en-gb"/>
      </w:rPr>
    </w:lvl>
    <w:lvl w:ilvl="5">
      <w:start w:val="0"/>
      <w:numFmt w:val="bullet"/>
      <w:lvlText w:val="•"/>
      <w:lvlJc w:val="left"/>
      <w:pPr>
        <w:ind w:left="5743" w:hanging="240"/>
      </w:pPr>
      <w:rPr>
        <w:rFonts w:hint="default"/>
        <w:lang w:val="en-gb" w:eastAsia="en-gb" w:bidi="en-gb"/>
      </w:rPr>
    </w:lvl>
    <w:lvl w:ilvl="6">
      <w:start w:val="0"/>
      <w:numFmt w:val="bullet"/>
      <w:lvlText w:val="•"/>
      <w:lvlJc w:val="left"/>
      <w:pPr>
        <w:ind w:left="6795" w:hanging="240"/>
      </w:pPr>
      <w:rPr>
        <w:rFonts w:hint="default"/>
        <w:lang w:val="en-gb" w:eastAsia="en-gb" w:bidi="en-gb"/>
      </w:rPr>
    </w:lvl>
    <w:lvl w:ilvl="7">
      <w:start w:val="0"/>
      <w:numFmt w:val="bullet"/>
      <w:lvlText w:val="•"/>
      <w:lvlJc w:val="left"/>
      <w:pPr>
        <w:ind w:left="7848" w:hanging="240"/>
      </w:pPr>
      <w:rPr>
        <w:rFonts w:hint="default"/>
        <w:lang w:val="en-gb" w:eastAsia="en-gb" w:bidi="en-gb"/>
      </w:rPr>
    </w:lvl>
    <w:lvl w:ilvl="8">
      <w:start w:val="0"/>
      <w:numFmt w:val="bullet"/>
      <w:lvlText w:val="•"/>
      <w:lvlJc w:val="left"/>
      <w:pPr>
        <w:ind w:left="8901" w:hanging="240"/>
      </w:pPr>
      <w:rPr>
        <w:rFonts w:hint="default"/>
        <w:lang w:val="en-gb" w:eastAsia="en-gb" w:bidi="en-gb"/>
      </w:rPr>
    </w:lvl>
  </w:abstractNum>
  <w:abstractNum w:abstractNumId="2">
    <w:multiLevelType w:val="hybridMultilevel"/>
    <w:lvl w:ilvl="0">
      <w:start w:val="1"/>
      <w:numFmt w:val="lowerLetter"/>
      <w:lvlText w:val="(%1)"/>
      <w:lvlJc w:val="left"/>
      <w:pPr>
        <w:ind w:left="473" w:hanging="24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1532" w:hanging="240"/>
      </w:pPr>
      <w:rPr>
        <w:rFonts w:hint="default"/>
        <w:lang w:val="en-gb" w:eastAsia="en-gb" w:bidi="en-gb"/>
      </w:rPr>
    </w:lvl>
    <w:lvl w:ilvl="2">
      <w:start w:val="0"/>
      <w:numFmt w:val="bullet"/>
      <w:lvlText w:val="•"/>
      <w:lvlJc w:val="left"/>
      <w:pPr>
        <w:ind w:left="2585" w:hanging="240"/>
      </w:pPr>
      <w:rPr>
        <w:rFonts w:hint="default"/>
        <w:lang w:val="en-gb" w:eastAsia="en-gb" w:bidi="en-gb"/>
      </w:rPr>
    </w:lvl>
    <w:lvl w:ilvl="3">
      <w:start w:val="0"/>
      <w:numFmt w:val="bullet"/>
      <w:lvlText w:val="•"/>
      <w:lvlJc w:val="left"/>
      <w:pPr>
        <w:ind w:left="3637" w:hanging="240"/>
      </w:pPr>
      <w:rPr>
        <w:rFonts w:hint="default"/>
        <w:lang w:val="en-gb" w:eastAsia="en-gb" w:bidi="en-gb"/>
      </w:rPr>
    </w:lvl>
    <w:lvl w:ilvl="4">
      <w:start w:val="0"/>
      <w:numFmt w:val="bullet"/>
      <w:lvlText w:val="•"/>
      <w:lvlJc w:val="left"/>
      <w:pPr>
        <w:ind w:left="4690" w:hanging="240"/>
      </w:pPr>
      <w:rPr>
        <w:rFonts w:hint="default"/>
        <w:lang w:val="en-gb" w:eastAsia="en-gb" w:bidi="en-gb"/>
      </w:rPr>
    </w:lvl>
    <w:lvl w:ilvl="5">
      <w:start w:val="0"/>
      <w:numFmt w:val="bullet"/>
      <w:lvlText w:val="•"/>
      <w:lvlJc w:val="left"/>
      <w:pPr>
        <w:ind w:left="5743" w:hanging="240"/>
      </w:pPr>
      <w:rPr>
        <w:rFonts w:hint="default"/>
        <w:lang w:val="en-gb" w:eastAsia="en-gb" w:bidi="en-gb"/>
      </w:rPr>
    </w:lvl>
    <w:lvl w:ilvl="6">
      <w:start w:val="0"/>
      <w:numFmt w:val="bullet"/>
      <w:lvlText w:val="•"/>
      <w:lvlJc w:val="left"/>
      <w:pPr>
        <w:ind w:left="6795" w:hanging="240"/>
      </w:pPr>
      <w:rPr>
        <w:rFonts w:hint="default"/>
        <w:lang w:val="en-gb" w:eastAsia="en-gb" w:bidi="en-gb"/>
      </w:rPr>
    </w:lvl>
    <w:lvl w:ilvl="7">
      <w:start w:val="0"/>
      <w:numFmt w:val="bullet"/>
      <w:lvlText w:val="•"/>
      <w:lvlJc w:val="left"/>
      <w:pPr>
        <w:ind w:left="7848" w:hanging="240"/>
      </w:pPr>
      <w:rPr>
        <w:rFonts w:hint="default"/>
        <w:lang w:val="en-gb" w:eastAsia="en-gb" w:bidi="en-gb"/>
      </w:rPr>
    </w:lvl>
    <w:lvl w:ilvl="8">
      <w:start w:val="0"/>
      <w:numFmt w:val="bullet"/>
      <w:lvlText w:val="•"/>
      <w:lvlJc w:val="left"/>
      <w:pPr>
        <w:ind w:left="8901" w:hanging="240"/>
      </w:pPr>
      <w:rPr>
        <w:rFonts w:hint="default"/>
        <w:lang w:val="en-gb" w:eastAsia="en-gb" w:bidi="en-gb"/>
      </w:rPr>
    </w:lvl>
  </w:abstractNum>
  <w:abstractNum w:abstractNumId="0">
    <w:multiLevelType w:val="hybridMultilevel"/>
    <w:lvl w:ilvl="0">
      <w:start w:val="1"/>
      <w:numFmt w:val="decimal"/>
      <w:lvlText w:val="%1."/>
      <w:lvlJc w:val="left"/>
      <w:pPr>
        <w:ind w:left="590" w:hanging="358"/>
        <w:jc w:val="left"/>
      </w:pPr>
      <w:rPr>
        <w:rFonts w:hint="default" w:ascii="Arial" w:hAnsi="Arial" w:eastAsia="Arial" w:cs="Arial"/>
        <w:b/>
        <w:bCs/>
        <w:spacing w:val="-1"/>
        <w:w w:val="99"/>
        <w:sz w:val="20"/>
        <w:szCs w:val="20"/>
        <w:lang w:val="en-gb" w:eastAsia="en-gb" w:bidi="en-gb"/>
      </w:rPr>
    </w:lvl>
    <w:lvl w:ilvl="1">
      <w:start w:val="1"/>
      <w:numFmt w:val="decimal"/>
      <w:lvlText w:val="%2."/>
      <w:lvlJc w:val="left"/>
      <w:pPr>
        <w:ind w:left="953" w:hanging="360"/>
        <w:jc w:val="left"/>
      </w:pPr>
      <w:rPr>
        <w:rFonts w:hint="default" w:ascii="Arial" w:hAnsi="Arial" w:eastAsia="Arial" w:cs="Arial"/>
        <w:spacing w:val="-1"/>
        <w:w w:val="99"/>
        <w:sz w:val="20"/>
        <w:szCs w:val="20"/>
        <w:lang w:val="en-gb" w:eastAsia="en-gb" w:bidi="en-gb"/>
      </w:rPr>
    </w:lvl>
    <w:lvl w:ilvl="2">
      <w:start w:val="1"/>
      <w:numFmt w:val="lowerLetter"/>
      <w:lvlText w:val="(%3)"/>
      <w:lvlJc w:val="left"/>
      <w:pPr>
        <w:ind w:left="941" w:hanging="243"/>
        <w:jc w:val="left"/>
      </w:pPr>
      <w:rPr>
        <w:rFonts w:hint="default" w:ascii="Arial" w:hAnsi="Arial" w:eastAsia="Arial" w:cs="Arial"/>
        <w:spacing w:val="-1"/>
        <w:w w:val="100"/>
        <w:sz w:val="16"/>
        <w:szCs w:val="16"/>
        <w:lang w:val="en-gb" w:eastAsia="en-gb" w:bidi="en-gb"/>
      </w:rPr>
    </w:lvl>
    <w:lvl w:ilvl="3">
      <w:start w:val="0"/>
      <w:numFmt w:val="bullet"/>
      <w:lvlText w:val="•"/>
      <w:lvlJc w:val="left"/>
      <w:pPr>
        <w:ind w:left="2215" w:hanging="243"/>
      </w:pPr>
      <w:rPr>
        <w:rFonts w:hint="default"/>
        <w:lang w:val="en-gb" w:eastAsia="en-gb" w:bidi="en-gb"/>
      </w:rPr>
    </w:lvl>
    <w:lvl w:ilvl="4">
      <w:start w:val="0"/>
      <w:numFmt w:val="bullet"/>
      <w:lvlText w:val="•"/>
      <w:lvlJc w:val="left"/>
      <w:pPr>
        <w:ind w:left="3471" w:hanging="243"/>
      </w:pPr>
      <w:rPr>
        <w:rFonts w:hint="default"/>
        <w:lang w:val="en-gb" w:eastAsia="en-gb" w:bidi="en-gb"/>
      </w:rPr>
    </w:lvl>
    <w:lvl w:ilvl="5">
      <w:start w:val="0"/>
      <w:numFmt w:val="bullet"/>
      <w:lvlText w:val="•"/>
      <w:lvlJc w:val="left"/>
      <w:pPr>
        <w:ind w:left="4727" w:hanging="243"/>
      </w:pPr>
      <w:rPr>
        <w:rFonts w:hint="default"/>
        <w:lang w:val="en-gb" w:eastAsia="en-gb" w:bidi="en-gb"/>
      </w:rPr>
    </w:lvl>
    <w:lvl w:ilvl="6">
      <w:start w:val="0"/>
      <w:numFmt w:val="bullet"/>
      <w:lvlText w:val="•"/>
      <w:lvlJc w:val="left"/>
      <w:pPr>
        <w:ind w:left="5983" w:hanging="243"/>
      </w:pPr>
      <w:rPr>
        <w:rFonts w:hint="default"/>
        <w:lang w:val="en-gb" w:eastAsia="en-gb" w:bidi="en-gb"/>
      </w:rPr>
    </w:lvl>
    <w:lvl w:ilvl="7">
      <w:start w:val="0"/>
      <w:numFmt w:val="bullet"/>
      <w:lvlText w:val="•"/>
      <w:lvlJc w:val="left"/>
      <w:pPr>
        <w:ind w:left="7239" w:hanging="243"/>
      </w:pPr>
      <w:rPr>
        <w:rFonts w:hint="default"/>
        <w:lang w:val="en-gb" w:eastAsia="en-gb" w:bidi="en-gb"/>
      </w:rPr>
    </w:lvl>
    <w:lvl w:ilvl="8">
      <w:start w:val="0"/>
      <w:numFmt w:val="bullet"/>
      <w:lvlText w:val="•"/>
      <w:lvlJc w:val="left"/>
      <w:pPr>
        <w:ind w:left="8494" w:hanging="243"/>
      </w:pPr>
      <w:rPr>
        <w:rFonts w:hint="default"/>
        <w:lang w:val="en-gb" w:eastAsia="en-gb" w:bidi="en-gb"/>
      </w:rPr>
    </w:lvl>
  </w:abstract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590" w:hanging="358"/>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hanging="360"/>
    </w:pPr>
    <w:rPr>
      <w:rFonts w:ascii="Arial" w:hAnsi="Arial" w:eastAsia="Arial" w:cs="Arial"/>
      <w:lang w:val="en-gb" w:eastAsia="en-gb" w:bidi="en-gb"/>
    </w:rPr>
  </w:style>
  <w:style w:styleId="TableParagraph" w:type="paragraph">
    <w:name w:val="Table Paragraph"/>
    <w:basedOn w:val="Normal"/>
    <w:uiPriority w:val="1"/>
    <w:qFormat/>
    <w:pPr>
      <w:spacing w:before="19"/>
      <w:jc w:val="right"/>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7.xml"/><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David Miles</dc:subject>
  <dc:title>Monetary policy and forward guidance in the UK</dc:title>
  <dcterms:created xsi:type="dcterms:W3CDTF">2020-06-02T17:57:56Z</dcterms:created>
  <dcterms:modified xsi:type="dcterms:W3CDTF">2020-06-02T17:57:56Z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2013-09-24T00:00:00Z</vt:filetime>
  </property>
  <property fmtid="{D5CDD505-2E9C-101B-9397-08002B2CF9AE}" pid="3" name="LastSaved">
    <vt:filetime>2020-06-02T00:00:00Z</vt:filetime>
  </property>
</Properties>
</file>