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8,14" stroked="true" strokeweight="1.44pt" strokecolor="#000000">
              <v:stroke dashstyle="solid"/>
            </v:line>
            <v:rect style="position:absolute;left:7203;top:0;width:29;height:29" filled="true" fillcolor="#000000" stroked="false">
              <v:fill type="solid"/>
            </v:rect>
            <v:line style="position:absolute" from="7233,14" to="9767,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312" w:right="0" w:firstLine="0"/>
        <w:jc w:val="left"/>
        <w:rPr>
          <w:b/>
          <w:sz w:val="32"/>
        </w:rPr>
      </w:pPr>
      <w:r>
        <w:rPr>
          <w:b/>
          <w:color w:val="6A709F"/>
          <w:sz w:val="32"/>
        </w:rPr>
        <w:t>Monetary policy and the Bank of England’s balance sheet</w:t>
      </w:r>
    </w:p>
    <w:p>
      <w:pPr>
        <w:pStyle w:val="BodyText"/>
        <w:rPr>
          <w:b/>
          <w:sz w:val="36"/>
        </w:rPr>
      </w:pPr>
    </w:p>
    <w:p>
      <w:pPr>
        <w:pStyle w:val="Heading1"/>
        <w:spacing w:before="278"/>
        <w:ind w:left="312" w:firstLine="0"/>
      </w:pPr>
      <w:r>
        <w:rPr/>
        <w:t>Speech given by</w:t>
      </w:r>
    </w:p>
    <w:p>
      <w:pPr>
        <w:spacing w:before="139"/>
        <w:ind w:left="312" w:right="0" w:firstLine="0"/>
        <w:jc w:val="left"/>
        <w:rPr>
          <w:sz w:val="24"/>
        </w:rPr>
      </w:pPr>
      <w:r>
        <w:rPr>
          <w:sz w:val="24"/>
        </w:rPr>
        <w:t>Gertjan Vlieghe, External Member of the Monetary Policy Committee</w:t>
      </w:r>
    </w:p>
    <w:p>
      <w:pPr>
        <w:pStyle w:val="BodyText"/>
        <w:rPr>
          <w:sz w:val="26"/>
        </w:rPr>
      </w:pPr>
    </w:p>
    <w:p>
      <w:pPr>
        <w:pStyle w:val="BodyText"/>
        <w:rPr>
          <w:sz w:val="22"/>
        </w:rPr>
      </w:pPr>
    </w:p>
    <w:p>
      <w:pPr>
        <w:spacing w:line="360" w:lineRule="auto" w:before="0"/>
        <w:ind w:left="312" w:right="8036" w:firstLine="0"/>
        <w:jc w:val="left"/>
        <w:rPr>
          <w:sz w:val="24"/>
        </w:rPr>
      </w:pPr>
      <w:r>
        <w:rPr>
          <w:sz w:val="24"/>
        </w:rPr>
        <w:t>Bank of England 23 April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spacing w:before="93"/>
        <w:ind w:left="312" w:right="1049"/>
      </w:pPr>
      <w:r>
        <w:rPr/>
        <w:t>I would like to thank Rodrigo Guimaraes, Lennart Brandt, Richard Harrison, Ryland Thomas, Andrew Hauser, Oliver Bush, Ben Broadbent, Silvana Tenreyro, Michal Stelmach, Rebecca Maher,</w:t>
      </w:r>
    </w:p>
    <w:p>
      <w:pPr>
        <w:pStyle w:val="BodyText"/>
        <w:spacing w:before="1"/>
        <w:ind w:left="312" w:right="848"/>
      </w:pPr>
      <w:r>
        <w:rPr/>
        <w:t>Norwin Hossain, Analise Mercieca, Jonathan Bridges, Jack Pilkington, Luke Doyle and Jamie Lenney for comments and help with data.</w:t>
      </w:r>
    </w:p>
    <w:p>
      <w:pPr>
        <w:spacing w:after="0"/>
        <w:sectPr>
          <w:footerReference w:type="default" r:id="rId5"/>
          <w:type w:val="continuous"/>
          <w:pgSz w:w="11910" w:h="16840"/>
          <w:pgMar w:footer="1338" w:top="1180" w:bottom="1520" w:left="820" w:right="960"/>
          <w:pgNumType w:start="1"/>
        </w:sectPr>
      </w:pPr>
    </w:p>
    <w:p>
      <w:pPr>
        <w:pStyle w:val="Heading1"/>
        <w:numPr>
          <w:ilvl w:val="0"/>
          <w:numId w:val="1"/>
        </w:numPr>
        <w:tabs>
          <w:tab w:pos="1034" w:val="left" w:leader="none"/>
        </w:tabs>
        <w:spacing w:line="240" w:lineRule="auto" w:before="79" w:after="0"/>
        <w:ind w:left="1033" w:right="0" w:hanging="361"/>
        <w:jc w:val="left"/>
      </w:pPr>
      <w:r>
        <w:rPr/>
        <w:t>The pandemic and its economic</w:t>
      </w:r>
      <w:r>
        <w:rPr>
          <w:spacing w:val="-5"/>
        </w:rPr>
        <w:t> </w:t>
      </w:r>
      <w:r>
        <w:rPr/>
        <w:t>impact</w:t>
      </w:r>
    </w:p>
    <w:p>
      <w:pPr>
        <w:pStyle w:val="BodyText"/>
        <w:rPr>
          <w:sz w:val="26"/>
        </w:rPr>
      </w:pPr>
    </w:p>
    <w:p>
      <w:pPr>
        <w:pStyle w:val="BodyText"/>
        <w:spacing w:before="10"/>
        <w:rPr>
          <w:sz w:val="23"/>
        </w:rPr>
      </w:pPr>
    </w:p>
    <w:p>
      <w:pPr>
        <w:pStyle w:val="BodyText"/>
        <w:spacing w:line="288" w:lineRule="auto"/>
        <w:ind w:left="312" w:right="526"/>
      </w:pPr>
      <w:r>
        <w:rPr/>
        <w:t>The Covid-19 pandemic is, first and foremost, a global health issue and a humanitarian tragedy. I want to pay tribute to those who are risking their lives to save ours.</w:t>
      </w:r>
    </w:p>
    <w:p>
      <w:pPr>
        <w:pStyle w:val="BodyText"/>
        <w:spacing w:line="288" w:lineRule="auto" w:before="120"/>
        <w:ind w:left="312" w:right="192"/>
      </w:pPr>
      <w:r>
        <w:rPr/>
        <w:t>My comments will rather narrowly focus on its impact on the UK and world economy. Not because that is what is most important, but because that is the aspect that falls within my remit as a member of the Bank of England Monetary Policy Committee.</w:t>
      </w:r>
    </w:p>
    <w:p>
      <w:pPr>
        <w:pStyle w:val="BodyText"/>
        <w:spacing w:line="288" w:lineRule="auto" w:before="120"/>
        <w:ind w:left="312" w:right="315"/>
      </w:pPr>
      <w:r>
        <w:rPr/>
        <w:t>The MPC will publish more detail on its assessment of the economic outlook in the May Monetary Policy Report. But based on the early indicators, and based on the experience in other countries that were hit somewhat earlier than the UK, it seems that we are experiencing an economic contraction that is faster and deeper than anything we have seen in the past century, or possibly several centuries.</w:t>
      </w:r>
    </w:p>
    <w:p>
      <w:pPr>
        <w:pStyle w:val="BodyText"/>
        <w:spacing w:line="288" w:lineRule="auto" w:before="120"/>
        <w:ind w:left="312" w:right="192"/>
      </w:pPr>
      <w:r>
        <w:rPr/>
        <w:t>Economically, it is important not to think of this as a simple supply shock, in the sense of an unavoidable temporary contraction that we just have to live with. It is far more complex than that, and consequently there is far more scope for active policy responses.</w:t>
      </w:r>
    </w:p>
    <w:p>
      <w:pPr>
        <w:pStyle w:val="BodyText"/>
        <w:spacing w:line="288" w:lineRule="auto" w:before="121"/>
        <w:ind w:left="312"/>
      </w:pPr>
      <w:r>
        <w:rPr/>
        <w:t>Some people cannot get to work, either because their travel to work has been restricted, because they are ill, because they are caring for others who are ill, or for children who are home due to school closures. That is indeed a supply shock.</w:t>
      </w:r>
    </w:p>
    <w:p>
      <w:pPr>
        <w:pStyle w:val="BodyText"/>
        <w:spacing w:line="288" w:lineRule="auto" w:before="120"/>
        <w:ind w:left="312" w:right="192"/>
      </w:pPr>
      <w:r>
        <w:rPr/>
        <w:t>But there has also been a dramatic reduction in demand. Social distancing, in part voluntary and in part imposed, means that a wide range of consumption activities are sharply reduced or simply not taking place. Shopping in physical stores, recreational activities, personal services, and a long list of other types of spending have been sharply reduced.</w:t>
      </w:r>
    </w:p>
    <w:p>
      <w:pPr>
        <w:pStyle w:val="BodyText"/>
        <w:spacing w:line="288" w:lineRule="auto" w:before="120"/>
        <w:ind w:left="312" w:right="254"/>
        <w:jc w:val="both"/>
      </w:pPr>
      <w:r>
        <w:rPr/>
        <w:t>As a result, the businesses that normally provide these goods and services have sharply reduced activity, or shut down entirely. Absent any policy response, most of the employees of these businesses would lose their jobs, and face a dramatic reduction in income.</w:t>
      </w:r>
    </w:p>
    <w:p>
      <w:pPr>
        <w:pStyle w:val="BodyText"/>
        <w:spacing w:line="288" w:lineRule="auto" w:before="121"/>
        <w:ind w:left="312" w:right="192"/>
      </w:pPr>
      <w:r>
        <w:rPr/>
        <w:t>In contrast, those working in sectors whose output is still in demand, for example food retail and online businesses, face no reduction in income at all or even experience increased income. But they are still unable or unwilling to consume goods and services that require social contact, so they end up with a large involuntary increase in savings.</w:t>
      </w:r>
    </w:p>
    <w:p>
      <w:pPr>
        <w:pStyle w:val="BodyText"/>
        <w:spacing w:line="288" w:lineRule="auto" w:before="120"/>
        <w:ind w:left="312" w:right="192"/>
      </w:pPr>
      <w:r>
        <w:rPr/>
        <w:t>This is therefore a highly asymmetric shock, hitting some sectors in the economy drastically, while leaving other sectors financially little affected, and some even positively affected. To some extent, economic downturns always hit different sectors somewhat unevenly, but the current experience is much more dramatic.</w:t>
      </w:r>
    </w:p>
    <w:p>
      <w:pPr>
        <w:pStyle w:val="BodyText"/>
        <w:spacing w:line="288" w:lineRule="auto" w:before="120"/>
        <w:ind w:left="312" w:right="215"/>
      </w:pPr>
      <w:r>
        <w:rPr/>
        <w:t>Absent any fiscal or monetary policy responses, the economy would experience not only the reduction in spending that is unavoidable, but would see an amplification of that reduction as, for example, households that have seen large drops in income are forced to reduce consumption not just of activities that require social contact, but even of essentials. In turn, the amplified reduction in consumer spending, employment and investment would likely cause persistent economic damage, as otherwise viable firms unnecessarily fail, and as valuable employer-employee relationships are severed unnecessarily.</w:t>
      </w:r>
    </w:p>
    <w:p>
      <w:pPr>
        <w:pStyle w:val="BodyText"/>
        <w:spacing w:line="288" w:lineRule="auto" w:before="121"/>
        <w:ind w:left="312"/>
      </w:pPr>
      <w:r>
        <w:rPr/>
        <w:t>Fiscal and monetary policy are being deployed to minimise both the amplification and persistence of the economic impact from the pandemic. Fiscal policy is best placed to target the most affected sectors, and the government has rapidly launched a wide range of programmes to help both firms and households who have been directly affected.</w:t>
      </w:r>
    </w:p>
    <w:p>
      <w:pPr>
        <w:spacing w:after="0" w:line="288" w:lineRule="auto"/>
        <w:sectPr>
          <w:footerReference w:type="default" r:id="rId7"/>
          <w:pgSz w:w="11910" w:h="16840"/>
          <w:pgMar w:footer="1338" w:header="0" w:top="1340" w:bottom="1520" w:left="820" w:right="960"/>
          <w:pgNumType w:start="2"/>
        </w:sectPr>
      </w:pPr>
    </w:p>
    <w:p>
      <w:pPr>
        <w:pStyle w:val="BodyText"/>
        <w:spacing w:line="288" w:lineRule="auto" w:before="81"/>
        <w:ind w:left="312" w:right="176"/>
      </w:pPr>
      <w:r>
        <w:rPr/>
        <w:t>While fiscal policy is doing the heavy lifting, monetary policy has an important role to play as well. Some of the amplification and persistence mechanisms include cash flow constraints, availability and cost of credit, and confidence effects. Reductions in interest rates, expanded borrowing facilities for banks and non- financial businesses, and asset purchases help ensure that borrowing costs are reduced, that financial markets are functioning smoothly, and that credit supply is available. The Bank of England’s balance sheet is being deployed to help meet the monetary policy remit.</w:t>
      </w:r>
    </w:p>
    <w:p>
      <w:pPr>
        <w:pStyle w:val="BodyText"/>
        <w:spacing w:line="288" w:lineRule="auto" w:before="120"/>
        <w:ind w:left="312" w:right="201"/>
      </w:pPr>
      <w:r>
        <w:rPr/>
        <w:t>The ultimate aim of monetary policy, as it always is, is to meet the inflation target, by ensuring that aggregate demand grows sustainably in line with the economy’s potential. The economy’s potential is severely disrupted at the moment but, once the pandemic is over, and other things equal, in principle it should return approximately to the pre-virus trajectory. A persistent undershoot of the economy relative to its pre-virus trajectory is, in my view, most likely to be disinflationary. So the current priority for monetary policy, with a lot of help from fiscal policy, is to return the economy to that pre-virus trajectory as soon as possible.</w:t>
      </w:r>
    </w:p>
    <w:p>
      <w:pPr>
        <w:pStyle w:val="BodyText"/>
        <w:rPr>
          <w:sz w:val="22"/>
        </w:rPr>
      </w:pPr>
    </w:p>
    <w:p>
      <w:pPr>
        <w:pStyle w:val="BodyText"/>
        <w:spacing w:before="5"/>
        <w:rPr>
          <w:sz w:val="28"/>
        </w:rPr>
      </w:pPr>
    </w:p>
    <w:p>
      <w:pPr>
        <w:pStyle w:val="Heading1"/>
        <w:numPr>
          <w:ilvl w:val="0"/>
          <w:numId w:val="1"/>
        </w:numPr>
        <w:tabs>
          <w:tab w:pos="1034" w:val="left" w:leader="none"/>
        </w:tabs>
        <w:spacing w:line="240" w:lineRule="auto" w:before="1" w:after="0"/>
        <w:ind w:left="1033" w:right="0" w:hanging="361"/>
        <w:jc w:val="left"/>
      </w:pPr>
      <w:r>
        <w:rPr/>
        <w:t>Central bank balance sheets and conventional monetary</w:t>
      </w:r>
      <w:r>
        <w:rPr>
          <w:spacing w:val="-11"/>
        </w:rPr>
        <w:t> </w:t>
      </w:r>
      <w:r>
        <w:rPr/>
        <w:t>policy</w:t>
      </w:r>
    </w:p>
    <w:p>
      <w:pPr>
        <w:pStyle w:val="BodyText"/>
        <w:rPr>
          <w:sz w:val="26"/>
        </w:rPr>
      </w:pPr>
    </w:p>
    <w:p>
      <w:pPr>
        <w:pStyle w:val="BodyText"/>
        <w:spacing w:line="288" w:lineRule="auto" w:before="218"/>
        <w:ind w:left="312" w:right="192"/>
      </w:pPr>
      <w:r>
        <w:rPr/>
        <w:pict>
          <v:group style="position:absolute;margin-left:101.895584pt;margin-top:119.129776pt;width:380.7pt;height:153.8pt;mso-position-horizontal-relative:page;mso-position-vertical-relative:paragraph;z-index:-253279232" coordorigin="2038,2383" coordsize="7614,3076">
            <v:shape style="position:absolute;left:2037;top:3577;width:7532;height:404" coordorigin="2038,3577" coordsize="7532,404" path="m2083,3876l2038,3876,2038,3980,5018,3980,5003,3965,4868,3965,4868,3950,4209,3950,4194,3935,3745,3935,3730,3920,2577,3920,2577,3906,2532,3906,2517,3891,2098,3891,2083,3876xm5482,3965l5167,3965,5152,3980,5497,3980,5482,3965xm5871,3950l5856,3980,9569,3980,9569,3965,5886,3965,5871,3950xm5437,3950l5257,3950,5242,3965,5452,3965,5437,3950xm9569,3906l9540,3935,8791,3935,8776,3950,6051,3950,6036,3965,9569,3965,9569,3906xm8117,3935l6754,3935,6740,3950,8117,3950,8117,3935xm3805,3920l3790,3920,3775,3935,3820,3935,3805,3920xm7024,3920l6889,3920,6889,3935,7039,3935,7024,3920xm7683,3920l7129,3920,7129,3935,7698,3935,7683,3920xm9240,3920l9000,3920,8986,3935,9255,3935,9240,3920xm2607,3891l2577,3920,3685,3920,3670,3906,2622,3906,2607,3891xm7548,3906l7443,3906,7443,3920,7563,3920,7548,3906xm2727,3876l2712,3906,2742,3906,2727,3876xm3595,3876l2787,3876,2787,3891,2742,3891,2742,3906,3625,3906,3595,3876xm2263,3876l2188,3876,2173,3891,2277,3891,2263,3876xm2472,3861l2457,3861,2457,3876,2292,3876,2277,3891,2502,3891,2472,3861xm2352,3846l2337,3876,2352,3876,2352,3846xm2817,3861l2817,3876,2831,3876,2817,3861xm2861,3861l2861,3876,2876,3876,2861,3861xm3550,3861l2921,3861,2906,3876,3565,3876,3550,3861xm3056,3741l3041,3801,3026,3801,3011,3846,2996,3861,3535,3861,3535,3786,3460,3786,3445,3771,3438,3756,3056,3756,3056,3741xm3221,3577l3206,3622,3176,3622,3176,3652,3146,3652,3131,3682,3116,3682,3101,3711,3101,3726,3071,3756,3438,3756,3430,3741,3251,3741,3236,3726,3221,3667,3221,3577xm3386,3711l3251,3711,3251,3741,3415,3741,3415,3726,3400,3726,3386,3711xm3281,3697l3266,3711,3296,3711,3281,3697xm3296,3682l3296,3711,3311,3711,3296,3682xm3341,3667l3326,3711,3356,3711,3341,3667xe" filled="true" fillcolor="#c00000" stroked="false">
              <v:path arrowok="t"/>
              <v:fill type="solid"/>
            </v:shape>
            <v:shape style="position:absolute;left:5871;top:3890;width:3699;height:76" coordorigin="5871,3891" coordsize="3699,76" path="m6051,3950l5871,3950,5886,3966,6036,3966,6051,3950xm6754,3936l6665,3936,6650,3950,6740,3950,6754,3936xm8791,3936l8117,3936,8117,3950,8776,3950,8791,3936xm6889,3920l6814,3920,6799,3936,6889,3936,6889,3920xm7129,3920l7024,3920,7039,3936,7129,3936,7129,3920xm7728,3920l7683,3920,7698,3936,7743,3936,7728,3920xm8012,3920l7818,3920,7803,3936,8027,3936,8012,3920xm8072,3920l8057,3936,8072,3936,8072,3920xm9000,3920l8881,3920,8866,3936,8986,3936,9000,3920xm9569,3907l9554,3920,9240,3920,9255,3936,9540,3936,9569,3907xm7443,3907l7279,3907,7264,3920,7443,3920,7443,3907xm7638,3907l7548,3907,7563,3920,7653,3920,7638,3907xm9195,3907l9180,3907,9165,3920,9210,3920,9195,3907xm7503,3891l7488,3891,7473,3907,7518,3907,7503,3891xm7533,3891l7518,3907,7548,3907,7533,3891xe" filled="true" fillcolor="#ffc000" stroked="false">
              <v:path arrowok="t"/>
              <v:fill type="solid"/>
            </v:shape>
            <v:shape style="position:absolute;left:2037;top:2741;width:7532;height:1239" coordorigin="2038,2742" coordsize="7532,1239" path="m5167,3966l5003,3966,5018,3980,5152,3980,5167,3966xm5871,3950l5437,3950,5452,3966,5482,3966,5497,3980,5856,3980,5871,3950xm5257,3950l4868,3950,4868,3966,5242,3966,5257,3950xm6665,3936l4194,3936,4209,3950,6650,3950,6665,3936xm3790,3920l3730,3920,3745,3936,3775,3936,3790,3920xm6814,3920l3805,3920,3820,3936,6799,3936,6814,3920xm7818,3920l7728,3920,7743,3936,7803,3936,7818,3920xm8072,3920l8012,3920,8027,3936,8057,3936,8072,3920xm8881,3920l8072,3920,8072,3936,8866,3936,8881,3920xm2607,3891l2517,3891,2532,3907,2577,3907,2577,3920,2607,3891xm7279,3907l3670,3907,3685,3920,7264,3920,7279,3907xm9180,3907l7638,3907,7653,3920,9165,3920,9180,3907xm9569,3891l7533,3891,7548,3907,9195,3907,9210,3920,9554,3920,9569,3907,9569,3891xm2472,3847l2457,3847,2457,3861,2472,3861,2502,3891,2607,3891,2622,3907,2712,3907,2727,3877,2502,3877,2472,3847xm2787,3877l2727,3877,2742,3907,2742,3891,2787,3891,2787,3877xm9569,3668l3341,3668,3356,3713,3386,3713,3400,3727,3415,3727,3415,3743,3430,3743,3445,3771,3460,3787,3535,3787,3535,3861,3550,3861,3565,3877,3595,3877,3625,3907,7473,3907,7488,3891,9569,3891,9569,3668xm7533,3891l7503,3891,7518,3907,7533,3891xm2098,3877l2083,3877,2098,3891,2113,3891,2098,3877xm2113,3877l2113,3891,2128,3891,2113,3877xm2188,3877l2143,3877,2143,3891,2173,3891,2188,3877xm2292,3877l2263,3877,2277,3891,2292,3877xm2053,3861l2038,3861,2038,3877,2068,3877,2053,3861xm2352,3831l2337,3877,2352,3847,2352,3831xm2517,3861l2502,3861,2502,3877,2532,3877,2517,3861xm2817,3861l2547,3861,2532,3877,2817,3877,2817,3861xm2861,3861l2817,3861,2831,3877,2861,3877,2861,3861xm2921,3861l2861,3861,2876,3877,2906,3877,2921,3861xm2622,3847l2607,3861,2622,3861,2622,3847xm2697,3847l2697,3861,2712,3861,2697,3847xm2727,3831l2712,3861,2742,3861,2727,3831xm3056,3743l3041,3771,3026,3771,3011,3817,2981,3817,2981,3831,2802,3831,2787,3847,2742,3847,2742,3861,2996,3861,3011,3847,3026,3801,3041,3801,3056,3743xm2817,3817l2817,3831,2831,3831,2817,3817xm2876,3817l2861,3817,2861,3831,2891,3831,2876,3817xm2891,3817l2891,3831,2906,3831,2891,3817xm2921,3817l2906,3831,2936,3831,2921,3817xm2966,3817l2936,3817,2936,3831,2981,3831,2966,3817xm3101,3684l3086,3697,3071,3727,3056,3727,3056,3757,3071,3757,3101,3727,3101,3684xm3221,3668l3221,3684,3236,3743,3251,3757,3251,3743,3236,3727,3221,3668xm3281,3713l3251,3713,3251,3743,3266,3743,3281,3713xm3281,3697l3266,3713,3281,3713,3296,3727,3296,3713,3281,3697xm3296,3684l3296,3713,3311,3727,3326,3713,3311,3713,3296,3684xm3131,3684l3116,3684,3101,3713,3116,3697,3131,3697,3131,3684xm3341,3624l3326,3684,3326,3713,3341,3668,9569,3668,9569,3654,3356,3654,3341,3624xm3146,3654l3131,3654,3131,3684,3146,3654xm3176,3638l3161,3654,3176,3654,3176,3638xm3430,3594l3400,3624,3371,3624,3371,3638,3356,3654,9569,3654,9569,3624,3400,3624,3386,3608,3445,3608,3430,3594xm3221,3578l3206,3624,3184,3624,3191,3638,3206,3638,3221,3594,3221,3578xm3176,3608l3176,3624,3184,3624,3176,3608xm5137,3369l5077,3369,5077,3385,5063,3399,5048,3399,5033,3415,5033,3429,5003,3429,4973,3459,4958,3459,4958,3475,4943,3475,4928,3488,4913,3488,4898,3504,4868,3504,4853,3518,4838,3518,4838,3534,4823,3534,4763,3594,3445,3594,3445,3608,9569,3608,9569,3385,5152,3385,5137,3369xm3535,3534l3520,3534,3505,3548,3490,3548,3490,3564,3460,3594,3535,3594,3535,3534xm3595,3578l3580,3594,3610,3594,3595,3578xm3610,3578l3610,3594,3625,3594,3610,3578xm4344,3564l3655,3564,3625,3594,4479,3594,4479,3578,4359,3578,4344,3564xm4523,3578l4494,3578,4479,3594,4538,3594,4523,3578xm4119,3548l3775,3548,3775,3564,4119,3564,4119,3548xm3805,3534l3790,3548,3820,3548,3805,3534xm7713,3027l7698,3056,7683,3056,7683,3070,7668,3070,7653,3086,7638,3086,7608,3116,7593,3116,7593,3130,7578,3130,7563,3146,7488,3146,7488,3160,7309,3160,7294,3176,7144,3176,7129,3206,6470,3206,6440,3236,5706,3236,5706,3250,5617,3250,5602,3265,5527,3265,5512,3279,5332,3279,5317,3295,5302,3295,5302,3309,5272,3309,5257,3325,5242,3325,5227,3339,5212,3339,5182,3369,5167,3369,5152,3385,9569,3385,9569,3041,7713,3041,7713,3027xm5437,3265l5362,3265,5347,3279,5452,3279,5437,3265xm5482,3265l5467,3265,5467,3279,5497,3279,5482,3265xm5661,3236l5646,3250,5661,3250,5661,3236xm5841,3220l5826,3220,5811,3236,5856,3236,5841,3220xm6126,3206l6096,3206,6081,3220,5886,3220,5871,3236,6141,3236,6126,3206xm6410,3206l6200,3206,6186,3220,6141,3220,6141,3236,6410,3236,6410,3206xm5946,3206l5946,3220,5961,3220,5946,3206xm6695,3190l6665,3190,6650,3206,6695,3206,6695,3190xm6949,3160l6934,3176,6769,3176,6769,3190,6754,3190,6740,3206,6979,3206,6964,3176,6949,3160xm7114,3176l7009,3176,7009,3190,6994,3190,6979,3206,7129,3206,7114,3176xm7219,3160l7204,3176,7234,3176,7219,3160xm7279,3160l7264,3176,7279,3176,7279,3160xm7443,3146l7443,3160,7458,3160,7443,3146xm7473,3146l7458,3160,7488,3160,7473,3146xm7533,3130l7518,3130,7503,3146,7548,3146,7533,3130xm9569,2742l9554,2802,9540,2847,9540,2861,8147,2861,8147,2877,8132,2877,8117,2891,8117,2921,7863,2921,7848,2951,7818,2951,7803,2967,7803,2981,7788,2981,7743,3027,7728,3027,7713,3041,9569,3041,9569,2742xm8102,2877l8087,2891,7937,2891,7922,2907,7877,2907,7877,2921,8117,2921,8102,2877xm8072,2877l8012,2877,7997,2891,8087,2891,8072,2877xm9510,2818l9255,2818,9255,2831,8297,2831,8282,2847,8237,2847,8237,2861,9540,2861,9525,2831,9510,2818xm8461,2772l8417,2818,8357,2818,8357,2831,8956,2831,8945,2802,8551,2802,8536,2788,8476,2788,8461,2772xm9150,2788l9015,2788,8986,2818,8971,2818,8956,2831,9240,2831,9225,2818,9225,2802,9165,2802,9150,2788xm8387,2788l8372,2818,8387,2818,8387,2788xm9390,2802l9285,2802,9270,2818,9405,2818,9390,2802xm8581,2788l8551,2788,8551,2802,8596,2802,8581,2788xm8821,2788l8626,2788,8611,2802,8836,2802,8821,2788xm8941,2788l8851,2788,8836,2802,8945,2802,8941,2788xm9225,2788l9180,2788,9165,2802,9225,2802,9225,2788xm9345,2788l9330,2788,9315,2802,9345,2802,9345,2788xm8491,2772l8476,2788,8506,2788,8491,2772xm9045,2772l9030,2788,9060,2788,9045,2772xe" filled="true" fillcolor="#006fc0" stroked="false">
              <v:path arrowok="t"/>
              <v:fill type="solid"/>
            </v:shape>
            <v:shape style="position:absolute;left:2037;top:2771;width:7322;height:1119" coordorigin="2038,2772" coordsize="7322,1119" path="m2113,3877l2098,3877,2113,3891,2113,3877xm2143,3877l2113,3877,2128,3891,2143,3891,2143,3877xm2352,3817l2337,3847,2292,3847,2277,3861,2053,3861,2068,3877,2337,3877,2352,3831,2352,3817xm2457,3847l2352,3847,2352,3877,2457,3877,2457,3847xm2622,3847l2472,3847,2502,3877,2502,3861,2607,3861,2622,3847xm2547,3861l2517,3861,2532,3877,2547,3861xm2098,3847l2038,3847,2038,3863,2053,3861,2113,3861,2098,3847xm2263,3847l2173,3847,2158,3861,2277,3861,2263,3847xm2697,3847l2622,3847,2622,3861,2697,3861,2697,3847xm2727,3817l2712,3847,2697,3847,2712,3861,2719,3847,2712,3847,2697,3831,2734,3831,2727,3817xm2734,3831l2727,3831,2742,3861,2742,3847,2734,3831xm2487,3831l2457,3831,2457,3847,2502,3847,2487,3831xm2517,3831l2502,3847,2532,3847,2517,3831xm2667,3831l2547,3831,2532,3847,2667,3847,2667,3831xm2802,3831l2742,3831,2742,3847,2787,3847,2802,3831xm2622,3817l2607,3831,2622,3831,2622,3817xm2936,3817l2921,3817,2936,3831,2936,3817xm2981,3817l2966,3817,2981,3831,2981,3817xm3221,3638l3221,3684,3236,3743,3251,3757,3251,3743,3266,3743,3281,3713,3251,3713,3236,3697,3221,3638xm3326,3697l3311,3713,3296,3713,3311,3727,3326,3713,3311,3713,3296,3697,3326,3697xm3117,3697l3116,3697,3101,3713,3117,3697xm3251,3697l3251,3713,3266,3713,3251,3697xm3131,3684l3117,3697,3131,3697,3131,3684xm3221,3548l3206,3594,3191,3594,3176,3608,3191,3638,3206,3638,3221,3594,3221,3548xm3565,3578l3565,3594,3580,3594,3565,3578xm3670,3548l3625,3594,3655,3564,3685,3564,3670,3548xm4494,3578l4479,3578,4479,3594,4494,3578xm4419,3564l4404,3578,4434,3578,4419,3564xm4119,3548l4119,3564,4134,3564,4119,3548xm3805,3534l3790,3534,3775,3548,3790,3548,3805,3534xm5272,3309l5257,3309,5227,3339,5242,3325,5257,3325,5272,3309xm5362,3265l5347,3265,5347,3279,5362,3265xm5961,3206l5946,3206,5961,3220,5976,3220,5961,3206xm6725,3190l6710,3206,6725,3206,6725,3190xm6964,3160l6949,3160,6964,3176,6964,3160xm7488,3146l7473,3146,7488,3160,7488,3146xm7788,2981l7758,3011,7743,3011,7713,3041,7728,3027,7743,3027,7788,2981xm8102,2877l8072,2877,8087,2891,8102,2877xm9225,2802l9225,2818,9240,2831,9225,2802xm8551,2788l8536,2788,8551,2802,8551,2788xm8626,2788l8611,2788,8596,2802,8611,2802,8626,2788xm8851,2788l8821,2788,8836,2802,8851,2788xm9345,2788l9345,2802,9360,2802,9345,2788xm8491,2772l8461,2772,8476,2788,8491,2772xe" filled="true" fillcolor="#6f2f9f" stroked="false">
              <v:path arrowok="t"/>
              <v:fill type="solid"/>
            </v:shape>
            <v:shape style="position:absolute;left:2037;top:3980;width:7532;height:165" coordorigin="2038,3980" coordsize="7532,165" path="m7728,4129l7698,4129,7713,4144,7728,4129xm8162,4129l8087,4129,8102,4144,8147,4144,8162,4129xm8312,4129l8237,4129,8237,4144,8297,4144,8312,4129xm8686,4129l8641,4129,8656,4144,8671,4144,8686,4129xm8881,4129l8791,4129,8806,4144,8866,4144,8881,4129xm9045,4129l9015,4129,9030,4144,9045,4129xm9105,4129l9090,4129,9105,4144,9105,4129xm9450,4129l9105,4129,9120,4144,9435,4144,9450,4129xm7174,4115l7129,4115,7129,4129,7159,4129,7174,4115xm9569,4055l2277,4055,2292,4070,3550,4070,3565,4085,4598,4085,4598,4100,6230,4100,6245,4115,7279,4115,7279,4129,9569,4129,9569,4055xm6036,4100l5976,4100,5976,4115,6021,4115,6036,4100xm6230,4100l6171,4100,6186,4115,6215,4115,6230,4100xm4329,4085l4299,4085,4314,4100,4329,4085xm4523,4085l4494,4085,4509,4100,4523,4100,4523,4085xm4568,4085l4553,4085,4553,4100,4568,4085xm3206,4070l3176,4070,3176,4085,3191,4085,3206,4070xm3371,4070l3341,4070,3356,4085,3371,4070xm3535,4070l3505,4070,3520,4085,3535,4085,3535,4070xm9569,3980l2038,3980,2038,4070,2068,4070,2068,4055,9569,4055,9569,3980xm2233,4055l2203,4055,2218,4070,2233,4055xm2263,4055l2248,4055,2263,4070,2263,4055xe" filled="true" fillcolor="#00af50" stroked="false">
              <v:path arrowok="t"/>
              <v:fill type="solid"/>
            </v:shape>
            <v:shape style="position:absolute;left:8835;top:4144;width:584;height:15" coordorigin="8836,4144" coordsize="584,15" path="m8866,4144l8836,4144,8851,4159,8866,4144m9420,4144l9405,4144,9420,4159,9420,4144e" filled="true" fillcolor="#ffc000" stroked="false">
              <v:path arrowok="t"/>
              <v:fill type="solid"/>
            </v:shape>
            <v:shape style="position:absolute;left:7428;top:4136;width:674;height:2" coordorigin="7428,4137" coordsize="674,0" path="m7428,4137l7713,4137m7713,4137l8102,4137e" filled="false" stroked="true" strokeweight=".746549pt" strokecolor="#ffc000">
              <v:path arrowok="t"/>
              <v:stroke dashstyle="solid"/>
            </v:shape>
            <v:shape style="position:absolute;left:8147;top:4129;width:90;height:15" coordorigin="8147,4129" coordsize="90,15" path="m8237,4129l8162,4129,8147,4144,8237,4144,8237,4129xe" filled="true" fillcolor="#ffc000" stroked="false">
              <v:path arrowok="t"/>
              <v:fill type="solid"/>
            </v:shape>
            <v:line style="position:absolute" from="8297,4137" to="8656,4137" stroked="true" strokeweight=".746549pt" strokecolor="#ffc000">
              <v:stroke dashstyle="solid"/>
            </v:line>
            <v:shape style="position:absolute;left:8671;top:4129;width:135;height:15" coordorigin="8671,4129" coordsize="135,15" path="m8791,4129l8686,4129,8671,4144,8806,4144,8791,4129xe" filled="true" fillcolor="#ffc000" stroked="false">
              <v:path arrowok="t"/>
              <v:fill type="solid"/>
            </v:shape>
            <v:line style="position:absolute" from="8866,4137" to="9030,4137" stroked="true" strokeweight=".746549pt" strokecolor="#ffc000">
              <v:stroke dashstyle="solid"/>
            </v:line>
            <v:shape style="position:absolute;left:6529;top:4114;width:3040;height:30" coordorigin="6530,4115" coordsize="3040,30" path="m6605,4115l6530,4115,6545,4129,6605,4129,6605,4115m9105,4144l9090,4129,9045,4129,9030,4144,9105,4144m9120,4144l9105,4129,9105,4144,9120,4144m9569,4129l9450,4129,9435,4144,9569,4144,9569,4129e" filled="true" fillcolor="#ffc000" stroked="false">
              <v:path arrowok="t"/>
              <v:fill type="solid"/>
            </v:shape>
            <v:line style="position:absolute" from="6710,4122" to="7129,4122" stroked="true" strokeweight=".746549pt" strokecolor="#ffc000">
              <v:stroke dashstyle="solid"/>
            </v:line>
            <v:shape style="position:absolute;left:4867;top:4099;width:2411;height:30" coordorigin="4868,4100" coordsize="2411,30" path="m4898,4100l4868,4100,4868,4115,4883,4115,4898,4100m5152,4100l5122,4100,5137,4115,5152,4100m5302,4100l5197,4100,5212,4115,5287,4115,5302,4100m5332,4100l5302,4100,5317,4115,5332,4100m7279,4115l7174,4115,7159,4129,7279,4129,7279,4115e" filled="true" fillcolor="#ffc000" stroked="false">
              <v:path arrowok="t"/>
              <v:fill type="solid"/>
            </v:shape>
            <v:shape style="position:absolute;left:5347;top:4107;width:839;height:2" coordorigin="5347,4107" coordsize="839,0" path="m5347,4107l5497,4107m5497,4107l5976,4107m6021,4107l6186,4107e" filled="false" stroked="true" strokeweight=".746549pt" strokecolor="#ffc000">
              <v:path arrowok="t"/>
              <v:stroke dashstyle="solid"/>
            </v:shape>
            <v:shape style="position:absolute;left:3175;top:4084;width:3070;height:30" coordorigin="3176,4085" coordsize="3070,30" path="m3191,4085l3176,4085,3176,4100,3191,4085m3775,4085l3715,4085,3730,4100,3775,4100,3775,4085m6245,4115l6230,4100,6215,4115,6245,4115e" filled="true" fillcolor="#ffc000" stroked="false">
              <v:path arrowok="t"/>
              <v:fill type="solid"/>
            </v:shape>
            <v:shape style="position:absolute;left:3849;top:4092;width:659;height:2" coordorigin="3850,4092" coordsize="659,0" path="m3850,4092l4314,4092m4314,4092l4509,4092e" filled="false" stroked="true" strokeweight=".746549pt" strokecolor="#ffc000">
              <v:path arrowok="t"/>
              <v:stroke dashstyle="solid"/>
            </v:shape>
            <v:shape style="position:absolute;left:2037;top:4069;width:2561;height:30" coordorigin="2038,4070" coordsize="2561,30" path="m2068,4070l2038,4070,2053,4085,2068,4070m2652,4070l2577,4070,2577,4085,2637,4085,2652,4070m2772,4070l2742,4070,2742,4085,2757,4085,2772,4070m2831,4070l2817,4070,2817,4085,2831,4070m2861,4070l2846,4070,2861,4085,2861,4070m4553,4085l4523,4085,4523,4100,4553,4100,4553,4085m4598,4085l4568,4085,4553,4100,4598,4100,4598,4085e" filled="true" fillcolor="#ffc000" stroked="false">
              <v:path arrowok="t"/>
              <v:fill type="solid"/>
            </v:shape>
            <v:shape style="position:absolute;left:2891;top:4077;width:629;height:2" coordorigin="2891,4077" coordsize="629,0" path="m2891,4077l3176,4077m3191,4077l3356,4077m3356,4077l3520,4077e" filled="false" stroked="true" strokeweight=".746549pt" strokecolor="#ffc000">
              <v:path arrowok="t"/>
              <v:stroke dashstyle="solid"/>
            </v:shape>
            <v:shape style="position:absolute;left:3535;top:4069;width:30;height:15" coordorigin="3535,4070" coordsize="30,15" path="m3550,4070l3535,4070,3535,4085,3565,4085,3550,4070xe" filled="true" fillcolor="#ffc000" stroked="false">
              <v:path arrowok="t"/>
              <v:fill type="solid"/>
            </v:shape>
            <v:line style="position:absolute" from="2068,4062" to="2218,4062" stroked="true" strokeweight=".746549pt" strokecolor="#ffc000">
              <v:stroke dashstyle="solid"/>
            </v:line>
            <v:shape style="position:absolute;left:2217;top:4054;width:75;height:15" coordorigin="2218,4055" coordsize="75,15" path="m2263,4070l2248,4055,2233,4055,2218,4070,2263,4070m2292,4070l2277,4055,2263,4055,2263,4070,2292,4070e" filled="true" fillcolor="#ffc000" stroked="false">
              <v:path arrowok="t"/>
              <v:fill type="solid"/>
            </v:shape>
            <v:shape style="position:absolute;left:2037;top:4069;width:7532;height:1151" coordorigin="2038,4070" coordsize="7532,1151" path="m9569,5041l8117,5041,8117,5071,8132,5085,8147,5085,8147,5101,9540,5101,9540,5115,9554,5145,9569,5220,9569,5041xm8506,5175l8476,5175,8491,5191,8506,5175xm9060,5175l9030,5175,9045,5191,9060,5175xm8387,5145l8372,5145,8387,5175,8387,5145xm8956,5131l8357,5131,8357,5145,8417,5145,8446,5175,8536,5175,8551,5161,8945,5161,8956,5131xm8596,5161l8551,5161,8551,5175,8581,5175,8596,5161xm8836,5161l8611,5161,8626,5175,8821,5175,8836,5161xm8896,5161l8836,5161,8851,5175,8881,5175,8896,5161xm8945,5161l8896,5161,8896,5175,8941,5175,8945,5161xm9240,5131l8956,5131,8971,5145,8986,5145,9015,5175,9150,5175,9165,5161,9225,5161,9225,5145,9240,5131xm9225,5161l9165,5161,9180,5175,9225,5175,9225,5161xm9345,5161l9330,5161,9345,5175,9345,5161xm9405,5145l9270,5145,9285,5161,9390,5161,9405,5145xm9540,5101l8237,5101,8237,5115,8282,5115,8297,5131,9255,5131,9255,5145,9510,5145,9525,5131,9540,5101xm8117,5041l7892,5041,7907,5055,7982,5055,8012,5085,8072,5085,8087,5071,8107,5071,8117,5041xm8107,5071l8087,5071,8102,5085,8107,5071xm7982,5055l7937,5055,7952,5071,7967,5071,7982,5055xm9569,4922l7713,4922,7728,4936,7743,4936,7788,4982,7803,4982,7803,4995,7818,5011,7848,5011,7877,5041,7877,5055,7892,5041,9569,5041,9569,4922xm9569,4577l5152,4577,5167,4593,5182,4593,5212,4623,5227,4623,5242,4637,5257,4637,5272,4653,5302,4653,5302,4667,5317,4667,5332,4683,5512,4683,5527,4697,5602,4697,5617,4713,5706,4713,5721,4727,6455,4727,6455,4743,6470,4743,6485,4757,7129,4757,7144,4786,7294,4786,7309,4802,7563,4802,7563,4816,7578,4832,7593,4832,7593,4846,7608,4846,7638,4876,7653,4876,7668,4892,7683,4892,7683,4906,7698,4906,7713,4936,7713,4922,9569,4922,9569,4577xm7548,4802l7488,4802,7488,4816,7518,4816,7518,4832,7533,4832,7548,4802xm7488,4802l7458,4802,7473,4816,7488,4802xm7279,4786l7264,4786,7279,4802,7279,4786xm6979,4757l6740,4757,6754,4773,6769,4773,6784,4786,6964,4786,6979,4757xm7129,4757l6979,4757,6994,4773,7009,4773,7009,4786,7114,4786,7129,4757xm6141,4727l5871,4727,5886,4743,6096,4743,6096,4757,6126,4757,6141,4727xm6410,4727l6141,4727,6141,4743,6186,4743,6200,4757,6410,4757,6410,4727xm5856,4727l5811,4727,5826,4743,5841,4743,5856,4727xm5437,4683l5347,4683,5362,4697,5422,4697,5437,4683xm5497,4683l5467,4683,5482,4697,5497,4683xm9569,4354l4718,4354,4733,4368,4763,4368,4823,4428,4838,4428,4838,4444,4853,4444,4868,4458,4898,4458,4913,4474,4928,4474,4943,4488,4958,4488,4958,4504,4973,4504,5003,4534,5033,4534,5033,4548,5048,4563,5063,4563,5077,4577,5077,4593,5137,4593,5152,4577,9569,4577,9569,4354xm9569,4175l3326,4175,3326,4205,3341,4235,3356,4235,3415,4295,3415,4309,3445,4339,3445,4354,3520,4428,3535,4428,3535,4368,4718,4368,4718,4354,9569,4354,9569,4175xm3820,4414l3790,4414,3805,4428,3820,4414xm4059,4398l3775,4398,3775,4414,4044,4414,4059,4398xm4119,4398l4059,4398,4074,4414,4119,4414,4119,4398xm4479,4368l3625,4368,3655,4398,4329,4398,4344,4384,4479,4384,4479,4368xm3610,4368l3580,4368,3595,4384,3610,4368xm3625,4368l3610,4368,3610,4384,3625,4368xm4523,4368l4494,4368,4509,4384,4523,4384,4523,4368xm3221,4159l3176,4159,3176,4189,3206,4189,3221,4205,3221,4159xm3236,4129l3011,4129,3026,4189,3041,4145,3228,4145,3236,4129xm3228,4145l3041,4145,3056,4189,3071,4189,3086,4175,3123,4175,3131,4159,3221,4159,3228,4145xm3123,4175l3101,4175,3101,4189,3116,4189,3123,4175xm3176,4159l3146,4159,3161,4189,3176,4159xm8836,4145l3296,4145,3296,4159,3311,4189,3326,4175,9569,4175,9569,4159,8851,4159,8836,4145xm3146,4159l3131,4159,3131,4175,3146,4159xm7428,4129l3236,4129,3251,4159,3251,4175,3266,4145,7443,4145,7428,4129xm3296,4145l3266,4145,3281,4175,3296,4145xm9405,4145l8866,4145,8851,4159,9420,4159,9405,4145xm9569,4145l9420,4145,9420,4159,9569,4159,9569,4145xm2352,4116l2337,4116,2352,4145,2352,4116xm2622,4129l2607,4129,2622,4145,2622,4129xm2742,4116l2712,4116,2727,4145,2742,4116xm2831,4129l2817,4129,2817,4145,2831,4129xm2876,4129l2861,4129,2861,4145,2876,4129xm2906,4129l2891,4129,2891,4145,2906,4129xm2936,4129l2906,4129,2921,4145,2936,4129xm2951,4129l2936,4129,2936,4145,2951,4129xm2981,4129l2951,4129,2966,4145,2981,4129xm3011,4129l2981,4129,2981,4145,3011,4145,3011,4129xm2502,4116l2457,4116,2457,4129,2487,4129,2502,4116xm2532,4116l2502,4116,2517,4129,2532,4116xm2652,4116l2547,4116,2547,4129,2637,4129,2652,4116xm2667,4116l2652,4116,2667,4129,2667,4116xm2712,4116l2697,4116,2697,4129,2712,4116xm6530,4116l2742,4116,2742,4129,6545,4129,6530,4116xm6710,4116l6605,4116,6605,4129,6725,4129,6710,4116xm2038,4070l2038,4070,2038,4116,2098,4116,2113,4100,3176,4100,3176,4086,2053,4086,2038,4070xm2248,4100l2173,4100,2188,4116,2233,4116,2248,4100xm2277,4100l2248,4100,2263,4116,2277,4100xm4868,4100l2277,4100,2292,4116,4868,4116,4868,4100xm5122,4100l4898,4100,4883,4116,5137,4116,5122,4100xm5197,4100l5152,4100,5137,4116,5212,4116,5197,4100xm5302,4100l5287,4116,5317,4116,5302,4100xm5347,4100l5332,4100,5317,4116,5347,4116,5347,4100xm5497,4100l5482,4116,5512,4116,5497,4100xm3715,4086l3191,4086,3176,4100,3730,4100,3715,4086xm3850,4086l3775,4086,3775,4100,3850,4100,3850,4086xm2577,4070l2068,4070,2053,4086,2577,4086,2577,4070xm2742,4070l2652,4070,2637,4086,2742,4086,2742,4070xm2817,4070l2772,4070,2757,4086,2817,4086,2817,4070xm2846,4070l2831,4070,2817,4086,2861,4086,2846,4070xm2891,4070l2861,4070,2861,4086,2906,4086,2891,4070xe" filled="true" fillcolor="#00afef" stroked="false">
              <v:path arrowok="t"/>
              <v:fill type="solid"/>
            </v:shape>
            <v:shape style="position:absolute;left:3026;top:4129;width:495;height:299" coordorigin="3026,4129" coordsize="495,299" path="m3460,4368l3460,4368,3520,4428,3460,4368xm3252,4249l3101,4249,3116,4265,3131,4265,3131,4309,3161,4309,3176,4325,3176,4354,3191,4368,3206,4368,3221,4414,3221,4325,3236,4265,3252,4249xm3445,4339l3400,4339,3430,4368,3445,4354,3445,4339xm3445,4354l3445,4368,3460,4368,3445,4354xm3415,4309l3356,4309,3371,4325,3371,4339,3386,4354,3400,4339,3445,4339,3415,4309xm3356,4235l3311,4235,3326,4265,3326,4279,3341,4339,3356,4309,3415,4309,3415,4295,3356,4235xm3266,4235l3071,4235,3086,4249,3101,4279,3101,4249,3252,4249,3266,4235xm3311,4235l3296,4235,3296,4265,3311,4235xm3296,4235l3266,4235,3281,4249,3296,4235xm3206,4189l3041,4189,3056,4219,3056,4235,3341,4235,3326,4205,3221,4205,3206,4189xm3236,4129l3221,4159,3221,4205,3326,4205,3326,4189,3311,4189,3304,4175,3251,4175,3251,4159,3236,4129xm3041,4145l3026,4189,3056,4189,3041,4145xm3101,4175l3086,4175,3071,4189,3101,4189,3101,4175xm3131,4159l3116,4189,3161,4189,3154,4175,3131,4175,3131,4159xm3176,4159l3161,4189,3176,4189,3176,4159xm3326,4175l3311,4189,3326,4189,3326,4175xm3146,4159l3131,4175,3154,4175,3146,4159xm3266,4145l3251,4175,3281,4175,3266,4145xm3296,4145l3281,4175,3304,4175,3296,4159,3296,4145xe" filled="true" fillcolor="#c00000" stroked="false">
              <v:path arrowok="t"/>
              <v:fill opacity="39321f" type="solid"/>
            </v:shape>
            <v:shape style="position:absolute;left:337;top:7548;width:7621;height:2956" coordorigin="338,7548" coordsize="7621,2956" path="m9607,5451l9607,2509m9607,5451l9652,5451m9607,5033l9652,5033m9607,4615l9652,4615m9607,4182l9652,4182m9607,3764l9652,3764m9607,3346l9652,3346m9607,2927l9652,2927m9607,2509l9652,2509m2045,3973l9607,3973m2045,3973l2045,4032m3183,3973l3183,4032m4321,3973l4321,4032m5444,3973l5444,4032m6582,3973l6582,4032m7720,3973l7720,4032m8843,3973l8843,4032e" filled="false" stroked="true" strokeweight=".747606pt" strokecolor="#000000">
              <v:path arrowok="t"/>
              <v:stroke dashstyle="solid"/>
            </v:shape>
            <v:rect style="position:absolute;left:3265;top:2382;width:75;height:75" filled="true" fillcolor="#00afef" stroked="false">
              <v:fill type="solid"/>
            </v:rect>
            <v:rect style="position:absolute;left:6529;top:2382;width:90;height:75" filled="true" fillcolor="#c00000" stroked="false">
              <v:fill opacity="39321f" type="solid"/>
            </v:rect>
            <w10:wrap type="none"/>
          </v:group>
        </w:pict>
      </w:r>
      <w:r>
        <w:rPr/>
        <w:pict>
          <v:rect style="position:absolute;margin-left:163.285995pt;margin-top:92.253998pt;width:3.743317pt;height:4.479297pt;mso-position-horizontal-relative:page;mso-position-vertical-relative:paragraph;z-index:-253278208" filled="true" fillcolor="#c00000" stroked="false">
            <v:fill type="solid"/>
            <w10:wrap type="none"/>
          </v:rect>
        </w:pict>
      </w:r>
      <w:r>
        <w:rPr/>
        <w:pict>
          <v:group style="position:absolute;margin-left:104.515915pt;margin-top:101.212593pt;width:375.85pt;height:12.7pt;mso-position-horizontal-relative:page;mso-position-vertical-relative:paragraph;z-index:-253277184" coordorigin="2090,2024" coordsize="7517,254">
            <v:rect style="position:absolute;left:3265;top:2024;width:75;height:75" filled="true" fillcolor="#006fc0" stroked="false">
              <v:fill type="solid"/>
            </v:rect>
            <v:rect style="position:absolute;left:6529;top:2024;width:90;height:75" filled="true" fillcolor="#6f2f9f" stroked="false">
              <v:fill type="solid"/>
            </v:rect>
            <v:rect style="position:absolute;left:3265;top:2203;width:75;height:75" filled="true" fillcolor="#00af50" stroked="false">
              <v:fill type="solid"/>
            </v:rect>
            <v:rect style="position:absolute;left:6529;top:2203;width:90;height:75" filled="true" fillcolor="#ffc000" stroked="false">
              <v:fill type="solid"/>
            </v:rect>
            <v:line style="position:absolute" from="2090,2151" to="9607,2151" stroked="true" strokeweight=".746549pt" strokecolor="#000000">
              <v:stroke dashstyle="solid"/>
            </v:line>
            <w10:wrap type="none"/>
          </v:group>
        </w:pict>
      </w:r>
      <w:r>
        <w:rPr/>
        <w:t>Before discussing some of the specific policy measures that have recently been put in place, it is useful to review what the central bank’s simplified balance sheet looks like and how this changes with monetary policy</w:t>
      </w:r>
      <w:r>
        <w:rPr>
          <w:position w:val="6"/>
          <w:sz w:val="13"/>
        </w:rPr>
        <w:t>1</w:t>
      </w:r>
      <w:r>
        <w:rPr/>
        <w:t>.</w:t>
      </w:r>
    </w:p>
    <w:p>
      <w:pPr>
        <w:pStyle w:val="BodyText"/>
        <w:spacing w:before="3" w:after="1"/>
        <w:rPr>
          <w:sz w:val="2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8"/>
      </w:tblGrid>
      <w:tr>
        <w:trPr>
          <w:trHeight w:val="504" w:hRule="atLeast"/>
        </w:trPr>
        <w:tc>
          <w:tcPr>
            <w:tcW w:w="9338" w:type="dxa"/>
          </w:tcPr>
          <w:p>
            <w:pPr>
              <w:pStyle w:val="TableParagraph"/>
              <w:spacing w:line="223" w:lineRule="exact"/>
              <w:ind w:left="200"/>
              <w:rPr>
                <w:b/>
                <w:sz w:val="20"/>
              </w:rPr>
            </w:pPr>
            <w:r>
              <w:rPr>
                <w:b/>
                <w:sz w:val="20"/>
              </w:rPr>
              <w:t>Figure 1: Bank of England balance sheet (GBP billions)</w:t>
            </w:r>
          </w:p>
          <w:p>
            <w:pPr>
              <w:pStyle w:val="TableParagraph"/>
              <w:spacing w:before="4"/>
              <w:rPr>
                <w:sz w:val="24"/>
              </w:rPr>
            </w:pPr>
          </w:p>
          <w:p>
            <w:pPr>
              <w:pStyle w:val="TableParagraph"/>
              <w:tabs>
                <w:tab w:pos="5722" w:val="left" w:leader="none"/>
              </w:tabs>
              <w:spacing w:line="75" w:lineRule="exact" w:before="1"/>
              <w:ind w:left="2446"/>
              <w:rPr>
                <w:sz w:val="16"/>
              </w:rPr>
            </w:pPr>
            <w:r>
              <w:rPr>
                <w:spacing w:val="-3"/>
                <w:w w:val="105"/>
                <w:sz w:val="16"/>
              </w:rPr>
              <w:t>Reverse</w:t>
            </w:r>
            <w:r>
              <w:rPr>
                <w:spacing w:val="-13"/>
                <w:w w:val="105"/>
                <w:sz w:val="16"/>
              </w:rPr>
              <w:t> </w:t>
            </w:r>
            <w:r>
              <w:rPr>
                <w:spacing w:val="-4"/>
                <w:w w:val="105"/>
                <w:sz w:val="16"/>
              </w:rPr>
              <w:t>repo</w:t>
            </w:r>
            <w:r>
              <w:rPr>
                <w:spacing w:val="-12"/>
                <w:w w:val="105"/>
                <w:sz w:val="16"/>
              </w:rPr>
              <w:t> </w:t>
            </w:r>
            <w:r>
              <w:rPr>
                <w:w w:val="105"/>
                <w:sz w:val="16"/>
              </w:rPr>
              <w:t>and</w:t>
            </w:r>
            <w:r>
              <w:rPr>
                <w:spacing w:val="-12"/>
                <w:w w:val="105"/>
                <w:sz w:val="16"/>
              </w:rPr>
              <w:t> </w:t>
            </w:r>
            <w:r>
              <w:rPr>
                <w:w w:val="105"/>
                <w:sz w:val="16"/>
              </w:rPr>
              <w:t>other</w:t>
            </w:r>
            <w:r>
              <w:rPr>
                <w:spacing w:val="-19"/>
                <w:w w:val="105"/>
                <w:sz w:val="16"/>
              </w:rPr>
              <w:t> </w:t>
            </w:r>
            <w:r>
              <w:rPr>
                <w:w w:val="105"/>
                <w:sz w:val="16"/>
              </w:rPr>
              <w:t>bond</w:t>
            </w:r>
            <w:r>
              <w:rPr>
                <w:spacing w:val="-12"/>
                <w:w w:val="105"/>
                <w:sz w:val="16"/>
              </w:rPr>
              <w:t> </w:t>
            </w:r>
            <w:r>
              <w:rPr>
                <w:spacing w:val="-3"/>
                <w:w w:val="105"/>
                <w:sz w:val="16"/>
              </w:rPr>
              <w:t>holdings</w:t>
              <w:tab/>
            </w:r>
            <w:r>
              <w:rPr>
                <w:spacing w:val="-4"/>
                <w:w w:val="105"/>
                <w:sz w:val="16"/>
              </w:rPr>
              <w:t>Foreign </w:t>
            </w:r>
            <w:r>
              <w:rPr>
                <w:w w:val="105"/>
                <w:sz w:val="16"/>
              </w:rPr>
              <w:t>currency</w:t>
            </w:r>
            <w:r>
              <w:rPr>
                <w:spacing w:val="-12"/>
                <w:w w:val="105"/>
                <w:sz w:val="16"/>
              </w:rPr>
              <w:t> </w:t>
            </w:r>
            <w:r>
              <w:rPr>
                <w:spacing w:val="-4"/>
                <w:w w:val="105"/>
                <w:sz w:val="16"/>
              </w:rPr>
              <w:t>holdings</w:t>
            </w:r>
          </w:p>
        </w:tc>
      </w:tr>
      <w:tr>
        <w:trPr>
          <w:trHeight w:val="4099" w:hRule="atLeast"/>
        </w:trPr>
        <w:tc>
          <w:tcPr>
            <w:tcW w:w="9338" w:type="dxa"/>
          </w:tcPr>
          <w:p>
            <w:pPr>
              <w:pStyle w:val="TableParagraph"/>
              <w:tabs>
                <w:tab w:pos="2446" w:val="left" w:leader="none"/>
                <w:tab w:pos="5722" w:val="left" w:leader="none"/>
              </w:tabs>
              <w:spacing w:line="230" w:lineRule="auto" w:before="47"/>
              <w:ind w:left="1339" w:right="1765" w:firstLine="119"/>
              <w:rPr>
                <w:sz w:val="16"/>
              </w:rPr>
            </w:pPr>
            <w:r>
              <w:rPr>
                <w:spacing w:val="3"/>
                <w:w w:val="105"/>
                <w:position w:val="4"/>
                <w:sz w:val="16"/>
              </w:rPr>
              <w:t>Assets:</w:t>
              <w:tab/>
            </w:r>
            <w:r>
              <w:rPr>
                <w:spacing w:val="-3"/>
                <w:w w:val="105"/>
                <w:sz w:val="16"/>
              </w:rPr>
              <w:t>Other </w:t>
            </w:r>
            <w:r>
              <w:rPr>
                <w:spacing w:val="-4"/>
                <w:w w:val="105"/>
                <w:sz w:val="16"/>
              </w:rPr>
              <w:t>assets </w:t>
            </w:r>
            <w:r>
              <w:rPr>
                <w:w w:val="105"/>
                <w:sz w:val="16"/>
              </w:rPr>
              <w:t>incl. loan</w:t>
            </w:r>
            <w:r>
              <w:rPr>
                <w:spacing w:val="-24"/>
                <w:w w:val="105"/>
                <w:sz w:val="16"/>
              </w:rPr>
              <w:t> </w:t>
            </w:r>
            <w:r>
              <w:rPr>
                <w:spacing w:val="-9"/>
                <w:w w:val="105"/>
                <w:sz w:val="16"/>
              </w:rPr>
              <w:t>to</w:t>
            </w:r>
            <w:r>
              <w:rPr>
                <w:spacing w:val="-8"/>
                <w:w w:val="105"/>
                <w:sz w:val="16"/>
              </w:rPr>
              <w:t> </w:t>
            </w:r>
            <w:r>
              <w:rPr>
                <w:w w:val="105"/>
                <w:sz w:val="16"/>
              </w:rPr>
              <w:t>APF</w:t>
              <w:tab/>
            </w:r>
            <w:r>
              <w:rPr>
                <w:spacing w:val="-5"/>
                <w:w w:val="105"/>
                <w:sz w:val="16"/>
              </w:rPr>
              <w:t>Ways </w:t>
            </w:r>
            <w:r>
              <w:rPr>
                <w:w w:val="105"/>
                <w:sz w:val="16"/>
              </w:rPr>
              <w:t>&amp; </w:t>
            </w:r>
            <w:r>
              <w:rPr>
                <w:spacing w:val="-5"/>
                <w:w w:val="105"/>
                <w:sz w:val="16"/>
              </w:rPr>
              <w:t>Means </w:t>
            </w:r>
            <w:r>
              <w:rPr>
                <w:spacing w:val="-3"/>
                <w:w w:val="105"/>
                <w:sz w:val="16"/>
              </w:rPr>
              <w:t>facility </w:t>
            </w:r>
            <w:r>
              <w:rPr>
                <w:spacing w:val="-4"/>
                <w:w w:val="105"/>
                <w:position w:val="-4"/>
                <w:sz w:val="16"/>
              </w:rPr>
              <w:t>Liabilities:</w:t>
              <w:tab/>
            </w:r>
            <w:r>
              <w:rPr>
                <w:w w:val="105"/>
                <w:sz w:val="16"/>
              </w:rPr>
              <w:t>Notes</w:t>
            </w:r>
            <w:r>
              <w:rPr>
                <w:spacing w:val="-14"/>
                <w:w w:val="105"/>
                <w:sz w:val="16"/>
              </w:rPr>
              <w:t> </w:t>
            </w:r>
            <w:r>
              <w:rPr>
                <w:spacing w:val="-4"/>
                <w:w w:val="105"/>
                <w:sz w:val="16"/>
              </w:rPr>
              <w:t>in</w:t>
            </w:r>
            <w:r>
              <w:rPr>
                <w:spacing w:val="-8"/>
                <w:w w:val="105"/>
                <w:sz w:val="16"/>
              </w:rPr>
              <w:t> </w:t>
            </w:r>
            <w:r>
              <w:rPr>
                <w:spacing w:val="-3"/>
                <w:w w:val="105"/>
                <w:sz w:val="16"/>
              </w:rPr>
              <w:t>circulation</w:t>
              <w:tab/>
            </w:r>
            <w:r>
              <w:rPr>
                <w:spacing w:val="-4"/>
                <w:w w:val="105"/>
                <w:sz w:val="16"/>
              </w:rPr>
              <w:t>Foreign</w:t>
            </w:r>
            <w:r>
              <w:rPr>
                <w:spacing w:val="-33"/>
                <w:w w:val="105"/>
                <w:sz w:val="16"/>
              </w:rPr>
              <w:t> </w:t>
            </w:r>
            <w:r>
              <w:rPr>
                <w:w w:val="105"/>
                <w:sz w:val="16"/>
              </w:rPr>
              <w:t>currency</w:t>
            </w:r>
            <w:r>
              <w:rPr>
                <w:spacing w:val="-34"/>
                <w:w w:val="105"/>
                <w:sz w:val="16"/>
              </w:rPr>
              <w:t> </w:t>
            </w:r>
            <w:r>
              <w:rPr>
                <w:w w:val="105"/>
                <w:sz w:val="16"/>
              </w:rPr>
              <w:t>liabilities</w:t>
            </w:r>
          </w:p>
          <w:p>
            <w:pPr>
              <w:pStyle w:val="TableParagraph"/>
              <w:tabs>
                <w:tab w:pos="5722" w:val="left" w:leader="none"/>
                <w:tab w:pos="9090" w:val="right" w:leader="none"/>
              </w:tabs>
              <w:spacing w:line="148" w:lineRule="auto"/>
              <w:ind w:left="2446"/>
              <w:rPr>
                <w:sz w:val="16"/>
              </w:rPr>
            </w:pPr>
            <w:r>
              <w:rPr>
                <w:spacing w:val="-3"/>
                <w:w w:val="105"/>
                <w:sz w:val="16"/>
              </w:rPr>
              <w:t>Reserve</w:t>
            </w:r>
            <w:r>
              <w:rPr>
                <w:spacing w:val="-7"/>
                <w:w w:val="105"/>
                <w:sz w:val="16"/>
              </w:rPr>
              <w:t> </w:t>
            </w:r>
            <w:r>
              <w:rPr>
                <w:spacing w:val="-4"/>
                <w:w w:val="105"/>
                <w:sz w:val="16"/>
              </w:rPr>
              <w:t>balances</w:t>
              <w:tab/>
            </w:r>
            <w:r>
              <w:rPr>
                <w:w w:val="105"/>
                <w:sz w:val="16"/>
              </w:rPr>
              <w:t>Liabilities </w:t>
            </w:r>
            <w:r>
              <w:rPr>
                <w:spacing w:val="-4"/>
                <w:w w:val="105"/>
                <w:sz w:val="16"/>
              </w:rPr>
              <w:t>from </w:t>
            </w:r>
            <w:r>
              <w:rPr>
                <w:w w:val="105"/>
                <w:sz w:val="16"/>
              </w:rPr>
              <w:t>open</w:t>
            </w:r>
            <w:r>
              <w:rPr>
                <w:spacing w:val="-34"/>
                <w:w w:val="105"/>
                <w:sz w:val="16"/>
              </w:rPr>
              <w:t> </w:t>
            </w:r>
            <w:r>
              <w:rPr>
                <w:spacing w:val="-5"/>
                <w:w w:val="105"/>
                <w:sz w:val="16"/>
              </w:rPr>
              <w:t>market</w:t>
            </w:r>
            <w:r>
              <w:rPr>
                <w:spacing w:val="-10"/>
                <w:w w:val="105"/>
                <w:sz w:val="16"/>
              </w:rPr>
              <w:t> </w:t>
            </w:r>
            <w:r>
              <w:rPr>
                <w:w w:val="105"/>
                <w:sz w:val="16"/>
              </w:rPr>
              <w:t>operations</w:t>
              <w:tab/>
            </w:r>
            <w:r>
              <w:rPr>
                <w:spacing w:val="-3"/>
                <w:w w:val="105"/>
                <w:position w:val="-9"/>
                <w:sz w:val="16"/>
              </w:rPr>
              <w:t>700</w:t>
            </w:r>
          </w:p>
          <w:p>
            <w:pPr>
              <w:pStyle w:val="TableParagraph"/>
              <w:spacing w:before="245"/>
              <w:ind w:left="8821"/>
              <w:rPr>
                <w:sz w:val="16"/>
              </w:rPr>
            </w:pPr>
            <w:r>
              <w:rPr>
                <w:spacing w:val="-3"/>
                <w:w w:val="105"/>
                <w:sz w:val="16"/>
              </w:rPr>
              <w:t>500</w:t>
            </w:r>
          </w:p>
          <w:p>
            <w:pPr>
              <w:pStyle w:val="TableParagraph"/>
              <w:spacing w:before="7"/>
              <w:rPr>
                <w:sz w:val="20"/>
              </w:rPr>
            </w:pPr>
          </w:p>
          <w:p>
            <w:pPr>
              <w:pStyle w:val="TableParagraph"/>
              <w:ind w:left="8821"/>
              <w:rPr>
                <w:sz w:val="16"/>
              </w:rPr>
            </w:pPr>
            <w:r>
              <w:rPr>
                <w:spacing w:val="-3"/>
                <w:w w:val="105"/>
                <w:sz w:val="16"/>
              </w:rPr>
              <w:t>300</w:t>
            </w:r>
          </w:p>
          <w:p>
            <w:pPr>
              <w:pStyle w:val="TableParagraph"/>
              <w:spacing w:before="7"/>
              <w:rPr>
                <w:sz w:val="20"/>
              </w:rPr>
            </w:pPr>
          </w:p>
          <w:p>
            <w:pPr>
              <w:pStyle w:val="TableParagraph"/>
              <w:ind w:left="8821"/>
              <w:rPr>
                <w:sz w:val="16"/>
              </w:rPr>
            </w:pPr>
            <w:r>
              <w:rPr>
                <w:spacing w:val="-3"/>
                <w:w w:val="105"/>
                <w:sz w:val="16"/>
              </w:rPr>
              <w:t>100</w:t>
            </w:r>
          </w:p>
          <w:p>
            <w:pPr>
              <w:pStyle w:val="TableParagraph"/>
              <w:spacing w:before="6"/>
              <w:rPr>
                <w:sz w:val="20"/>
              </w:rPr>
            </w:pPr>
          </w:p>
          <w:p>
            <w:pPr>
              <w:pStyle w:val="TableParagraph"/>
              <w:spacing w:before="1"/>
              <w:ind w:left="8821"/>
              <w:rPr>
                <w:sz w:val="16"/>
              </w:rPr>
            </w:pPr>
            <w:r>
              <w:rPr>
                <w:spacing w:val="-4"/>
                <w:w w:val="105"/>
                <w:sz w:val="16"/>
              </w:rPr>
              <w:t>-100</w:t>
            </w:r>
          </w:p>
          <w:p>
            <w:pPr>
              <w:pStyle w:val="TableParagraph"/>
              <w:spacing w:before="6"/>
              <w:rPr>
                <w:sz w:val="20"/>
              </w:rPr>
            </w:pPr>
          </w:p>
          <w:p>
            <w:pPr>
              <w:pStyle w:val="TableParagraph"/>
              <w:ind w:left="8821"/>
              <w:rPr>
                <w:sz w:val="16"/>
              </w:rPr>
            </w:pPr>
            <w:r>
              <w:rPr>
                <w:spacing w:val="-4"/>
                <w:w w:val="105"/>
                <w:sz w:val="16"/>
              </w:rPr>
              <w:t>-300</w:t>
            </w:r>
          </w:p>
          <w:p>
            <w:pPr>
              <w:pStyle w:val="TableParagraph"/>
              <w:spacing w:before="7"/>
              <w:rPr>
                <w:sz w:val="20"/>
              </w:rPr>
            </w:pPr>
          </w:p>
          <w:p>
            <w:pPr>
              <w:pStyle w:val="TableParagraph"/>
              <w:ind w:left="8821"/>
              <w:rPr>
                <w:sz w:val="16"/>
              </w:rPr>
            </w:pPr>
            <w:r>
              <w:rPr>
                <w:spacing w:val="-4"/>
                <w:w w:val="105"/>
                <w:sz w:val="16"/>
              </w:rPr>
              <w:t>-500</w:t>
            </w:r>
          </w:p>
          <w:p>
            <w:pPr>
              <w:pStyle w:val="TableParagraph"/>
              <w:spacing w:before="7"/>
              <w:rPr>
                <w:sz w:val="20"/>
              </w:rPr>
            </w:pPr>
          </w:p>
          <w:p>
            <w:pPr>
              <w:pStyle w:val="TableParagraph"/>
              <w:ind w:left="8821"/>
              <w:rPr>
                <w:sz w:val="16"/>
              </w:rPr>
            </w:pPr>
            <w:r>
              <w:rPr>
                <w:spacing w:val="-4"/>
                <w:w w:val="105"/>
                <w:sz w:val="16"/>
              </w:rPr>
              <w:t>-700</w:t>
            </w:r>
          </w:p>
          <w:p>
            <w:pPr>
              <w:pStyle w:val="TableParagraph"/>
              <w:tabs>
                <w:tab w:pos="2075" w:val="left" w:leader="none"/>
                <w:tab w:pos="3210" w:val="left" w:leader="none"/>
                <w:tab w:pos="4345" w:val="left" w:leader="none"/>
                <w:tab w:pos="5480" w:val="left" w:leader="none"/>
                <w:tab w:pos="6616" w:val="left" w:leader="none"/>
                <w:tab w:pos="7750" w:val="left" w:leader="none"/>
              </w:tabs>
              <w:spacing w:before="6"/>
              <w:ind w:left="939"/>
              <w:rPr>
                <w:sz w:val="16"/>
              </w:rPr>
            </w:pPr>
            <w:r>
              <w:rPr>
                <w:w w:val="105"/>
                <w:sz w:val="16"/>
              </w:rPr>
              <w:t>2007</w:t>
              <w:tab/>
            </w:r>
            <w:r>
              <w:rPr>
                <w:spacing w:val="-3"/>
                <w:w w:val="105"/>
                <w:sz w:val="16"/>
              </w:rPr>
              <w:t>2009</w:t>
              <w:tab/>
              <w:t>2011</w:t>
              <w:tab/>
            </w:r>
            <w:r>
              <w:rPr>
                <w:w w:val="105"/>
                <w:sz w:val="16"/>
              </w:rPr>
              <w:t>2013</w:t>
              <w:tab/>
            </w:r>
            <w:r>
              <w:rPr>
                <w:spacing w:val="-3"/>
                <w:w w:val="105"/>
                <w:sz w:val="16"/>
              </w:rPr>
              <w:t>2015</w:t>
              <w:tab/>
              <w:t>2017</w:t>
              <w:tab/>
            </w:r>
            <w:r>
              <w:rPr>
                <w:w w:val="105"/>
                <w:sz w:val="16"/>
              </w:rPr>
              <w:t>2019</w:t>
            </w:r>
          </w:p>
        </w:tc>
      </w:tr>
      <w:tr>
        <w:trPr>
          <w:trHeight w:val="354" w:hRule="atLeast"/>
        </w:trPr>
        <w:tc>
          <w:tcPr>
            <w:tcW w:w="9338" w:type="dxa"/>
          </w:tcPr>
          <w:p>
            <w:pPr>
              <w:pStyle w:val="TableParagraph"/>
              <w:spacing w:line="187" w:lineRule="exact" w:before="148"/>
              <w:ind w:left="200"/>
              <w:rPr>
                <w:sz w:val="18"/>
              </w:rPr>
            </w:pPr>
            <w:r>
              <w:rPr>
                <w:sz w:val="18"/>
              </w:rPr>
              <w:t>Source: Bank of England Weekly Report. Latest observation: 14 April 2020.</w:t>
            </w:r>
          </w:p>
        </w:tc>
      </w:tr>
    </w:tbl>
    <w:p>
      <w:pPr>
        <w:pStyle w:val="BodyText"/>
        <w:spacing w:before="7"/>
        <w:rPr>
          <w:sz w:val="24"/>
        </w:rPr>
      </w:pPr>
    </w:p>
    <w:p>
      <w:pPr>
        <w:pStyle w:val="BodyText"/>
        <w:spacing w:line="288" w:lineRule="auto"/>
        <w:ind w:left="312" w:right="171"/>
      </w:pPr>
      <w:r>
        <w:rPr/>
        <w:t>Monetary policy is set the by Monetary Policy Committee, which decides, among other things, on the appropriate level of interest rates. The MPC’s ability, indeed any central bank’s ability, to influence short-term nominal interest rates derives from the fact that financial institutions have some (not necessarily large, not necessarily stable) demand for something only the central bank supplies: reserves.</w:t>
      </w:r>
    </w:p>
    <w:p>
      <w:pPr>
        <w:pStyle w:val="BodyText"/>
      </w:pPr>
    </w:p>
    <w:p>
      <w:pPr>
        <w:pStyle w:val="BodyText"/>
      </w:pPr>
    </w:p>
    <w:p>
      <w:pPr>
        <w:pStyle w:val="BodyText"/>
        <w:spacing w:before="9"/>
        <w:rPr>
          <w:sz w:val="11"/>
        </w:rPr>
      </w:pPr>
      <w:r>
        <w:rPr/>
        <w:pict>
          <v:shape style="position:absolute;margin-left:56.639999pt;margin-top:8.980596pt;width:144.050pt;height:.1pt;mso-position-horizontal-relative:page;mso-position-vertical-relative:paragraph;z-index:-251657216;mso-wrap-distance-left:0;mso-wrap-distance-right:0" coordorigin="1133,180" coordsize="2881,0" path="m1133,180l4014,180e" filled="false" stroked="true" strokeweight=".47998pt" strokecolor="#000000">
            <v:path arrowok="t"/>
            <v:stroke dashstyle="solid"/>
            <w10:wrap type="topAndBottom"/>
          </v:shape>
        </w:pict>
      </w:r>
    </w:p>
    <w:p>
      <w:pPr>
        <w:spacing w:line="242" w:lineRule="auto" w:before="50"/>
        <w:ind w:left="312" w:right="0" w:firstLine="0"/>
        <w:jc w:val="left"/>
        <w:rPr>
          <w:sz w:val="18"/>
        </w:rPr>
      </w:pPr>
      <w:r>
        <w:rPr>
          <w:position w:val="6"/>
          <w:sz w:val="12"/>
        </w:rPr>
        <w:t>1 </w:t>
      </w:r>
      <w:r>
        <w:rPr>
          <w:sz w:val="16"/>
        </w:rPr>
        <w:t>This topic has been at the core of the Bank of England’s functions for a very long time indeed, and has therefore been the subject of a great number of excellent analytical publications by Bank of England staff, far too many to cite, as well as regular speeches by MPC members. Two relevant recent publications on this are Hauser (2019) and Ramsden (2018) and the many references therein</w:t>
      </w:r>
      <w:r>
        <w:rPr>
          <w:sz w:val="18"/>
        </w:rPr>
        <w:t>.</w:t>
      </w:r>
    </w:p>
    <w:p>
      <w:pPr>
        <w:spacing w:after="0" w:line="242" w:lineRule="auto"/>
        <w:jc w:val="left"/>
        <w:rPr>
          <w:sz w:val="18"/>
        </w:rPr>
        <w:sectPr>
          <w:pgSz w:w="11910" w:h="16840"/>
          <w:pgMar w:header="0" w:footer="1338" w:top="1340" w:bottom="1520" w:left="820" w:right="960"/>
        </w:sectPr>
      </w:pPr>
    </w:p>
    <w:p>
      <w:pPr>
        <w:pStyle w:val="BodyText"/>
        <w:spacing w:before="8"/>
        <w:rPr>
          <w:sz w:val="26"/>
        </w:rPr>
      </w:pPr>
    </w:p>
    <w:p>
      <w:pPr>
        <w:pStyle w:val="Heading2"/>
        <w:spacing w:line="288" w:lineRule="auto"/>
      </w:pPr>
      <w:r>
        <w:rPr/>
        <w:t>Diagram 1: Stylised central bank balance sheet after conventional interest rate policy</w:t>
      </w:r>
    </w:p>
    <w:p>
      <w:pPr>
        <w:pStyle w:val="BodyText"/>
        <w:spacing w:line="288" w:lineRule="auto" w:before="81"/>
        <w:ind w:left="312" w:right="276"/>
      </w:pPr>
      <w:r>
        <w:rPr/>
        <w:br w:type="column"/>
      </w:r>
      <w:r>
        <w:rPr/>
        <w:t>Reserves are simply deposit balances held at the central bank. By definition, only the central bank can provide central bank deposit accounts. So only the central bank can provide reserves. Those reserves are created through open market operations, as shown in Diagram 1. In general, open market operations are a mix of outright purchases of government bonds by the central bank, or temporary purchases with an agreement to sell back later (repos)</w:t>
      </w:r>
      <w:r>
        <w:rPr>
          <w:position w:val="6"/>
          <w:sz w:val="13"/>
        </w:rPr>
        <w:t>2</w:t>
      </w:r>
      <w:r>
        <w:rPr/>
        <w:t>. In the case of outright purchases, you can think of it as the central bank selling reserves in exchange for government bonds. Or purchasing government bonds financed by issuing reserves. Or purchasing government bonds financed by “printing”</w:t>
      </w:r>
    </w:p>
    <w:p>
      <w:pPr>
        <w:spacing w:after="0" w:line="288" w:lineRule="auto"/>
        <w:sectPr>
          <w:footerReference w:type="default" r:id="rId8"/>
          <w:pgSz w:w="11910" w:h="16840"/>
          <w:pgMar w:footer="1338" w:header="0" w:top="1340" w:bottom="1520" w:left="820" w:right="960"/>
          <w:pgNumType w:start="4"/>
          <w:cols w:num="2" w:equalWidth="0">
            <w:col w:w="4817" w:space="58"/>
            <w:col w:w="5255"/>
          </w:cols>
        </w:sectPr>
      </w:pPr>
    </w:p>
    <w:p>
      <w:pPr>
        <w:pStyle w:val="BodyText"/>
        <w:spacing w:line="288" w:lineRule="auto" w:before="1"/>
        <w:ind w:left="312" w:right="526"/>
      </w:pPr>
      <w:r>
        <w:rPr/>
        <w:pict>
          <v:shape style="position:absolute;margin-left:57.575001pt;margin-top:-142.234802pt;width:227.1pt;height:131.5pt;mso-position-horizontal-relative:page;mso-position-vertical-relative:paragraph;z-index:25166848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4"/>
                    <w:gridCol w:w="2257"/>
                  </w:tblGrid>
                  <w:tr>
                    <w:trPr>
                      <w:trHeight w:val="369" w:hRule="atLeast"/>
                    </w:trPr>
                    <w:tc>
                      <w:tcPr>
                        <w:tcW w:w="2264" w:type="dxa"/>
                        <w:tcBorders>
                          <w:bottom w:val="double" w:sz="2" w:space="0" w:color="000000"/>
                        </w:tcBorders>
                      </w:tcPr>
                      <w:p>
                        <w:pPr>
                          <w:pStyle w:val="TableParagraph"/>
                          <w:spacing w:line="224" w:lineRule="exact" w:before="125"/>
                          <w:ind w:left="209" w:right="458"/>
                          <w:jc w:val="center"/>
                          <w:rPr>
                            <w:rFonts w:ascii="Calibri"/>
                            <w:b/>
                            <w:sz w:val="20"/>
                          </w:rPr>
                        </w:pPr>
                        <w:r>
                          <w:rPr>
                            <w:rFonts w:ascii="Calibri"/>
                            <w:b/>
                            <w:w w:val="105"/>
                            <w:sz w:val="20"/>
                          </w:rPr>
                          <w:t>Assets</w:t>
                        </w:r>
                      </w:p>
                    </w:tc>
                    <w:tc>
                      <w:tcPr>
                        <w:tcW w:w="2257" w:type="dxa"/>
                        <w:tcBorders>
                          <w:bottom w:val="double" w:sz="2" w:space="0" w:color="000000"/>
                        </w:tcBorders>
                      </w:tcPr>
                      <w:p>
                        <w:pPr>
                          <w:pStyle w:val="TableParagraph"/>
                          <w:spacing w:line="224" w:lineRule="exact" w:before="125"/>
                          <w:ind w:left="843"/>
                          <w:rPr>
                            <w:rFonts w:ascii="Calibri"/>
                            <w:b/>
                            <w:sz w:val="20"/>
                          </w:rPr>
                        </w:pPr>
                        <w:r>
                          <w:rPr>
                            <w:rFonts w:ascii="Calibri"/>
                            <w:b/>
                            <w:w w:val="105"/>
                            <w:sz w:val="20"/>
                          </w:rPr>
                          <w:t>Liabilities</w:t>
                        </w:r>
                      </w:p>
                    </w:tc>
                  </w:tr>
                  <w:tr>
                    <w:trPr>
                      <w:trHeight w:val="534" w:hRule="atLeast"/>
                    </w:trPr>
                    <w:tc>
                      <w:tcPr>
                        <w:tcW w:w="2264" w:type="dxa"/>
                        <w:tcBorders>
                          <w:top w:val="double" w:sz="2" w:space="0" w:color="000000"/>
                          <w:bottom w:val="nil"/>
                        </w:tcBorders>
                        <w:shd w:val="clear" w:color="auto" w:fill="00AFEF"/>
                      </w:tcPr>
                      <w:p>
                        <w:pPr>
                          <w:pStyle w:val="TableParagraph"/>
                          <w:spacing w:before="138"/>
                          <w:ind w:left="201" w:right="462"/>
                          <w:jc w:val="center"/>
                          <w:rPr>
                            <w:rFonts w:ascii="Calibri"/>
                            <w:sz w:val="20"/>
                          </w:rPr>
                        </w:pPr>
                        <w:r>
                          <w:rPr>
                            <w:rFonts w:ascii="Calibri"/>
                            <w:w w:val="105"/>
                            <w:sz w:val="20"/>
                          </w:rPr>
                          <w:t>Public sector</w:t>
                        </w:r>
                      </w:p>
                    </w:tc>
                    <w:tc>
                      <w:tcPr>
                        <w:tcW w:w="2257" w:type="dxa"/>
                        <w:tcBorders>
                          <w:top w:val="double" w:sz="2" w:space="0" w:color="000000"/>
                        </w:tcBorders>
                        <w:shd w:val="clear" w:color="auto" w:fill="00AFEF"/>
                      </w:tcPr>
                      <w:p>
                        <w:pPr>
                          <w:pStyle w:val="TableParagraph"/>
                          <w:spacing w:before="14"/>
                          <w:ind w:left="395" w:right="140"/>
                          <w:jc w:val="center"/>
                          <w:rPr>
                            <w:rFonts w:ascii="Calibri"/>
                            <w:sz w:val="20"/>
                          </w:rPr>
                        </w:pPr>
                        <w:r>
                          <w:rPr>
                            <w:rFonts w:ascii="Calibri"/>
                            <w:w w:val="105"/>
                            <w:sz w:val="20"/>
                          </w:rPr>
                          <w:t>Reserve balances</w:t>
                        </w:r>
                      </w:p>
                      <w:p>
                        <w:pPr>
                          <w:pStyle w:val="TableParagraph"/>
                          <w:spacing w:line="225" w:lineRule="exact" w:before="31"/>
                          <w:ind w:left="392" w:right="140"/>
                          <w:jc w:val="center"/>
                          <w:rPr>
                            <w:rFonts w:ascii="Calibri"/>
                            <w:sz w:val="20"/>
                          </w:rPr>
                        </w:pPr>
                        <w:r>
                          <w:rPr>
                            <w:rFonts w:ascii="Calibri"/>
                            <w:w w:val="105"/>
                            <w:sz w:val="20"/>
                          </w:rPr>
                          <w:t>(+)</w:t>
                        </w:r>
                      </w:p>
                    </w:tc>
                  </w:tr>
                  <w:tr>
                    <w:trPr>
                      <w:trHeight w:val="535" w:hRule="atLeast"/>
                    </w:trPr>
                    <w:tc>
                      <w:tcPr>
                        <w:tcW w:w="2264" w:type="dxa"/>
                        <w:tcBorders>
                          <w:top w:val="nil"/>
                        </w:tcBorders>
                        <w:shd w:val="clear" w:color="auto" w:fill="00AFEF"/>
                      </w:tcPr>
                      <w:p>
                        <w:pPr>
                          <w:pStyle w:val="TableParagraph"/>
                          <w:spacing w:line="108" w:lineRule="exact"/>
                          <w:ind w:left="208" w:right="462"/>
                          <w:jc w:val="center"/>
                          <w:rPr>
                            <w:rFonts w:ascii="Calibri"/>
                            <w:sz w:val="20"/>
                          </w:rPr>
                        </w:pPr>
                        <w:r>
                          <w:rPr>
                            <w:rFonts w:ascii="Calibri"/>
                            <w:w w:val="105"/>
                            <w:sz w:val="20"/>
                          </w:rPr>
                          <w:t>securities</w:t>
                        </w:r>
                      </w:p>
                      <w:p>
                        <w:pPr>
                          <w:pStyle w:val="TableParagraph"/>
                          <w:spacing w:before="31"/>
                          <w:ind w:left="193" w:right="462"/>
                          <w:jc w:val="center"/>
                          <w:rPr>
                            <w:rFonts w:ascii="Calibri"/>
                            <w:sz w:val="20"/>
                          </w:rPr>
                        </w:pPr>
                        <w:r>
                          <w:rPr>
                            <w:rFonts w:ascii="Calibri"/>
                            <w:w w:val="105"/>
                            <w:sz w:val="20"/>
                          </w:rPr>
                          <w:t>(+)</w:t>
                        </w:r>
                      </w:p>
                    </w:tc>
                    <w:tc>
                      <w:tcPr>
                        <w:tcW w:w="2257" w:type="dxa"/>
                        <w:shd w:val="clear" w:color="auto" w:fill="92D050"/>
                      </w:tcPr>
                      <w:p>
                        <w:pPr>
                          <w:pStyle w:val="TableParagraph"/>
                          <w:spacing w:before="15"/>
                          <w:ind w:left="407" w:right="140"/>
                          <w:jc w:val="center"/>
                          <w:rPr>
                            <w:rFonts w:ascii="Calibri"/>
                            <w:sz w:val="20"/>
                          </w:rPr>
                        </w:pPr>
                        <w:r>
                          <w:rPr>
                            <w:rFonts w:ascii="Calibri"/>
                            <w:w w:val="105"/>
                            <w:sz w:val="20"/>
                          </w:rPr>
                          <w:t>Notes in circulation</w:t>
                        </w:r>
                      </w:p>
                      <w:p>
                        <w:pPr>
                          <w:pStyle w:val="TableParagraph"/>
                          <w:spacing w:line="225" w:lineRule="exact" w:before="32"/>
                          <w:ind w:left="407" w:right="128"/>
                          <w:jc w:val="center"/>
                          <w:rPr>
                            <w:rFonts w:ascii="Calibri"/>
                            <w:sz w:val="20"/>
                          </w:rPr>
                        </w:pPr>
                        <w:r>
                          <w:rPr>
                            <w:rFonts w:ascii="Calibri"/>
                            <w:w w:val="105"/>
                            <w:sz w:val="20"/>
                          </w:rPr>
                          <w:t>(+)</w:t>
                        </w:r>
                      </w:p>
                    </w:tc>
                  </w:tr>
                  <w:tr>
                    <w:trPr>
                      <w:trHeight w:val="535" w:hRule="atLeast"/>
                    </w:trPr>
                    <w:tc>
                      <w:tcPr>
                        <w:tcW w:w="2264" w:type="dxa"/>
                      </w:tcPr>
                      <w:p>
                        <w:pPr>
                          <w:pStyle w:val="TableParagraph"/>
                          <w:spacing w:before="15"/>
                          <w:ind w:left="406"/>
                          <w:rPr>
                            <w:rFonts w:ascii="Calibri"/>
                            <w:sz w:val="20"/>
                          </w:rPr>
                        </w:pPr>
                        <w:r>
                          <w:rPr>
                            <w:rFonts w:ascii="Calibri"/>
                            <w:w w:val="105"/>
                            <w:sz w:val="20"/>
                          </w:rPr>
                          <w:t>Private sector</w:t>
                        </w:r>
                      </w:p>
                      <w:p>
                        <w:pPr>
                          <w:pStyle w:val="TableParagraph"/>
                          <w:spacing w:line="225" w:lineRule="exact" w:before="32"/>
                          <w:ind w:left="309"/>
                          <w:rPr>
                            <w:rFonts w:ascii="Calibri"/>
                            <w:sz w:val="20"/>
                          </w:rPr>
                        </w:pPr>
                        <w:r>
                          <w:rPr>
                            <w:rFonts w:ascii="Calibri"/>
                            <w:w w:val="105"/>
                            <w:sz w:val="20"/>
                          </w:rPr>
                          <w:t>loans/securities</w:t>
                        </w:r>
                      </w:p>
                    </w:tc>
                    <w:tc>
                      <w:tcPr>
                        <w:tcW w:w="2257" w:type="dxa"/>
                        <w:vMerge w:val="restart"/>
                      </w:tcPr>
                      <w:p>
                        <w:pPr>
                          <w:pStyle w:val="TableParagraph"/>
                          <w:spacing w:before="1"/>
                          <w:rPr>
                            <w:sz w:val="24"/>
                          </w:rPr>
                        </w:pPr>
                      </w:p>
                      <w:p>
                        <w:pPr>
                          <w:pStyle w:val="TableParagraph"/>
                          <w:spacing w:line="271" w:lineRule="auto"/>
                          <w:ind w:left="595" w:right="59" w:firstLine="179"/>
                          <w:rPr>
                            <w:rFonts w:ascii="Calibri"/>
                            <w:sz w:val="20"/>
                          </w:rPr>
                        </w:pPr>
                        <w:r>
                          <w:rPr>
                            <w:rFonts w:ascii="Calibri"/>
                            <w:w w:val="105"/>
                            <w:sz w:val="20"/>
                          </w:rPr>
                          <w:t>Capital and other liabilities</w:t>
                        </w:r>
                      </w:p>
                    </w:tc>
                  </w:tr>
                  <w:tr>
                    <w:trPr>
                      <w:trHeight w:val="535" w:hRule="atLeast"/>
                    </w:trPr>
                    <w:tc>
                      <w:tcPr>
                        <w:tcW w:w="2264" w:type="dxa"/>
                      </w:tcPr>
                      <w:p>
                        <w:pPr>
                          <w:pStyle w:val="TableParagraph"/>
                          <w:spacing w:before="139"/>
                          <w:ind w:left="209" w:right="462"/>
                          <w:jc w:val="center"/>
                          <w:rPr>
                            <w:rFonts w:ascii="Calibri"/>
                            <w:sz w:val="20"/>
                          </w:rPr>
                        </w:pPr>
                        <w:r>
                          <w:rPr>
                            <w:rFonts w:ascii="Calibri"/>
                            <w:w w:val="105"/>
                            <w:sz w:val="20"/>
                          </w:rPr>
                          <w:t>Net foreign assets</w:t>
                        </w:r>
                      </w:p>
                    </w:tc>
                    <w:tc>
                      <w:tcPr>
                        <w:tcW w:w="2257" w:type="dxa"/>
                        <w:vMerge/>
                        <w:tcBorders>
                          <w:top w:val="nil"/>
                        </w:tcBorders>
                      </w:tcPr>
                      <w:p>
                        <w:pPr>
                          <w:rPr>
                            <w:sz w:val="2"/>
                            <w:szCs w:val="2"/>
                          </w:rPr>
                        </w:pPr>
                      </w:p>
                    </w:tc>
                  </w:tr>
                </w:tbl>
                <w:p>
                  <w:pPr>
                    <w:pStyle w:val="BodyText"/>
                  </w:pPr>
                </w:p>
              </w:txbxContent>
            </v:textbox>
            <w10:wrap type="none"/>
          </v:shape>
        </w:pict>
      </w:r>
      <w:r>
        <w:rPr/>
        <w:t>reserves.</w:t>
      </w:r>
      <w:r>
        <w:rPr>
          <w:position w:val="6"/>
          <w:sz w:val="13"/>
        </w:rPr>
        <w:t>3 </w:t>
      </w:r>
      <w:r>
        <w:rPr/>
        <w:t>These are all accurate descriptions of the same operations, which have been part of standard central banking operations for at least a century.</w:t>
      </w:r>
    </w:p>
    <w:p>
      <w:pPr>
        <w:pStyle w:val="BodyText"/>
        <w:spacing w:before="9"/>
        <w:rPr>
          <w:sz w:val="12"/>
        </w:rPr>
      </w:pPr>
    </w:p>
    <w:p>
      <w:pPr>
        <w:spacing w:after="0"/>
        <w:rPr>
          <w:sz w:val="12"/>
        </w:rPr>
        <w:sectPr>
          <w:type w:val="continuous"/>
          <w:pgSz w:w="11910" w:h="16840"/>
          <w:pgMar w:top="1180" w:bottom="1520" w:left="820" w:right="960"/>
        </w:sectPr>
      </w:pPr>
    </w:p>
    <w:p>
      <w:pPr>
        <w:pStyle w:val="BodyText"/>
        <w:spacing w:before="3"/>
        <w:rPr>
          <w:sz w:val="17"/>
        </w:rPr>
      </w:pPr>
    </w:p>
    <w:p>
      <w:pPr>
        <w:pStyle w:val="Heading2"/>
        <w:spacing w:line="288" w:lineRule="auto"/>
        <w:ind w:right="18"/>
      </w:pPr>
      <w:r>
        <w:rPr/>
        <w:t>Diagram 2: Market equilibrium with scarce reserves</w:t>
      </w:r>
    </w:p>
    <w:p>
      <w:pPr>
        <w:pStyle w:val="BodyText"/>
        <w:rPr>
          <w:b/>
          <w:sz w:val="22"/>
        </w:rPr>
      </w:pPr>
    </w:p>
    <w:p>
      <w:pPr>
        <w:spacing w:line="360" w:lineRule="auto" w:before="142"/>
        <w:ind w:left="2081" w:right="18" w:firstLine="0"/>
        <w:jc w:val="left"/>
        <w:rPr>
          <w:sz w:val="15"/>
        </w:rPr>
      </w:pPr>
      <w:r>
        <w:rPr/>
        <w:pict>
          <v:line style="position:absolute;mso-position-horizontal-relative:page;mso-position-vertical-relative:paragraph;z-index:251666432" from="128.057053pt,11.663944pt" to="143.057232pt,11.671915pt" stroked="true" strokeweight="1.793454pt" strokecolor="#006fc0">
            <v:stroke dashstyle="solid"/>
            <w10:wrap type="none"/>
          </v:line>
        </w:pict>
      </w:r>
      <w:r>
        <w:rPr/>
        <w:pict>
          <v:line style="position:absolute;mso-position-horizontal-relative:page;mso-position-vertical-relative:paragraph;z-index:251667456" from="128.057053pt,24.218124pt" to="143.057232pt,24.226095pt" stroked="true" strokeweight="1.793454pt" strokecolor="#c00000">
            <v:stroke dashstyle="solid"/>
            <w10:wrap type="none"/>
          </v:line>
        </w:pict>
      </w:r>
      <w:r>
        <w:rPr>
          <w:w w:val="105"/>
          <w:sz w:val="15"/>
        </w:rPr>
        <w:t>Demand schedule for reserves Reserves supply</w:t>
      </w:r>
    </w:p>
    <w:p>
      <w:pPr>
        <w:spacing w:line="150" w:lineRule="exact" w:before="0"/>
        <w:ind w:left="579" w:right="0" w:firstLine="0"/>
        <w:jc w:val="left"/>
        <w:rPr>
          <w:sz w:val="15"/>
        </w:rPr>
      </w:pPr>
      <w:r>
        <w:rPr/>
        <w:pict>
          <v:group style="position:absolute;margin-left:107.962166pt;margin-top:1.113305pt;width:167.4pt;height:138.1pt;mso-position-horizontal-relative:page;mso-position-vertical-relative:paragraph;z-index:251665408" coordorigin="2159,22" coordsize="3348,2762">
            <v:shape style="position:absolute;left:1275;top:5511;width:4170;height:3465" coordorigin="1275,5512" coordsize="4170,3465" path="m2171,2784l2171,22m2171,2282l5506,2282e" filled="false" stroked="true" strokeweight="1.197665pt" strokecolor="#000000">
              <v:path arrowok="t"/>
              <v:stroke dashstyle="solid"/>
            </v:shape>
            <v:shape style="position:absolute;left:2513;top:279;width:2664;height:2009" coordorigin="2513,279" coordsize="2664,2009" path="m2513,279l2837,781,3173,1284,3509,1786,3845,2288,4181,2288,4505,2288,4841,2288,5177,2288e" filled="false" stroked="true" strokeweight="1.795661pt" strokecolor="#006fc0">
              <v:path arrowok="t"/>
              <v:stroke dashstyle="solid"/>
            </v:shape>
            <v:line style="position:absolute" from="3173,2539" to="3173,148" stroked="true" strokeweight="1.799542pt" strokecolor="#c00000">
              <v:stroke dashstyle="solid"/>
            </v:line>
            <v:line style="position:absolute" from="2171,1284" to="3179,1284" stroked="true" strokeweight=".597818pt" strokecolor="#000000">
              <v:stroke dashstyle="shortdot"/>
            </v:line>
            <v:shape style="position:absolute;left:4634;top:2376;width:786;height:355" type="#_x0000_t202" filled="false" stroked="false">
              <v:textbox inset="0,0,0,0">
                <w:txbxContent>
                  <w:p>
                    <w:pPr>
                      <w:spacing w:line="249" w:lineRule="auto" w:before="0"/>
                      <w:ind w:left="180" w:right="-18" w:hanging="181"/>
                      <w:jc w:val="left"/>
                      <w:rPr>
                        <w:sz w:val="15"/>
                      </w:rPr>
                    </w:pPr>
                    <w:r>
                      <w:rPr>
                        <w:w w:val="105"/>
                        <w:sz w:val="15"/>
                      </w:rPr>
                      <w:t>Quantity of reserves</w:t>
                    </w:r>
                  </w:p>
                </w:txbxContent>
              </v:textbox>
              <w10:wrap type="none"/>
            </v:shape>
            <w10:wrap type="none"/>
          </v:group>
        </w:pict>
      </w:r>
      <w:r>
        <w:rPr>
          <w:w w:val="105"/>
          <w:sz w:val="15"/>
        </w:rPr>
        <w:t>Short-term</w:t>
      </w:r>
    </w:p>
    <w:p>
      <w:pPr>
        <w:spacing w:before="7"/>
        <w:ind w:left="483" w:right="0" w:firstLine="0"/>
        <w:jc w:val="left"/>
        <w:rPr>
          <w:sz w:val="15"/>
        </w:rPr>
      </w:pPr>
      <w:r>
        <w:rPr>
          <w:w w:val="105"/>
          <w:sz w:val="15"/>
        </w:rPr>
        <w:t>interest</w:t>
      </w:r>
      <w:r>
        <w:rPr>
          <w:spacing w:val="-5"/>
          <w:w w:val="105"/>
          <w:sz w:val="15"/>
        </w:rPr>
        <w:t> </w:t>
      </w:r>
      <w:r>
        <w:rPr>
          <w:w w:val="105"/>
          <w:sz w:val="15"/>
        </w:rPr>
        <w:t>rate</w:t>
      </w:r>
    </w:p>
    <w:p>
      <w:pPr>
        <w:pStyle w:val="BodyText"/>
        <w:rPr>
          <w:sz w:val="16"/>
        </w:rPr>
      </w:pPr>
    </w:p>
    <w:p>
      <w:pPr>
        <w:pStyle w:val="BodyText"/>
        <w:rPr>
          <w:sz w:val="16"/>
        </w:rPr>
      </w:pPr>
    </w:p>
    <w:p>
      <w:pPr>
        <w:pStyle w:val="BodyText"/>
        <w:rPr>
          <w:sz w:val="16"/>
        </w:rPr>
      </w:pPr>
    </w:p>
    <w:p>
      <w:pPr>
        <w:pStyle w:val="BodyText"/>
        <w:spacing w:before="10"/>
        <w:rPr>
          <w:sz w:val="18"/>
        </w:rPr>
      </w:pPr>
    </w:p>
    <w:p>
      <w:pPr>
        <w:spacing w:before="0"/>
        <w:ind w:left="0" w:right="3059" w:firstLine="0"/>
        <w:jc w:val="right"/>
        <w:rPr>
          <w:sz w:val="15"/>
        </w:rPr>
      </w:pPr>
      <w:r>
        <w:rPr>
          <w:spacing w:val="-1"/>
          <w:sz w:val="15"/>
        </w:rPr>
        <w:t>Equilibrium</w:t>
      </w:r>
    </w:p>
    <w:p>
      <w:pPr>
        <w:spacing w:before="8"/>
        <w:ind w:left="0" w:right="3057" w:firstLine="0"/>
        <w:jc w:val="right"/>
        <w:rPr>
          <w:sz w:val="15"/>
        </w:rPr>
      </w:pPr>
      <w:r>
        <w:rPr>
          <w:spacing w:val="-2"/>
          <w:w w:val="105"/>
          <w:sz w:val="15"/>
        </w:rPr>
        <w:t>rate</w:t>
      </w:r>
    </w:p>
    <w:p>
      <w:pPr>
        <w:pStyle w:val="BodyText"/>
        <w:rPr>
          <w:sz w:val="16"/>
        </w:rPr>
      </w:pPr>
    </w:p>
    <w:p>
      <w:pPr>
        <w:pStyle w:val="BodyText"/>
        <w:rPr>
          <w:sz w:val="16"/>
        </w:rPr>
      </w:pPr>
    </w:p>
    <w:p>
      <w:pPr>
        <w:pStyle w:val="BodyText"/>
        <w:rPr>
          <w:sz w:val="16"/>
        </w:rPr>
      </w:pPr>
    </w:p>
    <w:p>
      <w:pPr>
        <w:pStyle w:val="BodyText"/>
        <w:spacing w:before="9"/>
        <w:rPr>
          <w:sz w:val="15"/>
        </w:rPr>
      </w:pPr>
    </w:p>
    <w:p>
      <w:pPr>
        <w:spacing w:before="0"/>
        <w:ind w:left="0" w:right="3056" w:firstLine="0"/>
        <w:jc w:val="right"/>
        <w:rPr>
          <w:sz w:val="15"/>
        </w:rPr>
      </w:pPr>
      <w:r>
        <w:rPr>
          <w:w w:val="104"/>
          <w:sz w:val="15"/>
        </w:rPr>
        <w:t>0</w:t>
      </w:r>
    </w:p>
    <w:p>
      <w:pPr>
        <w:pStyle w:val="BodyText"/>
        <w:spacing w:line="288" w:lineRule="auto" w:before="93"/>
        <w:ind w:left="312" w:right="182"/>
      </w:pPr>
      <w:r>
        <w:rPr/>
        <w:br w:type="column"/>
      </w:r>
      <w:r>
        <w:rPr/>
        <w:t>Central banks also provide notes, i.e. paper money. In open market operations, banks receive reserves and they can decide how much of the proceeds they would like to convert into notes, and how much to retain in their reserve accounts. In general, the notes component of central bank liabilities is fairly stable (see Figure 1), and reflects underlying demand by households and non-financial businesses for notes as means of payment.</w:t>
      </w:r>
    </w:p>
    <w:p>
      <w:pPr>
        <w:pStyle w:val="BodyText"/>
        <w:spacing w:line="288" w:lineRule="auto" w:before="120"/>
        <w:ind w:left="312" w:right="276"/>
      </w:pPr>
      <w:r>
        <w:rPr/>
        <w:t>The fact that banks have some demand for reserves allows the central bank to affect the short-term interest rate. In particular, the short-term interest rates that a central bank affects most directly are the rates at which financial institutions borrow and lend reserves to each other. By controlling the level of reserves and/or the terms on which it is prepared to supply them, the central bank is able to set the level</w:t>
      </w:r>
    </w:p>
    <w:p>
      <w:pPr>
        <w:spacing w:after="0" w:line="288" w:lineRule="auto"/>
        <w:sectPr>
          <w:type w:val="continuous"/>
          <w:pgSz w:w="11910" w:h="16840"/>
          <w:pgMar w:top="1180" w:bottom="1520" w:left="820" w:right="960"/>
          <w:cols w:num="2" w:equalWidth="0">
            <w:col w:w="4363" w:space="512"/>
            <w:col w:w="5255"/>
          </w:cols>
        </w:sectPr>
      </w:pPr>
    </w:p>
    <w:p>
      <w:pPr>
        <w:pStyle w:val="BodyText"/>
        <w:spacing w:before="1"/>
        <w:ind w:left="312"/>
        <w:rPr>
          <w:sz w:val="13"/>
        </w:rPr>
      </w:pPr>
      <w:r>
        <w:rPr/>
        <w:t>of short-term interest rates in the economy required to meet the inflation target, as shown in Diagram 2.</w:t>
      </w:r>
      <w:r>
        <w:rPr>
          <w:position w:val="6"/>
          <w:sz w:val="13"/>
        </w:rPr>
        <w:t>4</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1"/>
        </w:rPr>
      </w:pPr>
      <w:r>
        <w:rPr/>
        <w:pict>
          <v:shape style="position:absolute;margin-left:56.639999pt;margin-top:8.856104pt;width:144.050pt;height:.1pt;mso-position-horizontal-relative:page;mso-position-vertical-relative:paragraph;z-index:-251653120;mso-wrap-distance-left:0;mso-wrap-distance-right:0" coordorigin="1133,177" coordsize="2881,0" path="m1133,177l4014,177e" filled="false" stroked="true" strokeweight=".47998pt" strokecolor="#000000">
            <v:path arrowok="t"/>
            <v:stroke dashstyle="solid"/>
            <w10:wrap type="topAndBottom"/>
          </v:shape>
        </w:pict>
      </w:r>
    </w:p>
    <w:p>
      <w:pPr>
        <w:spacing w:before="47"/>
        <w:ind w:left="312" w:right="414" w:firstLine="0"/>
        <w:jc w:val="left"/>
        <w:rPr>
          <w:sz w:val="16"/>
        </w:rPr>
      </w:pPr>
      <w:r>
        <w:rPr>
          <w:position w:val="6"/>
          <w:sz w:val="10"/>
        </w:rPr>
        <w:t>2 </w:t>
      </w:r>
      <w:r>
        <w:rPr>
          <w:sz w:val="16"/>
        </w:rPr>
        <w:t>This is a general and simplified description of monetary policy before QE, i.e. before 2009. Since then, the ample reserve regime (more on that later in the speech) has meant that repo-based regular open market operations are not currently used. There now repo facilities available for liquidity insurance, against wider collateral than just government bonds. See Hauser (2019).</w:t>
      </w:r>
    </w:p>
    <w:p>
      <w:pPr>
        <w:spacing w:line="240" w:lineRule="auto" w:before="0"/>
        <w:ind w:left="312" w:right="0" w:firstLine="0"/>
        <w:jc w:val="left"/>
        <w:rPr>
          <w:sz w:val="16"/>
        </w:rPr>
      </w:pPr>
      <w:r>
        <w:rPr>
          <w:position w:val="6"/>
          <w:sz w:val="10"/>
        </w:rPr>
        <w:t>3 </w:t>
      </w:r>
      <w:r>
        <w:rPr>
          <w:sz w:val="16"/>
        </w:rPr>
        <w:t>I using “printing” figuratively here as the transaction is entirely electronic. I use it here simply because many commentators use this terminology to refer to this type of transaction.</w:t>
      </w:r>
    </w:p>
    <w:p>
      <w:pPr>
        <w:spacing w:line="240" w:lineRule="auto" w:before="0"/>
        <w:ind w:left="312" w:right="336" w:firstLine="0"/>
        <w:jc w:val="left"/>
        <w:rPr>
          <w:sz w:val="16"/>
        </w:rPr>
      </w:pPr>
      <w:r>
        <w:rPr>
          <w:position w:val="6"/>
          <w:sz w:val="10"/>
        </w:rPr>
        <w:t>4 </w:t>
      </w:r>
      <w:r>
        <w:rPr>
          <w:sz w:val="16"/>
        </w:rPr>
        <w:t>I am skipping over a lot of detail about how precisely each central bank implements these operations, which varies across countries, but such details are not necessary for my main argument. For example, it is no longer just banks that hold reserve accounts with the Bank of England, other financial institutions do so as well. In the current framework the Bank of England directly administers the policy rate, called Bank Rate, which is the key reference rate for all other sterling interest rates. Bank Rate and expectations about the future level of Bank Rate influences the interest rates that financial institutions pay to borrow from one another in wholesale money markets. For a detailed description of the current money market operations in the UK, see </w:t>
      </w:r>
      <w:hyperlink r:id="rId9">
        <w:r>
          <w:rPr>
            <w:color w:val="0000FF"/>
            <w:sz w:val="16"/>
            <w:u w:val="single" w:color="0000FF"/>
          </w:rPr>
          <w:t>https://www.bankofengland.co.uk/markets/bank-of-</w:t>
        </w:r>
      </w:hyperlink>
      <w:r>
        <w:rPr>
          <w:color w:val="0000FF"/>
          <w:sz w:val="16"/>
        </w:rPr>
        <w:t> </w:t>
      </w:r>
      <w:hyperlink r:id="rId9">
        <w:r>
          <w:rPr>
            <w:color w:val="0000FF"/>
            <w:sz w:val="16"/>
            <w:u w:val="single" w:color="0000FF"/>
          </w:rPr>
          <w:t>england-market-operations-guide</w:t>
        </w:r>
        <w:r>
          <w:rPr>
            <w:sz w:val="16"/>
          </w:rPr>
          <w:t>.</w:t>
        </w:r>
      </w:hyperlink>
    </w:p>
    <w:p>
      <w:pPr>
        <w:spacing w:after="0" w:line="240" w:lineRule="auto"/>
        <w:jc w:val="left"/>
        <w:rPr>
          <w:sz w:val="16"/>
        </w:rPr>
        <w:sectPr>
          <w:type w:val="continuous"/>
          <w:pgSz w:w="11910" w:h="16840"/>
          <w:pgMar w:top="1180" w:bottom="1520" w:left="820" w:right="960"/>
        </w:sectPr>
      </w:pPr>
    </w:p>
    <w:p>
      <w:pPr>
        <w:pStyle w:val="Heading1"/>
        <w:numPr>
          <w:ilvl w:val="0"/>
          <w:numId w:val="1"/>
        </w:numPr>
        <w:tabs>
          <w:tab w:pos="1034" w:val="left" w:leader="none"/>
        </w:tabs>
        <w:spacing w:line="240" w:lineRule="auto" w:before="64" w:after="0"/>
        <w:ind w:left="1033" w:right="0" w:hanging="361"/>
        <w:jc w:val="left"/>
      </w:pPr>
      <w:r>
        <w:rPr/>
        <w:t>Central bank balance sheets and unconventional monetary</w:t>
      </w:r>
      <w:r>
        <w:rPr>
          <w:spacing w:val="-12"/>
        </w:rPr>
        <w:t> </w:t>
      </w:r>
      <w:r>
        <w:rPr/>
        <w:t>policy</w:t>
      </w:r>
    </w:p>
    <w:p>
      <w:pPr>
        <w:pStyle w:val="BodyText"/>
        <w:rPr>
          <w:sz w:val="26"/>
        </w:rPr>
      </w:pPr>
    </w:p>
    <w:p>
      <w:pPr>
        <w:pStyle w:val="BodyText"/>
        <w:spacing w:line="288" w:lineRule="auto" w:before="219"/>
        <w:ind w:left="312"/>
      </w:pPr>
      <w:r>
        <w:rPr/>
        <w:t>So far, I have described conventional monetary policy, i.e. setting the policy rate. Now let’s discuss unconventional monetary policy, i.e. quantitative easing (QE) or asset purchases.</w:t>
      </w:r>
    </w:p>
    <w:p>
      <w:pPr>
        <w:pStyle w:val="BodyText"/>
        <w:spacing w:line="288" w:lineRule="auto" w:before="120"/>
        <w:ind w:left="312"/>
        <w:rPr>
          <w:sz w:val="13"/>
        </w:rPr>
      </w:pPr>
      <w:r>
        <w:rPr/>
        <w:t>In such operations, the central bank purchases government bonds, financed by issuing reserves, shown in Diagram 3. If you think that sounds very similar to conventional policy, you are correct. It involves the same basic balance sheet transaction as conventional monetary policy: buy government bonds, sell (or create, or “print”) reserves. It is just on a larger scale.</w:t>
      </w:r>
      <w:r>
        <w:rPr>
          <w:position w:val="6"/>
          <w:sz w:val="13"/>
        </w:rPr>
        <w:t>5</w:t>
      </w:r>
    </w:p>
    <w:p>
      <w:pPr>
        <w:pStyle w:val="BodyText"/>
        <w:spacing w:line="288" w:lineRule="auto" w:before="120"/>
        <w:ind w:left="312" w:right="259"/>
      </w:pPr>
      <w:r>
        <w:rPr/>
        <w:t>With conventional monetary policy, the central bank is just setting the short-term interest rates at the appropriate level to hit the inflation target. Assets purchases, or QE, are typically carried out when the short- term rate cannot be lowered further and the central bank judges that additional stimulus is required to hit the inflation target. In these circumstances, QE aims to stimulate spending by influencing longer-term interest rates.</w:t>
      </w:r>
    </w:p>
    <w:p>
      <w:pPr>
        <w:pStyle w:val="BodyText"/>
        <w:spacing w:before="121"/>
        <w:ind w:left="312"/>
      </w:pPr>
      <w:r>
        <w:rPr/>
        <w:t>In the process of buying government bonds, the central bank creates additional reserves. If reserves were</w:t>
      </w:r>
    </w:p>
    <w:p>
      <w:pPr>
        <w:spacing w:after="0"/>
        <w:sectPr>
          <w:footerReference w:type="default" r:id="rId10"/>
          <w:pgSz w:w="11910" w:h="16840"/>
          <w:pgMar w:footer="1338" w:header="0" w:top="1420" w:bottom="1520" w:left="820" w:right="960"/>
          <w:pgNumType w:start="5"/>
        </w:sectPr>
      </w:pPr>
    </w:p>
    <w:p>
      <w:pPr>
        <w:pStyle w:val="Heading2"/>
        <w:spacing w:line="288" w:lineRule="auto" w:before="188"/>
      </w:pPr>
      <w:r>
        <w:rPr/>
        <w:t>Diagram 3: Stylised central bank balance sheet after QE</w:t>
      </w:r>
    </w:p>
    <w:p>
      <w:pPr>
        <w:pStyle w:val="BodyText"/>
        <w:spacing w:line="288" w:lineRule="auto" w:before="46"/>
        <w:ind w:left="312" w:right="368"/>
        <w:rPr>
          <w:sz w:val="13"/>
        </w:rPr>
      </w:pPr>
      <w:r>
        <w:rPr/>
        <w:br w:type="column"/>
      </w:r>
      <w:r>
        <w:rPr/>
        <w:t>already at the level that banks desired before the QE operation, then QE will generate “ample reserves”. The central bank is no longer trying to balance reserve supply with the reserve demand from the banks. Rather, it is now the scale of QE operations that primarily drives the quantity of reserves.</w:t>
      </w:r>
      <w:r>
        <w:rPr>
          <w:position w:val="6"/>
          <w:sz w:val="13"/>
        </w:rPr>
        <w:t>6</w:t>
      </w:r>
    </w:p>
    <w:p>
      <w:pPr>
        <w:pStyle w:val="BodyText"/>
        <w:spacing w:line="288" w:lineRule="auto" w:before="118"/>
        <w:ind w:left="312" w:right="176"/>
      </w:pPr>
      <w:r>
        <w:rPr/>
        <w:pict>
          <v:shape style="position:absolute;margin-left:56.700001pt;margin-top:-55.754398pt;width:240.2pt;height:211.6pt;mso-position-horizontal-relative:page;mso-position-vertical-relative:paragraph;z-index:25167052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2385"/>
                  </w:tblGrid>
                  <w:tr>
                    <w:trPr>
                      <w:trHeight w:val="391" w:hRule="atLeast"/>
                    </w:trPr>
                    <w:tc>
                      <w:tcPr>
                        <w:tcW w:w="2396" w:type="dxa"/>
                        <w:tcBorders>
                          <w:bottom w:val="double" w:sz="2" w:space="0" w:color="000000"/>
                        </w:tcBorders>
                      </w:tcPr>
                      <w:p>
                        <w:pPr>
                          <w:pStyle w:val="TableParagraph"/>
                          <w:spacing w:line="247" w:lineRule="exact" w:before="124"/>
                          <w:ind w:left="230" w:right="495"/>
                          <w:jc w:val="center"/>
                          <w:rPr>
                            <w:rFonts w:ascii="Calibri"/>
                            <w:b/>
                            <w:sz w:val="22"/>
                          </w:rPr>
                        </w:pPr>
                        <w:r>
                          <w:rPr>
                            <w:rFonts w:ascii="Calibri"/>
                            <w:b/>
                            <w:sz w:val="22"/>
                          </w:rPr>
                          <w:t>Assets</w:t>
                        </w:r>
                      </w:p>
                    </w:tc>
                    <w:tc>
                      <w:tcPr>
                        <w:tcW w:w="2385" w:type="dxa"/>
                        <w:tcBorders>
                          <w:bottom w:val="double" w:sz="2" w:space="0" w:color="000000"/>
                        </w:tcBorders>
                      </w:tcPr>
                      <w:p>
                        <w:pPr>
                          <w:pStyle w:val="TableParagraph"/>
                          <w:spacing w:line="247" w:lineRule="exact" w:before="124"/>
                          <w:ind w:left="439" w:right="155"/>
                          <w:jc w:val="center"/>
                          <w:rPr>
                            <w:rFonts w:ascii="Calibri"/>
                            <w:b/>
                            <w:sz w:val="22"/>
                          </w:rPr>
                        </w:pPr>
                        <w:r>
                          <w:rPr>
                            <w:rFonts w:ascii="Calibri"/>
                            <w:b/>
                            <w:sz w:val="22"/>
                          </w:rPr>
                          <w:t>Liabilities</w:t>
                        </w:r>
                      </w:p>
                    </w:tc>
                  </w:tr>
                  <w:tr>
                    <w:trPr>
                      <w:trHeight w:val="1438" w:hRule="atLeast"/>
                    </w:trPr>
                    <w:tc>
                      <w:tcPr>
                        <w:tcW w:w="2396" w:type="dxa"/>
                        <w:tcBorders>
                          <w:top w:val="double" w:sz="2" w:space="0" w:color="000000"/>
                        </w:tcBorders>
                        <w:shd w:val="clear" w:color="auto" w:fill="00AFEF"/>
                      </w:tcPr>
                      <w:p>
                        <w:pPr>
                          <w:pStyle w:val="TableParagraph"/>
                          <w:spacing w:before="8"/>
                          <w:rPr>
                            <w:sz w:val="24"/>
                          </w:rPr>
                        </w:pPr>
                      </w:p>
                      <w:p>
                        <w:pPr>
                          <w:pStyle w:val="TableParagraph"/>
                          <w:spacing w:line="259" w:lineRule="auto"/>
                          <w:ind w:left="483" w:right="762"/>
                          <w:jc w:val="center"/>
                          <w:rPr>
                            <w:rFonts w:ascii="Calibri"/>
                            <w:sz w:val="22"/>
                          </w:rPr>
                        </w:pPr>
                        <w:r>
                          <w:rPr>
                            <w:rFonts w:ascii="Calibri"/>
                            <w:spacing w:val="3"/>
                            <w:sz w:val="22"/>
                          </w:rPr>
                          <w:t>Public</w:t>
                        </w:r>
                        <w:r>
                          <w:rPr>
                            <w:rFonts w:ascii="Calibri"/>
                            <w:spacing w:val="-9"/>
                            <w:sz w:val="22"/>
                          </w:rPr>
                          <w:t> </w:t>
                        </w:r>
                        <w:r>
                          <w:rPr>
                            <w:rFonts w:ascii="Calibri"/>
                            <w:spacing w:val="-3"/>
                            <w:sz w:val="22"/>
                          </w:rPr>
                          <w:t>sector </w:t>
                        </w:r>
                        <w:r>
                          <w:rPr>
                            <w:rFonts w:ascii="Calibri"/>
                            <w:sz w:val="22"/>
                          </w:rPr>
                          <w:t>securities  (+)</w:t>
                        </w:r>
                      </w:p>
                    </w:tc>
                    <w:tc>
                      <w:tcPr>
                        <w:tcW w:w="2385" w:type="dxa"/>
                        <w:tcBorders>
                          <w:top w:val="double" w:sz="2" w:space="0" w:color="000000"/>
                        </w:tcBorders>
                        <w:shd w:val="clear" w:color="auto" w:fill="00AFEF"/>
                      </w:tcPr>
                      <w:p>
                        <w:pPr>
                          <w:pStyle w:val="TableParagraph"/>
                          <w:rPr>
                            <w:sz w:val="22"/>
                          </w:rPr>
                        </w:pPr>
                      </w:p>
                      <w:p>
                        <w:pPr>
                          <w:pStyle w:val="TableParagraph"/>
                          <w:spacing w:line="259" w:lineRule="auto" w:before="177"/>
                          <w:ind w:left="1197" w:right="76" w:hanging="657"/>
                          <w:rPr>
                            <w:rFonts w:ascii="Calibri"/>
                            <w:sz w:val="22"/>
                          </w:rPr>
                        </w:pPr>
                        <w:r>
                          <w:rPr>
                            <w:rFonts w:ascii="Calibri"/>
                            <w:sz w:val="22"/>
                          </w:rPr>
                          <w:t>Reserve balances (+)</w:t>
                        </w:r>
                      </w:p>
                    </w:tc>
                  </w:tr>
                  <w:tr>
                    <w:trPr>
                      <w:trHeight w:val="566" w:hRule="atLeast"/>
                    </w:trPr>
                    <w:tc>
                      <w:tcPr>
                        <w:tcW w:w="2396" w:type="dxa"/>
                        <w:vMerge w:val="restart"/>
                      </w:tcPr>
                      <w:p>
                        <w:pPr>
                          <w:pStyle w:val="TableParagraph"/>
                          <w:spacing w:before="8"/>
                          <w:rPr>
                            <w:sz w:val="24"/>
                          </w:rPr>
                        </w:pPr>
                      </w:p>
                      <w:p>
                        <w:pPr>
                          <w:pStyle w:val="TableParagraph"/>
                          <w:spacing w:line="259" w:lineRule="auto" w:before="1"/>
                          <w:ind w:left="619" w:right="744" w:hanging="146"/>
                          <w:rPr>
                            <w:rFonts w:ascii="Calibri"/>
                            <w:sz w:val="22"/>
                          </w:rPr>
                        </w:pPr>
                        <w:r>
                          <w:rPr>
                            <w:rFonts w:ascii="Calibri"/>
                            <w:sz w:val="22"/>
                          </w:rPr>
                          <w:t>Public sector securities</w:t>
                        </w:r>
                      </w:p>
                    </w:tc>
                    <w:tc>
                      <w:tcPr>
                        <w:tcW w:w="2385" w:type="dxa"/>
                      </w:tcPr>
                      <w:p>
                        <w:pPr>
                          <w:pStyle w:val="TableParagraph"/>
                          <w:spacing w:before="139"/>
                          <w:ind w:left="426" w:right="157"/>
                          <w:jc w:val="center"/>
                          <w:rPr>
                            <w:rFonts w:ascii="Calibri"/>
                            <w:sz w:val="22"/>
                          </w:rPr>
                        </w:pPr>
                        <w:r>
                          <w:rPr>
                            <w:rFonts w:ascii="Calibri"/>
                            <w:sz w:val="22"/>
                          </w:rPr>
                          <w:t>Reserve balances</w:t>
                        </w:r>
                      </w:p>
                    </w:tc>
                  </w:tr>
                  <w:tr>
                    <w:trPr>
                      <w:trHeight w:val="566" w:hRule="atLeast"/>
                    </w:trPr>
                    <w:tc>
                      <w:tcPr>
                        <w:tcW w:w="2396" w:type="dxa"/>
                        <w:vMerge/>
                        <w:tcBorders>
                          <w:top w:val="nil"/>
                        </w:tcBorders>
                      </w:tcPr>
                      <w:p>
                        <w:pPr>
                          <w:rPr>
                            <w:sz w:val="2"/>
                            <w:szCs w:val="2"/>
                          </w:rPr>
                        </w:pPr>
                      </w:p>
                    </w:tc>
                    <w:tc>
                      <w:tcPr>
                        <w:tcW w:w="2385" w:type="dxa"/>
                      </w:tcPr>
                      <w:p>
                        <w:pPr>
                          <w:pStyle w:val="TableParagraph"/>
                          <w:spacing w:before="139"/>
                          <w:ind w:left="439" w:right="157"/>
                          <w:jc w:val="center"/>
                          <w:rPr>
                            <w:rFonts w:ascii="Calibri"/>
                            <w:sz w:val="22"/>
                          </w:rPr>
                        </w:pPr>
                        <w:r>
                          <w:rPr>
                            <w:rFonts w:ascii="Calibri"/>
                            <w:sz w:val="22"/>
                          </w:rPr>
                          <w:t>Notes in circulation</w:t>
                        </w:r>
                      </w:p>
                    </w:tc>
                  </w:tr>
                  <w:tr>
                    <w:trPr>
                      <w:trHeight w:val="566" w:hRule="atLeast"/>
                    </w:trPr>
                    <w:tc>
                      <w:tcPr>
                        <w:tcW w:w="2396" w:type="dxa"/>
                      </w:tcPr>
                      <w:p>
                        <w:pPr>
                          <w:pStyle w:val="TableParagraph"/>
                          <w:spacing w:before="8"/>
                          <w:ind w:left="429"/>
                          <w:rPr>
                            <w:rFonts w:ascii="Calibri"/>
                            <w:sz w:val="22"/>
                          </w:rPr>
                        </w:pPr>
                        <w:r>
                          <w:rPr>
                            <w:rFonts w:ascii="Calibri"/>
                            <w:sz w:val="22"/>
                          </w:rPr>
                          <w:t>Private sector</w:t>
                        </w:r>
                      </w:p>
                      <w:p>
                        <w:pPr>
                          <w:pStyle w:val="TableParagraph"/>
                          <w:spacing w:line="247" w:lineRule="exact" w:before="23"/>
                          <w:ind w:left="327"/>
                          <w:rPr>
                            <w:rFonts w:ascii="Calibri"/>
                            <w:sz w:val="22"/>
                          </w:rPr>
                        </w:pPr>
                        <w:r>
                          <w:rPr>
                            <w:rFonts w:ascii="Calibri"/>
                            <w:sz w:val="22"/>
                          </w:rPr>
                          <w:t>loans/securities</w:t>
                        </w:r>
                      </w:p>
                    </w:tc>
                    <w:tc>
                      <w:tcPr>
                        <w:tcW w:w="2385" w:type="dxa"/>
                        <w:vMerge w:val="restart"/>
                      </w:tcPr>
                      <w:p>
                        <w:pPr>
                          <w:pStyle w:val="TableParagraph"/>
                          <w:spacing w:before="8"/>
                          <w:rPr>
                            <w:sz w:val="24"/>
                          </w:rPr>
                        </w:pPr>
                      </w:p>
                      <w:p>
                        <w:pPr>
                          <w:pStyle w:val="TableParagraph"/>
                          <w:spacing w:line="259" w:lineRule="auto" w:before="1"/>
                          <w:ind w:left="628" w:right="76" w:firstLine="189"/>
                          <w:rPr>
                            <w:rFonts w:ascii="Calibri"/>
                            <w:sz w:val="22"/>
                          </w:rPr>
                        </w:pPr>
                        <w:r>
                          <w:rPr>
                            <w:rFonts w:ascii="Calibri"/>
                            <w:sz w:val="22"/>
                          </w:rPr>
                          <w:t>Capital and other liabilities</w:t>
                        </w:r>
                      </w:p>
                    </w:tc>
                  </w:tr>
                  <w:tr>
                    <w:trPr>
                      <w:trHeight w:val="566" w:hRule="atLeast"/>
                    </w:trPr>
                    <w:tc>
                      <w:tcPr>
                        <w:tcW w:w="2396" w:type="dxa"/>
                      </w:tcPr>
                      <w:p>
                        <w:pPr>
                          <w:pStyle w:val="TableParagraph"/>
                          <w:spacing w:before="139"/>
                          <w:ind w:left="230" w:right="499"/>
                          <w:jc w:val="center"/>
                          <w:rPr>
                            <w:rFonts w:ascii="Calibri"/>
                            <w:sz w:val="22"/>
                          </w:rPr>
                        </w:pPr>
                        <w:r>
                          <w:rPr>
                            <w:rFonts w:ascii="Calibri"/>
                            <w:sz w:val="22"/>
                          </w:rPr>
                          <w:t>Net foreign assets</w:t>
                        </w:r>
                      </w:p>
                    </w:tc>
                    <w:tc>
                      <w:tcPr>
                        <w:tcW w:w="2385" w:type="dxa"/>
                        <w:vMerge/>
                        <w:tcBorders>
                          <w:top w:val="nil"/>
                        </w:tcBorders>
                      </w:tcPr>
                      <w:p>
                        <w:pPr>
                          <w:rPr>
                            <w:sz w:val="2"/>
                            <w:szCs w:val="2"/>
                          </w:rPr>
                        </w:pPr>
                      </w:p>
                    </w:tc>
                  </w:tr>
                </w:tbl>
                <w:p>
                  <w:pPr>
                    <w:pStyle w:val="BodyText"/>
                  </w:pPr>
                </w:p>
              </w:txbxContent>
            </v:textbox>
            <w10:wrap type="none"/>
          </v:shape>
        </w:pict>
      </w:r>
      <w:r>
        <w:rPr/>
        <w:t>The fact that central banks pay interest on reserves (IOR) is very important. If reserves did not earn interest, then the supply by central banks of ample reserves beyond what banks need at any given level of interest rates, would push the short- term interest rate to zero, as shown in Diagram 4.</w:t>
      </w:r>
      <w:r>
        <w:rPr>
          <w:position w:val="6"/>
          <w:sz w:val="13"/>
        </w:rPr>
        <w:t>7 </w:t>
      </w:r>
      <w:r>
        <w:rPr/>
        <w:t>In other words, QE operations would lead to a loss of central bank control over short term interest rates. Central banks would only be able to raise interest rates by unwinding the QE operations first, in order to remove the “ample” portion of the reserves.</w:t>
      </w:r>
      <w:r>
        <w:rPr>
          <w:position w:val="6"/>
          <w:sz w:val="13"/>
        </w:rPr>
        <w:t>8 </w:t>
      </w:r>
      <w:r>
        <w:rPr/>
        <w:t>Precisely to prevent this loss of</w:t>
      </w:r>
      <w:r>
        <w:rPr>
          <w:spacing w:val="-31"/>
        </w:rPr>
        <w:t> </w:t>
      </w:r>
      <w:r>
        <w:rPr/>
        <w:t>control</w:t>
      </w:r>
    </w:p>
    <w:p>
      <w:pPr>
        <w:spacing w:after="0" w:line="288" w:lineRule="auto"/>
        <w:sectPr>
          <w:type w:val="continuous"/>
          <w:pgSz w:w="11910" w:h="16840"/>
          <w:pgMar w:top="1180" w:bottom="1520" w:left="820" w:right="960"/>
          <w:cols w:num="2" w:equalWidth="0">
            <w:col w:w="4817" w:space="288"/>
            <w:col w:w="5025"/>
          </w:cols>
        </w:sectPr>
      </w:pPr>
    </w:p>
    <w:p>
      <w:pPr>
        <w:pStyle w:val="BodyText"/>
        <w:spacing w:line="288" w:lineRule="auto"/>
        <w:ind w:left="312" w:right="826"/>
        <w:rPr>
          <w:sz w:val="13"/>
        </w:rPr>
      </w:pPr>
      <w:r>
        <w:rPr/>
        <w:t>over short-term interest rates, all central banks that engage in QE have switched to paying interest on reserves, shown in Diagram 5.</w:t>
      </w:r>
      <w:r>
        <w:rPr>
          <w:position w:val="6"/>
          <w:sz w:val="13"/>
        </w:rPr>
        <w:t>9</w:t>
      </w:r>
    </w:p>
    <w:p>
      <w:pPr>
        <w:pStyle w:val="BodyText"/>
      </w:pPr>
    </w:p>
    <w:p>
      <w:pPr>
        <w:pStyle w:val="BodyText"/>
      </w:pPr>
    </w:p>
    <w:p>
      <w:pPr>
        <w:pStyle w:val="BodyText"/>
        <w:spacing w:before="9"/>
        <w:rPr>
          <w:sz w:val="10"/>
        </w:rPr>
      </w:pPr>
      <w:r>
        <w:rPr/>
        <w:pict>
          <v:shape style="position:absolute;margin-left:56.639999pt;margin-top:8.412881pt;width:144.050pt;height:.1pt;mso-position-horizontal-relative:page;mso-position-vertical-relative:paragraph;z-index:-251646976;mso-wrap-distance-left:0;mso-wrap-distance-right:0" coordorigin="1133,168" coordsize="2881,0" path="m1133,168l4014,168e" filled="false" stroked="true" strokeweight=".47998pt" strokecolor="#000000">
            <v:path arrowok="t"/>
            <v:stroke dashstyle="solid"/>
            <w10:wrap type="topAndBottom"/>
          </v:shape>
        </w:pict>
      </w:r>
    </w:p>
    <w:p>
      <w:pPr>
        <w:spacing w:before="50"/>
        <w:ind w:left="312" w:right="227" w:firstLine="0"/>
        <w:jc w:val="left"/>
        <w:rPr>
          <w:sz w:val="16"/>
        </w:rPr>
      </w:pPr>
      <w:r>
        <w:rPr>
          <w:position w:val="6"/>
          <w:sz w:val="10"/>
        </w:rPr>
        <w:t>5 </w:t>
      </w:r>
      <w:r>
        <w:rPr>
          <w:sz w:val="16"/>
        </w:rPr>
        <w:t>It is on a larger scale and all the operations are done via outright purchases, not a mix of outright purchases and repos, as is the case for conventional monetary policy. For simplicity, I am describing the transaction as if the bonds were held directly on the central bank balance sheet. In practice, in the UK, the bonds are held in a subsidiary of the Bank of England, called the Asset Purchase Facility (APF), and financed by a loan from the Bank of England. It is these loans, rather than the bonds themselves, which appear on the Bank of England balance sheet and which are financed by reserves. This particular structure has no impact on how the scheme works mechanically and economically. It only exists in order to create a separate legal entity, the APF, whose assets are covered against loss by a government indemnity </w:t>
      </w:r>
      <w:hyperlink r:id="rId11">
        <w:r>
          <w:rPr>
            <w:sz w:val="16"/>
          </w:rPr>
          <w:t>(</w:t>
        </w:r>
        <w:r>
          <w:rPr>
            <w:color w:val="0000FF"/>
            <w:sz w:val="16"/>
            <w:u w:val="single" w:color="0000FF"/>
          </w:rPr>
          <w:t>https://www.bankofengland.co.uk/letter/2020/apf-letters-march-2020</w:t>
        </w:r>
      </w:hyperlink>
      <w:r>
        <w:rPr>
          <w:sz w:val="16"/>
        </w:rPr>
        <w:t>).</w:t>
      </w:r>
    </w:p>
    <w:p>
      <w:pPr>
        <w:spacing w:line="240" w:lineRule="auto" w:before="0"/>
        <w:ind w:left="312" w:right="0" w:firstLine="0"/>
        <w:jc w:val="left"/>
        <w:rPr>
          <w:sz w:val="16"/>
        </w:rPr>
      </w:pPr>
      <w:r>
        <w:rPr>
          <w:position w:val="6"/>
          <w:sz w:val="10"/>
        </w:rPr>
        <w:t>6 </w:t>
      </w:r>
      <w:r>
        <w:rPr>
          <w:sz w:val="16"/>
        </w:rPr>
        <w:t>This may have important aggregate liquidity implications, as the level of excess reserves may determine banks’ willingness to provide liquidity in different markets (see Correa, Du and Liao (2020) and Altavilla </w:t>
      </w:r>
      <w:r>
        <w:rPr>
          <w:i/>
          <w:sz w:val="16"/>
        </w:rPr>
        <w:t>et al </w:t>
      </w:r>
      <w:r>
        <w:rPr>
          <w:sz w:val="16"/>
        </w:rPr>
        <w:t>(2019)).</w:t>
      </w:r>
    </w:p>
    <w:p>
      <w:pPr>
        <w:spacing w:line="182" w:lineRule="exact" w:before="0"/>
        <w:ind w:left="312" w:right="0" w:firstLine="0"/>
        <w:jc w:val="left"/>
        <w:rPr>
          <w:sz w:val="16"/>
        </w:rPr>
      </w:pPr>
      <w:r>
        <w:rPr>
          <w:position w:val="6"/>
          <w:sz w:val="10"/>
        </w:rPr>
        <w:t>7 </w:t>
      </w:r>
      <w:r>
        <w:rPr>
          <w:sz w:val="16"/>
        </w:rPr>
        <w:t>See for example Reis (2016).</w:t>
      </w:r>
    </w:p>
    <w:p>
      <w:pPr>
        <w:spacing w:line="185" w:lineRule="exact" w:before="0"/>
        <w:ind w:left="312" w:right="0" w:firstLine="0"/>
        <w:jc w:val="left"/>
        <w:rPr>
          <w:sz w:val="16"/>
        </w:rPr>
      </w:pPr>
      <w:r>
        <w:rPr>
          <w:position w:val="6"/>
          <w:sz w:val="10"/>
        </w:rPr>
        <w:t>8 </w:t>
      </w:r>
      <w:r>
        <w:rPr>
          <w:sz w:val="16"/>
        </w:rPr>
        <w:t>See Vlieghe (2019).</w:t>
      </w:r>
    </w:p>
    <w:p>
      <w:pPr>
        <w:spacing w:before="0"/>
        <w:ind w:left="312" w:right="192" w:firstLine="0"/>
        <w:jc w:val="left"/>
        <w:rPr>
          <w:sz w:val="16"/>
        </w:rPr>
      </w:pPr>
      <w:r>
        <w:rPr>
          <w:position w:val="6"/>
          <w:sz w:val="10"/>
        </w:rPr>
        <w:t>9 </w:t>
      </w:r>
      <w:r>
        <w:rPr>
          <w:sz w:val="16"/>
        </w:rPr>
        <w:t>Some central banks, like the Bank of England, were already paying interest on reserves before QE. See Hauser (2019) for this and more detail on current money market operations.</w:t>
      </w:r>
    </w:p>
    <w:p>
      <w:pPr>
        <w:spacing w:after="0"/>
        <w:jc w:val="left"/>
        <w:rPr>
          <w:sz w:val="16"/>
        </w:rPr>
        <w:sectPr>
          <w:type w:val="continuous"/>
          <w:pgSz w:w="11910" w:h="16840"/>
          <w:pgMar w:top="1180" w:bottom="1520" w:left="820" w:right="9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5"/>
        <w:gridCol w:w="4949"/>
      </w:tblGrid>
      <w:tr>
        <w:trPr>
          <w:trHeight w:val="660" w:hRule="atLeast"/>
        </w:trPr>
        <w:tc>
          <w:tcPr>
            <w:tcW w:w="4945" w:type="dxa"/>
          </w:tcPr>
          <w:p>
            <w:pPr>
              <w:pStyle w:val="TableParagraph"/>
              <w:spacing w:line="288" w:lineRule="auto"/>
              <w:ind w:left="200" w:right="116"/>
              <w:rPr>
                <w:b/>
                <w:sz w:val="20"/>
              </w:rPr>
            </w:pPr>
            <w:r>
              <w:rPr>
                <w:b/>
                <w:sz w:val="20"/>
              </w:rPr>
              <w:t>Diagram 4: Equilibrium with ample reserves and no IOR</w:t>
            </w:r>
          </w:p>
        </w:tc>
        <w:tc>
          <w:tcPr>
            <w:tcW w:w="4949" w:type="dxa"/>
          </w:tcPr>
          <w:p>
            <w:pPr>
              <w:pStyle w:val="TableParagraph"/>
              <w:spacing w:line="288" w:lineRule="auto"/>
              <w:ind w:left="183" w:right="138"/>
              <w:rPr>
                <w:b/>
                <w:sz w:val="20"/>
              </w:rPr>
            </w:pPr>
            <w:r>
              <w:rPr>
                <w:b/>
                <w:sz w:val="20"/>
              </w:rPr>
              <w:t>Diagram 5: Equilibrium with ample reserves and IOR</w:t>
            </w:r>
          </w:p>
        </w:tc>
      </w:tr>
      <w:tr>
        <w:trPr>
          <w:trHeight w:val="3473" w:hRule="atLeast"/>
        </w:trPr>
        <w:tc>
          <w:tcPr>
            <w:tcW w:w="4945" w:type="dxa"/>
          </w:tcPr>
          <w:p>
            <w:pPr>
              <w:pStyle w:val="TableParagraph"/>
              <w:spacing w:before="1"/>
              <w:rPr>
                <w:sz w:val="14"/>
              </w:rPr>
            </w:pPr>
          </w:p>
          <w:p>
            <w:pPr>
              <w:pStyle w:val="TableParagraph"/>
              <w:spacing w:line="360" w:lineRule="auto"/>
              <w:ind w:left="2039" w:right="116"/>
              <w:rPr>
                <w:sz w:val="15"/>
              </w:rPr>
            </w:pPr>
            <w:r>
              <w:rPr>
                <w:w w:val="105"/>
                <w:sz w:val="15"/>
              </w:rPr>
              <w:t>Demand schedule for reserves Reserves supply</w:t>
            </w:r>
          </w:p>
          <w:p>
            <w:pPr>
              <w:pStyle w:val="TableParagraph"/>
              <w:spacing w:line="152" w:lineRule="exact"/>
              <w:ind w:left="537"/>
              <w:rPr>
                <w:sz w:val="15"/>
              </w:rPr>
            </w:pPr>
            <w:r>
              <w:rPr>
                <w:w w:val="105"/>
                <w:sz w:val="15"/>
              </w:rPr>
              <w:t>Short-term</w:t>
            </w:r>
          </w:p>
          <w:p>
            <w:pPr>
              <w:pStyle w:val="TableParagraph"/>
              <w:spacing w:before="8"/>
              <w:ind w:left="440"/>
              <w:rPr>
                <w:sz w:val="15"/>
              </w:rPr>
            </w:pPr>
            <w:r>
              <w:rPr>
                <w:w w:val="105"/>
                <w:sz w:val="15"/>
              </w:rPr>
              <w:t>interest</w:t>
            </w:r>
            <w:r>
              <w:rPr>
                <w:spacing w:val="-5"/>
                <w:w w:val="105"/>
                <w:sz w:val="15"/>
              </w:rPr>
              <w:t> </w:t>
            </w:r>
            <w:r>
              <w:rPr>
                <w:w w:val="105"/>
                <w:sz w:val="15"/>
              </w:rPr>
              <w:t>rate</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9"/>
              <w:rPr>
                <w:sz w:val="17"/>
              </w:rPr>
            </w:pPr>
          </w:p>
          <w:p>
            <w:pPr>
              <w:pStyle w:val="TableParagraph"/>
              <w:ind w:left="1174"/>
              <w:rPr>
                <w:sz w:val="15"/>
              </w:rPr>
            </w:pPr>
            <w:r>
              <w:rPr>
                <w:w w:val="104"/>
                <w:sz w:val="15"/>
              </w:rPr>
              <w:t>0</w:t>
            </w:r>
          </w:p>
          <w:p>
            <w:pPr>
              <w:pStyle w:val="TableParagraph"/>
              <w:spacing w:line="252" w:lineRule="auto" w:before="20"/>
              <w:ind w:left="3952" w:right="116" w:hanging="181"/>
              <w:rPr>
                <w:sz w:val="15"/>
              </w:rPr>
            </w:pPr>
            <w:r>
              <w:rPr>
                <w:w w:val="105"/>
                <w:sz w:val="15"/>
              </w:rPr>
              <w:t>Quantity of reserves</w:t>
            </w:r>
          </w:p>
        </w:tc>
        <w:tc>
          <w:tcPr>
            <w:tcW w:w="4949" w:type="dxa"/>
          </w:tcPr>
          <w:p>
            <w:pPr>
              <w:pStyle w:val="TableParagraph"/>
              <w:spacing w:before="1"/>
              <w:rPr>
                <w:sz w:val="14"/>
              </w:rPr>
            </w:pPr>
          </w:p>
          <w:p>
            <w:pPr>
              <w:pStyle w:val="TableParagraph"/>
              <w:spacing w:line="360" w:lineRule="auto"/>
              <w:ind w:left="2021" w:right="138"/>
              <w:rPr>
                <w:sz w:val="15"/>
              </w:rPr>
            </w:pPr>
            <w:r>
              <w:rPr>
                <w:w w:val="105"/>
                <w:sz w:val="15"/>
              </w:rPr>
              <w:t>Demand schedule for reserves Reserves supply</w:t>
            </w:r>
          </w:p>
          <w:p>
            <w:pPr>
              <w:pStyle w:val="TableParagraph"/>
              <w:spacing w:line="152" w:lineRule="exact"/>
              <w:ind w:left="519"/>
              <w:rPr>
                <w:sz w:val="15"/>
              </w:rPr>
            </w:pPr>
            <w:r>
              <w:rPr>
                <w:w w:val="105"/>
                <w:sz w:val="15"/>
              </w:rPr>
              <w:t>Short-term</w:t>
            </w:r>
          </w:p>
          <w:p>
            <w:pPr>
              <w:pStyle w:val="TableParagraph"/>
              <w:spacing w:before="8"/>
              <w:ind w:left="423"/>
              <w:rPr>
                <w:sz w:val="15"/>
              </w:rPr>
            </w:pPr>
            <w:r>
              <w:rPr>
                <w:w w:val="105"/>
                <w:sz w:val="15"/>
              </w:rPr>
              <w:t>interest</w:t>
            </w:r>
            <w:r>
              <w:rPr>
                <w:spacing w:val="-5"/>
                <w:w w:val="105"/>
                <w:sz w:val="15"/>
              </w:rPr>
              <w:t> </w:t>
            </w:r>
            <w:r>
              <w:rPr>
                <w:w w:val="105"/>
                <w:sz w:val="15"/>
              </w:rPr>
              <w:t>rate</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52" w:lineRule="auto"/>
              <w:ind w:left="663" w:right="3702" w:hanging="169"/>
              <w:rPr>
                <w:sz w:val="15"/>
              </w:rPr>
            </w:pPr>
            <w:r>
              <w:rPr>
                <w:w w:val="105"/>
                <w:sz w:val="15"/>
              </w:rPr>
              <w:t>Interest </w:t>
            </w:r>
            <w:r>
              <w:rPr>
                <w:spacing w:val="-9"/>
                <w:w w:val="105"/>
                <w:sz w:val="15"/>
              </w:rPr>
              <w:t>on </w:t>
            </w:r>
            <w:r>
              <w:rPr>
                <w:spacing w:val="-5"/>
                <w:w w:val="105"/>
                <w:sz w:val="15"/>
              </w:rPr>
              <w:t>reserves</w:t>
            </w:r>
          </w:p>
          <w:p>
            <w:pPr>
              <w:pStyle w:val="TableParagraph"/>
              <w:spacing w:before="4"/>
              <w:rPr>
                <w:sz w:val="20"/>
              </w:rPr>
            </w:pPr>
          </w:p>
          <w:p>
            <w:pPr>
              <w:pStyle w:val="TableParagraph"/>
              <w:ind w:left="1156"/>
              <w:rPr>
                <w:sz w:val="15"/>
              </w:rPr>
            </w:pPr>
            <w:r>
              <w:rPr>
                <w:w w:val="104"/>
                <w:sz w:val="15"/>
              </w:rPr>
              <w:t>0</w:t>
            </w:r>
          </w:p>
          <w:p>
            <w:pPr>
              <w:pStyle w:val="TableParagraph"/>
              <w:spacing w:line="252" w:lineRule="auto" w:before="20"/>
              <w:ind w:left="3935" w:right="138" w:hanging="181"/>
              <w:rPr>
                <w:sz w:val="15"/>
              </w:rPr>
            </w:pPr>
            <w:r>
              <w:rPr>
                <w:w w:val="105"/>
                <w:sz w:val="15"/>
              </w:rPr>
              <w:t>Quantity of reserves</w:t>
            </w:r>
          </w:p>
        </w:tc>
      </w:tr>
    </w:tbl>
    <w:p>
      <w:pPr>
        <w:pStyle w:val="BodyText"/>
      </w:pPr>
      <w:r>
        <w:rPr/>
        <w:pict>
          <v:line style="position:absolute;mso-position-horizontal-relative:page;mso-position-vertical-relative:page;z-index:-253265920" from="131.575333pt,123.885452pt" to="146.574083pt,123.893448pt" stroked="true" strokeweight="1.798961pt" strokecolor="#006fc0">
            <v:stroke dashstyle="solid"/>
            <w10:wrap type="none"/>
          </v:line>
        </w:pict>
      </w:r>
      <w:r>
        <w:rPr/>
        <w:pict>
          <v:line style="position:absolute;mso-position-horizontal-relative:page;mso-position-vertical-relative:page;z-index:-253264896" from="131.575333pt,136.47818pt" to="146.574083pt,136.486175pt" stroked="true" strokeweight="1.798961pt" strokecolor="#c00000">
            <v:stroke dashstyle="solid"/>
            <w10:wrap type="none"/>
          </v:line>
        </w:pict>
      </w:r>
      <w:r>
        <w:rPr/>
        <w:pict>
          <v:line style="position:absolute;mso-position-horizontal-relative:page;mso-position-vertical-relative:page;z-index:-253262848" from="377.945343pt,123.885452pt" to="392.944094pt,123.893448pt" stroked="true" strokeweight="1.798961pt" strokecolor="#006fc0">
            <v:stroke dashstyle="solid"/>
            <w10:wrap type="none"/>
          </v:line>
        </w:pict>
      </w:r>
      <w:r>
        <w:rPr/>
        <w:pict>
          <v:line style="position:absolute;mso-position-horizontal-relative:page;mso-position-vertical-relative:page;z-index:-253261824" from="377.945343pt,136.47818pt" to="392.944094pt,136.486175pt" stroked="true" strokeweight="1.798961pt" strokecolor="#c00000">
            <v:stroke dashstyle="solid"/>
            <w10:wrap type="none"/>
          </v:line>
        </w:pict>
      </w:r>
    </w:p>
    <w:p>
      <w:pPr>
        <w:pStyle w:val="BodyText"/>
        <w:spacing w:before="10"/>
        <w:rPr>
          <w:sz w:val="18"/>
        </w:rPr>
      </w:pPr>
    </w:p>
    <w:p>
      <w:pPr>
        <w:pStyle w:val="BodyText"/>
        <w:spacing w:line="288" w:lineRule="auto" w:before="1"/>
        <w:ind w:left="312" w:right="192"/>
      </w:pPr>
      <w:r>
        <w:rPr/>
        <w:pict>
          <v:group style="position:absolute;margin-left:111.482368pt;margin-top:-160.563644pt;width:167.35pt;height:138.550pt;mso-position-horizontal-relative:page;mso-position-vertical-relative:paragraph;z-index:-253266944" coordorigin="2230,-3211" coordsize="3347,2771">
            <v:shape style="position:absolute;left:1275;top:7039;width:4170;height:3465" coordorigin="1275,7039" coordsize="4170,3465" path="m2242,-441l2242,-3211m2242,-945l5576,-945e" filled="false" stroked="true" strokeweight="1.199444pt" strokecolor="#000000">
              <v:path arrowok="t"/>
              <v:stroke dashstyle="solid"/>
            </v:shape>
            <v:shape style="position:absolute;left:2583;top:-2954;width:2664;height:2015" coordorigin="2584,-2954" coordsize="2664,2015" path="m2584,-2954l2907,-2450,3243,-1946,3579,-1442,3915,-939,4251,-939,4575,-939,4911,-939,5247,-939e" filled="false" stroked="true" strokeweight="1.79911pt" strokecolor="#006fc0">
              <v:path arrowok="t"/>
              <v:stroke dashstyle="solid"/>
            </v:shape>
            <v:line style="position:absolute" from="4575,-687" to="4575,-3085" stroked="true" strokeweight="1.79937pt" strokecolor="#c00000">
              <v:stroke dashstyle="solid"/>
            </v:line>
            <w10:wrap type="none"/>
          </v:group>
        </w:pict>
      </w:r>
      <w:r>
        <w:rPr/>
        <w:pict>
          <v:group style="position:absolute;margin-left:357.852356pt;margin-top:-160.563644pt;width:167.35pt;height:138.550pt;mso-position-horizontal-relative:page;mso-position-vertical-relative:paragraph;z-index:-253263872" coordorigin="7157,-3211" coordsize="3347,2771">
            <v:shape style="position:absolute;left:1275;top:7039;width:4170;height:3465" coordorigin="1275,7039" coordsize="4170,3465" path="m7169,-441l7169,-3211m7169,-945l10504,-945e" filled="false" stroked="true" strokeweight="1.199444pt" strokecolor="#000000">
              <v:path arrowok="t"/>
              <v:stroke dashstyle="solid"/>
            </v:shape>
            <v:shape style="position:absolute;left:7510;top:-2954;width:2664;height:1512" coordorigin="7511,-2954" coordsize="2664,1512" path="m7511,-2954l7835,-2450,8171,-1946,8507,-1442,8843,-1442,9178,-1442,9502,-1442,9838,-1442,10174,-1442e" filled="false" stroked="true" strokeweight="1.799061pt" strokecolor="#006fc0">
              <v:path arrowok="t"/>
              <v:stroke dashstyle="solid"/>
            </v:shape>
            <v:line style="position:absolute" from="9502,-687" to="9502,-3085" stroked="true" strokeweight="1.79937pt" strokecolor="#c00000">
              <v:stroke dashstyle="solid"/>
            </v:line>
            <v:line style="position:absolute" from="7169,-1442" to="8513,-1442" stroked="true" strokeweight=".599654pt" strokecolor="#000000">
              <v:stroke dashstyle="shortdot"/>
            </v:line>
            <w10:wrap type="none"/>
          </v:group>
        </w:pict>
      </w:r>
      <w:r>
        <w:rPr/>
        <w:pict>
          <v:group style="position:absolute;margin-left:67.20517pt;margin-top:126.99733pt;width:200.75pt;height:156.9pt;mso-position-horizontal-relative:page;mso-position-vertical-relative:paragraph;z-index:-253260800" coordorigin="1344,2540" coordsize="4015,3138">
            <v:shape style="position:absolute;left:142;top:7256;width:4006;height:3136" coordorigin="143,7257" coordsize="4006,3136" path="m5313,5670l5313,2547m5313,5670l5358,5670m5313,5043l5358,5043m5313,4415l5358,4415m5313,3803l5358,3803m5313,3175l5358,3175m5313,2547l5358,2547m1367,5043l5313,5043m1367,5043l1367,5088m1994,5043l1994,5088m2607,5043l2607,5088m3220,5043l3220,5088m3833,5043l3833,5088m4461,5043l4461,5088m5074,5043l5074,5088e" filled="false" stroked="true" strokeweight=".747304pt" strokecolor="#000000">
              <v:path arrowok="t"/>
              <v:stroke dashstyle="solid"/>
            </v:shape>
            <v:shape style="position:absolute;left:1359;top:2779;width:3932;height:2391" coordorigin="1359,2779" coordsize="3932,2391" path="m1359,4976l1374,4976,1374,4961,1389,4991,1389,5006,1404,5020,1419,5020,1419,5006,1434,5006,1449,5006,1464,5006,1479,5006,1494,4991,1494,4976,1509,4961,1523,4961,1538,4961,1553,4961,1568,4961,1583,4976,1598,4976,1613,4991,1613,4976,1733,4976,1748,4991,1763,4991,1778,4991,1793,4991,1808,5006,1822,5006,1837,5006,1837,4991,1852,4991,1867,4991,1867,4976,1882,4976,1897,4976,1897,4991,1912,4991,1927,4991,1942,4991,1957,4991,1957,4976,1972,4976,1987,4976,1987,4991,2002,4976,2017,4961,2032,4961,2047,4946,2062,4931,2077,4946,2092,4946,2107,4961,2121,4976,2136,4961,2136,4976,2151,4976,2166,4991,2166,4976,2181,4976,2196,4976,2196,4961,2211,4961,2226,4961,2241,4961,2256,4976,2271,4976,2271,4991,2286,5006,2301,5006,2316,5006,2316,5020,2331,5020,2346,5020,2361,5020,2376,5020,2376,5006,2391,5006,2406,5006,2420,5020,2435,5006,2435,5020,2450,5020,2465,5020,2480,5020,2495,5006,2495,4991,2510,4991,2525,4976,2540,4976,2540,4991,2555,4991,2555,4976,2570,4976,2585,4976,2600,4976,2615,4976,2630,4976,2630,4961,2734,4961,2734,4976,2749,4961,2749,4976,2764,4961,2779,4976,2794,4976,2809,4976,2824,4961,2839,4961,2854,4961,2869,4946,2884,4946,2899,4946,2899,4961,2914,4961,2929,4961,2944,4961,2959,4976,2959,4961,2974,4976,2989,4976,2989,4961,3004,4961,3018,4961,3033,4961,3048,4961,3048,4976,3138,4976,3153,4961,3168,4961,3168,4946,3183,4946,3198,4961,3198,4946,3213,4931,3213,4901,3228,4886,3243,4931,3258,4946,3273,4946,3273,4961,3288,4961,3303,4946,3317,4946,3317,4991,3332,4976,3332,4946,3347,4946,3362,4946,3362,4961,3377,4961,3377,4946,3392,4946,3392,4961,3407,4946,3422,4946,3437,4946,3452,4946,3467,4916,3482,4931,3497,4931,3497,4946,3512,4946,3512,4961,3527,4961,3542,4976,3542,4961,3557,4961,3557,4946,3572,4946,3572,4961,3587,4946,3602,4946,3616,4961,3616,4946,3631,4946,3646,4961,3661,4961,3661,4976,3676,4976,3676,4961,3691,4976,3766,4976,3781,4991,3796,4991,3796,4976,3811,4991,3811,5006,3826,4991,3841,5006,3841,4991,3856,4991,3856,4976,3871,4976,3871,4453,3886,4542,3901,4602,3915,4647,3930,4662,3930,4512,3945,4677,3960,4707,3960,4722,3975,4707,3975,5140,3990,5095,3990,4961,4005,5020,4020,4871,4020,4901,4035,4871,4035,4916,4050,4871,4065,4766,4080,4796,4080,4781,4095,4766,4095,4886,4110,4781,4125,4483,4140,4557,4140,4662,4155,4647,4170,4722,4185,4154,4185,3706,4199,3257,4199,2779,4214,3003,4214,3377,4229,3706,4244,3556,4244,3541,4259,3317,4259,3242,4274,3347,4274,4139,4289,4557,4304,4826,4304,5020,4319,4961,4334,5020,4334,5065,4349,5065,4364,5125,4364,5140,4379,5140,4394,5155,4409,5170,4424,5155,4439,5095,4439,4961,4454,4871,4454,4796,4469,4692,4484,4587,4484,4468,4498,4363,4498,4348,4513,4273,4513,4184,4528,4064,4543,4064,4543,4243,4558,4393,4558,4483,4573,4587,4573,4662,4588,4722,4603,4781,4603,4766,4618,4781,4618,4856,4633,4901,4633,4946,4648,4961,4663,4946,4663,4931,4678,4931,4678,4961,4693,4976,4708,4991,4723,5006,4738,5035,4753,5020,4753,5035,4768,5020,4783,5020,4783,5006,4797,5006,4797,4991,4812,4991,4827,4976,4842,4976,4857,4991,4857,5006,4872,4991,4872,5006,4887,4991,4902,4991,4902,5020,4917,5020,4932,4991,4932,4976,4947,4946,4962,4901,4962,4811,4977,4796,4977,4751,4992,4707,4992,4662,5007,4647,5022,4632,5022,4617,5037,4647,5052,4677,5052,4737,5067,4781,5082,4796,5082,4826,5096,4886,5096,4901,5111,4901,5126,4931,5126,4946,5141,4946,5141,4931,5156,4961,5156,4976,5171,4991,5186,5006,5186,5020,5201,5050,5216,5050,5216,5035,5231,5035,5246,5050,5246,5080,5261,5050,5276,5065,5291,5080e" filled="false" stroked="true" strokeweight="1.494438pt" strokecolor="#00af50">
              <v:path arrowok="t"/>
              <v:stroke dashstyle="solid"/>
            </v:shape>
            <v:shape style="position:absolute;left:1523;top:4796;width:3768;height:299" coordorigin="1523,4796" coordsize="3768,299" path="m1523,4871l1523,4871,1538,4871,1553,4871,1568,4871,1583,4871,1598,4886,1598,4901,1613,4886,1628,4886,1643,4886,1658,4886,1658,4871,1673,4871,1688,4871,1688,4886,1703,4871,1718,4871,1718,4886,1733,4886,1748,4871,1763,4871,1778,4886,1793,4886,1793,4856,1808,4856,1822,4841,1837,4841,1837,4856,1852,4856,1867,4856,1882,4856,1897,4871,1897,4856,1912,4856,1912,4841,1927,4856,1942,4841,1957,4826,1972,4811,1972,4826,1987,4811,1987,4826,2002,4841,2017,4826,2017,4841,2032,4841,2032,4826,2047,4826,2062,4811,2077,4826,2092,4826,2092,4811,2107,4811,2107,4826,2121,4826,2136,4811,2151,4826,2166,4826,2181,4826,2196,4811,2196,4796,2211,4796,2211,4811,2226,4811,2241,4826,2256,4841,2256,4856,2271,4856,2271,4871,2286,4871,2301,4886,2301,4901,2316,4916,2331,4916,2331,4931,2346,4946,2361,4946,2361,4961,2376,4961,2376,4976,2391,4976,2406,4976,2420,4976,2435,4976,2435,4991,2450,4991,2465,4991,2480,4991,2480,4976,2495,4991,2495,5006,2510,5020,2525,5006,2540,5020,2540,5006,2555,5020,2570,5006,2585,5006,2600,4991,2600,4976,2615,4976,2630,4976,2645,4976,2660,4976,2675,4976,2690,4991,2705,4991,2719,4991,2734,4976,2749,4976,2749,4961,2764,4946,2779,4946,2794,4931,2809,4916,2824,4916,2839,4916,2854,4931,2854,4916,2869,4931,2869,4916,2884,4916,2899,4916,2914,4931,2914,4916,2929,4901,2944,4916,2959,4901,2974,4901,2974,4916,2989,4976,3004,4976,3018,4976,3033,4976,3033,4991,3048,4976,3048,4991,3063,4991,3078,4991,3078,5006,3093,4931,3108,4931,3123,4946,3138,4946,3138,4961,3153,4946,3168,4976,3168,4991,3183,4976,3198,5006,3213,5006,3213,4991,3228,5006,3243,5006,3243,4976,3258,4976,3273,4961,3273,4946,3288,4931,3303,4931,3317,4931,3317,4946,3332,4916,3332,4931,3347,4946,3362,4946,3362,4946,3377,4946,3392,4946,3422,4946,3422,4961,3437,4976,3437,4961,3452,4976,3467,4976,3482,4976,3497,4976,3512,4976,3527,4961,3542,4961,3557,4961,3557,4946,3572,4946,3587,4961,3602,4961,3616,4976,3616,4961,3631,4961,3631,4931,3646,4946,3661,4946,3676,4931,3676,4946,3691,4931,3691,4916,3706,4931,3721,4916,3721,4931,3736,4931,3751,4931,3751,4916,3766,4916,3781,4901,3781,4916,3796,4901,3796,4916,3811,4901,3826,4886,3841,4886,3841,4901,3856,4886,3871,4886,3871,4901,3886,4871,3901,4886,3901,4871,3915,4871,3930,4886,3945,4886,3960,4886,3975,4886,3975,4871,3990,4886,4005,4871,4020,4886,4020,4901,4035,4901,4050,4886,4050,4901,4065,4901,4080,4916,4095,4916,4110,4916,4110,4901,4125,4871,4140,4856,4140,4841,4155,4841,4155,4826,4170,4826,4185,4856,4185,4871,4199,4886,4214,4916,4229,4931,4244,4946,4244,4976,4259,4886,4259,4901,4274,4901,4289,4901,4304,4901,4319,4931,4334,4961,4334,4976,4349,4976,4364,5080,4379,5080,4379,5065,4394,5065,4409,5065,4424,5065,4424,5065,4439,5080,4454,5080,4469,5095,4484,5095,4484,5080,4498,5080,4498,5095,4513,5095,4513,5080,4528,5080,4543,5065,4558,5035,4558,5050,4573,5020,4573,5035,4588,5035,4603,5035,4603,5020,4618,5020,4633,5006,4648,5006,4663,5035,4663,5020,4678,5020,4678,5035,4693,5035,4708,5035,4723,5050,4738,5065,4753,5065,4753,5050,4768,5065,4783,5080,4783,5050,4797,5035,4812,5050,4812,5035,4827,5050,4842,5050,4842,5035,4857,5035,4872,5020,4887,5020,4902,5035,4902,5020,4917,4991,4932,4976,4932,4961,4947,4961,4962,4961,4977,4961,4977,4976,4992,4946,4992,4931,5007,4946,5022,4976,5022,4991,5037,4991,5037,4976,5052,4976,5067,4976,5082,4976,5096,5006,5096,5020,5111,5006,5126,5006,5141,5020,5141,5035,5156,5020,5171,5006,5186,5035,5186,5020,5201,5020,5201,5006,5216,5020,5231,5006,5246,5006,5246,4991,5261,5006,5261,4991,5276,4991,5291,4976e" filled="false" stroked="true" strokeweight="1.494245pt" strokecolor="#006fc0">
              <v:path arrowok="t"/>
              <v:stroke dashstyle="solid"/>
            </v:shape>
            <w10:wrap type="none"/>
          </v:group>
        </w:pict>
      </w:r>
      <w:r>
        <w:rPr/>
        <w:pict>
          <v:line style="position:absolute;mso-position-horizontal-relative:page;mso-position-vertical-relative:paragraph;z-index:-253259776" from="102.336792pt,109.818558pt" to="121.771458pt,109.818558pt" stroked="true" strokeweight="1.49424pt" strokecolor="#00af50">
            <v:stroke dashstyle="solid"/>
            <w10:wrap type="none"/>
          </v:line>
        </w:pict>
      </w:r>
      <w:r>
        <w:rPr/>
        <w:pict>
          <v:line style="position:absolute;mso-position-horizontal-relative:page;mso-position-vertical-relative:paragraph;z-index:-253258752" from="102.336792pt,121.772476pt" to="121.771458pt,121.772476pt" stroked="true" strokeweight="1.49424pt" strokecolor="#006fc0">
            <v:stroke dashstyle="solid"/>
            <w10:wrap type="none"/>
          </v:line>
        </w:pict>
      </w:r>
      <w:r>
        <w:rPr/>
        <w:pict>
          <v:group style="position:absolute;margin-left:318.813049pt;margin-top:129.238693pt;width:198.5pt;height:158.8pt;mso-position-horizontal-relative:page;mso-position-vertical-relative:paragraph;z-index:-253257728" coordorigin="6376,2585" coordsize="3970,3176">
            <v:shape style="position:absolute;left:232;top:7301;width:3976;height:3181" coordorigin="233,7302" coordsize="3976,3181" path="m10301,5715l10301,2592m10301,5715l10346,5715m10301,5267l10346,5267m10301,4819l10346,4819m10301,4385l10346,4385m10301,3937l10346,3937m10301,3489l10346,3489m10301,3041l10346,3041m10301,2592l10346,2592m6384,5715l10301,5715m6384,5715l6384,5760m6997,5715l6997,5760m7610,5715l7610,5760m8223,5715l8223,5760m8836,5715l8836,5760m9449,5715l9449,5760m10062,5715l10062,5760e" filled="false" stroked="true" strokeweight=".747328pt" strokecolor="#000000">
              <v:path arrowok="t"/>
              <v:stroke dashstyle="solid"/>
            </v:shape>
            <v:shape style="position:absolute;left:6525;top:2988;width:3753;height:2346" coordorigin="6526,2988" coordsize="3753,2346" path="m6526,4542l6526,4542,6541,4527,6556,4527,6571,4512,6586,4512,6586,4497,6601,4483,6615,4468,6630,4468,6645,4453,6660,4438,6675,4423,6675,4408,6690,4393,6705,4393,6720,4393,6720,4378,6735,4363,6735,4348,6750,4333,6765,4333,6765,4318,6780,4303,6795,4273,6795,4258,6810,4243,6825,4228,6825,4214,6840,4199,6855,4199,6885,4169,6900,4154,6900,4109,6914,4094,6914,4064,6929,4064,6944,4049,6944,4034,6959,4019,6974,3989,6989,3975,7004,3960,7019,3930,7034,3915,7034,3900,7049,3885,7064,3870,7064,3855,7079,3840,7079,3825,7094,3810,7094,3780,7109,3765,7124,3750,7124,3735,7139,3706,7139,3676,7154,3676,7154,3646,7169,3631,7184,3616,7184,3601,7199,3571,7199,3541,7214,3526,7228,3511,7243,3511,7243,3481,7258,3466,7258,3452,7273,3437,7273,3407,7288,3392,7288,3377,7303,3362,7318,3362,7333,3332,7333,3347,7348,3347,7363,3347,7378,3332,7378,3347,7393,3332,7393,3317,7408,3302,7423,3287,7438,3287,7438,3302,7453,3287,7468,3287,7483,3287,7498,3317,7498,3347,7513,3347,7527,3347,7542,3332,7557,3347,7572,3347,7587,3332,7587,3347,7602,3347,7617,3347,7632,3347,7632,3362,7647,3362,7647,3377,7662,3377,7677,3377,7677,3392,7692,3392,7707,3392,7722,3392,7737,3377,7752,3362,7767,3332,7782,3332,7797,3317,7812,3302,7812,3287,7826,3302,7841,3302,7856,3302,7871,3302,7871,3272,7886,3272,7886,3257,7901,3242,7916,3242,7916,3212,7931,3198,7931,3183,7946,3212,7946,3183,7961,3183,7976,3168,7976,3153,7991,3272,7991,3287,8006,3272,8006,3257,8021,3242,8036,3242,8036,3227,8051,3227,8066,3227,8066,3183,8081,3212,8096,3198,8096,3212,8111,3183,8111,3198,8125,3183,8140,3198,8155,3198,8155,3212,8170,3257,8170,3272,8185,3287,8200,3302,8215,3302,8215,3377,8230,3392,8230,3302,8245,3287,8245,3272,8260,3272,8275,3272,8290,3257,8290,3272,8305,3257,8305,3287,8320,3287,8335,3287,8350,3287,8350,3257,8365,3257,8380,3257,8395,3242,8410,3257,8410,3287,8425,3317,8425,3332,8439,3332,8454,3317,8469,3347,8469,3332,8484,3317,8499,3302,8499,3317,8514,3302,8529,3302,8529,3317,8544,3317,8559,3332,8559,3347,8574,3317,8589,3347,8589,3362,8604,3332,8604,3347,8619,3332,8619,3317,8634,3287,8649,3287,8649,3302,8664,3287,8679,3272,8694,3242,8709,3257,8724,3242,8738,3212,8753,3168,8768,3168,8768,3123,8783,3123,8798,3123,8798,3093,8813,3063,8828,3048,8828,3018,8843,3033,8843,3018,8858,3003,8858,2988,8873,3750,8888,3616,8888,3541,8903,3541,8903,3437,8918,3422,8918,3407,8933,3586,8948,3362,8948,3317,8963,3287,8978,3287,8978,3257,8993,3422,9008,3272,9008,3466,9023,3407,9023,3466,9037,3556,9037,3392,9052,3362,9067,3496,9067,3466,9082,3511,9082,3496,9097,3481,9112,3661,9127,3900,9127,3840,9142,3795,9142,3661,9157,3601,9157,3646,9172,4214,9187,4497,9187,4692,9202,4826,9202,4781,9217,4737,9217,4751,9232,4796,9247,4796,9247,4751,9262,4751,9262,4737,9277,4737,9292,4737,9307,4737,9307,4751,9322,4722,9337,4722,9351,4707,9366,4692,9381,4692,9381,4677,9396,4662,9411,4662,9426,4707,9441,4811,9441,4871,9456,4901,9456,4961,9471,4991,9471,5035,9486,5065,9501,5065,9501,5080,9516,5110,9516,5140,9531,5155,9531,5170,9546,5155,9561,5155,9576,5155,9576,5170,9591,5185,9606,5185,9621,5185,9621,5170,9636,5185,9650,5200,9650,5185,9665,5185,9680,5185,9680,5200,9695,5200,9710,5200,9725,5185,9740,5200,9755,5200,9770,5215,9770,5200,9785,5215,9800,5215,9815,5215,9815,5230,9830,5215,9830,5230,9845,5215,9860,5215,9875,5215,9890,5230,9890,5215,9905,5215,9920,5215,9935,5215,9935,5230,9949,5245,9949,5260,9964,5274,9979,5289,9994,5304,10009,5319,10024,5319,10039,5304,10039,5319,10054,5319,10069,5319,10069,5334,10084,5334,10099,5334,10114,5334,10129,5334,10144,5334,10159,5334,10174,5334,10189,5319,10189,5334,10204,5334,10219,5334,10219,5319,10234,5319,10234,5304,10248,5319,10263,5319,10278,5304e" filled="false" stroked="true" strokeweight="1.494474pt" strokecolor="#006fc0">
              <v:path arrowok="t"/>
              <v:stroke dashstyle="solid"/>
            </v:shape>
            <w10:wrap type="none"/>
          </v:group>
        </w:pict>
      </w:r>
      <w:r>
        <w:rPr/>
        <w:pict>
          <v:line style="position:absolute;mso-position-horizontal-relative:page;mso-position-vertical-relative:paragraph;z-index:-253256704" from="353.199738pt,115.048393pt" to="371.888148pt,115.048393pt" stroked="true" strokeweight="1.49424pt" strokecolor="#006fc0">
            <v:stroke dashstyle="solid"/>
            <w10:wrap type="none"/>
          </v:line>
        </w:pict>
      </w:r>
      <w:r>
        <w:rPr/>
        <w:t>However, once a central bank pays interest on reserves, the macroeconomic impact of ample reserves is probably quite small. Banks’ demand for reserves beyond what they need for liquidity management is nearly flat, because reserves earn interest. Beyond a certain point, further increases in reserves only push short term interest rates down by a very small amount. That is another way of saying that banks are willing to hold even quite large amounts of reserves as a share of their balance sheet.</w:t>
      </w:r>
    </w:p>
    <w:p>
      <w:pPr>
        <w:pStyle w:val="BodyText"/>
        <w:spacing w:before="3"/>
        <w:rPr>
          <w:sz w:val="2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619"/>
        <w:gridCol w:w="2475"/>
        <w:gridCol w:w="585"/>
        <w:gridCol w:w="530"/>
        <w:gridCol w:w="799"/>
        <w:gridCol w:w="616"/>
        <w:gridCol w:w="2472"/>
        <w:gridCol w:w="576"/>
        <w:gridCol w:w="476"/>
      </w:tblGrid>
      <w:tr>
        <w:trPr>
          <w:trHeight w:val="347" w:hRule="atLeast"/>
        </w:trPr>
        <w:tc>
          <w:tcPr>
            <w:tcW w:w="4966" w:type="dxa"/>
            <w:gridSpan w:val="5"/>
          </w:tcPr>
          <w:p>
            <w:pPr>
              <w:pStyle w:val="TableParagraph"/>
              <w:spacing w:line="223" w:lineRule="exact"/>
              <w:ind w:left="200"/>
              <w:rPr>
                <w:b/>
                <w:sz w:val="20"/>
              </w:rPr>
            </w:pPr>
            <w:r>
              <w:rPr>
                <w:b/>
                <w:sz w:val="20"/>
              </w:rPr>
              <w:t>Figure 2: UK money growth</w:t>
            </w:r>
          </w:p>
        </w:tc>
        <w:tc>
          <w:tcPr>
            <w:tcW w:w="4939" w:type="dxa"/>
            <w:gridSpan w:val="5"/>
          </w:tcPr>
          <w:p>
            <w:pPr>
              <w:pStyle w:val="TableParagraph"/>
              <w:spacing w:line="223" w:lineRule="exact"/>
              <w:ind w:left="162"/>
              <w:rPr>
                <w:b/>
                <w:sz w:val="20"/>
              </w:rPr>
            </w:pPr>
            <w:r>
              <w:rPr>
                <w:b/>
                <w:sz w:val="20"/>
              </w:rPr>
              <w:t>Figure 3: Money multiplier</w:t>
            </w:r>
          </w:p>
        </w:tc>
      </w:tr>
      <w:tr>
        <w:trPr>
          <w:trHeight w:val="477" w:hRule="atLeast"/>
        </w:trPr>
        <w:tc>
          <w:tcPr>
            <w:tcW w:w="75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24"/>
              </w:rPr>
            </w:pPr>
          </w:p>
          <w:p>
            <w:pPr>
              <w:pStyle w:val="TableParagraph"/>
              <w:spacing w:before="1"/>
              <w:ind w:left="267"/>
              <w:rPr>
                <w:sz w:val="16"/>
              </w:rPr>
            </w:pPr>
            <w:r>
              <w:rPr>
                <w:w w:val="105"/>
                <w:sz w:val="16"/>
              </w:rPr>
              <w:t>1982</w:t>
            </w:r>
          </w:p>
        </w:tc>
        <w:tc>
          <w:tcPr>
            <w:tcW w:w="61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24"/>
              </w:rPr>
            </w:pPr>
          </w:p>
          <w:p>
            <w:pPr>
              <w:pStyle w:val="TableParagraph"/>
              <w:spacing w:before="1"/>
              <w:ind w:left="128"/>
              <w:rPr>
                <w:sz w:val="16"/>
              </w:rPr>
            </w:pPr>
            <w:r>
              <w:rPr>
                <w:w w:val="105"/>
                <w:sz w:val="16"/>
              </w:rPr>
              <w:t>1988</w:t>
            </w:r>
          </w:p>
        </w:tc>
        <w:tc>
          <w:tcPr>
            <w:tcW w:w="2475" w:type="dxa"/>
            <w:vMerge w:val="restart"/>
          </w:tcPr>
          <w:p>
            <w:pPr>
              <w:pStyle w:val="TableParagraph"/>
              <w:spacing w:line="314" w:lineRule="auto" w:before="124"/>
              <w:ind w:left="166" w:right="143"/>
              <w:rPr>
                <w:sz w:val="16"/>
              </w:rPr>
            </w:pPr>
            <w:r>
              <w:rPr>
                <w:w w:val="105"/>
                <w:sz w:val="16"/>
              </w:rPr>
              <w:t>Narrow</w:t>
            </w:r>
            <w:r>
              <w:rPr>
                <w:spacing w:val="-28"/>
                <w:w w:val="105"/>
                <w:sz w:val="16"/>
              </w:rPr>
              <w:t> </w:t>
            </w:r>
            <w:r>
              <w:rPr>
                <w:w w:val="105"/>
                <w:sz w:val="16"/>
              </w:rPr>
              <w:t>money</w:t>
            </w:r>
            <w:r>
              <w:rPr>
                <w:spacing w:val="-23"/>
                <w:w w:val="105"/>
                <w:sz w:val="16"/>
              </w:rPr>
              <w:t> </w:t>
            </w:r>
            <w:r>
              <w:rPr>
                <w:spacing w:val="-3"/>
                <w:w w:val="105"/>
                <w:sz w:val="16"/>
              </w:rPr>
              <w:t>growth</w:t>
            </w:r>
            <w:r>
              <w:rPr>
                <w:spacing w:val="-19"/>
                <w:w w:val="105"/>
                <w:sz w:val="16"/>
              </w:rPr>
              <w:t> </w:t>
            </w:r>
            <w:r>
              <w:rPr>
                <w:w w:val="105"/>
                <w:sz w:val="16"/>
              </w:rPr>
              <w:t>(%</w:t>
            </w:r>
            <w:r>
              <w:rPr>
                <w:spacing w:val="-26"/>
                <w:w w:val="105"/>
                <w:sz w:val="16"/>
              </w:rPr>
              <w:t> </w:t>
            </w:r>
            <w:r>
              <w:rPr>
                <w:w w:val="105"/>
                <w:sz w:val="16"/>
              </w:rPr>
              <w:t>yoy) Broad</w:t>
            </w:r>
            <w:r>
              <w:rPr>
                <w:spacing w:val="-26"/>
                <w:w w:val="105"/>
                <w:sz w:val="16"/>
              </w:rPr>
              <w:t> </w:t>
            </w:r>
            <w:r>
              <w:rPr>
                <w:w w:val="105"/>
                <w:sz w:val="16"/>
              </w:rPr>
              <w:t>money</w:t>
            </w:r>
            <w:r>
              <w:rPr>
                <w:spacing w:val="-18"/>
                <w:w w:val="105"/>
                <w:sz w:val="16"/>
              </w:rPr>
              <w:t> </w:t>
            </w:r>
            <w:r>
              <w:rPr>
                <w:w w:val="105"/>
                <w:sz w:val="16"/>
              </w:rPr>
              <w:t>growth</w:t>
            </w:r>
            <w:r>
              <w:rPr>
                <w:spacing w:val="-26"/>
                <w:w w:val="105"/>
                <w:sz w:val="16"/>
              </w:rPr>
              <w:t> </w:t>
            </w:r>
            <w:r>
              <w:rPr>
                <w:w w:val="105"/>
                <w:sz w:val="16"/>
              </w:rPr>
              <w:t>(%</w:t>
            </w:r>
            <w:r>
              <w:rPr>
                <w:spacing w:val="-21"/>
                <w:w w:val="105"/>
                <w:sz w:val="16"/>
              </w:rPr>
              <w:t> </w:t>
            </w:r>
            <w:r>
              <w:rPr>
                <w:w w:val="105"/>
                <w:sz w:val="16"/>
              </w:rPr>
              <w:t>yoy)</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5"/>
              </w:rPr>
            </w:pPr>
          </w:p>
          <w:p>
            <w:pPr>
              <w:pStyle w:val="TableParagraph"/>
              <w:tabs>
                <w:tab w:pos="746" w:val="left" w:leader="none"/>
                <w:tab w:pos="1364" w:val="left" w:leader="none"/>
                <w:tab w:pos="1983" w:val="left" w:leader="none"/>
              </w:tabs>
              <w:ind w:left="128"/>
              <w:rPr>
                <w:sz w:val="16"/>
              </w:rPr>
            </w:pPr>
            <w:r>
              <w:rPr>
                <w:w w:val="105"/>
                <w:sz w:val="16"/>
              </w:rPr>
              <w:t>1994</w:t>
              <w:tab/>
              <w:t>2000</w:t>
              <w:tab/>
              <w:t>2006</w:t>
              <w:tab/>
              <w:t>2012</w:t>
            </w:r>
          </w:p>
        </w:tc>
        <w:tc>
          <w:tcPr>
            <w:tcW w:w="585"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24"/>
              </w:rPr>
            </w:pPr>
          </w:p>
          <w:p>
            <w:pPr>
              <w:pStyle w:val="TableParagraph"/>
              <w:spacing w:before="1"/>
              <w:ind w:left="127"/>
              <w:rPr>
                <w:sz w:val="16"/>
              </w:rPr>
            </w:pPr>
            <w:r>
              <w:rPr>
                <w:w w:val="105"/>
                <w:sz w:val="16"/>
              </w:rPr>
              <w:t>2018</w:t>
            </w:r>
          </w:p>
        </w:tc>
        <w:tc>
          <w:tcPr>
            <w:tcW w:w="530" w:type="dxa"/>
            <w:vMerge w:val="restart"/>
          </w:tcPr>
          <w:p>
            <w:pPr>
              <w:pStyle w:val="TableParagraph"/>
              <w:rPr>
                <w:sz w:val="18"/>
              </w:rPr>
            </w:pPr>
          </w:p>
          <w:p>
            <w:pPr>
              <w:pStyle w:val="TableParagraph"/>
              <w:spacing w:before="1"/>
              <w:rPr>
                <w:sz w:val="24"/>
              </w:rPr>
            </w:pPr>
          </w:p>
          <w:p>
            <w:pPr>
              <w:pStyle w:val="TableParagraph"/>
              <w:spacing w:before="1"/>
              <w:ind w:left="94"/>
              <w:rPr>
                <w:sz w:val="16"/>
              </w:rPr>
            </w:pPr>
            <w:r>
              <w:rPr>
                <w:spacing w:val="-3"/>
                <w:w w:val="105"/>
                <w:sz w:val="16"/>
              </w:rPr>
              <w:t>200</w:t>
            </w:r>
          </w:p>
          <w:p>
            <w:pPr>
              <w:pStyle w:val="TableParagraph"/>
              <w:rPr>
                <w:sz w:val="18"/>
              </w:rPr>
            </w:pPr>
          </w:p>
          <w:p>
            <w:pPr>
              <w:pStyle w:val="TableParagraph"/>
              <w:spacing w:before="4"/>
              <w:rPr>
                <w:sz w:val="20"/>
              </w:rPr>
            </w:pPr>
          </w:p>
          <w:p>
            <w:pPr>
              <w:pStyle w:val="TableParagraph"/>
              <w:ind w:left="94"/>
              <w:rPr>
                <w:sz w:val="16"/>
              </w:rPr>
            </w:pPr>
            <w:r>
              <w:rPr>
                <w:spacing w:val="-3"/>
                <w:w w:val="105"/>
                <w:sz w:val="16"/>
              </w:rPr>
              <w:t>150</w:t>
            </w:r>
          </w:p>
          <w:p>
            <w:pPr>
              <w:pStyle w:val="TableParagraph"/>
              <w:rPr>
                <w:sz w:val="18"/>
              </w:rPr>
            </w:pPr>
          </w:p>
          <w:p>
            <w:pPr>
              <w:pStyle w:val="TableParagraph"/>
              <w:spacing w:before="4"/>
              <w:rPr>
                <w:sz w:val="20"/>
              </w:rPr>
            </w:pPr>
          </w:p>
          <w:p>
            <w:pPr>
              <w:pStyle w:val="TableParagraph"/>
              <w:ind w:left="94"/>
              <w:rPr>
                <w:sz w:val="16"/>
              </w:rPr>
            </w:pPr>
            <w:r>
              <w:rPr>
                <w:spacing w:val="-3"/>
                <w:w w:val="105"/>
                <w:sz w:val="16"/>
              </w:rPr>
              <w:t>100</w:t>
            </w:r>
          </w:p>
          <w:p>
            <w:pPr>
              <w:pStyle w:val="TableParagraph"/>
              <w:rPr>
                <w:sz w:val="18"/>
              </w:rPr>
            </w:pPr>
          </w:p>
          <w:p>
            <w:pPr>
              <w:pStyle w:val="TableParagraph"/>
              <w:spacing w:before="5"/>
              <w:rPr>
                <w:sz w:val="20"/>
              </w:rPr>
            </w:pPr>
          </w:p>
          <w:p>
            <w:pPr>
              <w:pStyle w:val="TableParagraph"/>
              <w:ind w:left="94"/>
              <w:rPr>
                <w:sz w:val="16"/>
              </w:rPr>
            </w:pPr>
            <w:r>
              <w:rPr>
                <w:spacing w:val="-3"/>
                <w:w w:val="105"/>
                <w:sz w:val="16"/>
              </w:rPr>
              <w:t>50</w:t>
            </w:r>
          </w:p>
          <w:p>
            <w:pPr>
              <w:pStyle w:val="TableParagraph"/>
              <w:rPr>
                <w:sz w:val="18"/>
              </w:rPr>
            </w:pPr>
          </w:p>
          <w:p>
            <w:pPr>
              <w:pStyle w:val="TableParagraph"/>
              <w:spacing w:before="4"/>
              <w:rPr>
                <w:sz w:val="20"/>
              </w:rPr>
            </w:pPr>
          </w:p>
          <w:p>
            <w:pPr>
              <w:pStyle w:val="TableParagraph"/>
              <w:spacing w:before="1"/>
              <w:ind w:left="94"/>
              <w:rPr>
                <w:sz w:val="16"/>
              </w:rPr>
            </w:pPr>
            <w:r>
              <w:rPr>
                <w:w w:val="103"/>
                <w:sz w:val="16"/>
              </w:rPr>
              <w:t>0</w:t>
            </w:r>
          </w:p>
          <w:p>
            <w:pPr>
              <w:pStyle w:val="TableParagraph"/>
              <w:rPr>
                <w:sz w:val="18"/>
              </w:rPr>
            </w:pPr>
          </w:p>
          <w:p>
            <w:pPr>
              <w:pStyle w:val="TableParagraph"/>
              <w:spacing w:before="4"/>
              <w:rPr>
                <w:sz w:val="20"/>
              </w:rPr>
            </w:pPr>
          </w:p>
          <w:p>
            <w:pPr>
              <w:pStyle w:val="TableParagraph"/>
              <w:ind w:left="94"/>
              <w:rPr>
                <w:sz w:val="16"/>
              </w:rPr>
            </w:pPr>
            <w:r>
              <w:rPr>
                <w:spacing w:val="-5"/>
                <w:w w:val="105"/>
                <w:sz w:val="16"/>
              </w:rPr>
              <w:t>-50</w:t>
            </w: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spacing w:before="7"/>
              <w:rPr>
                <w:sz w:val="20"/>
              </w:rPr>
            </w:pPr>
          </w:p>
          <w:p>
            <w:pPr>
              <w:pStyle w:val="TableParagraph"/>
              <w:spacing w:before="1"/>
              <w:ind w:right="121"/>
              <w:jc w:val="right"/>
              <w:rPr>
                <w:sz w:val="16"/>
              </w:rPr>
            </w:pPr>
            <w:r>
              <w:rPr>
                <w:w w:val="105"/>
                <w:sz w:val="16"/>
              </w:rPr>
              <w:t>Broad/narrow money multiplier</w:t>
            </w:r>
          </w:p>
        </w:tc>
        <w:tc>
          <w:tcPr>
            <w:tcW w:w="576" w:type="dxa"/>
          </w:tcPr>
          <w:p>
            <w:pPr>
              <w:pStyle w:val="TableParagraph"/>
              <w:rPr>
                <w:rFonts w:ascii="Times New Roman"/>
                <w:sz w:val="18"/>
              </w:rPr>
            </w:pPr>
          </w:p>
        </w:tc>
        <w:tc>
          <w:tcPr>
            <w:tcW w:w="476" w:type="dxa"/>
          </w:tcPr>
          <w:p>
            <w:pPr>
              <w:pStyle w:val="TableParagraph"/>
              <w:rPr>
                <w:rFonts w:ascii="Times New Roman"/>
                <w:sz w:val="18"/>
              </w:rPr>
            </w:pPr>
          </w:p>
        </w:tc>
      </w:tr>
      <w:tr>
        <w:trPr>
          <w:trHeight w:val="370"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before="54"/>
              <w:ind w:left="68" w:right="180"/>
              <w:jc w:val="center"/>
              <w:rPr>
                <w:sz w:val="16"/>
              </w:rPr>
            </w:pPr>
            <w:r>
              <w:rPr>
                <w:w w:val="105"/>
                <w:sz w:val="16"/>
              </w:rPr>
              <w:t>35</w:t>
            </w:r>
          </w:p>
        </w:tc>
      </w:tr>
      <w:tr>
        <w:trPr>
          <w:trHeight w:val="446"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before="130"/>
              <w:ind w:left="68" w:right="180"/>
              <w:jc w:val="center"/>
              <w:rPr>
                <w:sz w:val="16"/>
              </w:rPr>
            </w:pPr>
            <w:r>
              <w:rPr>
                <w:w w:val="105"/>
                <w:sz w:val="16"/>
              </w:rPr>
              <w:t>30</w:t>
            </w:r>
          </w:p>
        </w:tc>
      </w:tr>
      <w:tr>
        <w:trPr>
          <w:trHeight w:val="446"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before="130"/>
              <w:ind w:left="68" w:right="180"/>
              <w:jc w:val="center"/>
              <w:rPr>
                <w:sz w:val="16"/>
              </w:rPr>
            </w:pPr>
            <w:r>
              <w:rPr>
                <w:w w:val="105"/>
                <w:sz w:val="16"/>
              </w:rPr>
              <w:t>25</w:t>
            </w:r>
          </w:p>
        </w:tc>
      </w:tr>
      <w:tr>
        <w:trPr>
          <w:trHeight w:val="446"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before="130"/>
              <w:ind w:left="68" w:right="180"/>
              <w:jc w:val="center"/>
              <w:rPr>
                <w:sz w:val="16"/>
              </w:rPr>
            </w:pPr>
            <w:r>
              <w:rPr>
                <w:w w:val="105"/>
                <w:sz w:val="16"/>
              </w:rPr>
              <w:t>20</w:t>
            </w:r>
          </w:p>
        </w:tc>
      </w:tr>
      <w:tr>
        <w:trPr>
          <w:trHeight w:val="446"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before="130"/>
              <w:ind w:left="68" w:right="180"/>
              <w:jc w:val="center"/>
              <w:rPr>
                <w:sz w:val="16"/>
              </w:rPr>
            </w:pPr>
            <w:r>
              <w:rPr>
                <w:w w:val="105"/>
                <w:sz w:val="16"/>
              </w:rPr>
              <w:t>15</w:t>
            </w:r>
          </w:p>
        </w:tc>
      </w:tr>
      <w:tr>
        <w:trPr>
          <w:trHeight w:val="446"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before="130"/>
              <w:ind w:left="68" w:right="180"/>
              <w:jc w:val="center"/>
              <w:rPr>
                <w:sz w:val="16"/>
              </w:rPr>
            </w:pPr>
            <w:r>
              <w:rPr>
                <w:w w:val="105"/>
                <w:sz w:val="16"/>
              </w:rPr>
              <w:t>10</w:t>
            </w:r>
          </w:p>
        </w:tc>
      </w:tr>
      <w:tr>
        <w:trPr>
          <w:trHeight w:val="446"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before="130"/>
              <w:ind w:right="201"/>
              <w:jc w:val="center"/>
              <w:rPr>
                <w:sz w:val="16"/>
              </w:rPr>
            </w:pPr>
            <w:r>
              <w:rPr>
                <w:w w:val="103"/>
                <w:sz w:val="16"/>
              </w:rPr>
              <w:t>5</w:t>
            </w:r>
          </w:p>
        </w:tc>
      </w:tr>
      <w:tr>
        <w:trPr>
          <w:trHeight w:val="318"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rPr>
                <w:rFonts w:ascii="Times New Roman"/>
                <w:sz w:val="18"/>
              </w:rPr>
            </w:pPr>
          </w:p>
        </w:tc>
        <w:tc>
          <w:tcPr>
            <w:tcW w:w="616" w:type="dxa"/>
          </w:tcPr>
          <w:p>
            <w:pPr>
              <w:pStyle w:val="TableParagraph"/>
              <w:rPr>
                <w:rFonts w:ascii="Times New Roman"/>
                <w:sz w:val="18"/>
              </w:rPr>
            </w:pPr>
          </w:p>
        </w:tc>
        <w:tc>
          <w:tcPr>
            <w:tcW w:w="2472" w:type="dxa"/>
          </w:tcPr>
          <w:p>
            <w:pPr>
              <w:pStyle w:val="TableParagraph"/>
              <w:rPr>
                <w:rFonts w:ascii="Times New Roman"/>
                <w:sz w:val="18"/>
              </w:rPr>
            </w:pPr>
          </w:p>
        </w:tc>
        <w:tc>
          <w:tcPr>
            <w:tcW w:w="576" w:type="dxa"/>
          </w:tcPr>
          <w:p>
            <w:pPr>
              <w:pStyle w:val="TableParagraph"/>
              <w:rPr>
                <w:rFonts w:ascii="Times New Roman"/>
                <w:sz w:val="18"/>
              </w:rPr>
            </w:pPr>
          </w:p>
        </w:tc>
        <w:tc>
          <w:tcPr>
            <w:tcW w:w="476" w:type="dxa"/>
          </w:tcPr>
          <w:p>
            <w:pPr>
              <w:pStyle w:val="TableParagraph"/>
              <w:spacing w:line="168" w:lineRule="exact" w:before="130"/>
              <w:ind w:right="200"/>
              <w:jc w:val="center"/>
              <w:rPr>
                <w:sz w:val="16"/>
              </w:rPr>
            </w:pPr>
            <w:r>
              <w:rPr>
                <w:w w:val="103"/>
                <w:sz w:val="16"/>
              </w:rPr>
              <w:t>0</w:t>
            </w:r>
          </w:p>
        </w:tc>
      </w:tr>
      <w:tr>
        <w:trPr>
          <w:trHeight w:val="257" w:hRule="atLeast"/>
        </w:trPr>
        <w:tc>
          <w:tcPr>
            <w:tcW w:w="757" w:type="dxa"/>
            <w:vMerge/>
            <w:tcBorders>
              <w:top w:val="nil"/>
            </w:tcBorders>
          </w:tcPr>
          <w:p>
            <w:pPr>
              <w:rPr>
                <w:sz w:val="2"/>
                <w:szCs w:val="2"/>
              </w:rPr>
            </w:pPr>
          </w:p>
        </w:tc>
        <w:tc>
          <w:tcPr>
            <w:tcW w:w="619" w:type="dxa"/>
            <w:vMerge/>
            <w:tcBorders>
              <w:top w:val="nil"/>
            </w:tcBorders>
          </w:tcPr>
          <w:p>
            <w:pPr>
              <w:rPr>
                <w:sz w:val="2"/>
                <w:szCs w:val="2"/>
              </w:rPr>
            </w:pPr>
          </w:p>
        </w:tc>
        <w:tc>
          <w:tcPr>
            <w:tcW w:w="2475" w:type="dxa"/>
            <w:vMerge/>
            <w:tcBorders>
              <w:top w:val="nil"/>
            </w:tcBorders>
          </w:tcPr>
          <w:p>
            <w:pPr>
              <w:rPr>
                <w:sz w:val="2"/>
                <w:szCs w:val="2"/>
              </w:rPr>
            </w:pPr>
          </w:p>
        </w:tc>
        <w:tc>
          <w:tcPr>
            <w:tcW w:w="585" w:type="dxa"/>
            <w:vMerge/>
            <w:tcBorders>
              <w:top w:val="nil"/>
            </w:tcBorders>
          </w:tcPr>
          <w:p>
            <w:pPr>
              <w:rPr>
                <w:sz w:val="2"/>
                <w:szCs w:val="2"/>
              </w:rPr>
            </w:pPr>
          </w:p>
        </w:tc>
        <w:tc>
          <w:tcPr>
            <w:tcW w:w="530" w:type="dxa"/>
            <w:vMerge/>
            <w:tcBorders>
              <w:top w:val="nil"/>
            </w:tcBorders>
          </w:tcPr>
          <w:p>
            <w:pPr>
              <w:rPr>
                <w:sz w:val="2"/>
                <w:szCs w:val="2"/>
              </w:rPr>
            </w:pPr>
          </w:p>
        </w:tc>
        <w:tc>
          <w:tcPr>
            <w:tcW w:w="799" w:type="dxa"/>
          </w:tcPr>
          <w:p>
            <w:pPr>
              <w:pStyle w:val="TableParagraph"/>
              <w:spacing w:before="2"/>
              <w:ind w:left="307"/>
              <w:rPr>
                <w:sz w:val="16"/>
              </w:rPr>
            </w:pPr>
            <w:r>
              <w:rPr>
                <w:w w:val="105"/>
                <w:sz w:val="16"/>
              </w:rPr>
              <w:t>1982</w:t>
            </w:r>
          </w:p>
        </w:tc>
        <w:tc>
          <w:tcPr>
            <w:tcW w:w="616" w:type="dxa"/>
          </w:tcPr>
          <w:p>
            <w:pPr>
              <w:pStyle w:val="TableParagraph"/>
              <w:spacing w:before="2"/>
              <w:ind w:left="124"/>
              <w:rPr>
                <w:sz w:val="16"/>
              </w:rPr>
            </w:pPr>
            <w:r>
              <w:rPr>
                <w:w w:val="105"/>
                <w:sz w:val="16"/>
              </w:rPr>
              <w:t>1988</w:t>
            </w:r>
          </w:p>
        </w:tc>
        <w:tc>
          <w:tcPr>
            <w:tcW w:w="2472" w:type="dxa"/>
          </w:tcPr>
          <w:p>
            <w:pPr>
              <w:pStyle w:val="TableParagraph"/>
              <w:tabs>
                <w:tab w:pos="615" w:val="left" w:leader="none"/>
                <w:tab w:pos="1231" w:val="left" w:leader="none"/>
                <w:tab w:pos="1847" w:val="left" w:leader="none"/>
              </w:tabs>
              <w:spacing w:before="2"/>
              <w:ind w:right="139"/>
              <w:jc w:val="right"/>
              <w:rPr>
                <w:sz w:val="16"/>
              </w:rPr>
            </w:pPr>
            <w:r>
              <w:rPr>
                <w:w w:val="105"/>
                <w:sz w:val="16"/>
              </w:rPr>
              <w:t>1994</w:t>
              <w:tab/>
              <w:t>2000</w:t>
              <w:tab/>
              <w:t>2006</w:t>
              <w:tab/>
            </w:r>
            <w:r>
              <w:rPr>
                <w:spacing w:val="-3"/>
                <w:sz w:val="16"/>
              </w:rPr>
              <w:t>2012</w:t>
            </w:r>
          </w:p>
        </w:tc>
        <w:tc>
          <w:tcPr>
            <w:tcW w:w="576" w:type="dxa"/>
          </w:tcPr>
          <w:p>
            <w:pPr>
              <w:pStyle w:val="TableParagraph"/>
              <w:spacing w:before="2"/>
              <w:ind w:left="115"/>
              <w:rPr>
                <w:sz w:val="16"/>
              </w:rPr>
            </w:pPr>
            <w:r>
              <w:rPr>
                <w:w w:val="105"/>
                <w:sz w:val="16"/>
              </w:rPr>
              <w:t>2018</w:t>
            </w:r>
          </w:p>
        </w:tc>
        <w:tc>
          <w:tcPr>
            <w:tcW w:w="476" w:type="dxa"/>
          </w:tcPr>
          <w:p>
            <w:pPr>
              <w:pStyle w:val="TableParagraph"/>
              <w:rPr>
                <w:rFonts w:ascii="Times New Roman"/>
                <w:sz w:val="18"/>
              </w:rPr>
            </w:pPr>
          </w:p>
        </w:tc>
      </w:tr>
      <w:tr>
        <w:trPr>
          <w:trHeight w:val="768" w:hRule="atLeast"/>
        </w:trPr>
        <w:tc>
          <w:tcPr>
            <w:tcW w:w="9905" w:type="dxa"/>
            <w:gridSpan w:val="10"/>
          </w:tcPr>
          <w:p>
            <w:pPr>
              <w:pStyle w:val="TableParagraph"/>
              <w:spacing w:before="64"/>
              <w:ind w:left="200"/>
              <w:rPr>
                <w:sz w:val="18"/>
              </w:rPr>
            </w:pPr>
            <w:r>
              <w:rPr>
                <w:sz w:val="18"/>
              </w:rPr>
              <w:t>Notes: Before May 2006, narrow money is defined as M0, afterwards it comprises notes in circulation and reserve</w:t>
            </w:r>
          </w:p>
          <w:p>
            <w:pPr>
              <w:pStyle w:val="TableParagraph"/>
              <w:spacing w:line="240" w:lineRule="atLeast" w:before="10"/>
              <w:ind w:left="200" w:right="529"/>
              <w:rPr>
                <w:sz w:val="18"/>
              </w:rPr>
            </w:pPr>
            <w:r>
              <w:rPr>
                <w:sz w:val="18"/>
              </w:rPr>
              <w:t>balances on the Bank of England’s balance sheet. Broad money is the monetary aggregate M4 as published by the Bank. Source: Refinitiv Datastream and Bank calculations. Latest observation: February 2020.</w:t>
            </w:r>
          </w:p>
        </w:tc>
      </w:tr>
    </w:tbl>
    <w:p>
      <w:pPr>
        <w:pStyle w:val="BodyText"/>
        <w:spacing w:before="7"/>
        <w:rPr>
          <w:sz w:val="24"/>
        </w:rPr>
      </w:pPr>
    </w:p>
    <w:p>
      <w:pPr>
        <w:pStyle w:val="BodyText"/>
        <w:spacing w:line="288" w:lineRule="auto"/>
        <w:ind w:left="312" w:right="303"/>
      </w:pPr>
      <w:r>
        <w:rPr/>
        <w:t>This willingness by banks to hold even quite large amounts of reserves is crucial. It means that the (old) textbook idea that there is some mechanical link between reserves, broad monetary conditions and inflation is just not right.</w:t>
      </w:r>
      <w:r>
        <w:rPr>
          <w:position w:val="6"/>
          <w:sz w:val="13"/>
        </w:rPr>
        <w:t>10 </w:t>
      </w:r>
      <w:r>
        <w:rPr/>
        <w:t>There is an important asymmetry to the provision of reserves: not providing enough reserves will cause interest rates to rise and will tighten monetary conditions. But providing more reserves</w:t>
      </w:r>
    </w:p>
    <w:p>
      <w:pPr>
        <w:pStyle w:val="BodyText"/>
        <w:spacing w:before="3"/>
        <w:rPr>
          <w:sz w:val="26"/>
        </w:rPr>
      </w:pPr>
      <w:r>
        <w:rPr/>
        <w:pict>
          <v:shape style="position:absolute;margin-left:56.639999pt;margin-top:17.308613pt;width:144.050pt;height:.1pt;mso-position-horizontal-relative:page;mso-position-vertical-relative:paragraph;z-index:-251644928;mso-wrap-distance-left:0;mso-wrap-distance-right:0" coordorigin="1133,346" coordsize="2881,0" path="m1133,346l4014,346e" filled="false" stroked="true" strokeweight=".48004pt" strokecolor="#000000">
            <v:path arrowok="t"/>
            <v:stroke dashstyle="solid"/>
            <w10:wrap type="topAndBottom"/>
          </v:shape>
        </w:pict>
      </w:r>
    </w:p>
    <w:p>
      <w:pPr>
        <w:spacing w:before="47"/>
        <w:ind w:left="312" w:right="0" w:firstLine="0"/>
        <w:jc w:val="left"/>
        <w:rPr>
          <w:sz w:val="16"/>
        </w:rPr>
      </w:pPr>
      <w:r>
        <w:rPr>
          <w:position w:val="6"/>
          <w:sz w:val="10"/>
        </w:rPr>
        <w:t>10 </w:t>
      </w:r>
      <w:r>
        <w:rPr>
          <w:sz w:val="16"/>
        </w:rPr>
        <w:t>See McLeay, Radia and Thomas (2014) and Castillo-Martinez and Reis (2019).</w:t>
      </w:r>
    </w:p>
    <w:p>
      <w:pPr>
        <w:spacing w:after="0"/>
        <w:jc w:val="left"/>
        <w:rPr>
          <w:sz w:val="16"/>
        </w:rPr>
        <w:sectPr>
          <w:footerReference w:type="default" r:id="rId12"/>
          <w:pgSz w:w="11910" w:h="16840"/>
          <w:pgMar w:footer="1338" w:header="0" w:top="1540" w:bottom="1520" w:left="820" w:right="960"/>
          <w:pgNumType w:start="6"/>
        </w:sectPr>
      </w:pPr>
    </w:p>
    <w:p>
      <w:pPr>
        <w:pStyle w:val="BodyText"/>
        <w:spacing w:line="288" w:lineRule="auto" w:before="81"/>
        <w:ind w:left="312" w:right="192"/>
      </w:pPr>
      <w:r>
        <w:rPr/>
        <w:t>beyond a certain point, into the region where they become ample, has only a small downward effect on interest rates and monetary conditions.</w:t>
      </w:r>
      <w:r>
        <w:rPr>
          <w:position w:val="6"/>
          <w:sz w:val="13"/>
        </w:rPr>
        <w:t>11 </w:t>
      </w:r>
      <w:r>
        <w:rPr/>
        <w:t>Figures 2 and 3 illustrate this: when reserves were increased sharply in QE operations, broad money growth did not follow. Instead, banks just held more reserves as a share of their balance sheet, illustrated by the fact that multiplier of broad money to relative to narrow money fell sharply.</w:t>
      </w:r>
    </w:p>
    <w:p>
      <w:pPr>
        <w:pStyle w:val="BodyText"/>
        <w:rPr>
          <w:sz w:val="22"/>
        </w:rPr>
      </w:pPr>
    </w:p>
    <w:p>
      <w:pPr>
        <w:pStyle w:val="BodyText"/>
        <w:spacing w:before="5"/>
        <w:rPr>
          <w:sz w:val="28"/>
        </w:rPr>
      </w:pPr>
    </w:p>
    <w:p>
      <w:pPr>
        <w:pStyle w:val="Heading1"/>
        <w:numPr>
          <w:ilvl w:val="0"/>
          <w:numId w:val="1"/>
        </w:numPr>
        <w:tabs>
          <w:tab w:pos="1034" w:val="left" w:leader="none"/>
        </w:tabs>
        <w:spacing w:line="240" w:lineRule="auto" w:before="0" w:after="0"/>
        <w:ind w:left="1033" w:right="0" w:hanging="361"/>
        <w:jc w:val="left"/>
      </w:pPr>
      <w:r>
        <w:rPr/>
        <w:t>State dependence of the impact of</w:t>
      </w:r>
      <w:r>
        <w:rPr>
          <w:spacing w:val="-4"/>
        </w:rPr>
        <w:t> </w:t>
      </w:r>
      <w:r>
        <w:rPr/>
        <w:t>QE</w:t>
      </w:r>
    </w:p>
    <w:p>
      <w:pPr>
        <w:pStyle w:val="BodyText"/>
        <w:rPr>
          <w:sz w:val="26"/>
        </w:rPr>
      </w:pPr>
    </w:p>
    <w:p>
      <w:pPr>
        <w:pStyle w:val="BodyText"/>
        <w:spacing w:line="288" w:lineRule="auto" w:before="218"/>
        <w:ind w:left="312"/>
      </w:pPr>
      <w:r>
        <w:rPr/>
        <w:t>There are many channels through which QE operations influence yields and the wider economy.</w:t>
      </w:r>
      <w:r>
        <w:rPr>
          <w:position w:val="6"/>
          <w:sz w:val="13"/>
        </w:rPr>
        <w:t>12 </w:t>
      </w:r>
      <w:r>
        <w:rPr/>
        <w:t>For the purposes of today’s discussion, what matters is not precisely how it works, but that it works.</w:t>
      </w:r>
    </w:p>
    <w:p>
      <w:pPr>
        <w:pStyle w:val="BodyText"/>
        <w:spacing w:line="288" w:lineRule="auto" w:before="120"/>
        <w:ind w:left="312" w:right="215"/>
      </w:pPr>
      <w:r>
        <w:rPr/>
        <w:pict>
          <v:group style="position:absolute;margin-left:103.018593pt;margin-top:126.957329pt;width:387.85pt;height:150.2pt;mso-position-horizontal-relative:page;mso-position-vertical-relative:paragraph;z-index:-253254656" coordorigin="2060,2539" coordsize="7757,3004">
            <v:shape style="position:absolute;left:352;top:8695;width:7771;height:2986" coordorigin="353,8696" coordsize="7771,2986" path="m2105,5528l2105,2554m2060,5528l2105,5528m2060,5109l2105,5109m2060,4691l2105,4691m2060,4258l2105,4258m2060,3839l2105,3839m2060,3406l2105,3406m2060,2987l2105,2987m2060,2554l2105,2554m9772,5528l9772,2554m9772,5528l9817,5528m9772,5109l9817,5109m9772,4691l9817,4691m9772,4258l9817,4258m9772,3839l9817,3839m9772,3406l9817,3406m9772,2987l9817,2987m9772,2554l9817,2554e" filled="false" stroked="true" strokeweight=".747892pt" strokecolor="#000000">
              <v:path arrowok="t"/>
              <v:stroke dashstyle="solid"/>
            </v:shape>
            <v:shape style="position:absolute;left:397;top:9985;width:7681;height:45" coordorigin="398,9986" coordsize="7681,45" path="m2105,3839l9772,3839m2105,3839l2105,3884m3138,3839l3138,3884m4172,3839l4172,3884m5205,3839l5205,3884m6238,3839l6238,3884m7256,3839l7256,3884m8289,3839l8289,3884m9323,3839l9323,3884e" filled="false" stroked="true" strokeweight=".747892pt" strokecolor="#000000">
              <v:path arrowok="t"/>
              <v:stroke dashstyle="solid"/>
            </v:shape>
            <v:shape style="position:absolute;left:2172;top:3742;width:7502;height:1435" coordorigin="2173,3742" coordsize="7502,1435" path="m2173,3832l2248,3936,2457,3891,2517,3832,2592,3817,2652,3757,2727,3847,2936,3891,2996,3966,3071,4116,3131,4131,3206,4145,3415,4116,3475,4160,3550,4160,3625,4250,3685,4295,3895,4429,3969,4340,4029,4385,4104,4355,4164,4385,4374,4370,4449,4310,4509,4220,4583,4235,4643,4280,4853,4310,4928,4295,4988,4190,5063,4131,5137,4175,5332,4131,5407,4190,5482,4205,5542,4265,5617,4310,5811,4385,5886,4444,5961,4444,6021,4534,6096,4594,6305,4654,6365,4683,6440,4728,6500,4818,6575,5087,6784,5176,6844,5057,6919,4908,6994,4922,7054,4668,7264,4504,7323,4355,7398,3802,7473,3742,7533,4399,7743,4683,7818,4579,7877,4609,7952,4743,8012,4788,8222,4863,8297,4743,8357,4848,8431,4803,8491,4833,8701,4803,8776,4668,8836,4698,8911,4848,9255,4818,9330,4893,9390,4893,9465,4893,9674,4818e" filled="false" stroked="true" strokeweight="1.494349pt" strokecolor="#006fc0">
              <v:path arrowok="t"/>
              <v:stroke dashstyle="solid"/>
            </v:shape>
            <v:shape style="position:absolute;left:2172;top:2785;width:7502;height:1808" coordorigin="2173,2786" coordsize="7502,1808" path="m2173,3832l2248,3966,2457,3936,2517,3877,2592,3847,2652,3772,2727,3847,2936,3921,2996,4011,3071,4145,3131,4175,3206,4190,3415,4175,3475,4220,3550,4205,3625,4295,3685,4325,3895,4399,3969,4265,4029,4280,4104,4220,4164,4160,4374,4190,4449,4145,4509,4071,4583,4101,4643,4145,4853,4160,4928,4101,4988,4026,5063,4011,5137,4041,5332,4026,5407,4041,5482,4071,5542,4145,5617,4145,5811,4205,5886,4295,5961,4310,6021,4355,6096,4250,6305,4340,6365,4385,6440,4429,6500,4459,6575,4594,6784,4385,6844,4340,6919,4340,6994,4295,7054,4071,7264,3757,7323,3488,7398,2860,7473,2786,7533,3443,7743,3891,7818,3877,7877,3981,7952,4190,8012,4340,8222,4370,8297,4205,8357,4295,8431,4370,8491,4370,8701,4355,8776,4250,8836,4250,8911,4370,9255,4340,9330,4370,9390,4280,9465,4190,9674,4041e" filled="false" stroked="true" strokeweight="1.494409pt" strokecolor="#ffc000">
              <v:path arrowok="t"/>
              <v:stroke dashstyle="solid"/>
            </v:shape>
            <v:line style="position:absolute" from="5474,2539" to="5474,5543" stroked="true" strokeweight="1.27499pt" strokecolor="#000000">
              <v:stroke dashstyle="shortdot"/>
            </v:line>
            <v:line style="position:absolute" from="7466,2539" to="7466,5543" stroked="true" strokeweight="1.215231pt" strokecolor="#000000">
              <v:stroke dashstyle="shortdot"/>
            </v:line>
            <v:shape style="position:absolute;left:2112;top:3757;width:7622;height:1510" coordorigin="2113,3757" coordsize="7622,1510" path="m2113,3832l2173,3802,2248,3787,2457,3817,2517,3817,2592,3817,2652,3802,2727,3802,2936,3787,2996,3787,3071,3772,3131,3802,3206,3757,3415,3772,3475,3802,3550,3817,3625,3847,3685,3817,3895,3906,3969,3862,4029,3862,4104,3921,4164,3981,4374,3951,4449,3891,4509,3862,4583,3862,4643,3877,4853,3891,4928,3862,4988,3832,5063,3891,5137,3906,5332,3891,5407,3921,5482,3877,5542,3891,5617,3906,5811,4056,5886,4131,5961,4116,6021,4250,6096,4370,6305,4340,6365,4295,6440,4250,6500,4310,6575,4444,6784,4728,6844,4728,6919,4773,6994,5132,7054,5057,7264,5176,7323,5102,7398,5221,7473,5176,7533,5162,7743,5266,7818,5012,7877,4878,7952,4803,8012,4982,8222,4952,8297,4893,8357,5012,8431,4997,8491,5027,8701,4937,8776,4878,8836,4893,8911,4788,8986,4788,9180,4788,9255,4818,9330,4937,9390,4908,9465,4818,9674,4803,9734,4803e" filled="false" stroked="true" strokeweight="1.494356pt" strokecolor="#c00000">
              <v:path arrowok="t"/>
              <v:stroke dashstyle="solid"/>
            </v:shape>
            <w10:wrap type="none"/>
          </v:group>
        </w:pict>
      </w:r>
      <w:r>
        <w:rPr/>
        <w:pict>
          <v:line style="position:absolute;mso-position-horizontal-relative:page;mso-position-vertical-relative:paragraph;z-index:-253253632" from="171.521301pt,107.161438pt" to="190.986551pt,107.161438pt" stroked="true" strokeweight="1.49424pt" strokecolor="#006fc0">
            <v:stroke dashstyle="solid"/>
            <w10:wrap type="none"/>
          </v:line>
        </w:pict>
      </w:r>
      <w:r>
        <w:rPr/>
        <w:pict>
          <v:line style="position:absolute;mso-position-horizontal-relative:page;mso-position-vertical-relative:paragraph;z-index:-253252608" from="303.286072pt,107.161438pt" to="322.002658pt,107.161438pt" stroked="true" strokeweight="1.49424pt" strokecolor="#ffc000">
            <v:stroke dashstyle="solid"/>
            <w10:wrap type="none"/>
          </v:line>
        </w:pict>
      </w:r>
      <w:r>
        <w:rPr/>
        <w:pict>
          <v:line style="position:absolute;mso-position-horizontal-relative:page;mso-position-vertical-relative:paragraph;z-index:-253251584" from="171.521301pt,118.368233pt" to="190.986551pt,118.368233pt" stroked="true" strokeweight="1.49424pt" strokecolor="#c00000">
            <v:stroke dashstyle="solid"/>
            <w10:wrap type="none"/>
          </v:line>
        </w:pict>
      </w:r>
      <w:r>
        <w:rPr/>
        <w:t>My own view</w:t>
      </w:r>
      <w:r>
        <w:rPr>
          <w:position w:val="6"/>
          <w:sz w:val="13"/>
        </w:rPr>
        <w:t>13 </w:t>
      </w:r>
      <w:r>
        <w:rPr/>
        <w:t>is that there are two important aspects to QE. First, its persistent effect is via an expectations channel, revealing the central bank’s reaction function when changes in short term rates can no longer fulfil that role. Second, QE has important short-run liquidity effects, which are more forceful when financial markets are under stress. The impact of QE is therefore state-dependent.</w:t>
      </w:r>
    </w:p>
    <w:p>
      <w:pPr>
        <w:pStyle w:val="BodyText"/>
        <w:spacing w:before="4"/>
        <w:rPr>
          <w:sz w:val="2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6"/>
      </w:tblGrid>
      <w:tr>
        <w:trPr>
          <w:trHeight w:val="401" w:hRule="atLeast"/>
        </w:trPr>
        <w:tc>
          <w:tcPr>
            <w:tcW w:w="9416" w:type="dxa"/>
          </w:tcPr>
          <w:p>
            <w:pPr>
              <w:pStyle w:val="TableParagraph"/>
              <w:spacing w:line="223" w:lineRule="exact"/>
              <w:ind w:left="200"/>
              <w:rPr>
                <w:b/>
                <w:sz w:val="20"/>
              </w:rPr>
            </w:pPr>
            <w:r>
              <w:rPr>
                <w:b/>
                <w:sz w:val="20"/>
              </w:rPr>
              <w:t>Figure 4: Equity prices and gilt yields (cumulative changes YTD: % LHS, bps RHS)</w:t>
            </w:r>
          </w:p>
        </w:tc>
      </w:tr>
      <w:tr>
        <w:trPr>
          <w:trHeight w:val="4159" w:hRule="atLeast"/>
        </w:trPr>
        <w:tc>
          <w:tcPr>
            <w:tcW w:w="9416" w:type="dxa"/>
          </w:tcPr>
          <w:p>
            <w:pPr>
              <w:pStyle w:val="TableParagraph"/>
              <w:spacing w:before="5"/>
              <w:rPr>
                <w:sz w:val="15"/>
              </w:rPr>
            </w:pPr>
          </w:p>
          <w:p>
            <w:pPr>
              <w:pStyle w:val="TableParagraph"/>
              <w:tabs>
                <w:tab w:pos="5559" w:val="left" w:leader="none"/>
              </w:tabs>
              <w:spacing w:line="285" w:lineRule="auto"/>
              <w:ind w:left="2929" w:right="2181"/>
              <w:rPr>
                <w:sz w:val="16"/>
              </w:rPr>
            </w:pPr>
            <w:r>
              <w:rPr>
                <w:w w:val="105"/>
                <w:sz w:val="16"/>
              </w:rPr>
              <w:t>10y</w:t>
            </w:r>
            <w:r>
              <w:rPr>
                <w:spacing w:val="-16"/>
                <w:w w:val="105"/>
                <w:sz w:val="16"/>
              </w:rPr>
              <w:t> </w:t>
            </w:r>
            <w:r>
              <w:rPr>
                <w:spacing w:val="-3"/>
                <w:w w:val="105"/>
                <w:sz w:val="16"/>
              </w:rPr>
              <w:t>nominal</w:t>
            </w:r>
            <w:r>
              <w:rPr>
                <w:spacing w:val="-16"/>
                <w:w w:val="105"/>
                <w:sz w:val="16"/>
              </w:rPr>
              <w:t> </w:t>
            </w:r>
            <w:r>
              <w:rPr>
                <w:w w:val="105"/>
                <w:sz w:val="16"/>
              </w:rPr>
              <w:t>gilt</w:t>
            </w:r>
            <w:r>
              <w:rPr>
                <w:spacing w:val="-10"/>
                <w:w w:val="105"/>
                <w:sz w:val="16"/>
              </w:rPr>
              <w:t> </w:t>
            </w:r>
            <w:r>
              <w:rPr>
                <w:w w:val="105"/>
                <w:sz w:val="16"/>
              </w:rPr>
              <w:t>yield</w:t>
            </w:r>
            <w:r>
              <w:rPr>
                <w:spacing w:val="-11"/>
                <w:w w:val="105"/>
                <w:sz w:val="16"/>
              </w:rPr>
              <w:t> </w:t>
            </w:r>
            <w:r>
              <w:rPr>
                <w:spacing w:val="-4"/>
                <w:w w:val="105"/>
                <w:sz w:val="16"/>
              </w:rPr>
              <w:t>(RHS)</w:t>
              <w:tab/>
            </w:r>
            <w:r>
              <w:rPr>
                <w:w w:val="105"/>
                <w:sz w:val="16"/>
              </w:rPr>
              <w:t>10y</w:t>
            </w:r>
            <w:r>
              <w:rPr>
                <w:spacing w:val="-17"/>
                <w:w w:val="105"/>
                <w:sz w:val="16"/>
              </w:rPr>
              <w:t> </w:t>
            </w:r>
            <w:r>
              <w:rPr>
                <w:w w:val="105"/>
                <w:sz w:val="16"/>
              </w:rPr>
              <w:t>real</w:t>
            </w:r>
            <w:r>
              <w:rPr>
                <w:spacing w:val="-16"/>
                <w:w w:val="105"/>
                <w:sz w:val="16"/>
              </w:rPr>
              <w:t> </w:t>
            </w:r>
            <w:r>
              <w:rPr>
                <w:w w:val="105"/>
                <w:sz w:val="16"/>
              </w:rPr>
              <w:t>gilt</w:t>
            </w:r>
            <w:r>
              <w:rPr>
                <w:spacing w:val="-12"/>
                <w:w w:val="105"/>
                <w:sz w:val="16"/>
              </w:rPr>
              <w:t> </w:t>
            </w:r>
            <w:r>
              <w:rPr>
                <w:w w:val="105"/>
                <w:sz w:val="16"/>
              </w:rPr>
              <w:t>yield</w:t>
            </w:r>
            <w:r>
              <w:rPr>
                <w:spacing w:val="-24"/>
                <w:w w:val="105"/>
                <w:sz w:val="16"/>
              </w:rPr>
              <w:t> </w:t>
            </w:r>
            <w:r>
              <w:rPr>
                <w:spacing w:val="-7"/>
                <w:w w:val="105"/>
                <w:sz w:val="16"/>
              </w:rPr>
              <w:t>(RHS) </w:t>
            </w:r>
            <w:r>
              <w:rPr>
                <w:spacing w:val="-4"/>
                <w:w w:val="105"/>
                <w:sz w:val="16"/>
              </w:rPr>
              <w:t>FTSE </w:t>
            </w:r>
            <w:r>
              <w:rPr>
                <w:w w:val="105"/>
                <w:sz w:val="16"/>
              </w:rPr>
              <w:t>100</w:t>
            </w:r>
            <w:r>
              <w:rPr>
                <w:spacing w:val="-9"/>
                <w:w w:val="105"/>
                <w:sz w:val="16"/>
              </w:rPr>
              <w:t> </w:t>
            </w:r>
            <w:r>
              <w:rPr>
                <w:spacing w:val="-4"/>
                <w:w w:val="105"/>
                <w:sz w:val="16"/>
              </w:rPr>
              <w:t>(LHS)</w:t>
            </w:r>
          </w:p>
          <w:p>
            <w:pPr>
              <w:pStyle w:val="TableParagraph"/>
              <w:tabs>
                <w:tab w:pos="8988" w:val="left" w:leader="none"/>
              </w:tabs>
              <w:spacing w:line="146" w:lineRule="exact"/>
              <w:ind w:left="859"/>
              <w:rPr>
                <w:sz w:val="16"/>
              </w:rPr>
            </w:pPr>
            <w:r>
              <w:rPr>
                <w:w w:val="105"/>
                <w:sz w:val="16"/>
              </w:rPr>
              <w:t>30</w:t>
              <w:tab/>
            </w:r>
            <w:r>
              <w:rPr>
                <w:spacing w:val="-3"/>
                <w:w w:val="105"/>
                <w:sz w:val="16"/>
              </w:rPr>
              <w:t>60</w:t>
            </w:r>
          </w:p>
          <w:p>
            <w:pPr>
              <w:pStyle w:val="TableParagraph"/>
              <w:tabs>
                <w:tab w:pos="6579" w:val="left" w:leader="none"/>
              </w:tabs>
              <w:spacing w:line="166" w:lineRule="exact"/>
              <w:ind w:left="3874"/>
              <w:rPr>
                <w:sz w:val="16"/>
              </w:rPr>
            </w:pPr>
            <w:r>
              <w:rPr>
                <w:w w:val="105"/>
                <w:sz w:val="16"/>
              </w:rPr>
              <w:t>19</w:t>
            </w:r>
            <w:r>
              <w:rPr>
                <w:spacing w:val="-8"/>
                <w:w w:val="105"/>
                <w:sz w:val="16"/>
              </w:rPr>
              <w:t> </w:t>
            </w:r>
            <w:r>
              <w:rPr>
                <w:spacing w:val="-5"/>
                <w:w w:val="105"/>
                <w:sz w:val="16"/>
              </w:rPr>
              <w:t>Feb</w:t>
              <w:tab/>
            </w:r>
            <w:r>
              <w:rPr>
                <w:w w:val="105"/>
                <w:sz w:val="16"/>
              </w:rPr>
              <w:t>19</w:t>
            </w:r>
            <w:r>
              <w:rPr>
                <w:spacing w:val="-4"/>
                <w:w w:val="105"/>
                <w:sz w:val="16"/>
              </w:rPr>
              <w:t> </w:t>
            </w:r>
            <w:r>
              <w:rPr>
                <w:spacing w:val="-7"/>
                <w:w w:val="105"/>
                <w:sz w:val="16"/>
              </w:rPr>
              <w:t>Mar</w:t>
            </w:r>
          </w:p>
          <w:p>
            <w:pPr>
              <w:pStyle w:val="TableParagraph"/>
              <w:tabs>
                <w:tab w:pos="8988" w:val="left" w:leader="none"/>
              </w:tabs>
              <w:spacing w:before="95"/>
              <w:ind w:left="859"/>
              <w:rPr>
                <w:sz w:val="16"/>
              </w:rPr>
            </w:pPr>
            <w:r>
              <w:rPr>
                <w:w w:val="105"/>
                <w:sz w:val="16"/>
              </w:rPr>
              <w:t>20</w:t>
              <w:tab/>
            </w:r>
            <w:r>
              <w:rPr>
                <w:spacing w:val="-3"/>
                <w:w w:val="105"/>
                <w:sz w:val="16"/>
              </w:rPr>
              <w:t>40</w:t>
            </w:r>
          </w:p>
          <w:p>
            <w:pPr>
              <w:pStyle w:val="TableParagraph"/>
              <w:spacing w:before="1"/>
              <w:rPr>
                <w:sz w:val="21"/>
              </w:rPr>
            </w:pPr>
          </w:p>
          <w:p>
            <w:pPr>
              <w:pStyle w:val="TableParagraph"/>
              <w:tabs>
                <w:tab w:pos="8988" w:val="left" w:leader="none"/>
              </w:tabs>
              <w:ind w:left="859"/>
              <w:rPr>
                <w:sz w:val="16"/>
              </w:rPr>
            </w:pPr>
            <w:r>
              <w:rPr>
                <w:w w:val="105"/>
                <w:sz w:val="16"/>
              </w:rPr>
              <w:t>10</w:t>
              <w:tab/>
            </w:r>
            <w:r>
              <w:rPr>
                <w:spacing w:val="-3"/>
                <w:w w:val="105"/>
                <w:sz w:val="16"/>
              </w:rPr>
              <w:t>20</w:t>
            </w:r>
          </w:p>
          <w:p>
            <w:pPr>
              <w:pStyle w:val="TableParagraph"/>
              <w:spacing w:before="1"/>
              <w:rPr>
                <w:sz w:val="21"/>
              </w:rPr>
            </w:pPr>
          </w:p>
          <w:p>
            <w:pPr>
              <w:pStyle w:val="TableParagraph"/>
              <w:tabs>
                <w:tab w:pos="8988" w:val="left" w:leader="none"/>
              </w:tabs>
              <w:ind w:left="947"/>
              <w:rPr>
                <w:sz w:val="16"/>
              </w:rPr>
            </w:pPr>
            <w:r>
              <w:rPr>
                <w:w w:val="105"/>
                <w:sz w:val="16"/>
              </w:rPr>
              <w:t>0</w:t>
              <w:tab/>
              <w:t>0</w:t>
            </w:r>
          </w:p>
          <w:p>
            <w:pPr>
              <w:pStyle w:val="TableParagraph"/>
              <w:spacing w:before="2"/>
              <w:rPr>
                <w:sz w:val="21"/>
              </w:rPr>
            </w:pPr>
          </w:p>
          <w:p>
            <w:pPr>
              <w:pStyle w:val="TableParagraph"/>
              <w:tabs>
                <w:tab w:pos="8988" w:val="left" w:leader="none"/>
              </w:tabs>
              <w:ind w:left="805"/>
              <w:rPr>
                <w:sz w:val="16"/>
              </w:rPr>
            </w:pPr>
            <w:r>
              <w:rPr>
                <w:spacing w:val="-5"/>
                <w:w w:val="105"/>
                <w:sz w:val="16"/>
              </w:rPr>
              <w:t>-10</w:t>
              <w:tab/>
              <w:t>-20</w:t>
            </w:r>
          </w:p>
          <w:p>
            <w:pPr>
              <w:pStyle w:val="TableParagraph"/>
              <w:spacing w:before="1"/>
              <w:rPr>
                <w:sz w:val="21"/>
              </w:rPr>
            </w:pPr>
          </w:p>
          <w:p>
            <w:pPr>
              <w:pStyle w:val="TableParagraph"/>
              <w:tabs>
                <w:tab w:pos="8988" w:val="left" w:leader="none"/>
              </w:tabs>
              <w:ind w:left="805"/>
              <w:rPr>
                <w:sz w:val="16"/>
              </w:rPr>
            </w:pPr>
            <w:r>
              <w:rPr>
                <w:spacing w:val="-5"/>
                <w:w w:val="105"/>
                <w:sz w:val="16"/>
              </w:rPr>
              <w:t>-20</w:t>
              <w:tab/>
              <w:t>-40</w:t>
            </w:r>
          </w:p>
          <w:p>
            <w:pPr>
              <w:pStyle w:val="TableParagraph"/>
              <w:spacing w:before="1"/>
              <w:rPr>
                <w:sz w:val="21"/>
              </w:rPr>
            </w:pPr>
          </w:p>
          <w:p>
            <w:pPr>
              <w:pStyle w:val="TableParagraph"/>
              <w:tabs>
                <w:tab w:pos="8988" w:val="left" w:leader="none"/>
              </w:tabs>
              <w:ind w:left="805"/>
              <w:rPr>
                <w:sz w:val="16"/>
              </w:rPr>
            </w:pPr>
            <w:r>
              <w:rPr>
                <w:spacing w:val="-5"/>
                <w:w w:val="105"/>
                <w:sz w:val="16"/>
              </w:rPr>
              <w:t>-30</w:t>
              <w:tab/>
              <w:t>-60</w:t>
            </w:r>
          </w:p>
          <w:p>
            <w:pPr>
              <w:pStyle w:val="TableParagraph"/>
              <w:spacing w:before="1"/>
              <w:rPr>
                <w:sz w:val="21"/>
              </w:rPr>
            </w:pPr>
          </w:p>
          <w:p>
            <w:pPr>
              <w:pStyle w:val="TableParagraph"/>
              <w:tabs>
                <w:tab w:pos="8988" w:val="left" w:leader="none"/>
              </w:tabs>
              <w:spacing w:before="1"/>
              <w:ind w:left="805"/>
              <w:rPr>
                <w:sz w:val="16"/>
              </w:rPr>
            </w:pPr>
            <w:r>
              <w:rPr>
                <w:spacing w:val="-5"/>
                <w:w w:val="105"/>
                <w:sz w:val="16"/>
              </w:rPr>
              <w:t>-40</w:t>
              <w:tab/>
              <w:t>-80</w:t>
            </w:r>
          </w:p>
          <w:p>
            <w:pPr>
              <w:pStyle w:val="TableParagraph"/>
              <w:tabs>
                <w:tab w:pos="1966" w:val="left" w:leader="none"/>
                <w:tab w:pos="2999" w:val="left" w:leader="none"/>
                <w:tab w:pos="4023" w:val="left" w:leader="none"/>
                <w:tab w:pos="5056" w:val="left" w:leader="none"/>
                <w:tab w:pos="6089" w:val="left" w:leader="none"/>
                <w:tab w:pos="7122" w:val="left" w:leader="none"/>
                <w:tab w:pos="8167" w:val="left" w:leader="none"/>
              </w:tabs>
              <w:spacing w:before="6"/>
              <w:ind w:left="934"/>
              <w:rPr>
                <w:sz w:val="16"/>
              </w:rPr>
            </w:pPr>
            <w:r>
              <w:rPr>
                <w:w w:val="105"/>
                <w:sz w:val="16"/>
              </w:rPr>
              <w:t>01</w:t>
            </w:r>
            <w:r>
              <w:rPr>
                <w:spacing w:val="-7"/>
                <w:w w:val="105"/>
                <w:sz w:val="16"/>
              </w:rPr>
              <w:t> </w:t>
            </w:r>
            <w:r>
              <w:rPr>
                <w:spacing w:val="-4"/>
                <w:w w:val="105"/>
                <w:sz w:val="16"/>
              </w:rPr>
              <w:t>Jan</w:t>
              <w:tab/>
            </w:r>
            <w:r>
              <w:rPr>
                <w:w w:val="105"/>
                <w:sz w:val="16"/>
              </w:rPr>
              <w:t>16</w:t>
            </w:r>
            <w:r>
              <w:rPr>
                <w:spacing w:val="-7"/>
                <w:w w:val="105"/>
                <w:sz w:val="16"/>
              </w:rPr>
              <w:t> </w:t>
            </w:r>
            <w:r>
              <w:rPr>
                <w:spacing w:val="-4"/>
                <w:w w:val="105"/>
                <w:sz w:val="16"/>
              </w:rPr>
              <w:t>Jan</w:t>
              <w:tab/>
            </w:r>
            <w:r>
              <w:rPr>
                <w:w w:val="105"/>
                <w:sz w:val="16"/>
              </w:rPr>
              <w:t>31</w:t>
            </w:r>
            <w:r>
              <w:rPr>
                <w:spacing w:val="-6"/>
                <w:w w:val="105"/>
                <w:sz w:val="16"/>
              </w:rPr>
              <w:t> </w:t>
            </w:r>
            <w:r>
              <w:rPr>
                <w:spacing w:val="-4"/>
                <w:w w:val="105"/>
                <w:sz w:val="16"/>
              </w:rPr>
              <w:t>Jan</w:t>
              <w:tab/>
            </w:r>
            <w:r>
              <w:rPr>
                <w:w w:val="105"/>
                <w:sz w:val="16"/>
              </w:rPr>
              <w:t>15</w:t>
            </w:r>
            <w:r>
              <w:rPr>
                <w:spacing w:val="-7"/>
                <w:w w:val="105"/>
                <w:sz w:val="16"/>
              </w:rPr>
              <w:t> </w:t>
            </w:r>
            <w:r>
              <w:rPr>
                <w:spacing w:val="-5"/>
                <w:w w:val="105"/>
                <w:sz w:val="16"/>
              </w:rPr>
              <w:t>Feb</w:t>
              <w:tab/>
            </w:r>
            <w:r>
              <w:rPr>
                <w:w w:val="105"/>
                <w:sz w:val="16"/>
              </w:rPr>
              <w:t>01</w:t>
            </w:r>
            <w:r>
              <w:rPr>
                <w:spacing w:val="-9"/>
                <w:w w:val="105"/>
                <w:sz w:val="16"/>
              </w:rPr>
              <w:t> </w:t>
            </w:r>
            <w:r>
              <w:rPr>
                <w:w w:val="105"/>
                <w:sz w:val="16"/>
              </w:rPr>
              <w:t>Mar</w:t>
              <w:tab/>
              <w:t>16</w:t>
            </w:r>
            <w:r>
              <w:rPr>
                <w:spacing w:val="-8"/>
                <w:w w:val="105"/>
                <w:sz w:val="16"/>
              </w:rPr>
              <w:t> </w:t>
            </w:r>
            <w:r>
              <w:rPr>
                <w:w w:val="105"/>
                <w:sz w:val="16"/>
              </w:rPr>
              <w:t>Mar</w:t>
              <w:tab/>
              <w:t>31</w:t>
            </w:r>
            <w:r>
              <w:rPr>
                <w:spacing w:val="-9"/>
                <w:w w:val="105"/>
                <w:sz w:val="16"/>
              </w:rPr>
              <w:t> </w:t>
            </w:r>
            <w:r>
              <w:rPr>
                <w:w w:val="105"/>
                <w:sz w:val="16"/>
              </w:rPr>
              <w:t>Mar</w:t>
              <w:tab/>
              <w:t>15</w:t>
            </w:r>
            <w:r>
              <w:rPr>
                <w:spacing w:val="-3"/>
                <w:w w:val="105"/>
                <w:sz w:val="16"/>
              </w:rPr>
              <w:t> Apr</w:t>
            </w:r>
          </w:p>
        </w:tc>
      </w:tr>
      <w:tr>
        <w:trPr>
          <w:trHeight w:val="402" w:hRule="atLeast"/>
        </w:trPr>
        <w:tc>
          <w:tcPr>
            <w:tcW w:w="9416" w:type="dxa"/>
          </w:tcPr>
          <w:p>
            <w:pPr>
              <w:pStyle w:val="TableParagraph"/>
              <w:spacing w:before="11"/>
              <w:rPr>
                <w:sz w:val="16"/>
              </w:rPr>
            </w:pPr>
          </w:p>
          <w:p>
            <w:pPr>
              <w:pStyle w:val="TableParagraph"/>
              <w:spacing w:line="187" w:lineRule="exact"/>
              <w:ind w:left="200"/>
              <w:rPr>
                <w:sz w:val="18"/>
              </w:rPr>
            </w:pPr>
            <w:r>
              <w:rPr>
                <w:sz w:val="18"/>
              </w:rPr>
              <w:t>Source: Refinitiv Eikon and Bank calculations. Latest observation: 20 April 2020.</w:t>
            </w:r>
          </w:p>
        </w:tc>
      </w:tr>
    </w:tbl>
    <w:p>
      <w:pPr>
        <w:pStyle w:val="BodyText"/>
        <w:spacing w:before="4"/>
        <w:rPr>
          <w:sz w:val="24"/>
        </w:rPr>
      </w:pPr>
    </w:p>
    <w:p>
      <w:pPr>
        <w:pStyle w:val="BodyText"/>
        <w:spacing w:line="288" w:lineRule="auto"/>
        <w:ind w:left="312" w:right="195"/>
      </w:pPr>
      <w:r>
        <w:rPr/>
        <w:t>When the economic outlook changes suddenly, financial market prices need to adjust by a large amount in a short space of time. That process is not always smooth. Occasionally, it can lead to episodes of so-called “fire-sales” of securities: investors or financial intermediaries need to adjust the risk of their portfolio rapidly, and sell securities sufficiently rapidly that the price falls by more than the economic fundamentals warrant.</w:t>
      </w:r>
    </w:p>
    <w:p>
      <w:pPr>
        <w:pStyle w:val="BodyText"/>
        <w:spacing w:line="288" w:lineRule="auto" w:before="1"/>
        <w:ind w:left="312" w:right="215"/>
      </w:pPr>
      <w:r>
        <w:rPr/>
        <w:pict>
          <v:shape style="position:absolute;margin-left:56.639999pt;margin-top:61.749897pt;width:144.050pt;height:.1pt;mso-position-horizontal-relative:page;mso-position-vertical-relative:paragraph;z-index:-251632640;mso-wrap-distance-left:0;mso-wrap-distance-right:0" coordorigin="1133,1235" coordsize="2881,0" path="m1133,1235l4014,1235e" filled="false" stroked="true" strokeweight=".47998pt" strokecolor="#000000">
            <v:path arrowok="t"/>
            <v:stroke dashstyle="solid"/>
            <w10:wrap type="topAndBottom"/>
          </v:shape>
        </w:pict>
      </w:r>
      <w:r>
        <w:rPr/>
        <w:t>This process can feed back on itself, and on the economic outlook: the faster the securities are sold, the more their price falls, the more investors and intermediaries need to sell the security, amplifying its price fall. Moreover, in this process the cost of borrowing for the issuer of the security rises sharply, reducing investment demand and wealth, and damaging the economic outlook.</w:t>
      </w:r>
    </w:p>
    <w:p>
      <w:pPr>
        <w:spacing w:before="50"/>
        <w:ind w:left="312" w:right="0" w:firstLine="0"/>
        <w:jc w:val="left"/>
        <w:rPr>
          <w:sz w:val="16"/>
        </w:rPr>
      </w:pPr>
      <w:r>
        <w:rPr>
          <w:position w:val="6"/>
          <w:sz w:val="10"/>
        </w:rPr>
        <w:t>11 </w:t>
      </w:r>
      <w:r>
        <w:rPr>
          <w:sz w:val="16"/>
        </w:rPr>
        <w:t>This asymmetry is not the only reason why there is no stable relationship between reserves, broad monetary conditions and inflation. Even before QE, the textbook-assumed stable relationship did not exist. Reserve demand can move for many reasons unrelated to economic growth and inflation, such as changes in the structure of central bank money market operations (e.g. moving to a corridor system), the volatility of interbank payments, liquidity regulation, banks’ ability to forecast daily payment flows, to name but a few.</w:t>
      </w:r>
    </w:p>
    <w:p>
      <w:pPr>
        <w:spacing w:line="182" w:lineRule="exact" w:before="0"/>
        <w:ind w:left="312" w:right="0" w:firstLine="0"/>
        <w:jc w:val="left"/>
        <w:rPr>
          <w:sz w:val="16"/>
        </w:rPr>
      </w:pPr>
      <w:r>
        <w:rPr>
          <w:position w:val="6"/>
          <w:sz w:val="10"/>
        </w:rPr>
        <w:t>12 </w:t>
      </w:r>
      <w:r>
        <w:rPr>
          <w:sz w:val="16"/>
        </w:rPr>
        <w:t>See Haldane </w:t>
      </w:r>
      <w:r>
        <w:rPr>
          <w:i/>
          <w:sz w:val="16"/>
        </w:rPr>
        <w:t>et al </w:t>
      </w:r>
      <w:r>
        <w:rPr>
          <w:sz w:val="16"/>
        </w:rPr>
        <w:t>(2016), Kuttner (2018), Dell’Ariccia </w:t>
      </w:r>
      <w:r>
        <w:rPr>
          <w:i/>
          <w:sz w:val="16"/>
        </w:rPr>
        <w:t>et al </w:t>
      </w:r>
      <w:r>
        <w:rPr>
          <w:sz w:val="16"/>
        </w:rPr>
        <w:t>(2018), Bernanke (2020), Vlieghe (2016, 2018) and references therein.</w:t>
      </w:r>
    </w:p>
    <w:p>
      <w:pPr>
        <w:spacing w:line="185" w:lineRule="exact" w:before="0"/>
        <w:ind w:left="312" w:right="0" w:firstLine="0"/>
        <w:jc w:val="left"/>
        <w:rPr>
          <w:sz w:val="16"/>
        </w:rPr>
      </w:pPr>
      <w:r>
        <w:rPr>
          <w:position w:val="6"/>
          <w:sz w:val="10"/>
        </w:rPr>
        <w:t>13 </w:t>
      </w:r>
      <w:r>
        <w:rPr>
          <w:sz w:val="16"/>
        </w:rPr>
        <w:t>See Vlieghe (2016, 2018).</w:t>
      </w:r>
    </w:p>
    <w:p>
      <w:pPr>
        <w:spacing w:after="0" w:line="185" w:lineRule="exact"/>
        <w:jc w:val="left"/>
        <w:rPr>
          <w:sz w:val="16"/>
        </w:rPr>
        <w:sectPr>
          <w:footerReference w:type="default" r:id="rId13"/>
          <w:pgSz w:w="11910" w:h="16840"/>
          <w:pgMar w:footer="1338" w:header="0" w:top="1340" w:bottom="1520" w:left="820" w:right="960"/>
          <w:pgNumType w:start="7"/>
        </w:sectPr>
      </w:pPr>
    </w:p>
    <w:p>
      <w:pPr>
        <w:pStyle w:val="BodyText"/>
        <w:spacing w:line="288" w:lineRule="auto" w:before="81"/>
        <w:ind w:left="312" w:right="293"/>
      </w:pPr>
      <w:r>
        <w:rPr/>
        <w:t>In mid-March, we experienced such an adverse feedback loop between the financial market stress and the economic outlook. There was a significant tightening in global financial conditions from mid-February, reflecting the rapid downward revisions to the economic outlook as the scale of the pandemic became apparent. In the initial weeks of this tightening, asset price moves reflected a large negative and disinflationary shock: equity and risky bond prices fell, government bond prices rose (so risk-free rates were falling), with inflation breakeven rates fell, as shown in Figure 4.</w:t>
      </w:r>
    </w:p>
    <w:p>
      <w:pPr>
        <w:pStyle w:val="BodyText"/>
        <w:spacing w:before="8"/>
      </w:pPr>
    </w:p>
    <w:p>
      <w:pPr>
        <w:pStyle w:val="Heading2"/>
        <w:ind w:right="0"/>
      </w:pPr>
      <w:r>
        <w:rPr/>
        <w:t>Figure 5: Changes in 1y forward curves on 18 Mar 2020 and historical percentiles (pp change)</w:t>
      </w:r>
    </w:p>
    <w:p>
      <w:pPr>
        <w:pStyle w:val="BodyText"/>
        <w:rPr>
          <w:b/>
        </w:rPr>
      </w:pPr>
    </w:p>
    <w:p>
      <w:pPr>
        <w:spacing w:after="0"/>
        <w:sectPr>
          <w:footerReference w:type="default" r:id="rId14"/>
          <w:pgSz w:w="11910" w:h="16840"/>
          <w:pgMar w:footer="1338" w:header="0" w:top="1340" w:bottom="1520" w:left="820" w:right="960"/>
          <w:pgNumType w:start="8"/>
        </w:sectPr>
      </w:pPr>
    </w:p>
    <w:p>
      <w:pPr>
        <w:pStyle w:val="BodyText"/>
        <w:rPr>
          <w:b/>
          <w:sz w:val="24"/>
        </w:rPr>
      </w:pPr>
    </w:p>
    <w:p>
      <w:pPr>
        <w:spacing w:before="0"/>
        <w:ind w:left="1076" w:right="0" w:firstLine="0"/>
        <w:jc w:val="left"/>
        <w:rPr>
          <w:sz w:val="16"/>
        </w:rPr>
      </w:pPr>
      <w:r>
        <w:rPr/>
        <w:pict>
          <v:line style="position:absolute;mso-position-horizontal-relative:page;mso-position-vertical-relative:paragraph;z-index:251691008" from="73.932281pt,4.794343pt" to="92.619461pt,4.794343pt" stroked="true" strokeweight="1.49424pt" strokecolor="#006fc0">
            <v:stroke dashstyle="solid"/>
            <w10:wrap type="none"/>
          </v:line>
        </w:pict>
      </w:r>
      <w:r>
        <w:rPr>
          <w:spacing w:val="-4"/>
          <w:w w:val="105"/>
          <w:sz w:val="16"/>
        </w:rPr>
        <w:t>Observed</w:t>
      </w:r>
      <w:r>
        <w:rPr>
          <w:spacing w:val="-14"/>
          <w:w w:val="105"/>
          <w:sz w:val="16"/>
        </w:rPr>
        <w:t> </w:t>
      </w:r>
      <w:r>
        <w:rPr>
          <w:spacing w:val="-3"/>
          <w:w w:val="105"/>
          <w:sz w:val="16"/>
        </w:rPr>
        <w:t>change</w:t>
      </w:r>
      <w:r>
        <w:rPr>
          <w:spacing w:val="-13"/>
          <w:w w:val="105"/>
          <w:sz w:val="16"/>
        </w:rPr>
        <w:t> </w:t>
      </w:r>
      <w:r>
        <w:rPr>
          <w:spacing w:val="4"/>
          <w:w w:val="105"/>
          <w:sz w:val="16"/>
        </w:rPr>
        <w:t>in</w:t>
      </w:r>
      <w:r>
        <w:rPr>
          <w:spacing w:val="-25"/>
          <w:w w:val="105"/>
          <w:sz w:val="16"/>
        </w:rPr>
        <w:t> </w:t>
      </w:r>
      <w:r>
        <w:rPr>
          <w:w w:val="105"/>
          <w:sz w:val="16"/>
        </w:rPr>
        <w:t>1y</w:t>
      </w:r>
      <w:r>
        <w:rPr>
          <w:spacing w:val="-6"/>
          <w:w w:val="105"/>
          <w:sz w:val="16"/>
        </w:rPr>
        <w:t> </w:t>
      </w:r>
      <w:r>
        <w:rPr>
          <w:spacing w:val="-3"/>
          <w:w w:val="105"/>
          <w:sz w:val="16"/>
        </w:rPr>
        <w:t>nominal</w:t>
      </w:r>
      <w:r>
        <w:rPr>
          <w:spacing w:val="-18"/>
          <w:w w:val="105"/>
          <w:sz w:val="16"/>
        </w:rPr>
        <w:t> </w:t>
      </w:r>
      <w:r>
        <w:rPr>
          <w:w w:val="105"/>
          <w:sz w:val="16"/>
        </w:rPr>
        <w:t>forward</w:t>
      </w:r>
      <w:r>
        <w:rPr>
          <w:spacing w:val="-13"/>
          <w:w w:val="105"/>
          <w:sz w:val="16"/>
        </w:rPr>
        <w:t> </w:t>
      </w:r>
      <w:r>
        <w:rPr>
          <w:spacing w:val="-6"/>
          <w:w w:val="105"/>
          <w:sz w:val="16"/>
        </w:rPr>
        <w:t>curve</w:t>
      </w:r>
    </w:p>
    <w:p>
      <w:pPr>
        <w:pStyle w:val="BodyText"/>
        <w:rPr>
          <w:sz w:val="18"/>
        </w:rPr>
      </w:pPr>
      <w:r>
        <w:rPr/>
        <w:br w:type="column"/>
      </w:r>
      <w:r>
        <w:rPr>
          <w:sz w:val="18"/>
        </w:rPr>
      </w:r>
    </w:p>
    <w:p>
      <w:pPr>
        <w:pStyle w:val="BodyText"/>
        <w:rPr>
          <w:sz w:val="18"/>
        </w:rPr>
      </w:pPr>
    </w:p>
    <w:p>
      <w:pPr>
        <w:spacing w:before="132"/>
        <w:ind w:left="252" w:right="0" w:firstLine="0"/>
        <w:jc w:val="left"/>
        <w:rPr>
          <w:sz w:val="16"/>
        </w:rPr>
      </w:pPr>
      <w:r>
        <w:rPr/>
        <w:pict>
          <v:group style="position:absolute;margin-left:68.699875pt;margin-top:10.592417pt;width:198.5pt;height:149.450pt;mso-position-horizontal-relative:page;mso-position-vertical-relative:paragraph;z-index:251689984" coordorigin="1374,212" coordsize="3970,2989">
            <v:shape style="position:absolute;left:157;top:9232;width:3976;height:2986" coordorigin="158,9233" coordsize="3976,2986" path="m5298,3193l5298,219m5298,3193l5343,3193m5298,2610l5343,2610m5298,2012l5343,2012m5298,1415l5343,1415m5298,817l5343,817m5298,219l5343,219m1381,2610l5298,2610m1381,2610l1381,2655m2054,2610l2054,2655m2727,2610l2727,2655m3415,2610l3415,2655m4087,2610l4087,2655m4760,2610l4760,2655e" filled="false" stroked="true" strokeweight=".747304pt" strokecolor="#000000">
              <v:path arrowok="t"/>
              <v:stroke dashstyle="solid"/>
            </v:shape>
            <v:shape style="position:absolute;left:1388;top:1437;width:3917;height:1211" coordorigin="1389,1437" coordsize="3917,1211" path="m1389,2648l1523,2408,1658,2110,1793,1871,1927,1721,2062,1616,2196,1542,2331,1482,2465,1467,2600,1452,2734,1437,2869,1437,3004,1452,3138,1452,3811,1602,3945,1631,4080,1646,4214,1661,4349,1676,4484,1676,4618,1691,4753,1691,4887,1691,5022,1706,5156,1706,5306,1721e" filled="false" stroked="true" strokeweight="1.494304pt" strokecolor="#006fc0">
              <v:path arrowok="t"/>
              <v:stroke dashstyle="solid"/>
            </v:shape>
            <v:shape style="position:absolute;left:165;top:9555;width:3930;height:1980" coordorigin="165,9555" coordsize="3930,1980" path="m1389,2513l1523,2438,1658,2423,1793,2408,1927,2408,2062,2408,2196,2408,2331,2408,2465,2408,2600,2423,2734,2438,2869,2438,3004,2438,3138,2438,3273,2438,3407,2438,3542,2438,3676,2438,3811,2438,3945,2438,4080,2438,4214,2438,4349,2438,4484,2438,4618,2438,4753,2438,4887,2438,5022,2438,5156,2438,5306,2438m1389,2468l1523,2349,1658,2334,1793,2334,1927,2334,2062,2334,2196,2334,2331,2334,2465,2334,2600,2364,2734,2364,2869,2379,3004,2379,3138,2379,3273,2379,3407,2379,3542,2364,3676,2379,3811,2364,3945,2379,4080,2379,4214,2379,4349,2379,4484,2379,4618,2379,4753,2379,4887,2364,5022,2364,5156,2364,5306,2364m1389,2319l1523,2110,1658,2169,1793,2184,1927,2169,2062,2154,2196,2154,2331,2154,2465,2169,2600,2199,2734,2229,2869,2244,3004,2244,3138,2229,3273,2229,3407,2214,3542,2214,3676,2214,3811,2214,3945,2229,4080,2229,4214,2229,4349,2229,4484,2214,4618,2229,4753,2214,4887,2214,5022,2199,5156,2199,5306,2184m1389,2065l1523,1766,1658,1856,1793,1915,1927,1915,2062,1856,2196,1766,2331,1751,2465,1811,2600,1885,2734,1915,2869,1871,3004,1841,3138,1811,3273,1796,3407,1811,3542,1811,3676,1781,3811,1781,3945,1796,4080,1841,4214,1885,4349,1900,4484,1915,4618,1930,4753,1900,4887,1856,5022,1781,5156,1736,5306,1706m1389,1826l1523,1437,1658,1616,1793,1407,1927,1333,2062,1303,2196,1318,2331,1348,2465,1377,2600,1437,2734,1437,2869,1437,3004,1452,3138,1363,3273,1303,3407,1288,3542,1303,3676,1348,3811,1407,3945,1452,4080,1482,4214,1527,4349,1512,4484,1482,4618,1467,4753,1437,4887,1407,5022,1123,5156,825,5306,541e" filled="false" stroked="true" strokeweight="1.494607pt" strokecolor="#000000">
              <v:path arrowok="t"/>
              <v:stroke dashstyle="dot"/>
            </v:shape>
            <w10:wrap type="none"/>
          </v:group>
        </w:pict>
      </w:r>
      <w:r>
        <w:rPr/>
        <w:pict>
          <v:line style="position:absolute;mso-position-horizontal-relative:page;mso-position-vertical-relative:paragraph;z-index:251693056" from="329.278564pt,-1.356523pt" to="347.966975pt,-1.356523pt" stroked="true" strokeweight="1.49424pt" strokecolor="#ffc000">
            <v:stroke dashstyle="solid"/>
            <w10:wrap type="none"/>
          </v:line>
        </w:pict>
      </w:r>
      <w:r>
        <w:rPr>
          <w:w w:val="105"/>
          <w:sz w:val="16"/>
        </w:rPr>
        <w:t>0.8</w:t>
      </w:r>
    </w:p>
    <w:p>
      <w:pPr>
        <w:pStyle w:val="BodyText"/>
        <w:spacing w:before="1"/>
        <w:rPr>
          <w:sz w:val="25"/>
        </w:rPr>
      </w:pPr>
      <w:r>
        <w:rPr/>
        <w:br w:type="column"/>
      </w:r>
      <w:r>
        <w:rPr>
          <w:sz w:val="25"/>
        </w:rPr>
      </w:r>
    </w:p>
    <w:p>
      <w:pPr>
        <w:spacing w:before="0"/>
        <w:ind w:left="1076" w:right="0" w:firstLine="0"/>
        <w:jc w:val="left"/>
        <w:rPr>
          <w:sz w:val="16"/>
        </w:rPr>
      </w:pPr>
      <w:r>
        <w:rPr>
          <w:spacing w:val="-4"/>
          <w:w w:val="105"/>
          <w:sz w:val="16"/>
        </w:rPr>
        <w:t>Observed</w:t>
      </w:r>
      <w:r>
        <w:rPr>
          <w:spacing w:val="-13"/>
          <w:w w:val="105"/>
          <w:sz w:val="16"/>
        </w:rPr>
        <w:t> </w:t>
      </w:r>
      <w:r>
        <w:rPr>
          <w:spacing w:val="-3"/>
          <w:w w:val="105"/>
          <w:sz w:val="16"/>
        </w:rPr>
        <w:t>change</w:t>
      </w:r>
      <w:r>
        <w:rPr>
          <w:spacing w:val="-13"/>
          <w:w w:val="105"/>
          <w:sz w:val="16"/>
        </w:rPr>
        <w:t> </w:t>
      </w:r>
      <w:r>
        <w:rPr>
          <w:spacing w:val="4"/>
          <w:w w:val="105"/>
          <w:sz w:val="16"/>
        </w:rPr>
        <w:t>in</w:t>
      </w:r>
      <w:r>
        <w:rPr>
          <w:spacing w:val="-24"/>
          <w:w w:val="105"/>
          <w:sz w:val="16"/>
        </w:rPr>
        <w:t> </w:t>
      </w:r>
      <w:r>
        <w:rPr>
          <w:w w:val="105"/>
          <w:sz w:val="16"/>
        </w:rPr>
        <w:t>1y</w:t>
      </w:r>
      <w:r>
        <w:rPr>
          <w:spacing w:val="-6"/>
          <w:w w:val="105"/>
          <w:sz w:val="16"/>
        </w:rPr>
        <w:t> </w:t>
      </w:r>
      <w:r>
        <w:rPr>
          <w:spacing w:val="-4"/>
          <w:w w:val="105"/>
          <w:sz w:val="16"/>
        </w:rPr>
        <w:t>real</w:t>
      </w:r>
      <w:r>
        <w:rPr>
          <w:spacing w:val="-16"/>
          <w:w w:val="105"/>
          <w:sz w:val="16"/>
        </w:rPr>
        <w:t> </w:t>
      </w:r>
      <w:r>
        <w:rPr>
          <w:w w:val="105"/>
          <w:sz w:val="16"/>
        </w:rPr>
        <w:t>forward</w:t>
      </w:r>
      <w:r>
        <w:rPr>
          <w:spacing w:val="-13"/>
          <w:w w:val="105"/>
          <w:sz w:val="16"/>
        </w:rPr>
        <w:t> </w:t>
      </w:r>
      <w:r>
        <w:rPr>
          <w:spacing w:val="-6"/>
          <w:w w:val="105"/>
          <w:sz w:val="16"/>
        </w:rPr>
        <w:t>curve</w:t>
      </w:r>
    </w:p>
    <w:p>
      <w:pPr>
        <w:pStyle w:val="BodyText"/>
        <w:rPr>
          <w:sz w:val="18"/>
        </w:rPr>
      </w:pPr>
      <w:r>
        <w:rPr/>
        <w:br w:type="column"/>
      </w:r>
      <w:r>
        <w:rPr>
          <w:sz w:val="18"/>
        </w:rPr>
      </w:r>
    </w:p>
    <w:p>
      <w:pPr>
        <w:pStyle w:val="BodyText"/>
        <w:rPr>
          <w:sz w:val="18"/>
        </w:rPr>
      </w:pPr>
    </w:p>
    <w:p>
      <w:pPr>
        <w:spacing w:before="132"/>
        <w:ind w:left="352" w:right="312" w:firstLine="0"/>
        <w:jc w:val="center"/>
        <w:rPr>
          <w:sz w:val="16"/>
        </w:rPr>
      </w:pPr>
      <w:r>
        <w:rPr/>
        <w:pict>
          <v:group style="position:absolute;margin-left:315.822906pt;margin-top:10.592417pt;width:198.5pt;height:149.450pt;mso-position-horizontal-relative:page;mso-position-vertical-relative:paragraph;z-index:251692032" coordorigin="6316,212" coordsize="3970,2989">
            <v:shape style="position:absolute;left:172;top:9232;width:3976;height:2986" coordorigin="173,9233" coordsize="3976,2986" path="m10241,3193l10241,219m10241,3193l10286,3193m10241,2700l10286,2700m10241,2207l10286,2207m10241,1714l10286,1714m10241,1220l10286,1220m10241,727l10286,727m10241,219l10286,219m6324,2700l10241,2700m6324,2700l6324,2745m6997,2700l6997,2745m7669,2700l7669,2745m8342,2700l8342,2745m9015,2700l9015,2745m9688,2700l9688,2745e" filled="false" stroked="true" strokeweight=".747328pt" strokecolor="#000000">
              <v:path arrowok="t"/>
              <v:stroke dashstyle="solid"/>
            </v:shape>
            <v:shape style="position:absolute;left:6720;top:899;width:3514;height:449" coordorigin="6720,899" coordsize="3514,449" path="m6720,1079l6855,959,6989,914,7124,899,7258,914,7393,929,7527,959,7662,989,7812,1019,7946,1034,8081,1049,8215,1064,8350,1064,8484,1079,8619,1079,8753,1079,8888,1094,9023,1108,9157,1123,9292,1138,9426,1153,9561,1183,9695,1213,9830,1243,9964,1288,10099,1318,10234,1348e" filled="false" stroked="true" strokeweight="1.494253pt" strokecolor="#ffc000">
              <v:path arrowok="t"/>
              <v:stroke dashstyle="solid"/>
            </v:shape>
            <v:shape style="position:absolute;left:570;top:9720;width:3525;height:1800" coordorigin="570,9720" coordsize="3525,1800" path="m6720,2438l6855,2438,6989,2453,7124,2468,7258,2468,7393,2483,7527,2483,7662,2498,7812,2498,7946,2498,8081,2498,8215,2498,8350,2498,8484,2498,8619,2498,8753,2498,8888,2498,9023,2498,9157,2498,9292,2498,9426,2498,9561,2483,9695,2483,9830,2483,9964,2483,10099,2483,10234,2483m6720,2304l6855,2334,6989,2334,7124,2349,7258,2364,7393,2379,7527,2393,7662,2408,7812,2423,7946,2423,8081,2423,8215,2423,8350,2423,8484,2423,8619,2423,8753,2423,8888,2423,9023,2423,9157,2423,9292,2408,9426,2408,9561,2408,9695,2393,9830,2393,9964,2393,10099,2393,10234,2393m6720,2020l6855,2050,6989,2065,7124,2095,7258,2139,7393,2169,7527,2184,7662,2199,7812,2214,7946,2214,8081,2199,8215,2199,8350,2184,8484,2184,8619,2184,8753,2184,8888,2184,9023,2184,9157,2169,9292,2169,9426,2169,9561,2169,9695,2154,9830,2154,9964,2139,10099,2154,10234,2154m6720,1288l6855,1422,6989,1392,7124,1482,7258,1631,7393,1751,7527,1706,7662,1721,7812,1691,7946,1646,8081,1602,8215,1602,8350,1557,8484,1557,8619,1557,8753,1542,8888,1542,9023,1542,9157,1557,9292,1557,9426,1572,9561,1572,9695,1602,9830,1646,9964,1676,10099,1557,10234,1602m6720,705l6855,735,6989,914,7124,899,7258,914,7393,929,7527,959,7662,989,7812,1019,7946,1034,8081,1049,8215,1064,8350,1064,8484,1079,8619,1079,8753,1079,8888,1094,9023,1108,9157,1123,9292,1138,9426,1153,9561,1183,9695,1213,9830,1243,9964,1288,10099,1318,10234,1348e" filled="false" stroked="true" strokeweight="1.494656pt" strokecolor="#000000">
              <v:path arrowok="t"/>
              <v:stroke dashstyle="dot"/>
            </v:shape>
            <w10:wrap type="none"/>
          </v:group>
        </w:pict>
      </w:r>
      <w:r>
        <w:rPr>
          <w:w w:val="105"/>
          <w:sz w:val="16"/>
        </w:rPr>
        <w:t>0.5</w:t>
      </w:r>
    </w:p>
    <w:p>
      <w:pPr>
        <w:spacing w:after="0"/>
        <w:jc w:val="center"/>
        <w:rPr>
          <w:sz w:val="16"/>
        </w:rPr>
        <w:sectPr>
          <w:type w:val="continuous"/>
          <w:pgSz w:w="11910" w:h="16840"/>
          <w:pgMar w:top="1180" w:bottom="1520" w:left="820" w:right="960"/>
          <w:cols w:num="4" w:equalWidth="0">
            <w:col w:w="4338" w:space="40"/>
            <w:col w:w="520" w:space="215"/>
            <w:col w:w="4039" w:space="39"/>
            <w:col w:w="939"/>
          </w:cols>
        </w:sectPr>
      </w:pPr>
    </w:p>
    <w:p>
      <w:pPr>
        <w:pStyle w:val="BodyText"/>
        <w:spacing w:before="8"/>
        <w:rPr>
          <w:sz w:val="18"/>
        </w:rPr>
      </w:pPr>
    </w:p>
    <w:p>
      <w:pPr>
        <w:spacing w:after="0"/>
        <w:rPr>
          <w:sz w:val="18"/>
        </w:rPr>
        <w:sectPr>
          <w:type w:val="continuous"/>
          <w:pgSz w:w="11910" w:h="16840"/>
          <w:pgMar w:top="1180" w:bottom="1520" w:left="820" w:right="960"/>
        </w:sectPr>
      </w:pPr>
    </w:p>
    <w:p>
      <w:pPr>
        <w:pStyle w:val="BodyText"/>
        <w:spacing w:before="3"/>
        <w:rPr>
          <w:sz w:val="17"/>
        </w:rPr>
      </w:pPr>
    </w:p>
    <w:p>
      <w:pPr>
        <w:spacing w:before="1"/>
        <w:ind w:left="0" w:right="0" w:firstLine="0"/>
        <w:jc w:val="right"/>
        <w:rPr>
          <w:sz w:val="16"/>
        </w:rPr>
      </w:pPr>
      <w:r>
        <w:rPr>
          <w:sz w:val="16"/>
        </w:rPr>
        <w:t>0.6</w:t>
      </w:r>
    </w:p>
    <w:p>
      <w:pPr>
        <w:spacing w:before="99"/>
        <w:ind w:left="0" w:right="332" w:firstLine="0"/>
        <w:jc w:val="right"/>
        <w:rPr>
          <w:sz w:val="16"/>
        </w:rPr>
      </w:pPr>
      <w:r>
        <w:rPr/>
        <w:br w:type="column"/>
      </w:r>
      <w:r>
        <w:rPr>
          <w:sz w:val="16"/>
        </w:rPr>
        <w:t>0.4</w:t>
      </w:r>
    </w:p>
    <w:p>
      <w:pPr>
        <w:spacing w:after="0"/>
        <w:jc w:val="right"/>
        <w:rPr>
          <w:sz w:val="16"/>
        </w:rPr>
        <w:sectPr>
          <w:type w:val="continuous"/>
          <w:pgSz w:w="11910" w:h="16840"/>
          <w:pgMar w:top="1180" w:bottom="1520" w:left="820" w:right="960"/>
          <w:cols w:num="2" w:equalWidth="0">
            <w:col w:w="4857" w:space="79"/>
            <w:col w:w="5194"/>
          </w:cols>
        </w:sectPr>
      </w:pPr>
    </w:p>
    <w:p>
      <w:pPr>
        <w:pStyle w:val="BodyText"/>
        <w:spacing w:before="11"/>
        <w:rPr>
          <w:sz w:val="9"/>
        </w:rPr>
      </w:pPr>
    </w:p>
    <w:p>
      <w:pPr>
        <w:spacing w:after="0"/>
        <w:rPr>
          <w:sz w:val="9"/>
        </w:rPr>
        <w:sectPr>
          <w:type w:val="continuous"/>
          <w:pgSz w:w="11910" w:h="16840"/>
          <w:pgMar w:top="1180" w:bottom="1520" w:left="820" w:right="960"/>
        </w:sectPr>
      </w:pPr>
    </w:p>
    <w:p>
      <w:pPr>
        <w:pStyle w:val="BodyText"/>
        <w:spacing w:before="11"/>
        <w:rPr>
          <w:sz w:val="25"/>
        </w:rPr>
      </w:pPr>
    </w:p>
    <w:p>
      <w:pPr>
        <w:spacing w:before="0"/>
        <w:ind w:left="4629" w:right="0" w:firstLine="0"/>
        <w:jc w:val="left"/>
        <w:rPr>
          <w:sz w:val="16"/>
        </w:rPr>
      </w:pPr>
      <w:r>
        <w:rPr>
          <w:spacing w:val="-1"/>
          <w:sz w:val="16"/>
        </w:rPr>
        <w:t>0.4</w:t>
      </w:r>
    </w:p>
    <w:p>
      <w:pPr>
        <w:pStyle w:val="BodyText"/>
        <w:rPr>
          <w:sz w:val="18"/>
        </w:rPr>
      </w:pPr>
    </w:p>
    <w:p>
      <w:pPr>
        <w:pStyle w:val="BodyText"/>
        <w:spacing w:before="10"/>
        <w:rPr>
          <w:sz w:val="17"/>
        </w:rPr>
      </w:pPr>
    </w:p>
    <w:p>
      <w:pPr>
        <w:spacing w:before="1"/>
        <w:ind w:left="4629" w:right="0" w:firstLine="0"/>
        <w:jc w:val="left"/>
        <w:rPr>
          <w:sz w:val="16"/>
        </w:rPr>
      </w:pPr>
      <w:r>
        <w:rPr>
          <w:spacing w:val="-1"/>
          <w:sz w:val="16"/>
        </w:rPr>
        <w:t>0.2</w:t>
      </w:r>
    </w:p>
    <w:p>
      <w:pPr>
        <w:pStyle w:val="BodyText"/>
        <w:rPr>
          <w:sz w:val="18"/>
        </w:rPr>
      </w:pPr>
    </w:p>
    <w:p>
      <w:pPr>
        <w:pStyle w:val="BodyText"/>
        <w:spacing w:before="11"/>
        <w:rPr>
          <w:sz w:val="17"/>
        </w:rPr>
      </w:pPr>
    </w:p>
    <w:p>
      <w:pPr>
        <w:spacing w:before="0"/>
        <w:ind w:left="4629" w:right="0" w:firstLine="0"/>
        <w:jc w:val="left"/>
        <w:rPr>
          <w:sz w:val="16"/>
        </w:rPr>
      </w:pPr>
      <w:r>
        <w:rPr>
          <w:w w:val="103"/>
          <w:sz w:val="16"/>
        </w:rPr>
        <w:t>0</w:t>
      </w:r>
    </w:p>
    <w:p>
      <w:pPr>
        <w:spacing w:before="99"/>
        <w:ind w:left="4629" w:right="0" w:firstLine="0"/>
        <w:jc w:val="left"/>
        <w:rPr>
          <w:sz w:val="16"/>
        </w:rPr>
      </w:pPr>
      <w:r>
        <w:rPr/>
        <w:br w:type="column"/>
      </w:r>
      <w:r>
        <w:rPr>
          <w:w w:val="105"/>
          <w:sz w:val="16"/>
        </w:rPr>
        <w:t>0.3</w:t>
      </w:r>
    </w:p>
    <w:p>
      <w:pPr>
        <w:pStyle w:val="BodyText"/>
        <w:rPr>
          <w:sz w:val="18"/>
        </w:rPr>
      </w:pPr>
    </w:p>
    <w:p>
      <w:pPr>
        <w:spacing w:before="107"/>
        <w:ind w:left="4629" w:right="0" w:firstLine="0"/>
        <w:jc w:val="left"/>
        <w:rPr>
          <w:sz w:val="16"/>
        </w:rPr>
      </w:pPr>
      <w:r>
        <w:rPr>
          <w:w w:val="105"/>
          <w:sz w:val="16"/>
        </w:rPr>
        <w:t>0.2</w:t>
      </w:r>
    </w:p>
    <w:p>
      <w:pPr>
        <w:pStyle w:val="BodyText"/>
        <w:rPr>
          <w:sz w:val="18"/>
        </w:rPr>
      </w:pPr>
    </w:p>
    <w:p>
      <w:pPr>
        <w:spacing w:before="107"/>
        <w:ind w:left="4629" w:right="0" w:firstLine="0"/>
        <w:jc w:val="left"/>
        <w:rPr>
          <w:sz w:val="16"/>
        </w:rPr>
      </w:pPr>
      <w:r>
        <w:rPr>
          <w:w w:val="105"/>
          <w:sz w:val="16"/>
        </w:rPr>
        <w:t>0.1</w:t>
      </w:r>
    </w:p>
    <w:p>
      <w:pPr>
        <w:pStyle w:val="BodyText"/>
        <w:rPr>
          <w:sz w:val="18"/>
        </w:rPr>
      </w:pPr>
    </w:p>
    <w:p>
      <w:pPr>
        <w:spacing w:before="107"/>
        <w:ind w:left="4629" w:right="0" w:firstLine="0"/>
        <w:jc w:val="left"/>
        <w:rPr>
          <w:sz w:val="16"/>
        </w:rPr>
      </w:pPr>
      <w:r>
        <w:rPr>
          <w:w w:val="103"/>
          <w:sz w:val="16"/>
        </w:rPr>
        <w:t>0</w:t>
      </w:r>
    </w:p>
    <w:p>
      <w:pPr>
        <w:spacing w:after="0"/>
        <w:jc w:val="left"/>
        <w:rPr>
          <w:sz w:val="16"/>
        </w:rPr>
        <w:sectPr>
          <w:type w:val="continuous"/>
          <w:pgSz w:w="11910" w:h="16840"/>
          <w:pgMar w:top="1180" w:bottom="1520" w:left="820" w:right="960"/>
          <w:cols w:num="2" w:equalWidth="0">
            <w:col w:w="4857" w:space="79"/>
            <w:col w:w="5194"/>
          </w:cols>
        </w:sectPr>
      </w:pPr>
    </w:p>
    <w:p>
      <w:pPr>
        <w:pStyle w:val="BodyText"/>
        <w:spacing w:before="7"/>
        <w:rPr>
          <w:sz w:val="18"/>
        </w:rPr>
      </w:pPr>
    </w:p>
    <w:p>
      <w:pPr>
        <w:spacing w:after="0"/>
        <w:rPr>
          <w:sz w:val="18"/>
        </w:rPr>
        <w:sectPr>
          <w:type w:val="continuous"/>
          <w:pgSz w:w="11910" w:h="16840"/>
          <w:pgMar w:top="1180" w:bottom="1520" w:left="820" w:right="960"/>
        </w:sectPr>
      </w:pPr>
    </w:p>
    <w:p>
      <w:pPr>
        <w:pStyle w:val="BodyText"/>
        <w:spacing w:before="3"/>
        <w:rPr>
          <w:sz w:val="25"/>
        </w:rPr>
      </w:pPr>
    </w:p>
    <w:p>
      <w:pPr>
        <w:tabs>
          <w:tab w:pos="1197" w:val="left" w:leader="none"/>
          <w:tab w:pos="1829" w:val="left" w:leader="none"/>
          <w:tab w:pos="2506" w:val="left" w:leader="none"/>
          <w:tab w:pos="3184" w:val="left" w:leader="none"/>
          <w:tab w:pos="3861" w:val="left" w:leader="none"/>
        </w:tabs>
        <w:spacing w:before="0"/>
        <w:ind w:left="520" w:right="0" w:firstLine="0"/>
        <w:jc w:val="left"/>
        <w:rPr>
          <w:sz w:val="16"/>
        </w:rPr>
      </w:pPr>
      <w:r>
        <w:rPr>
          <w:w w:val="105"/>
          <w:sz w:val="16"/>
        </w:rPr>
        <w:t>0</w:t>
        <w:tab/>
        <w:t>5</w:t>
        <w:tab/>
        <w:t>10</w:t>
        <w:tab/>
        <w:t>15</w:t>
        <w:tab/>
        <w:t>20</w:t>
        <w:tab/>
      </w:r>
      <w:r>
        <w:rPr>
          <w:spacing w:val="-12"/>
          <w:w w:val="105"/>
          <w:sz w:val="16"/>
        </w:rPr>
        <w:t>25</w:t>
      </w:r>
    </w:p>
    <w:p>
      <w:pPr>
        <w:spacing w:before="100"/>
        <w:ind w:left="520" w:right="0" w:firstLine="0"/>
        <w:jc w:val="left"/>
        <w:rPr>
          <w:sz w:val="16"/>
        </w:rPr>
      </w:pPr>
      <w:r>
        <w:rPr/>
        <w:br w:type="column"/>
      </w:r>
      <w:r>
        <w:rPr>
          <w:spacing w:val="-4"/>
          <w:sz w:val="16"/>
        </w:rPr>
        <w:t>-0.2</w:t>
      </w:r>
    </w:p>
    <w:p>
      <w:pPr>
        <w:pStyle w:val="BodyText"/>
        <w:spacing w:before="3"/>
        <w:rPr>
          <w:sz w:val="25"/>
        </w:rPr>
      </w:pPr>
      <w:r>
        <w:rPr/>
        <w:br w:type="column"/>
      </w:r>
      <w:r>
        <w:rPr>
          <w:sz w:val="25"/>
        </w:rPr>
      </w:r>
    </w:p>
    <w:p>
      <w:pPr>
        <w:tabs>
          <w:tab w:pos="1190" w:val="left" w:leader="none"/>
          <w:tab w:pos="1823" w:val="left" w:leader="none"/>
          <w:tab w:pos="2500" w:val="left" w:leader="none"/>
          <w:tab w:pos="3177" w:val="left" w:leader="none"/>
          <w:tab w:pos="3855" w:val="left" w:leader="none"/>
        </w:tabs>
        <w:spacing w:before="0"/>
        <w:ind w:left="513" w:right="0" w:firstLine="0"/>
        <w:jc w:val="left"/>
        <w:rPr>
          <w:sz w:val="16"/>
        </w:rPr>
      </w:pPr>
      <w:r>
        <w:rPr>
          <w:w w:val="105"/>
          <w:sz w:val="16"/>
        </w:rPr>
        <w:t>0</w:t>
        <w:tab/>
        <w:t>5</w:t>
        <w:tab/>
        <w:t>10</w:t>
        <w:tab/>
        <w:t>15</w:t>
        <w:tab/>
        <w:t>20</w:t>
        <w:tab/>
      </w:r>
      <w:r>
        <w:rPr>
          <w:spacing w:val="-12"/>
          <w:w w:val="105"/>
          <w:sz w:val="16"/>
        </w:rPr>
        <w:t>25</w:t>
      </w:r>
    </w:p>
    <w:p>
      <w:pPr>
        <w:spacing w:before="100"/>
        <w:ind w:left="520" w:right="0" w:firstLine="0"/>
        <w:jc w:val="left"/>
        <w:rPr>
          <w:sz w:val="16"/>
        </w:rPr>
      </w:pPr>
      <w:r>
        <w:rPr/>
        <w:br w:type="column"/>
      </w:r>
      <w:r>
        <w:rPr>
          <w:w w:val="105"/>
          <w:sz w:val="16"/>
        </w:rPr>
        <w:t>-0.1</w:t>
      </w:r>
    </w:p>
    <w:p>
      <w:pPr>
        <w:spacing w:after="0"/>
        <w:jc w:val="left"/>
        <w:rPr>
          <w:sz w:val="16"/>
        </w:rPr>
        <w:sectPr>
          <w:type w:val="continuous"/>
          <w:pgSz w:w="11910" w:h="16840"/>
          <w:pgMar w:top="1180" w:bottom="1520" w:left="820" w:right="960"/>
          <w:cols w:num="4" w:equalWidth="0">
            <w:col w:w="4041" w:space="68"/>
            <w:col w:w="793" w:space="40"/>
            <w:col w:w="4035" w:space="68"/>
            <w:col w:w="1085"/>
          </w:cols>
        </w:sectPr>
      </w:pPr>
    </w:p>
    <w:p>
      <w:pPr>
        <w:pStyle w:val="BodyText"/>
        <w:spacing w:before="3"/>
        <w:rPr>
          <w:sz w:val="26"/>
        </w:rPr>
      </w:pPr>
    </w:p>
    <w:p>
      <w:pPr>
        <w:spacing w:line="288" w:lineRule="auto" w:before="94"/>
        <w:ind w:left="312" w:right="0" w:firstLine="0"/>
        <w:jc w:val="left"/>
        <w:rPr>
          <w:sz w:val="18"/>
        </w:rPr>
      </w:pPr>
      <w:r>
        <w:rPr>
          <w:sz w:val="18"/>
        </w:rPr>
        <w:t>Notes: Charts show the daily change in 1y nominal and real forward curves observed on 18 March 2020. Dotted lines denote the historical 90%, 95%, 99%, 99.9% percentiles and maximum observed changes since 1997 respectively (from bottom to top).</w:t>
      </w:r>
    </w:p>
    <w:p>
      <w:pPr>
        <w:spacing w:before="2"/>
        <w:ind w:left="312" w:right="0" w:firstLine="0"/>
        <w:jc w:val="left"/>
        <w:rPr>
          <w:sz w:val="18"/>
        </w:rPr>
      </w:pPr>
      <w:r>
        <w:rPr>
          <w:sz w:val="18"/>
        </w:rPr>
        <w:t>Source: Bank calculations.</w:t>
      </w:r>
    </w:p>
    <w:p>
      <w:pPr>
        <w:pStyle w:val="BodyText"/>
        <w:spacing w:before="4"/>
        <w:rPr>
          <w:sz w:val="24"/>
        </w:rPr>
      </w:pPr>
    </w:p>
    <w:p>
      <w:pPr>
        <w:pStyle w:val="BodyText"/>
        <w:spacing w:line="288" w:lineRule="auto"/>
        <w:ind w:left="312" w:right="173"/>
        <w:rPr>
          <w:i/>
        </w:rPr>
      </w:pPr>
      <w:r>
        <w:rPr/>
        <w:t>But as financial conditions deteriorated further, with some market stress indicators approaching levels last seen during the financial crisis, market functioning began to deteriorate more rapidly in the week of 16 March, even in government bond markets. Amid increasing signs of market dysfunction, government bond yields began to rise. The rise in yields was driven by real yields, not a rise in inflation compensation, even as risky asset prices fell further. The change in the real yield curve on 18 March was the largest one day change since the Bank of England independence in 1997, for maturities beyond five years (see Figure 5). This rise in yields occurred with most liquidity indicators deteriorating rapidly, and bid-ask spreads in long term bonds higher than during the global financial crisis (see Figure 6).</w:t>
      </w:r>
      <w:r>
        <w:rPr>
          <w:position w:val="6"/>
          <w:sz w:val="13"/>
        </w:rPr>
        <w:t>14 </w:t>
      </w:r>
      <w:r>
        <w:rPr/>
        <w:t>On their own, each of these developments might not necessarily have needed an immediate policy response, but taken together, they risked an unwarranted tightening in financial conditions and therefore a policy response was</w:t>
      </w:r>
      <w:r>
        <w:rPr>
          <w:spacing w:val="-8"/>
        </w:rPr>
        <w:t> </w:t>
      </w:r>
      <w:r>
        <w:rPr/>
        <w:t>warranted</w:t>
      </w:r>
      <w:r>
        <w:rPr>
          <w:i/>
        </w:rPr>
        <w: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10"/>
        </w:rPr>
      </w:pPr>
      <w:r>
        <w:rPr/>
        <w:pict>
          <v:shape style="position:absolute;margin-left:56.639999pt;margin-top:8.326044pt;width:144.050pt;height:.1pt;mso-position-horizontal-relative:page;mso-position-vertical-relative:paragraph;z-index:-251627520;mso-wrap-distance-left:0;mso-wrap-distance-right:0" coordorigin="1133,167" coordsize="2881,0" path="m1133,167l4014,167e" filled="false" stroked="true" strokeweight=".48004pt" strokecolor="#000000">
            <v:path arrowok="t"/>
            <v:stroke dashstyle="solid"/>
            <w10:wrap type="topAndBottom"/>
          </v:shape>
        </w:pict>
      </w:r>
    </w:p>
    <w:p>
      <w:pPr>
        <w:spacing w:line="240" w:lineRule="auto" w:before="50"/>
        <w:ind w:left="312" w:right="255" w:firstLine="0"/>
        <w:jc w:val="left"/>
        <w:rPr>
          <w:sz w:val="16"/>
        </w:rPr>
      </w:pPr>
      <w:r>
        <w:rPr>
          <w:position w:val="6"/>
          <w:sz w:val="12"/>
        </w:rPr>
        <w:t>14 </w:t>
      </w:r>
      <w:r>
        <w:rPr>
          <w:sz w:val="16"/>
        </w:rPr>
        <w:t>This was not just a UK phenomenon. The same dynamics were playing out in the US and EA. A shortage in dollar funding meant further stress was seen outside the US, though metrics of government bond liquidity also showed extreme levels of distress even in the US.</w:t>
      </w:r>
    </w:p>
    <w:p>
      <w:pPr>
        <w:spacing w:after="0" w:line="240" w:lineRule="auto"/>
        <w:jc w:val="left"/>
        <w:rPr>
          <w:sz w:val="16"/>
        </w:rPr>
        <w:sectPr>
          <w:type w:val="continuous"/>
          <w:pgSz w:w="11910" w:h="16840"/>
          <w:pgMar w:top="1180" w:bottom="1520" w:left="820" w:right="9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0"/>
      </w:tblGrid>
      <w:tr>
        <w:trPr>
          <w:trHeight w:val="392" w:hRule="atLeast"/>
        </w:trPr>
        <w:tc>
          <w:tcPr>
            <w:tcW w:w="9460" w:type="dxa"/>
          </w:tcPr>
          <w:p>
            <w:pPr>
              <w:pStyle w:val="TableParagraph"/>
              <w:spacing w:line="223" w:lineRule="exact"/>
              <w:ind w:left="200"/>
              <w:rPr>
                <w:b/>
                <w:sz w:val="20"/>
              </w:rPr>
            </w:pPr>
            <w:r>
              <w:rPr>
                <w:b/>
                <w:sz w:val="20"/>
              </w:rPr>
              <w:t>Figure 6: Bid-Ask spreads in selected gilts (bps, weekly rolling averages LHS)</w:t>
            </w:r>
          </w:p>
        </w:tc>
      </w:tr>
      <w:tr>
        <w:trPr>
          <w:trHeight w:val="4169" w:hRule="atLeast"/>
        </w:trPr>
        <w:tc>
          <w:tcPr>
            <w:tcW w:w="9460" w:type="dxa"/>
          </w:tcPr>
          <w:p>
            <w:pPr>
              <w:pStyle w:val="TableParagraph"/>
              <w:tabs>
                <w:tab w:pos="5249" w:val="left" w:leader="none"/>
              </w:tabs>
              <w:spacing w:line="270" w:lineRule="atLeast" w:before="83"/>
              <w:ind w:left="3505" w:right="3099"/>
              <w:rPr>
                <w:sz w:val="16"/>
              </w:rPr>
            </w:pPr>
            <w:r>
              <w:rPr>
                <w:w w:val="105"/>
                <w:sz w:val="16"/>
              </w:rPr>
              <w:t>5y</w:t>
            </w:r>
            <w:r>
              <w:rPr>
                <w:spacing w:val="-13"/>
                <w:w w:val="105"/>
                <w:sz w:val="16"/>
              </w:rPr>
              <w:t> </w:t>
            </w:r>
            <w:r>
              <w:rPr>
                <w:spacing w:val="-3"/>
                <w:w w:val="105"/>
                <w:sz w:val="16"/>
              </w:rPr>
              <w:t>nominal</w:t>
            </w:r>
            <w:r>
              <w:rPr>
                <w:spacing w:val="2"/>
                <w:w w:val="105"/>
                <w:sz w:val="16"/>
              </w:rPr>
              <w:t> </w:t>
            </w:r>
            <w:r>
              <w:rPr>
                <w:spacing w:val="-4"/>
                <w:w w:val="105"/>
                <w:sz w:val="16"/>
              </w:rPr>
              <w:t>gilt</w:t>
              <w:tab/>
            </w:r>
            <w:r>
              <w:rPr>
                <w:w w:val="105"/>
                <w:sz w:val="16"/>
              </w:rPr>
              <w:t>10y </w:t>
            </w:r>
            <w:r>
              <w:rPr>
                <w:spacing w:val="-3"/>
                <w:w w:val="105"/>
                <w:sz w:val="16"/>
              </w:rPr>
              <w:t>nominal</w:t>
            </w:r>
            <w:r>
              <w:rPr>
                <w:spacing w:val="-31"/>
                <w:w w:val="105"/>
                <w:sz w:val="16"/>
              </w:rPr>
              <w:t> </w:t>
            </w:r>
            <w:r>
              <w:rPr>
                <w:spacing w:val="-5"/>
                <w:w w:val="105"/>
                <w:sz w:val="16"/>
              </w:rPr>
              <w:t>gilt </w:t>
            </w:r>
            <w:r>
              <w:rPr>
                <w:w w:val="105"/>
                <w:sz w:val="16"/>
              </w:rPr>
              <w:t>30y </w:t>
            </w:r>
            <w:r>
              <w:rPr>
                <w:spacing w:val="-3"/>
                <w:w w:val="105"/>
                <w:sz w:val="16"/>
              </w:rPr>
              <w:t>nominal</w:t>
            </w:r>
            <w:r>
              <w:rPr>
                <w:spacing w:val="-19"/>
                <w:w w:val="105"/>
                <w:sz w:val="16"/>
              </w:rPr>
              <w:t> </w:t>
            </w:r>
            <w:r>
              <w:rPr>
                <w:w w:val="105"/>
                <w:sz w:val="16"/>
              </w:rPr>
              <w:t>gilt</w:t>
            </w:r>
          </w:p>
          <w:p>
            <w:pPr>
              <w:pStyle w:val="TableParagraph"/>
              <w:tabs>
                <w:tab w:pos="9033" w:val="left" w:leader="none"/>
              </w:tabs>
              <w:spacing w:line="167" w:lineRule="exact"/>
              <w:ind w:left="6167"/>
              <w:rPr>
                <w:sz w:val="16"/>
              </w:rPr>
            </w:pPr>
            <w:r>
              <w:rPr>
                <w:w w:val="105"/>
                <w:sz w:val="16"/>
              </w:rPr>
              <w:t>3.5</w:t>
              <w:tab/>
              <w:t>4.0</w:t>
            </w:r>
          </w:p>
          <w:p>
            <w:pPr>
              <w:pStyle w:val="TableParagraph"/>
              <w:spacing w:before="5"/>
              <w:rPr>
                <w:sz w:val="16"/>
              </w:rPr>
            </w:pPr>
          </w:p>
          <w:p>
            <w:pPr>
              <w:pStyle w:val="TableParagraph"/>
              <w:tabs>
                <w:tab w:pos="9033" w:val="left" w:leader="none"/>
              </w:tabs>
              <w:spacing w:before="1"/>
              <w:ind w:left="6167"/>
              <w:rPr>
                <w:sz w:val="16"/>
              </w:rPr>
            </w:pPr>
            <w:r>
              <w:rPr>
                <w:w w:val="105"/>
                <w:position w:val="-4"/>
                <w:sz w:val="16"/>
              </w:rPr>
              <w:t>3.0</w:t>
              <w:tab/>
            </w:r>
            <w:r>
              <w:rPr>
                <w:w w:val="105"/>
                <w:sz w:val="16"/>
              </w:rPr>
              <w:t>3.5</w:t>
            </w:r>
          </w:p>
          <w:p>
            <w:pPr>
              <w:pStyle w:val="TableParagraph"/>
              <w:tabs>
                <w:tab w:pos="9033" w:val="left" w:leader="none"/>
              </w:tabs>
              <w:spacing w:before="139"/>
              <w:ind w:left="6167"/>
              <w:rPr>
                <w:sz w:val="16"/>
              </w:rPr>
            </w:pPr>
            <w:r>
              <w:rPr>
                <w:w w:val="105"/>
                <w:position w:val="-10"/>
                <w:sz w:val="16"/>
              </w:rPr>
              <w:t>2.5</w:t>
              <w:tab/>
            </w:r>
            <w:r>
              <w:rPr>
                <w:w w:val="105"/>
                <w:sz w:val="16"/>
              </w:rPr>
              <w:t>3.0</w:t>
            </w:r>
          </w:p>
          <w:p>
            <w:pPr>
              <w:pStyle w:val="TableParagraph"/>
              <w:spacing w:line="172" w:lineRule="exact" w:before="79"/>
              <w:ind w:left="9033"/>
              <w:rPr>
                <w:sz w:val="16"/>
              </w:rPr>
            </w:pPr>
            <w:r>
              <w:rPr>
                <w:w w:val="105"/>
                <w:sz w:val="16"/>
              </w:rPr>
              <w:t>2.5</w:t>
            </w:r>
          </w:p>
          <w:p>
            <w:pPr>
              <w:pStyle w:val="TableParagraph"/>
              <w:spacing w:line="172" w:lineRule="exact"/>
              <w:ind w:left="6167"/>
              <w:rPr>
                <w:sz w:val="16"/>
              </w:rPr>
            </w:pPr>
            <w:r>
              <w:rPr>
                <w:w w:val="105"/>
                <w:sz w:val="16"/>
              </w:rPr>
              <w:t>2.0</w:t>
            </w:r>
          </w:p>
          <w:p>
            <w:pPr>
              <w:pStyle w:val="TableParagraph"/>
              <w:spacing w:before="30"/>
              <w:ind w:left="9033"/>
              <w:rPr>
                <w:sz w:val="16"/>
              </w:rPr>
            </w:pPr>
            <w:r>
              <w:rPr>
                <w:w w:val="105"/>
                <w:sz w:val="16"/>
              </w:rPr>
              <w:t>2.0</w:t>
            </w:r>
          </w:p>
          <w:p>
            <w:pPr>
              <w:pStyle w:val="TableParagraph"/>
              <w:spacing w:line="172" w:lineRule="exact" w:before="29"/>
              <w:ind w:left="6167"/>
              <w:rPr>
                <w:sz w:val="16"/>
              </w:rPr>
            </w:pPr>
            <w:r>
              <w:rPr>
                <w:w w:val="105"/>
                <w:sz w:val="16"/>
              </w:rPr>
              <w:t>1.5</w:t>
            </w:r>
          </w:p>
          <w:p>
            <w:pPr>
              <w:pStyle w:val="TableParagraph"/>
              <w:spacing w:line="172" w:lineRule="exact"/>
              <w:ind w:left="9033"/>
              <w:rPr>
                <w:sz w:val="16"/>
              </w:rPr>
            </w:pPr>
            <w:r>
              <w:rPr>
                <w:w w:val="105"/>
                <w:sz w:val="16"/>
              </w:rPr>
              <w:t>1.5</w:t>
            </w:r>
          </w:p>
          <w:p>
            <w:pPr>
              <w:pStyle w:val="TableParagraph"/>
              <w:tabs>
                <w:tab w:pos="9033" w:val="left" w:leader="none"/>
              </w:tabs>
              <w:spacing w:before="83"/>
              <w:ind w:left="6167"/>
              <w:rPr>
                <w:sz w:val="16"/>
              </w:rPr>
            </w:pPr>
            <w:r>
              <w:rPr>
                <w:w w:val="105"/>
                <w:sz w:val="16"/>
              </w:rPr>
              <w:t>1.0</w:t>
              <w:tab/>
            </w:r>
            <w:r>
              <w:rPr>
                <w:w w:val="105"/>
                <w:position w:val="-10"/>
                <w:sz w:val="16"/>
              </w:rPr>
              <w:t>1.0</w:t>
            </w:r>
          </w:p>
          <w:p>
            <w:pPr>
              <w:pStyle w:val="TableParagraph"/>
              <w:tabs>
                <w:tab w:pos="9033" w:val="left" w:leader="none"/>
              </w:tabs>
              <w:spacing w:before="133"/>
              <w:ind w:left="6167"/>
              <w:rPr>
                <w:sz w:val="16"/>
              </w:rPr>
            </w:pPr>
            <w:r>
              <w:rPr>
                <w:w w:val="105"/>
                <w:sz w:val="16"/>
              </w:rPr>
              <w:t>0.5</w:t>
              <w:tab/>
            </w:r>
            <w:r>
              <w:rPr>
                <w:w w:val="105"/>
                <w:position w:val="-4"/>
                <w:sz w:val="16"/>
              </w:rPr>
              <w:t>0.5</w:t>
            </w:r>
          </w:p>
          <w:p>
            <w:pPr>
              <w:pStyle w:val="TableParagraph"/>
              <w:tabs>
                <w:tab w:pos="9033" w:val="left" w:leader="none"/>
              </w:tabs>
              <w:spacing w:before="193"/>
              <w:ind w:left="6167"/>
              <w:rPr>
                <w:sz w:val="16"/>
              </w:rPr>
            </w:pPr>
            <w:r>
              <w:rPr>
                <w:w w:val="105"/>
                <w:sz w:val="16"/>
              </w:rPr>
              <w:t>0.0</w:t>
              <w:tab/>
              <w:t>0.0</w:t>
            </w:r>
          </w:p>
          <w:p>
            <w:pPr>
              <w:pStyle w:val="TableParagraph"/>
              <w:tabs>
                <w:tab w:pos="1685" w:val="left" w:leader="none"/>
                <w:tab w:pos="2484" w:val="left" w:leader="none"/>
                <w:tab w:pos="3285" w:val="left" w:leader="none"/>
                <w:tab w:pos="4085" w:val="left" w:leader="none"/>
                <w:tab w:pos="4886" w:val="left" w:leader="none"/>
                <w:tab w:pos="5686" w:val="left" w:leader="none"/>
                <w:tab w:pos="6591" w:val="left" w:leader="none"/>
                <w:tab w:pos="7187" w:val="left" w:leader="none"/>
                <w:tab w:pos="7753" w:val="left" w:leader="none"/>
                <w:tab w:pos="8371" w:val="left" w:leader="none"/>
              </w:tabs>
              <w:spacing w:before="6"/>
              <w:ind w:left="884"/>
              <w:rPr>
                <w:sz w:val="16"/>
              </w:rPr>
            </w:pPr>
            <w:r>
              <w:rPr>
                <w:spacing w:val="-3"/>
                <w:w w:val="105"/>
                <w:sz w:val="16"/>
              </w:rPr>
              <w:t>2008</w:t>
              <w:tab/>
              <w:t>2010</w:t>
              <w:tab/>
            </w:r>
            <w:r>
              <w:rPr>
                <w:w w:val="105"/>
                <w:sz w:val="16"/>
              </w:rPr>
              <w:t>2012</w:t>
              <w:tab/>
            </w:r>
            <w:r>
              <w:rPr>
                <w:spacing w:val="-3"/>
                <w:w w:val="105"/>
                <w:sz w:val="16"/>
              </w:rPr>
              <w:t>2014</w:t>
              <w:tab/>
            </w:r>
            <w:r>
              <w:rPr>
                <w:w w:val="105"/>
                <w:sz w:val="16"/>
              </w:rPr>
              <w:t>2016</w:t>
              <w:tab/>
            </w:r>
            <w:r>
              <w:rPr>
                <w:spacing w:val="-3"/>
                <w:w w:val="105"/>
                <w:sz w:val="16"/>
              </w:rPr>
              <w:t>2018</w:t>
              <w:tab/>
              <w:t>2020</w:t>
              <w:tab/>
            </w:r>
            <w:r>
              <w:rPr>
                <w:spacing w:val="-4"/>
                <w:w w:val="105"/>
                <w:sz w:val="16"/>
              </w:rPr>
              <w:t>Jan</w:t>
              <w:tab/>
            </w:r>
            <w:r>
              <w:rPr>
                <w:spacing w:val="-5"/>
                <w:w w:val="105"/>
                <w:sz w:val="16"/>
              </w:rPr>
              <w:t>Feb</w:t>
              <w:tab/>
            </w:r>
            <w:r>
              <w:rPr>
                <w:w w:val="105"/>
                <w:sz w:val="16"/>
              </w:rPr>
              <w:t>Mar</w:t>
              <w:tab/>
            </w:r>
            <w:r>
              <w:rPr>
                <w:spacing w:val="-3"/>
                <w:w w:val="105"/>
                <w:sz w:val="16"/>
              </w:rPr>
              <w:t>Apr</w:t>
            </w:r>
          </w:p>
        </w:tc>
      </w:tr>
      <w:tr>
        <w:trPr>
          <w:trHeight w:val="401" w:hRule="atLeast"/>
        </w:trPr>
        <w:tc>
          <w:tcPr>
            <w:tcW w:w="9460" w:type="dxa"/>
          </w:tcPr>
          <w:p>
            <w:pPr>
              <w:pStyle w:val="TableParagraph"/>
              <w:spacing w:before="10"/>
              <w:rPr>
                <w:sz w:val="16"/>
              </w:rPr>
            </w:pPr>
          </w:p>
          <w:p>
            <w:pPr>
              <w:pStyle w:val="TableParagraph"/>
              <w:spacing w:line="187" w:lineRule="exact"/>
              <w:ind w:left="200"/>
              <w:rPr>
                <w:sz w:val="18"/>
              </w:rPr>
            </w:pPr>
            <w:r>
              <w:rPr>
                <w:sz w:val="18"/>
              </w:rPr>
              <w:t>Source: Refinitiv Eikon and Bank calculations. Latest observation: 21 April 2020.</w:t>
            </w:r>
          </w:p>
        </w:tc>
      </w:tr>
    </w:tbl>
    <w:p>
      <w:pPr>
        <w:pStyle w:val="BodyText"/>
        <w:rPr>
          <w:sz w:val="17"/>
        </w:rPr>
      </w:pPr>
      <w:r>
        <w:rPr/>
        <w:pict>
          <v:line style="position:absolute;mso-position-horizontal-relative:page;mso-position-vertical-relative:page;z-index:-253243392" from="200.723389pt,111.274429pt" to="219.44087pt,111.274429pt" stroked="true" strokeweight="1.49424pt" strokecolor="#006fc0">
            <v:stroke dashstyle="solid"/>
            <w10:wrap type="none"/>
          </v:line>
        </w:pict>
      </w:r>
      <w:r>
        <w:rPr/>
        <w:pict>
          <v:line style="position:absolute;mso-position-horizontal-relative:page;mso-position-vertical-relative:page;z-index:-253242368" from="287.572510pt,111.274429pt" to="307.038691pt,111.274429pt" stroked="true" strokeweight="1.49424pt" strokecolor="#c00000">
            <v:stroke dashstyle="solid"/>
            <w10:wrap type="none"/>
          </v:line>
        </w:pict>
      </w:r>
      <w:r>
        <w:rPr/>
        <w:pict>
          <v:line style="position:absolute;mso-position-horizontal-relative:page;mso-position-vertical-relative:page;z-index:-253241344" from="200.723389pt,124.722588pt" to="219.44087pt,124.722588pt" stroked="true" strokeweight="1.49424pt" strokecolor="#00af50">
            <v:stroke dashstyle="solid"/>
            <w10:wrap type="none"/>
          </v:line>
        </w:pict>
      </w:r>
    </w:p>
    <w:p>
      <w:pPr>
        <w:pStyle w:val="BodyText"/>
        <w:spacing w:line="288" w:lineRule="auto" w:before="93"/>
        <w:ind w:left="312" w:right="281"/>
      </w:pPr>
      <w:r>
        <w:rPr/>
        <w:pict>
          <v:group style="position:absolute;margin-left:99.648987pt;margin-top:-203.751282pt;width:250.45pt;height:152.050pt;mso-position-horizontal-relative:page;mso-position-vertical-relative:paragraph;z-index:-253244416" coordorigin="1993,-4075" coordsize="5009,3041">
            <v:shape style="position:absolute;left:307;top:6721;width:5010;height:3046" coordorigin="308,6722" coordsize="5010,3046" path="m6957,-1094l6957,-4068m6957,-1094l7002,-1094m6957,-1512l7002,-1512m6957,-1931l7002,-1931m6957,-2364l7002,-2364m6957,-2783l7002,-2783m6957,-3216l7002,-3216m6957,-3634l7002,-3634m6957,-4068l7002,-4068m2000,-1094l6957,-1094m2000,-1094l2000,-1034m2794,-1094l2794,-1034m3588,-1094l3588,-1034m4396,-1094l4396,-1034m5190,-1094l5190,-1034m5983,-1094l5983,-1034m6792,-1094l6792,-1034e" filled="false" stroked="true" strokeweight=".74791pt" strokecolor="#000000">
              <v:path arrowok="t"/>
              <v:stroke dashstyle="solid"/>
            </v:shape>
            <v:shape style="position:absolute;left:2097;top:-3672;width:4822;height:2451" type="#_x0000_t75" stroked="false">
              <v:imagedata r:id="rId16" o:title=""/>
            </v:shape>
            <w10:wrap type="none"/>
          </v:group>
        </w:pict>
      </w:r>
      <w:r>
        <w:rPr/>
        <w:pict>
          <v:group style="position:absolute;margin-left:380.411957pt;margin-top:-203.751282pt;width:112.7pt;height:152.050pt;mso-position-horizontal-relative:page;mso-position-vertical-relative:paragraph;z-index:-253240320" coordorigin="7608,-4075" coordsize="2254,3041">
            <v:shape style="position:absolute;left:5947;top:6721;width:2236;height:3046" coordorigin="5947,6722" coordsize="2236,3046" path="m9817,-1094l9817,-4068m9817,-1094l9862,-1094m9817,-1453l9862,-1453m9817,-1826l9862,-1826m9817,-2200l9862,-2200m9817,-2573l9862,-2573m9817,-2947l9862,-2947m9817,-3320l9862,-3320m9817,-3694l9862,-3694m9817,-4068l9862,-4068m7631,-1094l9817,-1094m7631,-1094l7631,-1034m8230,-1094l8230,-1034m8799,-1094l8799,-1034m9398,-1094l9398,-1034e" filled="false" stroked="true" strokeweight=".74791pt" strokecolor="#000000">
              <v:path arrowok="t"/>
              <v:stroke dashstyle="solid"/>
            </v:shape>
            <v:shape style="position:absolute;left:7623;top:-3836;width:2187;height:2376" coordorigin="7623,-3836" coordsize="2187,2376" path="m7623,-2581l7668,-1759,7683,-1759,7743,-1460,7758,-1609,7773,-1609,7803,-1609,7818,-1535,7878,-1609,7893,-1535,7923,-1684,7938,-1460,7953,-1460,8013,-1609,8027,-1535,8057,-1460,8072,-1460,8087,-1609,8147,-1609,8162,-1684,8192,-1684,8207,-1908,8222,-1834,8282,-1759,8312,-1684,8327,-1834,8342,-1684,8357,-1609,8417,-1535,8447,-1609,8462,-1759,8477,-1609,8507,-1684,8552,-1684,8582,-1759,8597,-1759,8611,-1759,8641,-1759,8701,-1609,8716,-1609,8731,-1609,8746,-1684,8776,-1759,8836,-1684,8851,-1684,8866,-1684,8896,-1759,8911,-2207,8971,-2506,8986,-3014,9001,-2581,9031,-2805,9046,-2730,9106,-3163,9121,-2655,9136,-2805,9166,-3836,9180,-3238,9240,-3238,9255,-3313,9285,-3014,9300,-2730,9315,-2805,9375,-2805,9390,-2805,9420,-2282,9435,-2207,9450,-2282,9510,-2282,9525,-2207,9555,-2282,9570,-2207,9675,-2207,9690,-2207,9705,-2132,9720,-2207,9779,-2132,9809,-2132e" filled="false" stroked="true" strokeweight="1.49595pt" strokecolor="#006fc0">
              <v:path arrowok="t"/>
              <v:stroke dashstyle="solid"/>
            </v:shape>
            <v:shape style="position:absolute;left:7623;top:-2656;width:2187;height:1345" coordorigin="7623,-2655" coordsize="2187,1345" path="m7623,-1609l7668,-2506,7683,-1609,7743,-1535,7758,-1311,7773,-1385,7803,-1460,7818,-1311,7878,-1385,7893,-1460,7923,-1385,7938,-1535,7953,-1385,8013,-1311,8027,-1385,8057,-1385,8072,-1460,8087,-1385,8147,-1311,8162,-1311,8192,-1460,8207,-1460,8222,-1535,8282,-1535,8312,-1460,8327,-1460,8462,-1460,8477,-1535,8507,-1460,8552,-1460,8582,-1460,8597,-1460,8611,-1535,8641,-1460,8701,-1460,8716,-1385,8731,-1385,8746,-1385,8776,-1385,8836,-1460,8851,-1460,8866,-1609,8896,-1535,8911,-1535,8971,-1908,8986,-2282,9001,-2207,9031,-2058,9046,-2431,9106,-2357,9121,-2581,9136,-2207,9166,-2282,9180,-2655,9240,-2506,9255,-2132,9285,-2655,9300,-2431,9315,-1983,9375,-2132,9390,-2132,9420,-1983,9435,-1983,9450,-1834,9510,-1759,9525,-1684,9555,-1684,9570,-1684,9675,-1684,9690,-1609,9705,-1609,9720,-1609,9779,-1535,9809,-1535e" filled="false" stroked="true" strokeweight="1.495107pt" strokecolor="#c00000">
              <v:path arrowok="t"/>
              <v:stroke dashstyle="solid"/>
            </v:shape>
            <v:shape style="position:absolute;left:7623;top:-3388;width:2187;height:2003" coordorigin="7623,-3388" coordsize="2187,2003" path="m7623,-1759l7668,-1535,7683,-1460,7743,-1385,7758,-1460,7773,-1460,7803,-1460,7818,-1385,7878,-1460,7893,-1460,7923,-1460,7938,-1385,7953,-1460,8013,-1460,8027,-1460,8057,-1385,8072,-1460,8087,-1385,8147,-1385,8162,-1385,8192,-1535,8207,-1759,8222,-1460,8282,-1460,8312,-1460,8327,-1460,8342,-1460,8357,-1385,8417,-1460,8447,-1460,8462,-1385,8477,-1535,8507,-1460,8552,-1535,8582,-1535,8597,-1535,8611,-1535,8641,-1535,8701,-1460,8716,-1535,8731,-1535,8746,-1609,8776,-1684,8836,-1609,8851,-1684,8866,-1684,8896,-1460,8911,-1908,8971,-2431,8986,-2506,9001,-2506,9031,-2581,9046,-2954,9106,-2880,9121,-2805,9136,-2954,9166,-3388,9180,-2730,9240,-2880,9255,-3313,9285,-3089,9300,-3014,9315,-2730,9375,-3313,9390,-2431,9420,-2805,9435,-2431,9450,-2132,9510,-2132,9525,-2132,9555,-2132,9570,-1908,9675,-1834,9690,-1834,9705,-1759,9720,-1759,9779,-1759,9809,-1834e" filled="false" stroked="true" strokeweight="1.495681pt" strokecolor="#00af50">
              <v:path arrowok="t"/>
              <v:stroke dashstyle="solid"/>
            </v:shape>
            <w10:wrap type="none"/>
          </v:group>
        </w:pict>
      </w:r>
      <w:r>
        <w:rPr/>
        <w:pict>
          <v:group style="position:absolute;margin-left:104.514359pt;margin-top:125.588852pt;width:385.6pt;height:151.7pt;mso-position-horizontal-relative:page;mso-position-vertical-relative:paragraph;z-index:-253239296" coordorigin="2090,2512" coordsize="7712,3034">
            <v:shape style="position:absolute;left:397;top:6737;width:7726;height:3030" coordorigin="398,6737" coordsize="7726,3030" path="m2135,5500l2135,2527m2090,5500l2135,5500m2090,5202l2135,5202m2090,4903l2135,4903m2090,4604l2135,4604m2090,4320l2135,4320m2090,4021l2135,4021m2090,3722l2135,3722m2090,3423l2135,3423m2090,3124l2135,3124m2090,2826l2135,2826m2090,2527l2135,2527m9757,5500l9757,2527m9757,5500l9802,5500m9757,5202l9802,5202m9757,4903l9802,4903m9757,4604l9802,4604m9757,4320l9802,4320m9757,4021l9802,4021m9757,3722l9802,3722m9757,3423l9802,3423m9757,3124l9802,3124m9757,2826l9802,2826m9757,2527l9802,2527m2135,5500l9757,5500m2135,5500l2135,5545m3168,5500l3168,5545m4187,5500l4187,5545m5220,5500l5220,5545m6238,5500l6238,5545m7256,5500l7256,5545m8289,5500l8289,5545m9307,5500l9307,5545e" filled="false" stroked="true" strokeweight=".747913pt" strokecolor="#000000">
              <v:path arrowok="t"/>
              <v:stroke dashstyle="solid"/>
            </v:shape>
            <v:shape style="position:absolute;left:2142;top:3146;width:7577;height:2108" coordorigin="2143,3147" coordsize="7577,2108" path="m2143,5104l2203,5149,2277,5149,2472,5149,2547,5179,2622,5179,2682,5194,3161,5194,3236,5209,3430,5224,3505,5239,3565,5239,3640,5239,3715,5254,3910,5239,3984,5209,4044,5224,4119,5224,4194,5224,4389,5224,4464,5224,4523,5239,4598,5239,4673,5224,4868,5239,4943,5239,5003,5239,5077,5239,5137,5224,5347,5239,5422,5239,5482,5239,5557,5239,5616,5224,5826,5194,5901,5164,5961,5104,6036,5075,6096,4970,6305,4955,6380,4985,6440,4970,6515,4940,6575,4835,6784,4537,6859,4507,6919,4537,6994,4312,7054,4193,7263,3864,7338,3565,7398,3296,7473,3266,7533,3266,7743,3162,7817,3147,7877,3207,7952,3251,8012,3296,8222,3326,8282,3401,8357,3461,8431,3476,8491,3565,8701,3625,8761,3700,8836,3715,8911,3774,8970,3774,9180,3774,9240,3879,9315,3909,9375,3924,9450,3954,9659,3954,9719,3954e" filled="false" stroked="true" strokeweight="1.494555pt" strokecolor="#c00000">
              <v:path arrowok="t"/>
              <v:stroke dashstyle="solid"/>
            </v:shape>
            <v:shape style="position:absolute;left:3808;top:6729;width:1997;height:3000" coordorigin="3809,6730" coordsize="1997,3000" path="m5495,5508l5507,2519m7473,5508l7488,2519e" filled="false" stroked="true" strokeweight=".747913pt" strokecolor="#000000">
              <v:path arrowok="t"/>
              <v:stroke dashstyle="shortdot"/>
            </v:shape>
            <v:shape style="position:absolute;left:2142;top:3042;width:7577;height:2108" coordorigin="2143,3042" coordsize="7577,2108" path="m2143,5090l2203,5134,2277,5090,2472,5090,2547,5090,2622,5104,2682,5134,2757,5134,2951,5134,3026,5134,3101,5134,3161,5134,3236,5149,3430,5149,3505,5119,3565,5119,3640,5119,3715,5075,3910,4955,3984,5015,4044,5015,4119,5045,4194,4940,4389,4970,4464,5030,4523,5060,4598,5060,4673,5045,4868,5060,4943,5060,5003,5090,5077,5090,5137,5090,5347,5090,5422,5060,5482,5075,5557,5045,5616,5000,5826,4761,5901,4671,5961,4686,6036,4342,6096,4312,6305,4507,6380,4402,6440,4552,6515,4327,6575,4253,6784,3879,6859,4103,6919,3894,6994,3251,7054,3789,7263,3042,7338,3251,7398,3222,7473,3356,7533,3535,7743,3670,7817,3670,7877,3595,7952,3685,8012,3550,8222,3804,8282,3909,8357,3804,8431,3984,8491,4118,8701,4163,8761,4118,8836,4208,8911,4268,8970,4268,9180,4283,9240,4387,9315,4283,9375,4312,9450,4372,9659,4193,9719,4103e" filled="false" stroked="true" strokeweight="1.494555pt" strokecolor="#006fc0">
              <v:path arrowok="t"/>
              <v:stroke dashstyle="solid"/>
            </v:shape>
            <w10:wrap type="none"/>
          </v:group>
        </w:pict>
      </w:r>
      <w:r>
        <w:rPr/>
        <w:pict>
          <v:line style="position:absolute;mso-position-horizontal-relative:page;mso-position-vertical-relative:paragraph;z-index:-253238272" from="165.529755pt,112.510139pt" to="184.246133pt,112.510139pt" stroked="true" strokeweight="1.494342pt" strokecolor="#c00000">
            <v:stroke dashstyle="solid"/>
            <w10:wrap type="none"/>
          </v:line>
        </w:pict>
      </w:r>
      <w:r>
        <w:rPr/>
        <w:pict>
          <v:line style="position:absolute;mso-position-horizontal-relative:page;mso-position-vertical-relative:paragraph;z-index:-253237248" from="366.917999pt,112.510139pt" to="386.383033pt,112.510139pt" stroked="true" strokeweight="1.494342pt" strokecolor="#006fc0">
            <v:stroke dashstyle="solid"/>
            <w10:wrap type="none"/>
          </v:line>
        </w:pict>
      </w:r>
      <w:r>
        <w:rPr/>
        <w:t>The central bank can play an important role in breaking the feedback loop between market stress and the economic outlook in its unique capacity to provide aggregate liquidity to the market. By offering to buy some of the assets that are being sold in distressed conditions and increasing the level of reserves, the central bank can enable commercial banks to provide more liquidity (or at least not withdraw as much liquidity).</w:t>
      </w:r>
    </w:p>
    <w:p>
      <w:pPr>
        <w:pStyle w:val="BodyText"/>
        <w:spacing w:before="4"/>
        <w:rPr>
          <w:sz w:val="2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8"/>
      </w:tblGrid>
      <w:tr>
        <w:trPr>
          <w:trHeight w:val="470" w:hRule="atLeast"/>
        </w:trPr>
        <w:tc>
          <w:tcPr>
            <w:tcW w:w="9448" w:type="dxa"/>
          </w:tcPr>
          <w:p>
            <w:pPr>
              <w:pStyle w:val="TableParagraph"/>
              <w:spacing w:line="223" w:lineRule="exact"/>
              <w:ind w:left="200"/>
              <w:rPr>
                <w:b/>
                <w:sz w:val="20"/>
              </w:rPr>
            </w:pPr>
            <w:r>
              <w:rPr>
                <w:b/>
                <w:sz w:val="20"/>
              </w:rPr>
              <w:t>Figure 7: Equity market volatility and UK corporate bond spreads</w:t>
            </w:r>
          </w:p>
        </w:tc>
      </w:tr>
      <w:tr>
        <w:trPr>
          <w:trHeight w:val="4082" w:hRule="atLeast"/>
        </w:trPr>
        <w:tc>
          <w:tcPr>
            <w:tcW w:w="9448" w:type="dxa"/>
          </w:tcPr>
          <w:p>
            <w:pPr>
              <w:pStyle w:val="TableParagraph"/>
              <w:spacing w:before="5"/>
              <w:rPr>
                <w:sz w:val="21"/>
              </w:rPr>
            </w:pPr>
          </w:p>
          <w:p>
            <w:pPr>
              <w:pStyle w:val="TableParagraph"/>
              <w:tabs>
                <w:tab w:pos="6847" w:val="left" w:leader="none"/>
              </w:tabs>
              <w:ind w:left="2798"/>
              <w:rPr>
                <w:sz w:val="16"/>
              </w:rPr>
            </w:pPr>
            <w:r>
              <w:rPr>
                <w:w w:val="105"/>
                <w:sz w:val="16"/>
              </w:rPr>
              <w:t>UK</w:t>
            </w:r>
            <w:r>
              <w:rPr>
                <w:spacing w:val="-13"/>
                <w:w w:val="105"/>
                <w:sz w:val="16"/>
              </w:rPr>
              <w:t> </w:t>
            </w:r>
            <w:r>
              <w:rPr>
                <w:spacing w:val="-3"/>
                <w:w w:val="105"/>
                <w:sz w:val="16"/>
              </w:rPr>
              <w:t>non-financial</w:t>
            </w:r>
            <w:r>
              <w:rPr>
                <w:spacing w:val="-14"/>
                <w:w w:val="105"/>
                <w:sz w:val="16"/>
              </w:rPr>
              <w:t> </w:t>
            </w:r>
            <w:r>
              <w:rPr>
                <w:spacing w:val="-3"/>
                <w:w w:val="105"/>
                <w:sz w:val="16"/>
              </w:rPr>
              <w:t>corporate</w:t>
            </w:r>
            <w:r>
              <w:rPr>
                <w:spacing w:val="-10"/>
                <w:w w:val="105"/>
                <w:sz w:val="16"/>
              </w:rPr>
              <w:t> </w:t>
            </w:r>
            <w:r>
              <w:rPr>
                <w:w w:val="105"/>
                <w:sz w:val="16"/>
              </w:rPr>
              <w:t>bond</w:t>
            </w:r>
            <w:r>
              <w:rPr>
                <w:spacing w:val="-10"/>
                <w:w w:val="105"/>
                <w:sz w:val="16"/>
              </w:rPr>
              <w:t> </w:t>
            </w:r>
            <w:r>
              <w:rPr>
                <w:spacing w:val="-5"/>
                <w:w w:val="105"/>
                <w:sz w:val="16"/>
              </w:rPr>
              <w:t>OAS</w:t>
            </w:r>
            <w:r>
              <w:rPr>
                <w:spacing w:val="-13"/>
                <w:w w:val="105"/>
                <w:sz w:val="16"/>
              </w:rPr>
              <w:t> </w:t>
            </w:r>
            <w:r>
              <w:rPr>
                <w:w w:val="105"/>
                <w:sz w:val="16"/>
              </w:rPr>
              <w:t>(RHS)</w:t>
              <w:tab/>
            </w:r>
            <w:r>
              <w:rPr>
                <w:spacing w:val="-3"/>
                <w:w w:val="105"/>
                <w:sz w:val="16"/>
              </w:rPr>
              <w:t>VIX</w:t>
            </w:r>
            <w:r>
              <w:rPr>
                <w:spacing w:val="-8"/>
                <w:w w:val="105"/>
                <w:sz w:val="16"/>
              </w:rPr>
              <w:t> </w:t>
            </w:r>
            <w:r>
              <w:rPr>
                <w:spacing w:val="-4"/>
                <w:w w:val="105"/>
                <w:sz w:val="16"/>
              </w:rPr>
              <w:t>(LHS)</w:t>
            </w:r>
          </w:p>
          <w:p>
            <w:pPr>
              <w:pStyle w:val="TableParagraph"/>
              <w:tabs>
                <w:tab w:pos="8976" w:val="left" w:leader="none"/>
              </w:tabs>
              <w:spacing w:before="93"/>
              <w:ind w:left="800"/>
              <w:rPr>
                <w:sz w:val="16"/>
              </w:rPr>
            </w:pPr>
            <w:r>
              <w:rPr>
                <w:w w:val="105"/>
                <w:sz w:val="16"/>
              </w:rPr>
              <w:t>100</w:t>
              <w:tab/>
            </w:r>
            <w:r>
              <w:rPr>
                <w:spacing w:val="-2"/>
                <w:w w:val="105"/>
                <w:sz w:val="16"/>
              </w:rPr>
              <w:t>300</w:t>
            </w:r>
          </w:p>
          <w:p>
            <w:pPr>
              <w:pStyle w:val="TableParagraph"/>
              <w:tabs>
                <w:tab w:pos="3942" w:val="left" w:leader="none"/>
                <w:tab w:pos="6666" w:val="left" w:leader="none"/>
                <w:tab w:pos="9247" w:val="right" w:leader="none"/>
              </w:tabs>
              <w:spacing w:before="37"/>
              <w:ind w:left="889"/>
              <w:rPr>
                <w:sz w:val="16"/>
              </w:rPr>
            </w:pPr>
            <w:r>
              <w:rPr>
                <w:w w:val="105"/>
                <w:position w:val="-7"/>
                <w:sz w:val="16"/>
              </w:rPr>
              <w:t>90</w:t>
              <w:tab/>
            </w:r>
            <w:r>
              <w:rPr>
                <w:w w:val="105"/>
                <w:sz w:val="16"/>
              </w:rPr>
              <w:t>19</w:t>
            </w:r>
            <w:r>
              <w:rPr>
                <w:spacing w:val="-6"/>
                <w:w w:val="105"/>
                <w:sz w:val="16"/>
              </w:rPr>
              <w:t> </w:t>
            </w:r>
            <w:r>
              <w:rPr>
                <w:spacing w:val="-5"/>
                <w:w w:val="105"/>
                <w:sz w:val="16"/>
              </w:rPr>
              <w:t>Feb</w:t>
              <w:tab/>
            </w:r>
            <w:r>
              <w:rPr>
                <w:w w:val="105"/>
                <w:sz w:val="16"/>
              </w:rPr>
              <w:t>19</w:t>
            </w:r>
            <w:r>
              <w:rPr>
                <w:spacing w:val="-3"/>
                <w:w w:val="105"/>
                <w:sz w:val="16"/>
              </w:rPr>
              <w:t> </w:t>
            </w:r>
            <w:r>
              <w:rPr>
                <w:spacing w:val="-7"/>
                <w:w w:val="105"/>
                <w:sz w:val="16"/>
              </w:rPr>
              <w:t>Mar</w:t>
              <w:tab/>
            </w:r>
            <w:r>
              <w:rPr>
                <w:spacing w:val="-2"/>
                <w:w w:val="105"/>
                <w:position w:val="-7"/>
                <w:sz w:val="16"/>
              </w:rPr>
              <w:t>280</w:t>
            </w:r>
          </w:p>
          <w:p>
            <w:pPr>
              <w:pStyle w:val="TableParagraph"/>
              <w:tabs>
                <w:tab w:pos="8976" w:val="left" w:leader="none"/>
              </w:tabs>
              <w:spacing w:before="113"/>
              <w:ind w:left="889"/>
              <w:rPr>
                <w:sz w:val="16"/>
              </w:rPr>
            </w:pPr>
            <w:r>
              <w:rPr>
                <w:w w:val="105"/>
                <w:sz w:val="16"/>
              </w:rPr>
              <w:t>80</w:t>
              <w:tab/>
            </w:r>
            <w:r>
              <w:rPr>
                <w:spacing w:val="-2"/>
                <w:w w:val="105"/>
                <w:sz w:val="16"/>
              </w:rPr>
              <w:t>260</w:t>
            </w:r>
          </w:p>
          <w:p>
            <w:pPr>
              <w:pStyle w:val="TableParagraph"/>
              <w:tabs>
                <w:tab w:pos="8976" w:val="left" w:leader="none"/>
              </w:tabs>
              <w:spacing w:before="114"/>
              <w:ind w:left="889"/>
              <w:rPr>
                <w:sz w:val="16"/>
              </w:rPr>
            </w:pPr>
            <w:r>
              <w:rPr>
                <w:w w:val="105"/>
                <w:sz w:val="16"/>
              </w:rPr>
              <w:t>70</w:t>
              <w:tab/>
            </w:r>
            <w:r>
              <w:rPr>
                <w:spacing w:val="-2"/>
                <w:w w:val="105"/>
                <w:sz w:val="16"/>
              </w:rPr>
              <w:t>240</w:t>
            </w:r>
          </w:p>
          <w:p>
            <w:pPr>
              <w:pStyle w:val="TableParagraph"/>
              <w:tabs>
                <w:tab w:pos="8976" w:val="left" w:leader="none"/>
              </w:tabs>
              <w:spacing w:before="115"/>
              <w:ind w:left="889"/>
              <w:rPr>
                <w:sz w:val="16"/>
              </w:rPr>
            </w:pPr>
            <w:r>
              <w:rPr>
                <w:w w:val="105"/>
                <w:sz w:val="16"/>
              </w:rPr>
              <w:t>60</w:t>
              <w:tab/>
            </w:r>
            <w:r>
              <w:rPr>
                <w:spacing w:val="-2"/>
                <w:w w:val="105"/>
                <w:sz w:val="16"/>
              </w:rPr>
              <w:t>220</w:t>
            </w:r>
          </w:p>
          <w:p>
            <w:pPr>
              <w:pStyle w:val="TableParagraph"/>
              <w:tabs>
                <w:tab w:pos="8976" w:val="left" w:leader="none"/>
              </w:tabs>
              <w:spacing w:before="115"/>
              <w:ind w:left="889"/>
              <w:rPr>
                <w:sz w:val="16"/>
              </w:rPr>
            </w:pPr>
            <w:r>
              <w:rPr>
                <w:w w:val="105"/>
                <w:sz w:val="16"/>
              </w:rPr>
              <w:t>50</w:t>
              <w:tab/>
            </w:r>
            <w:r>
              <w:rPr>
                <w:spacing w:val="-2"/>
                <w:w w:val="105"/>
                <w:sz w:val="16"/>
              </w:rPr>
              <w:t>200</w:t>
            </w:r>
          </w:p>
          <w:p>
            <w:pPr>
              <w:pStyle w:val="TableParagraph"/>
              <w:tabs>
                <w:tab w:pos="8976" w:val="left" w:leader="none"/>
              </w:tabs>
              <w:spacing w:before="115"/>
              <w:ind w:left="889"/>
              <w:rPr>
                <w:sz w:val="16"/>
              </w:rPr>
            </w:pPr>
            <w:r>
              <w:rPr>
                <w:w w:val="105"/>
                <w:sz w:val="16"/>
              </w:rPr>
              <w:t>40</w:t>
              <w:tab/>
            </w:r>
            <w:r>
              <w:rPr>
                <w:spacing w:val="-2"/>
                <w:w w:val="105"/>
                <w:sz w:val="16"/>
              </w:rPr>
              <w:t>180</w:t>
            </w:r>
          </w:p>
          <w:p>
            <w:pPr>
              <w:pStyle w:val="TableParagraph"/>
              <w:tabs>
                <w:tab w:pos="8976" w:val="left" w:leader="none"/>
              </w:tabs>
              <w:spacing w:before="114"/>
              <w:ind w:left="889"/>
              <w:rPr>
                <w:sz w:val="16"/>
              </w:rPr>
            </w:pPr>
            <w:r>
              <w:rPr>
                <w:w w:val="105"/>
                <w:sz w:val="16"/>
              </w:rPr>
              <w:t>30</w:t>
              <w:tab/>
            </w:r>
            <w:r>
              <w:rPr>
                <w:spacing w:val="-2"/>
                <w:w w:val="105"/>
                <w:sz w:val="16"/>
              </w:rPr>
              <w:t>160</w:t>
            </w:r>
          </w:p>
          <w:p>
            <w:pPr>
              <w:pStyle w:val="TableParagraph"/>
              <w:tabs>
                <w:tab w:pos="8976" w:val="left" w:leader="none"/>
              </w:tabs>
              <w:spacing w:before="115"/>
              <w:ind w:left="889"/>
              <w:rPr>
                <w:sz w:val="16"/>
              </w:rPr>
            </w:pPr>
            <w:r>
              <w:rPr>
                <w:w w:val="105"/>
                <w:sz w:val="16"/>
              </w:rPr>
              <w:t>20</w:t>
              <w:tab/>
            </w:r>
            <w:r>
              <w:rPr>
                <w:spacing w:val="-2"/>
                <w:w w:val="105"/>
                <w:sz w:val="16"/>
              </w:rPr>
              <w:t>140</w:t>
            </w:r>
          </w:p>
          <w:p>
            <w:pPr>
              <w:pStyle w:val="TableParagraph"/>
              <w:tabs>
                <w:tab w:pos="8976" w:val="left" w:leader="none"/>
              </w:tabs>
              <w:spacing w:before="115"/>
              <w:ind w:left="889"/>
              <w:rPr>
                <w:sz w:val="16"/>
              </w:rPr>
            </w:pPr>
            <w:r>
              <w:rPr>
                <w:w w:val="105"/>
                <w:sz w:val="16"/>
              </w:rPr>
              <w:t>10</w:t>
              <w:tab/>
            </w:r>
            <w:r>
              <w:rPr>
                <w:spacing w:val="-2"/>
                <w:w w:val="105"/>
                <w:sz w:val="16"/>
              </w:rPr>
              <w:t>120</w:t>
            </w:r>
          </w:p>
          <w:p>
            <w:pPr>
              <w:pStyle w:val="TableParagraph"/>
              <w:tabs>
                <w:tab w:pos="8976" w:val="left" w:leader="none"/>
              </w:tabs>
              <w:spacing w:before="115"/>
              <w:ind w:left="978"/>
              <w:rPr>
                <w:sz w:val="16"/>
              </w:rPr>
            </w:pPr>
            <w:r>
              <w:rPr>
                <w:w w:val="105"/>
                <w:sz w:val="16"/>
              </w:rPr>
              <w:t>0</w:t>
              <w:tab/>
            </w:r>
            <w:r>
              <w:rPr>
                <w:spacing w:val="-2"/>
                <w:w w:val="105"/>
                <w:sz w:val="16"/>
              </w:rPr>
              <w:t>100</w:t>
            </w:r>
          </w:p>
          <w:p>
            <w:pPr>
              <w:pStyle w:val="TableParagraph"/>
              <w:tabs>
                <w:tab w:pos="1991" w:val="left" w:leader="none"/>
                <w:tab w:pos="3018" w:val="left" w:leader="none"/>
                <w:tab w:pos="4037" w:val="left" w:leader="none"/>
                <w:tab w:pos="5063" w:val="left" w:leader="none"/>
                <w:tab w:pos="6091" w:val="left" w:leader="none"/>
                <w:tab w:pos="7118" w:val="left" w:leader="none"/>
                <w:tab w:pos="8158" w:val="left" w:leader="none"/>
              </w:tabs>
              <w:spacing w:before="6"/>
              <w:ind w:left="964"/>
              <w:rPr>
                <w:sz w:val="16"/>
              </w:rPr>
            </w:pPr>
            <w:r>
              <w:rPr>
                <w:w w:val="105"/>
                <w:sz w:val="16"/>
              </w:rPr>
              <w:t>01</w:t>
            </w:r>
            <w:r>
              <w:rPr>
                <w:spacing w:val="-7"/>
                <w:w w:val="105"/>
                <w:sz w:val="16"/>
              </w:rPr>
              <w:t> </w:t>
            </w:r>
            <w:r>
              <w:rPr>
                <w:spacing w:val="-4"/>
                <w:w w:val="105"/>
                <w:sz w:val="16"/>
              </w:rPr>
              <w:t>Jan</w:t>
              <w:tab/>
            </w:r>
            <w:r>
              <w:rPr>
                <w:w w:val="105"/>
                <w:sz w:val="16"/>
              </w:rPr>
              <w:t>16</w:t>
            </w:r>
            <w:r>
              <w:rPr>
                <w:spacing w:val="-7"/>
                <w:w w:val="105"/>
                <w:sz w:val="16"/>
              </w:rPr>
              <w:t> </w:t>
            </w:r>
            <w:r>
              <w:rPr>
                <w:spacing w:val="-4"/>
                <w:w w:val="105"/>
                <w:sz w:val="16"/>
              </w:rPr>
              <w:t>Jan</w:t>
              <w:tab/>
            </w:r>
            <w:r>
              <w:rPr>
                <w:w w:val="105"/>
                <w:sz w:val="16"/>
              </w:rPr>
              <w:t>31</w:t>
            </w:r>
            <w:r>
              <w:rPr>
                <w:spacing w:val="-5"/>
                <w:w w:val="105"/>
                <w:sz w:val="16"/>
              </w:rPr>
              <w:t> </w:t>
            </w:r>
            <w:r>
              <w:rPr>
                <w:spacing w:val="-4"/>
                <w:w w:val="105"/>
                <w:sz w:val="16"/>
              </w:rPr>
              <w:t>Jan</w:t>
              <w:tab/>
            </w:r>
            <w:r>
              <w:rPr>
                <w:w w:val="105"/>
                <w:sz w:val="16"/>
              </w:rPr>
              <w:t>15</w:t>
            </w:r>
            <w:r>
              <w:rPr>
                <w:spacing w:val="-8"/>
                <w:w w:val="105"/>
                <w:sz w:val="16"/>
              </w:rPr>
              <w:t> </w:t>
            </w:r>
            <w:r>
              <w:rPr>
                <w:spacing w:val="-5"/>
                <w:w w:val="105"/>
                <w:sz w:val="16"/>
              </w:rPr>
              <w:t>Feb</w:t>
              <w:tab/>
            </w:r>
            <w:r>
              <w:rPr>
                <w:w w:val="105"/>
                <w:sz w:val="16"/>
              </w:rPr>
              <w:t>01</w:t>
            </w:r>
            <w:r>
              <w:rPr>
                <w:spacing w:val="-7"/>
                <w:w w:val="105"/>
                <w:sz w:val="16"/>
              </w:rPr>
              <w:t> </w:t>
            </w:r>
            <w:r>
              <w:rPr>
                <w:w w:val="105"/>
                <w:sz w:val="16"/>
              </w:rPr>
              <w:t>Mar</w:t>
              <w:tab/>
              <w:t>16</w:t>
            </w:r>
            <w:r>
              <w:rPr>
                <w:spacing w:val="-9"/>
                <w:w w:val="105"/>
                <w:sz w:val="16"/>
              </w:rPr>
              <w:t> </w:t>
            </w:r>
            <w:r>
              <w:rPr>
                <w:w w:val="105"/>
                <w:sz w:val="16"/>
              </w:rPr>
              <w:t>Mar</w:t>
              <w:tab/>
              <w:t>31</w:t>
            </w:r>
            <w:r>
              <w:rPr>
                <w:spacing w:val="-6"/>
                <w:w w:val="105"/>
                <w:sz w:val="16"/>
              </w:rPr>
              <w:t> </w:t>
            </w:r>
            <w:r>
              <w:rPr>
                <w:spacing w:val="-3"/>
                <w:w w:val="105"/>
                <w:sz w:val="16"/>
              </w:rPr>
              <w:t>Mar</w:t>
              <w:tab/>
            </w:r>
            <w:r>
              <w:rPr>
                <w:w w:val="105"/>
                <w:sz w:val="16"/>
              </w:rPr>
              <w:t>15</w:t>
            </w:r>
            <w:r>
              <w:rPr>
                <w:spacing w:val="-5"/>
                <w:w w:val="105"/>
                <w:sz w:val="16"/>
              </w:rPr>
              <w:t> </w:t>
            </w:r>
            <w:r>
              <w:rPr>
                <w:spacing w:val="-3"/>
                <w:w w:val="105"/>
                <w:sz w:val="16"/>
              </w:rPr>
              <w:t>Apr</w:t>
            </w:r>
          </w:p>
        </w:tc>
      </w:tr>
      <w:tr>
        <w:trPr>
          <w:trHeight w:val="396" w:hRule="atLeast"/>
        </w:trPr>
        <w:tc>
          <w:tcPr>
            <w:tcW w:w="9448" w:type="dxa"/>
          </w:tcPr>
          <w:p>
            <w:pPr>
              <w:pStyle w:val="TableParagraph"/>
              <w:spacing w:before="5"/>
              <w:rPr>
                <w:sz w:val="16"/>
              </w:rPr>
            </w:pPr>
          </w:p>
          <w:p>
            <w:pPr>
              <w:pStyle w:val="TableParagraph"/>
              <w:spacing w:line="187" w:lineRule="exact" w:before="1"/>
              <w:ind w:left="200"/>
              <w:rPr>
                <w:sz w:val="18"/>
              </w:rPr>
            </w:pPr>
            <w:r>
              <w:rPr>
                <w:sz w:val="18"/>
              </w:rPr>
              <w:t>Source: Refinitiv Eikon. Latest observation: 21 April 2020.</w:t>
            </w:r>
          </w:p>
        </w:tc>
      </w:tr>
    </w:tbl>
    <w:p>
      <w:pPr>
        <w:pStyle w:val="BodyText"/>
        <w:spacing w:before="4"/>
        <w:rPr>
          <w:sz w:val="24"/>
        </w:rPr>
      </w:pPr>
    </w:p>
    <w:p>
      <w:pPr>
        <w:pStyle w:val="BodyText"/>
        <w:spacing w:line="288" w:lineRule="auto"/>
        <w:ind w:left="312" w:right="192"/>
      </w:pPr>
      <w:r>
        <w:rPr/>
        <w:t>The MPC acted forcefully on 19 March by announcing a programme to buy £200bn of gilts and corporate bonds at a rapid pace. As I have argued before,</w:t>
      </w:r>
      <w:r>
        <w:rPr>
          <w:position w:val="6"/>
          <w:sz w:val="13"/>
        </w:rPr>
        <w:t>15 </w:t>
      </w:r>
      <w:r>
        <w:rPr/>
        <w:t>this was the scenario in which QE can be expected to be most effective: markets were dysfunctional and there was significant uncertainty about what the monetary policy response would be to a shock for which there is no recent precedent. Earlier that same week, other</w:t>
      </w:r>
    </w:p>
    <w:p>
      <w:pPr>
        <w:pStyle w:val="BodyText"/>
        <w:spacing w:before="7"/>
        <w:rPr>
          <w:sz w:val="15"/>
        </w:rPr>
      </w:pPr>
      <w:r>
        <w:rPr/>
        <w:pict>
          <v:shape style="position:absolute;margin-left:56.639999pt;margin-top:11.218613pt;width:144.050pt;height:.1pt;mso-position-horizontal-relative:page;mso-position-vertical-relative:paragraph;z-index:-251622400;mso-wrap-distance-left:0;mso-wrap-distance-right:0" coordorigin="1133,224" coordsize="2881,0" path="m1133,224l4014,224e" filled="false" stroked="true" strokeweight=".48004pt" strokecolor="#000000">
            <v:path arrowok="t"/>
            <v:stroke dashstyle="solid"/>
            <w10:wrap type="topAndBottom"/>
          </v:shape>
        </w:pict>
      </w:r>
    </w:p>
    <w:p>
      <w:pPr>
        <w:spacing w:before="47"/>
        <w:ind w:left="312" w:right="0" w:firstLine="0"/>
        <w:jc w:val="left"/>
        <w:rPr>
          <w:sz w:val="16"/>
        </w:rPr>
      </w:pPr>
      <w:r>
        <w:rPr>
          <w:position w:val="6"/>
          <w:sz w:val="10"/>
        </w:rPr>
        <w:t>15 </w:t>
      </w:r>
      <w:r>
        <w:rPr>
          <w:sz w:val="16"/>
        </w:rPr>
        <w:t>See Vlieghe (2018, 2019).</w:t>
      </w:r>
    </w:p>
    <w:p>
      <w:pPr>
        <w:spacing w:after="0"/>
        <w:jc w:val="left"/>
        <w:rPr>
          <w:sz w:val="16"/>
        </w:rPr>
        <w:sectPr>
          <w:footerReference w:type="default" r:id="rId15"/>
          <w:pgSz w:w="11910" w:h="16840"/>
          <w:pgMar w:footer="1338" w:header="0" w:top="1540" w:bottom="1520" w:left="820" w:right="960"/>
          <w:pgNumType w:start="9"/>
        </w:sectPr>
      </w:pPr>
    </w:p>
    <w:p>
      <w:pPr>
        <w:pStyle w:val="BodyText"/>
        <w:spacing w:line="288" w:lineRule="auto" w:before="81"/>
        <w:ind w:left="312" w:right="293"/>
      </w:pPr>
      <w:r>
        <w:rPr/>
        <w:t>central banks took a range of actions as well. Over subsequent days and weeks, a range of indicators suggest that financial market stress eased back substantially, though many indicators unsurprisingly remain elevated (Figure 7).</w:t>
      </w:r>
    </w:p>
    <w:p>
      <w:pPr>
        <w:pStyle w:val="BodyText"/>
        <w:spacing w:line="288" w:lineRule="auto" w:before="120"/>
        <w:ind w:left="312" w:right="192"/>
      </w:pPr>
      <w:r>
        <w:rPr/>
        <w:t>Reflecting the fact that the immediate priority was to relieve market stress, the MPC communications around this latest round of QE were somewhat different from earlier rounds. First, the breakdown between corporate bonds and gilts was not pre-announced. Second, the pace of purchases was not pre-announced either, with communication emphasising instead that purchases would be made as soon as operationally possible, consistent with improved market functioning. Both of these decisions preserved some flexibility for the MPC to respond to changes in market conditions as needed. And the MPC emphasised that is stands ready to respond further as necessary.</w:t>
      </w:r>
    </w:p>
    <w:p>
      <w:pPr>
        <w:pStyle w:val="BodyText"/>
        <w:spacing w:line="288" w:lineRule="auto" w:before="121"/>
        <w:ind w:left="312" w:right="192"/>
      </w:pPr>
      <w:r>
        <w:rPr/>
        <w:t>While the immediate priority of the MPC action was to improve market functioning and signal our resolve to act as needed in the face of unprecedented headwinds, the main objective, as always, was to meet the inflation target. The MPC judged that the tightening in financial conditions that was underway would have caused an unwarranted reduction in aggregate demand and hinder progress towards meeting the inflation target, hence it was appropriate to act.</w:t>
      </w:r>
    </w:p>
    <w:p>
      <w:pPr>
        <w:pStyle w:val="BodyText"/>
        <w:rPr>
          <w:sz w:val="22"/>
        </w:rPr>
      </w:pPr>
    </w:p>
    <w:p>
      <w:pPr>
        <w:pStyle w:val="BodyText"/>
        <w:spacing w:before="4"/>
        <w:rPr>
          <w:sz w:val="28"/>
        </w:rPr>
      </w:pPr>
    </w:p>
    <w:p>
      <w:pPr>
        <w:pStyle w:val="Heading1"/>
        <w:numPr>
          <w:ilvl w:val="0"/>
          <w:numId w:val="1"/>
        </w:numPr>
        <w:tabs>
          <w:tab w:pos="1034" w:val="left" w:leader="none"/>
        </w:tabs>
        <w:spacing w:line="240" w:lineRule="auto" w:before="1" w:after="0"/>
        <w:ind w:left="1033" w:right="0" w:hanging="361"/>
        <w:jc w:val="left"/>
      </w:pPr>
      <w:r>
        <w:rPr/>
        <w:t>Ways and</w:t>
      </w:r>
      <w:r>
        <w:rPr>
          <w:spacing w:val="-4"/>
        </w:rPr>
        <w:t> </w:t>
      </w:r>
      <w:r>
        <w:rPr/>
        <w:t>Means</w:t>
      </w:r>
    </w:p>
    <w:p>
      <w:pPr>
        <w:pStyle w:val="BodyText"/>
        <w:rPr>
          <w:sz w:val="26"/>
        </w:rPr>
      </w:pPr>
    </w:p>
    <w:p>
      <w:pPr>
        <w:pStyle w:val="BodyText"/>
        <w:spacing w:line="285" w:lineRule="auto" w:before="218"/>
        <w:ind w:left="312" w:right="259"/>
      </w:pPr>
      <w:r>
        <w:rPr/>
        <w:t>So far, I have discussed operations that buy (or sell) government bonds and issue (or reduce) reserves, and I have shown that this happens both in conventional interest-rate setting operations and in QE operations.</w:t>
      </w:r>
    </w:p>
    <w:p>
      <w:pPr>
        <w:pStyle w:val="BodyText"/>
        <w:spacing w:line="288" w:lineRule="auto" w:before="122"/>
        <w:ind w:left="312" w:right="571"/>
      </w:pPr>
      <w:r>
        <w:rPr/>
        <w:t>There is another variation on this theme, which has been in the news recently: the Ways and Means account. This is, simply put, an overdraft facility that the UK government has with the Bank of England. It exists purely as a short-term cash management tool. In fact, it is a back-up facility to a short-term cash management tool, as I will now explain.</w:t>
      </w:r>
    </w:p>
    <w:p>
      <w:pPr>
        <w:pStyle w:val="BodyText"/>
        <w:spacing w:line="288" w:lineRule="auto" w:before="121"/>
        <w:ind w:left="312" w:right="225"/>
      </w:pPr>
      <w:r>
        <w:rPr/>
        <w:t>Rather than the central bank buying bonds, the central bank can lend directly to the government. If you think of a government bond as fundamentally a loan to the government, you can see that, mechanically, it is really just a very similar transaction again as QE and conventional monetary policy: government liabilities on the left, reserves on the right, as shown in Diagram 7. The main difference from QE is that the initiative of drawing down (and repaying) the facility lies with the government, not the Bank Executive or the MPC.</w:t>
      </w:r>
    </w:p>
    <w:p>
      <w:pPr>
        <w:pStyle w:val="BodyText"/>
        <w:spacing w:line="288" w:lineRule="auto" w:before="120"/>
        <w:ind w:left="312" w:right="337"/>
      </w:pPr>
      <w:r>
        <w:rPr/>
        <w:t>The W&amp;M facility is a remnant from the period before the transfer of the government’s cash flow and debt management operations from the Bank of England to the Debt Management Office</w:t>
      </w:r>
      <w:r>
        <w:rPr>
          <w:position w:val="6"/>
          <w:sz w:val="13"/>
        </w:rPr>
        <w:t>16 </w:t>
      </w:r>
      <w:r>
        <w:rPr/>
        <w:t>(DMO) in 1998-2000 The W&amp;M facility was last used in 2008, for an amount of approximately GBP 20bn, to finance a loan to the Financial Services Compensation Scheme.</w:t>
      </w:r>
      <w:r>
        <w:rPr>
          <w:position w:val="6"/>
          <w:sz w:val="13"/>
        </w:rPr>
        <w:t>17 </w:t>
      </w:r>
      <w:r>
        <w:rPr/>
        <w:t>The amount was repaid after four months.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r>
        <w:rPr/>
        <w:pict>
          <v:shape style="position:absolute;margin-left:56.639999pt;margin-top:17.919796pt;width:144.050pt;height:.1pt;mso-position-horizontal-relative:page;mso-position-vertical-relative:paragraph;z-index:-251613184;mso-wrap-distance-left:0;mso-wrap-distance-right:0" coordorigin="1133,358" coordsize="2881,0" path="m1133,358l4014,358e" filled="false" stroked="true" strokeweight=".47998pt" strokecolor="#000000">
            <v:path arrowok="t"/>
            <v:stroke dashstyle="solid"/>
            <w10:wrap type="topAndBottom"/>
          </v:shape>
        </w:pict>
      </w:r>
    </w:p>
    <w:p>
      <w:pPr>
        <w:spacing w:line="186" w:lineRule="exact" w:before="50"/>
        <w:ind w:left="312" w:right="0" w:firstLine="0"/>
        <w:jc w:val="left"/>
        <w:rPr>
          <w:sz w:val="16"/>
        </w:rPr>
      </w:pPr>
      <w:r>
        <w:rPr>
          <w:position w:val="6"/>
          <w:sz w:val="10"/>
        </w:rPr>
        <w:t>16 </w:t>
      </w:r>
      <w:r>
        <w:rPr>
          <w:sz w:val="16"/>
        </w:rPr>
        <w:t>See </w:t>
      </w:r>
      <w:hyperlink r:id="rId18">
        <w:r>
          <w:rPr>
            <w:color w:val="0000FF"/>
            <w:sz w:val="16"/>
            <w:u w:val="single" w:color="0000FF"/>
          </w:rPr>
          <w:t>https://www.dmo.gov.uk/media/2174/drmr9900.pdf</w:t>
        </w:r>
      </w:hyperlink>
    </w:p>
    <w:p>
      <w:pPr>
        <w:spacing w:before="0"/>
        <w:ind w:left="312" w:right="1406" w:firstLine="0"/>
        <w:jc w:val="left"/>
        <w:rPr>
          <w:sz w:val="16"/>
        </w:rPr>
      </w:pPr>
      <w:r>
        <w:rPr>
          <w:position w:val="6"/>
          <w:sz w:val="10"/>
        </w:rPr>
        <w:t>17 </w:t>
      </w:r>
      <w:r>
        <w:rPr>
          <w:sz w:val="16"/>
        </w:rPr>
        <w:t>For a discussion of this transaction at the time, see e.g. </w:t>
      </w:r>
      <w:hyperlink r:id="rId19">
        <w:r>
          <w:rPr>
            <w:color w:val="0000FF"/>
            <w:sz w:val="16"/>
            <w:u w:val="single" w:color="0000FF"/>
          </w:rPr>
          <w:t>https://www.bankofengland.co.uk/-/media/boe/files/quarterly-</w:t>
        </w:r>
      </w:hyperlink>
      <w:r>
        <w:rPr>
          <w:color w:val="0000FF"/>
          <w:sz w:val="16"/>
        </w:rPr>
        <w:t> </w:t>
      </w:r>
      <w:hyperlink r:id="rId19">
        <w:r>
          <w:rPr>
            <w:color w:val="0000FF"/>
            <w:sz w:val="16"/>
            <w:u w:val="single" w:color="0000FF"/>
          </w:rPr>
          <w:t>bulletin/2009/quarterly-bulletin-2009-q1.pdf</w:t>
        </w:r>
      </w:hyperlink>
    </w:p>
    <w:p>
      <w:pPr>
        <w:spacing w:after="0"/>
        <w:jc w:val="left"/>
        <w:rPr>
          <w:sz w:val="16"/>
        </w:rPr>
        <w:sectPr>
          <w:footerReference w:type="default" r:id="rId17"/>
          <w:pgSz w:w="11910" w:h="16840"/>
          <w:pgMar w:footer="1338" w:header="0" w:top="1340" w:bottom="1520" w:left="820" w:right="960"/>
          <w:pgNumType w:start="10"/>
        </w:sectPr>
      </w:pPr>
    </w:p>
    <w:p>
      <w:pPr>
        <w:pStyle w:val="Heading2"/>
        <w:spacing w:line="288" w:lineRule="auto" w:before="79"/>
        <w:ind w:right="19"/>
      </w:pPr>
      <w:r>
        <w:rPr/>
        <w:t>Diagram 6: Ways &amp; Means drawing in government balance sheet</w:t>
      </w:r>
    </w:p>
    <w:p>
      <w:pPr>
        <w:spacing w:line="288" w:lineRule="auto" w:before="79"/>
        <w:ind w:left="312" w:right="535" w:firstLine="0"/>
        <w:jc w:val="left"/>
        <w:rPr>
          <w:b/>
          <w:sz w:val="20"/>
        </w:rPr>
      </w:pPr>
      <w:r>
        <w:rPr/>
        <w:br w:type="column"/>
      </w:r>
      <w:r>
        <w:rPr>
          <w:b/>
          <w:sz w:val="20"/>
        </w:rPr>
        <w:t>Diagram 7: Ways &amp; Means drawing in Bank of England balance sheet</w:t>
      </w:r>
    </w:p>
    <w:p>
      <w:pPr>
        <w:spacing w:after="0" w:line="288" w:lineRule="auto"/>
        <w:jc w:val="left"/>
        <w:rPr>
          <w:sz w:val="20"/>
        </w:rPr>
        <w:sectPr>
          <w:footerReference w:type="default" r:id="rId20"/>
          <w:pgSz w:w="11910" w:h="16840"/>
          <w:pgMar w:footer="1338" w:header="0" w:top="1460" w:bottom="1520" w:left="820" w:right="960"/>
          <w:pgNumType w:start="11"/>
          <w:cols w:num="2" w:equalWidth="0">
            <w:col w:w="3897" w:space="1031"/>
            <w:col w:w="5202"/>
          </w:cols>
        </w:sectPr>
      </w:pPr>
    </w:p>
    <w:p>
      <w:pPr>
        <w:pStyle w:val="BodyText"/>
        <w:spacing w:before="7"/>
        <w:rPr>
          <w:b/>
          <w:sz w:val="10"/>
        </w:rPr>
      </w:pPr>
    </w:p>
    <w:p>
      <w:pPr>
        <w:pStyle w:val="BodyText"/>
        <w:tabs>
          <w:tab w:pos="5329" w:val="left" w:leader="none"/>
        </w:tabs>
        <w:ind w:left="402"/>
      </w:pPr>
      <w:r>
        <w:rPr>
          <w:position w:val="28"/>
        </w:rPr>
        <w:pict>
          <v:shape style="width:227.1pt;height:214.25pt;mso-position-horizontal-relative:char;mso-position-vertical-relative:line" type="#_x0000_t202"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2"/>
                    <w:gridCol w:w="2259"/>
                  </w:tblGrid>
                  <w:tr>
                    <w:trPr>
                      <w:trHeight w:val="369" w:hRule="atLeast"/>
                    </w:trPr>
                    <w:tc>
                      <w:tcPr>
                        <w:tcW w:w="2262" w:type="dxa"/>
                        <w:tcBorders>
                          <w:bottom w:val="double" w:sz="2" w:space="0" w:color="000000"/>
                        </w:tcBorders>
                      </w:tcPr>
                      <w:p>
                        <w:pPr>
                          <w:pStyle w:val="TableParagraph"/>
                          <w:spacing w:line="224" w:lineRule="exact" w:before="125"/>
                          <w:ind w:left="723"/>
                          <w:rPr>
                            <w:rFonts w:ascii="Calibri"/>
                            <w:b/>
                            <w:sz w:val="20"/>
                          </w:rPr>
                        </w:pPr>
                        <w:r>
                          <w:rPr>
                            <w:rFonts w:ascii="Calibri"/>
                            <w:b/>
                            <w:w w:val="105"/>
                            <w:sz w:val="20"/>
                          </w:rPr>
                          <w:t>Assets</w:t>
                        </w:r>
                      </w:p>
                    </w:tc>
                    <w:tc>
                      <w:tcPr>
                        <w:tcW w:w="2259" w:type="dxa"/>
                        <w:tcBorders>
                          <w:bottom w:val="double" w:sz="2" w:space="0" w:color="000000"/>
                        </w:tcBorders>
                      </w:tcPr>
                      <w:p>
                        <w:pPr>
                          <w:pStyle w:val="TableParagraph"/>
                          <w:spacing w:line="224" w:lineRule="exact" w:before="125"/>
                          <w:ind w:left="455" w:right="184"/>
                          <w:jc w:val="center"/>
                          <w:rPr>
                            <w:rFonts w:ascii="Calibri"/>
                            <w:b/>
                            <w:sz w:val="20"/>
                          </w:rPr>
                        </w:pPr>
                        <w:r>
                          <w:rPr>
                            <w:rFonts w:ascii="Calibri"/>
                            <w:b/>
                            <w:w w:val="105"/>
                            <w:sz w:val="20"/>
                          </w:rPr>
                          <w:t>Liabilities</w:t>
                        </w:r>
                      </w:p>
                    </w:tc>
                  </w:tr>
                  <w:tr>
                    <w:trPr>
                      <w:trHeight w:val="534" w:hRule="atLeast"/>
                    </w:trPr>
                    <w:tc>
                      <w:tcPr>
                        <w:tcW w:w="2262" w:type="dxa"/>
                        <w:vMerge w:val="restart"/>
                        <w:tcBorders>
                          <w:top w:val="double" w:sz="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9"/>
                          <w:rPr>
                            <w:b/>
                            <w:sz w:val="15"/>
                          </w:rPr>
                        </w:pPr>
                      </w:p>
                      <w:p>
                        <w:pPr>
                          <w:pStyle w:val="TableParagraph"/>
                          <w:ind w:left="171"/>
                          <w:rPr>
                            <w:rFonts w:ascii="Calibri"/>
                            <w:sz w:val="20"/>
                          </w:rPr>
                        </w:pPr>
                        <w:r>
                          <w:rPr>
                            <w:rFonts w:ascii="Calibri"/>
                            <w:w w:val="105"/>
                            <w:sz w:val="20"/>
                          </w:rPr>
                          <w:t>Government assets</w:t>
                        </w:r>
                      </w:p>
                    </w:tc>
                    <w:tc>
                      <w:tcPr>
                        <w:tcW w:w="2259" w:type="dxa"/>
                        <w:tcBorders>
                          <w:top w:val="double" w:sz="2" w:space="0" w:color="000000"/>
                        </w:tcBorders>
                        <w:shd w:val="clear" w:color="auto" w:fill="6F2F9F"/>
                      </w:tcPr>
                      <w:p>
                        <w:pPr>
                          <w:pStyle w:val="TableParagraph"/>
                          <w:spacing w:before="138"/>
                          <w:ind w:left="455" w:right="188"/>
                          <w:jc w:val="center"/>
                          <w:rPr>
                            <w:rFonts w:ascii="Calibri"/>
                            <w:sz w:val="20"/>
                          </w:rPr>
                        </w:pPr>
                        <w:r>
                          <w:rPr>
                            <w:rFonts w:ascii="Calibri"/>
                            <w:color w:val="FFFFFF"/>
                            <w:w w:val="105"/>
                            <w:sz w:val="20"/>
                          </w:rPr>
                          <w:t>Ways &amp; Means (+)</w:t>
                        </w:r>
                      </w:p>
                    </w:tc>
                  </w:tr>
                  <w:tr>
                    <w:trPr>
                      <w:trHeight w:val="2189" w:hRule="atLeast"/>
                    </w:trPr>
                    <w:tc>
                      <w:tcPr>
                        <w:tcW w:w="2262" w:type="dxa"/>
                        <w:vMerge/>
                        <w:tcBorders>
                          <w:top w:val="nil"/>
                        </w:tcBorders>
                      </w:tcPr>
                      <w:p>
                        <w:pPr>
                          <w:rPr>
                            <w:sz w:val="2"/>
                            <w:szCs w:val="2"/>
                          </w:rPr>
                        </w:pPr>
                      </w:p>
                    </w:tc>
                    <w:tc>
                      <w:tcPr>
                        <w:tcW w:w="2259" w:type="dxa"/>
                      </w:tcPr>
                      <w:p>
                        <w:pPr>
                          <w:pStyle w:val="TableParagraph"/>
                          <w:rPr>
                            <w:b/>
                            <w:sz w:val="20"/>
                          </w:rPr>
                        </w:pPr>
                      </w:p>
                      <w:p>
                        <w:pPr>
                          <w:pStyle w:val="TableParagraph"/>
                          <w:rPr>
                            <w:b/>
                            <w:sz w:val="20"/>
                          </w:rPr>
                        </w:pPr>
                      </w:p>
                      <w:p>
                        <w:pPr>
                          <w:pStyle w:val="TableParagraph"/>
                          <w:rPr>
                            <w:b/>
                            <w:sz w:val="20"/>
                          </w:rPr>
                        </w:pPr>
                      </w:p>
                      <w:p>
                        <w:pPr>
                          <w:pStyle w:val="TableParagraph"/>
                          <w:rPr>
                            <w:b/>
                            <w:sz w:val="24"/>
                          </w:rPr>
                        </w:pPr>
                      </w:p>
                      <w:p>
                        <w:pPr>
                          <w:pStyle w:val="TableParagraph"/>
                          <w:ind w:left="455" w:right="169"/>
                          <w:jc w:val="center"/>
                          <w:rPr>
                            <w:rFonts w:ascii="Calibri"/>
                            <w:sz w:val="20"/>
                          </w:rPr>
                        </w:pPr>
                        <w:r>
                          <w:rPr>
                            <w:rFonts w:ascii="Calibri"/>
                            <w:w w:val="105"/>
                            <w:sz w:val="20"/>
                          </w:rPr>
                          <w:t>Gilts outstanding</w:t>
                        </w:r>
                      </w:p>
                    </w:tc>
                  </w:tr>
                  <w:tr>
                    <w:trPr>
                      <w:trHeight w:val="1087" w:hRule="atLeast"/>
                    </w:trPr>
                    <w:tc>
                      <w:tcPr>
                        <w:tcW w:w="2262" w:type="dxa"/>
                        <w:vMerge/>
                        <w:tcBorders>
                          <w:top w:val="nil"/>
                        </w:tcBorders>
                      </w:tcPr>
                      <w:p>
                        <w:pPr>
                          <w:rPr>
                            <w:sz w:val="2"/>
                            <w:szCs w:val="2"/>
                          </w:rPr>
                        </w:pPr>
                      </w:p>
                    </w:tc>
                    <w:tc>
                      <w:tcPr>
                        <w:tcW w:w="2259" w:type="dxa"/>
                      </w:tcPr>
                      <w:p>
                        <w:pPr>
                          <w:pStyle w:val="TableParagraph"/>
                          <w:rPr>
                            <w:b/>
                            <w:sz w:val="20"/>
                          </w:rPr>
                        </w:pPr>
                      </w:p>
                      <w:p>
                        <w:pPr>
                          <w:pStyle w:val="TableParagraph"/>
                          <w:spacing w:before="1"/>
                          <w:rPr>
                            <w:b/>
                            <w:sz w:val="16"/>
                          </w:rPr>
                        </w:pPr>
                      </w:p>
                      <w:p>
                        <w:pPr>
                          <w:pStyle w:val="TableParagraph"/>
                          <w:ind w:left="455" w:right="184"/>
                          <w:jc w:val="center"/>
                          <w:rPr>
                            <w:rFonts w:ascii="Calibri"/>
                            <w:sz w:val="20"/>
                          </w:rPr>
                        </w:pPr>
                        <w:r>
                          <w:rPr>
                            <w:rFonts w:ascii="Calibri"/>
                            <w:w w:val="105"/>
                            <w:sz w:val="20"/>
                          </w:rPr>
                          <w:t>T-Bills</w:t>
                        </w:r>
                      </w:p>
                    </w:tc>
                  </w:tr>
                </w:tbl>
                <w:p>
                  <w:pPr>
                    <w:pStyle w:val="BodyText"/>
                  </w:pPr>
                </w:p>
              </w:txbxContent>
            </v:textbox>
          </v:shape>
        </w:pict>
      </w:r>
      <w:r>
        <w:rPr>
          <w:position w:val="28"/>
        </w:rPr>
      </w:r>
      <w:r>
        <w:rPr>
          <w:position w:val="28"/>
        </w:rPr>
        <w:tab/>
      </w:r>
      <w:r>
        <w:rPr/>
        <w:pict>
          <v:shape style="width:227.1pt;height:228.15pt;mso-position-horizontal-relative:char;mso-position-vertical-relative:line" type="#_x0000_t202"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6"/>
                    <w:gridCol w:w="2256"/>
                  </w:tblGrid>
                  <w:tr>
                    <w:trPr>
                      <w:trHeight w:val="369" w:hRule="atLeast"/>
                    </w:trPr>
                    <w:tc>
                      <w:tcPr>
                        <w:tcW w:w="2266" w:type="dxa"/>
                        <w:tcBorders>
                          <w:bottom w:val="double" w:sz="2" w:space="0" w:color="000000"/>
                        </w:tcBorders>
                      </w:tcPr>
                      <w:p>
                        <w:pPr>
                          <w:pStyle w:val="TableParagraph"/>
                          <w:spacing w:line="224" w:lineRule="exact" w:before="126"/>
                          <w:ind w:left="196" w:right="447"/>
                          <w:jc w:val="center"/>
                          <w:rPr>
                            <w:rFonts w:ascii="Calibri"/>
                            <w:b/>
                            <w:sz w:val="20"/>
                          </w:rPr>
                        </w:pPr>
                        <w:r>
                          <w:rPr>
                            <w:rFonts w:ascii="Calibri"/>
                            <w:b/>
                            <w:w w:val="105"/>
                            <w:sz w:val="20"/>
                          </w:rPr>
                          <w:t>Assets</w:t>
                        </w:r>
                      </w:p>
                    </w:tc>
                    <w:tc>
                      <w:tcPr>
                        <w:tcW w:w="2256" w:type="dxa"/>
                        <w:tcBorders>
                          <w:bottom w:val="double" w:sz="2" w:space="0" w:color="000000"/>
                        </w:tcBorders>
                      </w:tcPr>
                      <w:p>
                        <w:pPr>
                          <w:pStyle w:val="TableParagraph"/>
                          <w:spacing w:line="224" w:lineRule="exact" w:before="126"/>
                          <w:ind w:left="841"/>
                          <w:rPr>
                            <w:rFonts w:ascii="Calibri"/>
                            <w:b/>
                            <w:sz w:val="20"/>
                          </w:rPr>
                        </w:pPr>
                        <w:r>
                          <w:rPr>
                            <w:rFonts w:ascii="Calibri"/>
                            <w:b/>
                            <w:w w:val="105"/>
                            <w:sz w:val="20"/>
                          </w:rPr>
                          <w:t>Liabilities</w:t>
                        </w:r>
                      </w:p>
                    </w:tc>
                  </w:tr>
                  <w:tr>
                    <w:trPr>
                      <w:trHeight w:val="534" w:hRule="atLeast"/>
                    </w:trPr>
                    <w:tc>
                      <w:tcPr>
                        <w:tcW w:w="2266" w:type="dxa"/>
                        <w:tcBorders>
                          <w:top w:val="double" w:sz="2" w:space="0" w:color="000000"/>
                        </w:tcBorders>
                        <w:shd w:val="clear" w:color="auto" w:fill="6F2F9F"/>
                      </w:tcPr>
                      <w:p>
                        <w:pPr>
                          <w:pStyle w:val="TableParagraph"/>
                          <w:spacing w:before="138"/>
                          <w:ind w:left="196" w:right="454"/>
                          <w:jc w:val="center"/>
                          <w:rPr>
                            <w:rFonts w:ascii="Calibri"/>
                            <w:sz w:val="20"/>
                          </w:rPr>
                        </w:pPr>
                        <w:r>
                          <w:rPr>
                            <w:rFonts w:ascii="Calibri"/>
                            <w:color w:val="FFFFFF"/>
                            <w:w w:val="105"/>
                            <w:sz w:val="20"/>
                          </w:rPr>
                          <w:t>Ways &amp; Means (+)</w:t>
                        </w:r>
                      </w:p>
                    </w:tc>
                    <w:tc>
                      <w:tcPr>
                        <w:tcW w:w="2256" w:type="dxa"/>
                        <w:tcBorders>
                          <w:top w:val="double" w:sz="2" w:space="0" w:color="000000"/>
                        </w:tcBorders>
                        <w:shd w:val="clear" w:color="auto" w:fill="00AFEF"/>
                      </w:tcPr>
                      <w:p>
                        <w:pPr>
                          <w:pStyle w:val="TableParagraph"/>
                          <w:spacing w:before="14"/>
                          <w:ind w:left="491" w:right="239"/>
                          <w:jc w:val="center"/>
                          <w:rPr>
                            <w:rFonts w:ascii="Calibri"/>
                            <w:sz w:val="20"/>
                          </w:rPr>
                        </w:pPr>
                        <w:r>
                          <w:rPr>
                            <w:rFonts w:ascii="Calibri"/>
                            <w:w w:val="105"/>
                            <w:sz w:val="20"/>
                          </w:rPr>
                          <w:t>Reserve balances</w:t>
                        </w:r>
                      </w:p>
                      <w:p>
                        <w:pPr>
                          <w:pStyle w:val="TableParagraph"/>
                          <w:spacing w:line="225" w:lineRule="exact" w:before="32"/>
                          <w:ind w:left="488" w:right="239"/>
                          <w:jc w:val="center"/>
                          <w:rPr>
                            <w:rFonts w:ascii="Calibri"/>
                            <w:sz w:val="20"/>
                          </w:rPr>
                        </w:pPr>
                        <w:r>
                          <w:rPr>
                            <w:rFonts w:ascii="Calibri"/>
                            <w:w w:val="105"/>
                            <w:sz w:val="20"/>
                          </w:rPr>
                          <w:t>(+)</w:t>
                        </w:r>
                      </w:p>
                    </w:tc>
                  </w:tr>
                  <w:tr>
                    <w:trPr>
                      <w:trHeight w:val="1915" w:hRule="atLeast"/>
                    </w:trPr>
                    <w:tc>
                      <w:tcPr>
                        <w:tcW w:w="2266"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1"/>
                          <w:rPr>
                            <w:b/>
                            <w:sz w:val="24"/>
                          </w:rPr>
                        </w:pPr>
                      </w:p>
                      <w:p>
                        <w:pPr>
                          <w:pStyle w:val="TableParagraph"/>
                          <w:spacing w:line="271" w:lineRule="auto"/>
                          <w:ind w:left="585" w:right="692" w:hanging="138"/>
                          <w:rPr>
                            <w:rFonts w:ascii="Calibri"/>
                            <w:sz w:val="20"/>
                          </w:rPr>
                        </w:pPr>
                        <w:r>
                          <w:rPr>
                            <w:rFonts w:ascii="Calibri"/>
                            <w:w w:val="105"/>
                            <w:sz w:val="20"/>
                          </w:rPr>
                          <w:t>Public sector securities</w:t>
                        </w:r>
                      </w:p>
                    </w:tc>
                    <w:tc>
                      <w:tcPr>
                        <w:tcW w:w="2256" w:type="dxa"/>
                      </w:tcPr>
                      <w:p>
                        <w:pPr>
                          <w:pStyle w:val="TableParagraph"/>
                          <w:rPr>
                            <w:b/>
                            <w:sz w:val="20"/>
                          </w:rPr>
                        </w:pPr>
                      </w:p>
                      <w:p>
                        <w:pPr>
                          <w:pStyle w:val="TableParagraph"/>
                          <w:rPr>
                            <w:b/>
                            <w:sz w:val="20"/>
                          </w:rPr>
                        </w:pPr>
                      </w:p>
                      <w:p>
                        <w:pPr>
                          <w:pStyle w:val="TableParagraph"/>
                          <w:rPr>
                            <w:b/>
                            <w:sz w:val="20"/>
                          </w:rPr>
                        </w:pPr>
                      </w:p>
                      <w:p>
                        <w:pPr>
                          <w:pStyle w:val="TableParagraph"/>
                          <w:spacing w:before="139"/>
                          <w:ind w:right="256"/>
                          <w:jc w:val="right"/>
                          <w:rPr>
                            <w:rFonts w:ascii="Calibri"/>
                            <w:sz w:val="20"/>
                          </w:rPr>
                        </w:pPr>
                        <w:r>
                          <w:rPr>
                            <w:rFonts w:ascii="Calibri"/>
                            <w:w w:val="105"/>
                            <w:sz w:val="20"/>
                          </w:rPr>
                          <w:t>Reserve balances</w:t>
                        </w:r>
                      </w:p>
                    </w:tc>
                  </w:tr>
                  <w:tr>
                    <w:trPr>
                      <w:trHeight w:val="536" w:hRule="atLeast"/>
                    </w:trPr>
                    <w:tc>
                      <w:tcPr>
                        <w:tcW w:w="2266" w:type="dxa"/>
                        <w:vMerge/>
                        <w:tcBorders>
                          <w:top w:val="nil"/>
                        </w:tcBorders>
                      </w:tcPr>
                      <w:p>
                        <w:pPr>
                          <w:rPr>
                            <w:sz w:val="2"/>
                            <w:szCs w:val="2"/>
                          </w:rPr>
                        </w:pPr>
                      </w:p>
                    </w:tc>
                    <w:tc>
                      <w:tcPr>
                        <w:tcW w:w="2256" w:type="dxa"/>
                      </w:tcPr>
                      <w:p>
                        <w:pPr>
                          <w:pStyle w:val="TableParagraph"/>
                          <w:spacing w:before="139"/>
                          <w:ind w:right="161"/>
                          <w:jc w:val="right"/>
                          <w:rPr>
                            <w:rFonts w:ascii="Calibri"/>
                            <w:sz w:val="20"/>
                          </w:rPr>
                        </w:pPr>
                        <w:r>
                          <w:rPr>
                            <w:rFonts w:ascii="Calibri"/>
                            <w:w w:val="105"/>
                            <w:sz w:val="20"/>
                          </w:rPr>
                          <w:t>Notes in circulation</w:t>
                        </w:r>
                      </w:p>
                    </w:tc>
                  </w:tr>
                  <w:tr>
                    <w:trPr>
                      <w:trHeight w:val="536" w:hRule="atLeast"/>
                    </w:trPr>
                    <w:tc>
                      <w:tcPr>
                        <w:tcW w:w="2266" w:type="dxa"/>
                      </w:tcPr>
                      <w:p>
                        <w:pPr>
                          <w:pStyle w:val="TableParagraph"/>
                          <w:spacing w:before="15"/>
                          <w:ind w:left="406"/>
                          <w:rPr>
                            <w:rFonts w:ascii="Calibri"/>
                            <w:sz w:val="20"/>
                          </w:rPr>
                        </w:pPr>
                        <w:r>
                          <w:rPr>
                            <w:rFonts w:ascii="Calibri"/>
                            <w:w w:val="105"/>
                            <w:sz w:val="20"/>
                          </w:rPr>
                          <w:t>Private sector</w:t>
                        </w:r>
                      </w:p>
                      <w:p>
                        <w:pPr>
                          <w:pStyle w:val="TableParagraph"/>
                          <w:spacing w:line="225" w:lineRule="exact" w:before="32"/>
                          <w:ind w:left="309"/>
                          <w:rPr>
                            <w:rFonts w:ascii="Calibri"/>
                            <w:sz w:val="20"/>
                          </w:rPr>
                        </w:pPr>
                        <w:r>
                          <w:rPr>
                            <w:rFonts w:ascii="Calibri"/>
                            <w:w w:val="105"/>
                            <w:sz w:val="20"/>
                          </w:rPr>
                          <w:t>loans/securities</w:t>
                        </w:r>
                      </w:p>
                    </w:tc>
                    <w:tc>
                      <w:tcPr>
                        <w:tcW w:w="2256" w:type="dxa"/>
                        <w:vMerge w:val="restart"/>
                      </w:tcPr>
                      <w:p>
                        <w:pPr>
                          <w:pStyle w:val="TableParagraph"/>
                          <w:spacing w:before="1"/>
                          <w:rPr>
                            <w:b/>
                            <w:sz w:val="24"/>
                          </w:rPr>
                        </w:pPr>
                      </w:p>
                      <w:p>
                        <w:pPr>
                          <w:pStyle w:val="TableParagraph"/>
                          <w:spacing w:line="271" w:lineRule="auto"/>
                          <w:ind w:left="593" w:right="60" w:firstLine="179"/>
                          <w:rPr>
                            <w:rFonts w:ascii="Calibri"/>
                            <w:sz w:val="20"/>
                          </w:rPr>
                        </w:pPr>
                        <w:r>
                          <w:rPr>
                            <w:rFonts w:ascii="Calibri"/>
                            <w:w w:val="105"/>
                            <w:sz w:val="20"/>
                          </w:rPr>
                          <w:t>Capital and other liabilities</w:t>
                        </w:r>
                      </w:p>
                    </w:tc>
                  </w:tr>
                  <w:tr>
                    <w:trPr>
                      <w:trHeight w:val="536" w:hRule="atLeast"/>
                    </w:trPr>
                    <w:tc>
                      <w:tcPr>
                        <w:tcW w:w="2266" w:type="dxa"/>
                      </w:tcPr>
                      <w:p>
                        <w:pPr>
                          <w:pStyle w:val="TableParagraph"/>
                          <w:spacing w:before="139"/>
                          <w:ind w:left="196" w:right="450"/>
                          <w:jc w:val="center"/>
                          <w:rPr>
                            <w:rFonts w:ascii="Calibri"/>
                            <w:sz w:val="20"/>
                          </w:rPr>
                        </w:pPr>
                        <w:r>
                          <w:rPr>
                            <w:rFonts w:ascii="Calibri"/>
                            <w:w w:val="105"/>
                            <w:sz w:val="20"/>
                          </w:rPr>
                          <w:t>Net foreign assets</w:t>
                        </w:r>
                      </w:p>
                    </w:tc>
                    <w:tc>
                      <w:tcPr>
                        <w:tcW w:w="2256" w:type="dxa"/>
                        <w:vMerge/>
                        <w:tcBorders>
                          <w:top w:val="nil"/>
                        </w:tcBorders>
                      </w:tcPr>
                      <w:p>
                        <w:pPr>
                          <w:rPr>
                            <w:sz w:val="2"/>
                            <w:szCs w:val="2"/>
                          </w:rPr>
                        </w:pPr>
                      </w:p>
                    </w:tc>
                  </w:tr>
                </w:tbl>
                <w:p>
                  <w:pPr>
                    <w:pStyle w:val="BodyText"/>
                  </w:pPr>
                </w:p>
              </w:txbxContent>
            </v:textbox>
          </v:shape>
        </w:pict>
      </w:r>
      <w:r>
        <w:rPr/>
      </w:r>
    </w:p>
    <w:p>
      <w:pPr>
        <w:pStyle w:val="BodyText"/>
        <w:spacing w:before="8"/>
        <w:rPr>
          <w:b/>
          <w:sz w:val="16"/>
        </w:rPr>
      </w:pPr>
    </w:p>
    <w:p>
      <w:pPr>
        <w:pStyle w:val="BodyText"/>
        <w:spacing w:line="288" w:lineRule="auto" w:before="93"/>
        <w:ind w:left="312" w:right="183"/>
      </w:pPr>
      <w:r>
        <w:rPr/>
        <w:pict>
          <v:group style="position:absolute;margin-left:101.16713pt;margin-top:174.121475pt;width:377.6pt;height:146.050pt;mso-position-horizontal-relative:page;mso-position-vertical-relative:paragraph;z-index:-253234176" coordorigin="2023,3482" coordsize="7552,2921">
            <v:shape style="position:absolute;left:322;top:6453;width:7561;height:3046" coordorigin="323,6453" coordsize="7561,3046" path="m9530,6345l9530,3490m9530,6345l9575,6345m9530,5786l9575,5786m9530,5212l9575,5212m9530,4638l9575,4638m9530,4064l9575,4064m9530,3490l9575,3490m2031,6345l9530,6345m2031,6345l2031,6403m3498,6345l3498,6403m4980,6345l4980,6403m6462,6345l6462,6403m7929,6345l7929,6403m9410,6345l9410,6403e" filled="false" stroked="true" strokeweight=".732971pt" strokecolor="#000000">
              <v:path arrowok="t"/>
              <v:stroke dashstyle="solid"/>
            </v:shape>
            <v:shape style="position:absolute;left:2143;top:3812;width:7305;height:2526" coordorigin="2143,3813" coordsize="7305,2526" path="m2143,4057l2173,3970,2203,4028,2233,3970,2263,3970,2293,3913,2323,3856,2353,3870,2383,3956,2413,3827,2442,3813,2472,3870,2502,3841,2532,3870,2562,3942,2592,3870,2622,3870,2652,3884,2682,3841,2727,3884,2757,3970,2787,3884,2817,3856,2847,3927,2877,3913,2906,3942,2936,3999,2966,3942,2996,3970,3026,4013,3056,4057,3086,4100,3116,4171,3146,4085,3176,4085,3206,4157,3236,4114,3281,4143,3311,4186,3341,4157,3371,4186,3400,4229,3430,4229,3460,4272,3490,4344,3520,4272,3550,4272,3580,4358,3610,4387,3640,4415,3670,4473,3700,4444,3730,4458,3760,4501,3790,4501,3820,4544,3864,4616,3894,4544,3924,4544,3954,4602,3984,4587,4014,4602,4044,4645,4074,4631,4104,4645,4134,4688,4164,4674,4194,4702,4224,4760,4254,4688,4284,4688,4314,4745,4343,4731,4373,4760,4403,4803,4448,4774,4478,4788,4508,4817,4538,4803,4568,4817,4598,4860,4628,4803,4658,4803,4688,4860,4718,4846,4748,4874,4778,4903,4808,4874,4837,4874,4867,4903,4897,5133,4927,5147,4957,5176,5002,5492,5032,5678,5062,5692,5092,6324,5122,6324,5152,6324,5182,6324,5212,6324,5242,6324,5272,6338,5301,6338,5331,5836,5361,5822,5391,6238,5421,6238,5451,6338,9418,6338,9448,6338e" filled="false" stroked="true" strokeweight="1.441619pt" strokecolor="#006fc0">
              <v:path arrowok="t"/>
              <v:stroke dashstyle="solid"/>
            </v:shape>
            <w10:wrap type="none"/>
          </v:group>
        </w:pict>
      </w:r>
      <w:r>
        <w:rPr/>
        <w:pict>
          <v:line style="position:absolute;mso-position-horizontal-relative:page;mso-position-vertical-relative:paragraph;z-index:-253233152" from="205.948013pt,162.646149pt" to="225.40732pt,162.646149pt" stroked="true" strokeweight="1.435014pt" strokecolor="#006fc0">
            <v:stroke dashstyle="solid"/>
            <w10:wrap type="none"/>
          </v:line>
        </w:pict>
      </w:r>
      <w:r>
        <w:rPr/>
        <w:t>The reason the </w:t>
      </w:r>
      <w:r>
        <w:rPr>
          <w:spacing w:val="3"/>
        </w:rPr>
        <w:t>W&amp;M </w:t>
      </w:r>
      <w:r>
        <w:rPr/>
        <w:t>facility is not generally used is that the DMO seeks to use the market for its financing and cash management needs. In the DMO’s own words</w:t>
      </w:r>
      <w:r>
        <w:rPr>
          <w:position w:val="6"/>
          <w:sz w:val="13"/>
        </w:rPr>
        <w:t>18</w:t>
      </w:r>
      <w:r>
        <w:rPr/>
        <w:t>, the main long-term financing is done with gilts. And since 1995 the government has had a stated policy in place of fully funding its needs. Because government cash flows are not perfectly predictable, rough tuning is achieved with Treasury Bills. Even</w:t>
      </w:r>
      <w:r>
        <w:rPr>
          <w:spacing w:val="-36"/>
        </w:rPr>
        <w:t> </w:t>
      </w:r>
      <w:r>
        <w:rPr/>
        <w:t>these are not instantly available, so fine-tuning is achieved via the DMO transacting bilaterally with the market on a secured basis. The </w:t>
      </w:r>
      <w:r>
        <w:rPr>
          <w:spacing w:val="3"/>
        </w:rPr>
        <w:t>W&amp;M </w:t>
      </w:r>
      <w:r>
        <w:rPr/>
        <w:t>facility exists purely as a back-up to the fine-tuning operations. Such a back-up is rarely needed except in periods of sharp unexpected deviations from the financing plan, which is why the facility was last used briefly in 2008 and not since then, as shown in Figure</w:t>
      </w:r>
      <w:r>
        <w:rPr>
          <w:spacing w:val="-11"/>
        </w:rPr>
        <w:t> </w:t>
      </w:r>
      <w:r>
        <w:rPr/>
        <w:t>8.</w:t>
      </w:r>
    </w:p>
    <w:p>
      <w:pPr>
        <w:pStyle w:val="BodyText"/>
        <w:spacing w:before="4"/>
        <w:rPr>
          <w:sz w:val="2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0"/>
      </w:tblGrid>
      <w:tr>
        <w:trPr>
          <w:trHeight w:val="419" w:hRule="atLeast"/>
        </w:trPr>
        <w:tc>
          <w:tcPr>
            <w:tcW w:w="9040" w:type="dxa"/>
          </w:tcPr>
          <w:p>
            <w:pPr>
              <w:pStyle w:val="TableParagraph"/>
              <w:spacing w:line="223" w:lineRule="exact"/>
              <w:ind w:left="200"/>
              <w:rPr>
                <w:b/>
                <w:sz w:val="20"/>
              </w:rPr>
            </w:pPr>
            <w:r>
              <w:rPr>
                <w:b/>
                <w:sz w:val="20"/>
              </w:rPr>
              <w:t>Figure 8: Ways &amp; Means balance as a percentage of public sector net debt</w:t>
            </w:r>
          </w:p>
        </w:tc>
      </w:tr>
      <w:tr>
        <w:trPr>
          <w:trHeight w:val="3669" w:hRule="atLeast"/>
        </w:trPr>
        <w:tc>
          <w:tcPr>
            <w:tcW w:w="9040" w:type="dxa"/>
          </w:tcPr>
          <w:p>
            <w:pPr>
              <w:pStyle w:val="TableParagraph"/>
              <w:spacing w:before="6"/>
              <w:rPr>
                <w:sz w:val="16"/>
              </w:rPr>
            </w:pPr>
          </w:p>
          <w:p>
            <w:pPr>
              <w:pStyle w:val="TableParagraph"/>
              <w:ind w:left="3621"/>
              <w:rPr>
                <w:sz w:val="16"/>
              </w:rPr>
            </w:pPr>
            <w:r>
              <w:rPr>
                <w:w w:val="105"/>
                <w:sz w:val="16"/>
              </w:rPr>
              <w:t>W&amp;M/Public sector net debt (% of total)</w:t>
            </w:r>
          </w:p>
          <w:p>
            <w:pPr>
              <w:pStyle w:val="TableParagraph"/>
              <w:spacing w:before="60"/>
              <w:ind w:left="8747"/>
              <w:rPr>
                <w:sz w:val="16"/>
              </w:rPr>
            </w:pPr>
            <w:r>
              <w:rPr>
                <w:w w:val="103"/>
                <w:sz w:val="16"/>
              </w:rPr>
              <w:t>5</w:t>
            </w:r>
          </w:p>
          <w:p>
            <w:pPr>
              <w:pStyle w:val="TableParagraph"/>
              <w:rPr>
                <w:sz w:val="18"/>
              </w:rPr>
            </w:pPr>
          </w:p>
          <w:p>
            <w:pPr>
              <w:pStyle w:val="TableParagraph"/>
              <w:spacing w:before="10"/>
              <w:rPr>
                <w:sz w:val="15"/>
              </w:rPr>
            </w:pPr>
          </w:p>
          <w:p>
            <w:pPr>
              <w:pStyle w:val="TableParagraph"/>
              <w:ind w:left="8747"/>
              <w:rPr>
                <w:sz w:val="16"/>
              </w:rPr>
            </w:pPr>
            <w:r>
              <w:rPr>
                <w:w w:val="103"/>
                <w:sz w:val="16"/>
              </w:rPr>
              <w:t>4</w:t>
            </w:r>
          </w:p>
          <w:p>
            <w:pPr>
              <w:pStyle w:val="TableParagraph"/>
              <w:rPr>
                <w:sz w:val="18"/>
              </w:rPr>
            </w:pPr>
          </w:p>
          <w:p>
            <w:pPr>
              <w:pStyle w:val="TableParagraph"/>
              <w:spacing w:before="10"/>
              <w:rPr>
                <w:sz w:val="15"/>
              </w:rPr>
            </w:pPr>
          </w:p>
          <w:p>
            <w:pPr>
              <w:pStyle w:val="TableParagraph"/>
              <w:spacing w:before="1"/>
              <w:ind w:left="8747"/>
              <w:rPr>
                <w:sz w:val="16"/>
              </w:rPr>
            </w:pPr>
            <w:r>
              <w:rPr>
                <w:w w:val="103"/>
                <w:sz w:val="16"/>
              </w:rPr>
              <w:t>3</w:t>
            </w:r>
          </w:p>
          <w:p>
            <w:pPr>
              <w:pStyle w:val="TableParagraph"/>
              <w:rPr>
                <w:sz w:val="18"/>
              </w:rPr>
            </w:pPr>
          </w:p>
          <w:p>
            <w:pPr>
              <w:pStyle w:val="TableParagraph"/>
              <w:spacing w:before="9"/>
              <w:rPr>
                <w:sz w:val="15"/>
              </w:rPr>
            </w:pPr>
          </w:p>
          <w:p>
            <w:pPr>
              <w:pStyle w:val="TableParagraph"/>
              <w:spacing w:before="1"/>
              <w:ind w:left="8747"/>
              <w:rPr>
                <w:sz w:val="16"/>
              </w:rPr>
            </w:pPr>
            <w:r>
              <w:rPr>
                <w:w w:val="103"/>
                <w:sz w:val="16"/>
              </w:rPr>
              <w:t>2</w:t>
            </w:r>
          </w:p>
          <w:p>
            <w:pPr>
              <w:pStyle w:val="TableParagraph"/>
              <w:rPr>
                <w:sz w:val="18"/>
              </w:rPr>
            </w:pPr>
          </w:p>
          <w:p>
            <w:pPr>
              <w:pStyle w:val="TableParagraph"/>
              <w:spacing w:before="10"/>
              <w:rPr>
                <w:sz w:val="15"/>
              </w:rPr>
            </w:pPr>
          </w:p>
          <w:p>
            <w:pPr>
              <w:pStyle w:val="TableParagraph"/>
              <w:ind w:left="8747"/>
              <w:rPr>
                <w:sz w:val="16"/>
              </w:rPr>
            </w:pPr>
            <w:r>
              <w:rPr>
                <w:w w:val="103"/>
                <w:sz w:val="16"/>
              </w:rPr>
              <w:t>1</w:t>
            </w:r>
          </w:p>
          <w:p>
            <w:pPr>
              <w:pStyle w:val="TableParagraph"/>
              <w:rPr>
                <w:sz w:val="18"/>
              </w:rPr>
            </w:pPr>
          </w:p>
          <w:p>
            <w:pPr>
              <w:pStyle w:val="TableParagraph"/>
              <w:spacing w:before="10"/>
              <w:rPr>
                <w:sz w:val="15"/>
              </w:rPr>
            </w:pPr>
          </w:p>
          <w:p>
            <w:pPr>
              <w:pStyle w:val="TableParagraph"/>
              <w:spacing w:line="184" w:lineRule="exact"/>
              <w:ind w:left="8747"/>
              <w:rPr>
                <w:sz w:val="16"/>
              </w:rPr>
            </w:pPr>
            <w:r>
              <w:rPr>
                <w:w w:val="103"/>
                <w:sz w:val="16"/>
              </w:rPr>
              <w:t>0</w:t>
            </w:r>
          </w:p>
          <w:p>
            <w:pPr>
              <w:pStyle w:val="TableParagraph"/>
              <w:tabs>
                <w:tab w:pos="2411" w:val="left" w:leader="none"/>
                <w:tab w:pos="3889" w:val="left" w:leader="none"/>
                <w:tab w:pos="5368" w:val="left" w:leader="none"/>
                <w:tab w:pos="6846" w:val="left" w:leader="none"/>
                <w:tab w:pos="8324" w:val="left" w:leader="none"/>
              </w:tabs>
              <w:spacing w:line="163" w:lineRule="exact"/>
              <w:ind w:left="933"/>
              <w:rPr>
                <w:sz w:val="16"/>
              </w:rPr>
            </w:pPr>
            <w:r>
              <w:rPr>
                <w:spacing w:val="-3"/>
                <w:w w:val="105"/>
                <w:sz w:val="16"/>
              </w:rPr>
              <w:t>2000</w:t>
              <w:tab/>
              <w:t>2004</w:t>
              <w:tab/>
              <w:t>2008</w:t>
              <w:tab/>
            </w:r>
            <w:r>
              <w:rPr>
                <w:w w:val="105"/>
                <w:sz w:val="16"/>
              </w:rPr>
              <w:t>2012</w:t>
              <w:tab/>
            </w:r>
            <w:r>
              <w:rPr>
                <w:spacing w:val="-3"/>
                <w:w w:val="105"/>
                <w:sz w:val="16"/>
              </w:rPr>
              <w:t>2016</w:t>
              <w:tab/>
              <w:t>2020</w:t>
            </w:r>
          </w:p>
        </w:tc>
      </w:tr>
    </w:tbl>
    <w:p>
      <w:pPr>
        <w:pStyle w:val="BodyText"/>
        <w:rPr>
          <w:sz w:val="22"/>
        </w:rPr>
      </w:pPr>
    </w:p>
    <w:p>
      <w:pPr>
        <w:spacing w:before="139"/>
        <w:ind w:left="312" w:right="0" w:firstLine="0"/>
        <w:jc w:val="left"/>
        <w:rPr>
          <w:sz w:val="18"/>
        </w:rPr>
      </w:pPr>
      <w:r>
        <w:rPr>
          <w:sz w:val="18"/>
        </w:rPr>
        <w:t>Source: Refinitiv Datastream and Bank calculations. Latest observation: February 2020.</w:t>
      </w:r>
    </w:p>
    <w:p>
      <w:pPr>
        <w:pStyle w:val="BodyText"/>
      </w:pPr>
    </w:p>
    <w:p>
      <w:pPr>
        <w:pStyle w:val="BodyText"/>
        <w:spacing w:before="4"/>
        <w:rPr>
          <w:sz w:val="19"/>
        </w:rPr>
      </w:pPr>
      <w:r>
        <w:rPr/>
        <w:pict>
          <v:shape style="position:absolute;margin-left:56.639999pt;margin-top:13.348852pt;width:144.050pt;height:.1pt;mso-position-horizontal-relative:page;mso-position-vertical-relative:paragraph;z-index:-251612160;mso-wrap-distance-left:0;mso-wrap-distance-right:0" coordorigin="1133,267" coordsize="2881,0" path="m1133,267l4014,267e" filled="false" stroked="true" strokeweight=".48004pt" strokecolor="#000000">
            <v:path arrowok="t"/>
            <v:stroke dashstyle="solid"/>
            <w10:wrap type="topAndBottom"/>
          </v:shape>
        </w:pict>
      </w:r>
    </w:p>
    <w:p>
      <w:pPr>
        <w:spacing w:before="47"/>
        <w:ind w:left="312" w:right="0" w:firstLine="0"/>
        <w:jc w:val="left"/>
        <w:rPr>
          <w:sz w:val="16"/>
        </w:rPr>
      </w:pPr>
      <w:r>
        <w:rPr>
          <w:position w:val="6"/>
          <w:sz w:val="10"/>
        </w:rPr>
        <w:t>18 </w:t>
      </w:r>
      <w:hyperlink r:id="rId21">
        <w:r>
          <w:rPr>
            <w:color w:val="0000FF"/>
            <w:sz w:val="16"/>
            <w:u w:val="single" w:color="0000FF"/>
          </w:rPr>
          <w:t>https://www.dmo.gov.uk/responsibilities/money-markets/</w:t>
        </w:r>
      </w:hyperlink>
    </w:p>
    <w:p>
      <w:pPr>
        <w:spacing w:after="0"/>
        <w:jc w:val="left"/>
        <w:rPr>
          <w:sz w:val="16"/>
        </w:rPr>
        <w:sectPr>
          <w:type w:val="continuous"/>
          <w:pgSz w:w="11910" w:h="16840"/>
          <w:pgMar w:top="1180" w:bottom="1520" w:left="820" w:right="960"/>
        </w:sectPr>
      </w:pPr>
    </w:p>
    <w:p>
      <w:pPr>
        <w:pStyle w:val="BodyText"/>
        <w:spacing w:before="6"/>
        <w:rPr>
          <w:sz w:val="12"/>
        </w:rPr>
      </w:pPr>
    </w:p>
    <w:p>
      <w:pPr>
        <w:pStyle w:val="BodyText"/>
        <w:spacing w:line="288" w:lineRule="auto" w:before="93"/>
        <w:ind w:left="312" w:right="192"/>
      </w:pPr>
      <w:r>
        <w:rPr/>
        <w:t>The predictable part of the swings in government financing is generally met by issues of gilts and treasury bills. In practice, this happens via a number of scheduled auctions, as well as syndications and tenders. The DMO forecasts government financing needs, and publishes its financing plan in advance. An updated plan was published this morning.</w:t>
      </w:r>
    </w:p>
    <w:p>
      <w:pPr>
        <w:pStyle w:val="BodyText"/>
        <w:spacing w:line="288" w:lineRule="auto" w:before="120"/>
        <w:ind w:left="312" w:right="203"/>
      </w:pPr>
      <w:r>
        <w:rPr/>
        <w:t>Given that the economy is deteriorating sharply and rapidly, and that the fiscal policy response is also sharp and rapid, the government needs to borrow a larger than usual amount in a short space of time. In response, the DMO has scaled up significantly the planned issuance of gilts in the coming months.</w:t>
      </w:r>
    </w:p>
    <w:p>
      <w:pPr>
        <w:pStyle w:val="BodyText"/>
        <w:spacing w:line="288" w:lineRule="auto" w:before="120"/>
        <w:ind w:left="312" w:right="193"/>
        <w:rPr>
          <w:sz w:val="13"/>
        </w:rPr>
      </w:pPr>
      <w:r>
        <w:rPr/>
        <w:t>The DMO does not refer to any of its cash management tools or operations in its longer term financing remit and this also applies to the W&amp;M facility. To be clear, that does not mean it will not get used. It simply means that current gilt (and t-bill) issuance plans are sufficient to cover the expected government financing needs in the coming months. Only to the extent that there are unexpected needs on top of the planned amounts, and to the extent that those unexpected needs cannot be fully covered by bilateral borrowing, only then will the W&amp;M facility be used. And even then, the use will be short term. As soon as possible before the end of the year, the DMO will scale up gilt issuance to repay the W&amp;M balance.</w:t>
      </w:r>
      <w:r>
        <w:rPr>
          <w:position w:val="6"/>
          <w:sz w:val="13"/>
        </w:rPr>
        <w:t>19</w:t>
      </w:r>
    </w:p>
    <w:p>
      <w:pPr>
        <w:pStyle w:val="BodyText"/>
        <w:spacing w:line="288" w:lineRule="auto" w:before="121"/>
        <w:ind w:left="312" w:right="182"/>
        <w:jc w:val="both"/>
      </w:pPr>
      <w:r>
        <w:rPr/>
        <w:t>The important consideration here, as far as monetary policy is concerned, is that due to the short term nature of these W&amp;M cash management transactions, they do not in any way affect the MPC’s ability of doing its job of meeting the inflation target.</w:t>
      </w:r>
    </w:p>
    <w:p>
      <w:pPr>
        <w:pStyle w:val="BodyText"/>
        <w:rPr>
          <w:sz w:val="22"/>
        </w:rPr>
      </w:pPr>
    </w:p>
    <w:p>
      <w:pPr>
        <w:pStyle w:val="BodyText"/>
        <w:spacing w:before="2"/>
        <w:rPr>
          <w:sz w:val="28"/>
        </w:rPr>
      </w:pPr>
    </w:p>
    <w:p>
      <w:pPr>
        <w:pStyle w:val="Heading1"/>
        <w:numPr>
          <w:ilvl w:val="0"/>
          <w:numId w:val="1"/>
        </w:numPr>
        <w:tabs>
          <w:tab w:pos="1034" w:val="left" w:leader="none"/>
        </w:tabs>
        <w:spacing w:line="240" w:lineRule="auto" w:before="0" w:after="0"/>
        <w:ind w:left="1033" w:right="0" w:hanging="361"/>
        <w:jc w:val="left"/>
      </w:pPr>
      <w:r>
        <w:rPr/>
        <w:t>CCFF</w:t>
      </w:r>
    </w:p>
    <w:p>
      <w:pPr>
        <w:pStyle w:val="BodyText"/>
        <w:rPr>
          <w:sz w:val="26"/>
        </w:rPr>
      </w:pPr>
    </w:p>
    <w:p>
      <w:pPr>
        <w:pStyle w:val="BodyText"/>
        <w:spacing w:line="288" w:lineRule="auto" w:before="219"/>
        <w:ind w:left="312"/>
      </w:pPr>
      <w:r>
        <w:rPr/>
        <w:t>For completeness, I will also mention the Covid Corporate Financing Facility (CCFF), which is different from either the W&amp;M facility or QE, but has some elements in common with each.</w:t>
      </w:r>
    </w:p>
    <w:p>
      <w:pPr>
        <w:pStyle w:val="BodyText"/>
        <w:spacing w:line="288" w:lineRule="auto" w:before="120"/>
        <w:ind w:left="312" w:right="226"/>
      </w:pPr>
      <w:r>
        <w:rPr/>
        <w:t>Like W&amp;M, the CCFF is for use at the discretion of the government, not the MPC. Unlike W&amp;M, the CCFF provides financing to the private sector, not the government. The assets of the CCFF are commercial paper (of maturity up to 12 months) issued by eligible corporates.</w:t>
      </w:r>
      <w:r>
        <w:rPr>
          <w:position w:val="6"/>
          <w:sz w:val="13"/>
        </w:rPr>
        <w:t>20 </w:t>
      </w:r>
      <w:r>
        <w:rPr/>
        <w:t>This is a government scheme, in the sense that the government decides how much to lend and on which terms, and the government assumes all the risks via an indemnity.</w:t>
      </w:r>
    </w:p>
    <w:p>
      <w:pPr>
        <w:pStyle w:val="BodyText"/>
        <w:spacing w:line="288" w:lineRule="auto" w:before="120"/>
        <w:ind w:left="312" w:right="659"/>
      </w:pPr>
      <w:r>
        <w:rPr/>
        <w:t>Even though this is a government scheme, it is operated by the Bank of England. It affects the Bank of England’s balance sheet insofar as the purchases of commercial paper are ultimately funded by issuing reserves.</w:t>
      </w:r>
    </w:p>
    <w:p>
      <w:pPr>
        <w:pStyle w:val="BodyText"/>
        <w:spacing w:line="288" w:lineRule="auto" w:before="120"/>
        <w:ind w:left="312" w:right="326"/>
      </w:pPr>
      <w:r>
        <w:rPr/>
        <w:t>As I have discussed earlier, the expansion of reserves, more deeply into the “ample” reserves range, generally has only a limited impact on monetary conditions. In any case, the MPC remains fully in control of QE and conventional monetary policy, and can decide to offset any consequence of an expansion of the CCFF on monetary conditions, should that be required to meet the inflation target.</w:t>
      </w:r>
    </w:p>
    <w:p>
      <w:pPr>
        <w:pStyle w:val="BodyText"/>
        <w:spacing w:line="288" w:lineRule="auto" w:before="121"/>
        <w:ind w:left="312" w:right="259"/>
      </w:pPr>
      <w:r>
        <w:rPr/>
        <w:t>At the moment, there is absolutely no need for such offsetting operations, since all of the CCFF, W&amp;M (if it were to be used), conventional monetary policy and QE are all working in the same direction of preventing an unwarranted tightening in financial conditions that would, if left unaddressed, lead to an even sharper economic downturn and inflation falling further below target. The MPC stands ready to take further action to support the economy consistent with its remit.</w:t>
      </w:r>
    </w:p>
    <w:p>
      <w:pPr>
        <w:pStyle w:val="BodyText"/>
        <w:spacing w:before="1"/>
        <w:rPr>
          <w:sz w:val="12"/>
        </w:rPr>
      </w:pPr>
      <w:r>
        <w:rPr/>
        <w:pict>
          <v:shape style="position:absolute;margin-left:56.639999pt;margin-top:9.167666pt;width:144.050pt;height:.1pt;mso-position-horizontal-relative:page;mso-position-vertical-relative:paragraph;z-index:-251609088;mso-wrap-distance-left:0;mso-wrap-distance-right:0" coordorigin="1133,183" coordsize="2881,0" path="m1133,183l4014,183e" filled="false" stroked="true" strokeweight=".47998pt" strokecolor="#000000">
            <v:path arrowok="t"/>
            <v:stroke dashstyle="solid"/>
            <w10:wrap type="topAndBottom"/>
          </v:shape>
        </w:pict>
      </w:r>
    </w:p>
    <w:p>
      <w:pPr>
        <w:spacing w:before="47"/>
        <w:ind w:left="312" w:right="0" w:firstLine="0"/>
        <w:jc w:val="left"/>
        <w:rPr>
          <w:sz w:val="16"/>
        </w:rPr>
      </w:pPr>
      <w:r>
        <w:rPr>
          <w:position w:val="6"/>
          <w:sz w:val="10"/>
        </w:rPr>
        <w:t>19 </w:t>
      </w:r>
      <w:r>
        <w:rPr>
          <w:sz w:val="16"/>
        </w:rPr>
        <w:t>As stated explicitly in the press release concerning the W&amp;M facility, https://</w:t>
      </w:r>
      <w:hyperlink r:id="rId23">
        <w:r>
          <w:rPr>
            <w:sz w:val="16"/>
          </w:rPr>
          <w:t>www.bankofengland.co.uk/-</w:t>
        </w:r>
      </w:hyperlink>
    </w:p>
    <w:p>
      <w:pPr>
        <w:spacing w:line="183" w:lineRule="exact" w:before="1"/>
        <w:ind w:left="312" w:right="0" w:firstLine="0"/>
        <w:jc w:val="left"/>
        <w:rPr>
          <w:sz w:val="16"/>
        </w:rPr>
      </w:pPr>
      <w:r>
        <w:rPr>
          <w:sz w:val="16"/>
        </w:rPr>
        <w:t>/media/boe/files/news/2020/april/hmt-and-boe-announce-temporary-extension-to-ways-and-means-facility.pdf</w:t>
      </w:r>
    </w:p>
    <w:p>
      <w:pPr>
        <w:spacing w:before="0"/>
        <w:ind w:left="312" w:right="192" w:firstLine="0"/>
        <w:jc w:val="left"/>
        <w:rPr>
          <w:sz w:val="16"/>
        </w:rPr>
      </w:pPr>
      <w:r>
        <w:rPr>
          <w:position w:val="6"/>
          <w:sz w:val="10"/>
        </w:rPr>
        <w:t>20 </w:t>
      </w:r>
      <w:r>
        <w:rPr>
          <w:sz w:val="16"/>
        </w:rPr>
        <w:t>For details on CCFF eligibility and pricing see: </w:t>
      </w:r>
      <w:hyperlink r:id="rId24">
        <w:r>
          <w:rPr>
            <w:color w:val="0000FF"/>
            <w:sz w:val="16"/>
            <w:u w:val="single" w:color="0000FF"/>
          </w:rPr>
          <w:t>https://www.bankofengland.co.uk/news/2020/march/the-covid-corporate-financing-</w:t>
        </w:r>
      </w:hyperlink>
      <w:r>
        <w:rPr>
          <w:color w:val="0000FF"/>
          <w:sz w:val="16"/>
        </w:rPr>
        <w:t> </w:t>
      </w:r>
      <w:hyperlink r:id="rId24">
        <w:r>
          <w:rPr>
            <w:color w:val="0000FF"/>
            <w:sz w:val="16"/>
            <w:u w:val="single" w:color="0000FF"/>
          </w:rPr>
          <w:t>facility</w:t>
        </w:r>
      </w:hyperlink>
    </w:p>
    <w:p>
      <w:pPr>
        <w:spacing w:after="0"/>
        <w:jc w:val="left"/>
        <w:rPr>
          <w:sz w:val="16"/>
        </w:rPr>
        <w:sectPr>
          <w:footerReference w:type="default" r:id="rId22"/>
          <w:pgSz w:w="11910" w:h="16840"/>
          <w:pgMar w:footer="1338" w:header="0" w:top="1580" w:bottom="1520" w:left="820" w:right="960"/>
          <w:pgNumType w:start="12"/>
        </w:sectPr>
      </w:pPr>
    </w:p>
    <w:p>
      <w:pPr>
        <w:pStyle w:val="Heading1"/>
        <w:numPr>
          <w:ilvl w:val="0"/>
          <w:numId w:val="1"/>
        </w:numPr>
        <w:tabs>
          <w:tab w:pos="1034" w:val="left" w:leader="none"/>
        </w:tabs>
        <w:spacing w:line="240" w:lineRule="auto" w:before="64" w:after="0"/>
        <w:ind w:left="1033" w:right="0" w:hanging="361"/>
        <w:jc w:val="left"/>
      </w:pPr>
      <w:r>
        <w:rPr/>
        <w:t>Monetary</w:t>
      </w:r>
      <w:r>
        <w:rPr>
          <w:spacing w:val="-5"/>
        </w:rPr>
        <w:t> </w:t>
      </w:r>
      <w:r>
        <w:rPr/>
        <w:t>Financing?</w:t>
      </w:r>
    </w:p>
    <w:p>
      <w:pPr>
        <w:pStyle w:val="BodyText"/>
        <w:rPr>
          <w:sz w:val="26"/>
        </w:rPr>
      </w:pPr>
    </w:p>
    <w:p>
      <w:pPr>
        <w:pStyle w:val="BodyText"/>
        <w:spacing w:line="288" w:lineRule="auto" w:before="219"/>
        <w:ind w:left="312" w:right="436"/>
      </w:pPr>
      <w:r>
        <w:rPr/>
        <w:t>Having explained how the Bank of England balance sheet reflects different types of monetary policy operations, I now want to tackle the issue of monetary financing. There is confusion over what this term means. And this leads to unproductive debates. We say we are not doing monetary financing according to our definition</w:t>
      </w:r>
      <w:r>
        <w:rPr>
          <w:position w:val="6"/>
          <w:sz w:val="13"/>
        </w:rPr>
        <w:t>21</w:t>
      </w:r>
      <w:r>
        <w:rPr/>
        <w:t>, and someone else says we are in fact doing monetary financing according to a different definition. That is an argument about definitions, rather than about what we are doing.</w:t>
      </w:r>
    </w:p>
    <w:p>
      <w:pPr>
        <w:pStyle w:val="BodyText"/>
        <w:spacing w:line="288" w:lineRule="auto" w:before="120"/>
        <w:ind w:left="312" w:right="315"/>
      </w:pPr>
      <w:r>
        <w:rPr/>
        <w:t>One rather mechanical definition is that monetary financing means financing fiscal spending with central bank money rather than by issuing government bonds. The problem is, as I have explained in the earlier sections of this speech, this description fits most central bank monetary policy operations, in the UK and elsewhere. When a central bank issues reserves, the main counterpart asset on the central bank balance sheet is generally some form of government financing.</w:t>
      </w:r>
    </w:p>
    <w:p>
      <w:pPr>
        <w:pStyle w:val="BodyText"/>
        <w:spacing w:line="288" w:lineRule="auto" w:before="121"/>
        <w:ind w:left="312" w:right="214"/>
        <w:rPr>
          <w:sz w:val="13"/>
        </w:rPr>
      </w:pPr>
      <w:r>
        <w:rPr/>
        <w:t>Note that, even though in a strict sense some part of government spending is always financed with central bank money, it is not the same as saying that this part of government borrowing is costless. The government owns the central bank. Consider the difference, financially, between the part of government spending that is financed by gilts held by the private sector, and the part that is financed via the central bank. The part that is financed by gilts held by the private sector has an interest rate cost to the government that is just the interest rate on the gilts. The part that is financed by the central bank is different: the government pays the gilt interest rate to the central bank, the central bank receives this gilt interest rate, but in turn pays out interest on the reserves that finance the gilt holdings</w:t>
      </w:r>
      <w:r>
        <w:rPr>
          <w:position w:val="6"/>
          <w:sz w:val="13"/>
        </w:rPr>
        <w:t>22</w:t>
      </w:r>
      <w:r>
        <w:rPr/>
        <w:t>. But the central bank is owned by the government. So the net, or consolidated, cost to the government of that part of its financing which is done through the central bank, is the interest rate paid on reserves.</w:t>
      </w:r>
      <w:r>
        <w:rPr>
          <w:position w:val="6"/>
          <w:sz w:val="13"/>
        </w:rPr>
        <w:t>23 </w:t>
      </w:r>
      <w:r>
        <w:rPr/>
        <w:t>That is why many economists characterise QE as akin to a switch from borrowing at long-term rates to borrowing at short-term rates.</w:t>
      </w:r>
      <w:r>
        <w:rPr>
          <w:position w:val="6"/>
          <w:sz w:val="13"/>
        </w:rPr>
        <w:t>24</w:t>
      </w:r>
    </w:p>
    <w:p>
      <w:pPr>
        <w:pStyle w:val="BodyText"/>
        <w:spacing w:line="288" w:lineRule="auto" w:before="118"/>
        <w:ind w:left="312"/>
      </w:pPr>
      <w:r>
        <w:rPr/>
        <w:t>So a mechanical definition of monetary financing as financing fiscal spending with central bank money rather than government bonds is not useful. To some extent, central banks are always doing that. Qualifying this definition with amounts or time horizons does not help either.</w:t>
      </w:r>
    </w:p>
    <w:p>
      <w:pPr>
        <w:pStyle w:val="BodyText"/>
        <w:spacing w:line="288" w:lineRule="auto" w:before="120"/>
        <w:ind w:left="312" w:right="195"/>
      </w:pPr>
      <w:r>
        <w:rPr/>
        <w:t>Is it ok for the central bank to finance some, but not too much? How much is too much? Before the crisis, central bank money (notes and reserves) in the UK was about 12% of government debt. Now it is 26% of government debt. In Japan it is 42% of government debt. There is no clear threshold beyond which monetary financing is “too much”, as long as investors believe government finances are sustainable without resorting to inflation. And, given the low levels of government bond yields and break-even inflation rates in the UK, investors clearly do believe that government finances are sustainable without resorting to</w:t>
      </w:r>
      <w:r>
        <w:rPr>
          <w:spacing w:val="-8"/>
        </w:rPr>
        <w:t> </w:t>
      </w:r>
      <w:r>
        <w:rPr/>
        <w:t>inflation.</w:t>
      </w:r>
    </w:p>
    <w:p>
      <w:pPr>
        <w:pStyle w:val="BodyText"/>
        <w:spacing w:line="288" w:lineRule="auto" w:before="120"/>
        <w:ind w:left="312" w:right="184"/>
        <w:rPr>
          <w:sz w:val="13"/>
        </w:rPr>
      </w:pPr>
      <w:r>
        <w:rPr/>
        <w:t>What about a time horizon? Can we say that a temporary operation is fine, but a permanent one is not? That is problematic too. We carried out several rounds of QE operations after the financial crisis, expecting them to be unwound some years later as the economy improved sufficiently. But the economy did not improve sufficiently, the neutral rate of interest fell more persistently than we expected, with the result that the amount of gilts we own has so far not been reduced.</w:t>
      </w:r>
      <w:r>
        <w:rPr>
          <w:position w:val="6"/>
          <w:sz w:val="13"/>
        </w:rPr>
        <w:t>25</w:t>
      </w:r>
    </w:p>
    <w:p>
      <w:pPr>
        <w:pStyle w:val="BodyText"/>
        <w:spacing w:before="3"/>
        <w:rPr>
          <w:sz w:val="24"/>
        </w:rPr>
      </w:pPr>
      <w:r>
        <w:rPr/>
        <w:pict>
          <v:shape style="position:absolute;margin-left:56.639999pt;margin-top:16.173468pt;width:144.050pt;height:.1pt;mso-position-horizontal-relative:page;mso-position-vertical-relative:paragraph;z-index:-251608064;mso-wrap-distance-left:0;mso-wrap-distance-right:0" coordorigin="1133,323" coordsize="2881,0" path="m1133,323l4014,323e" filled="false" stroked="true" strokeweight=".47998pt" strokecolor="#000000">
            <v:path arrowok="t"/>
            <v:stroke dashstyle="solid"/>
            <w10:wrap type="topAndBottom"/>
          </v:shape>
        </w:pict>
      </w:r>
    </w:p>
    <w:p>
      <w:pPr>
        <w:spacing w:before="50"/>
        <w:ind w:left="312" w:right="0" w:firstLine="0"/>
        <w:jc w:val="left"/>
        <w:rPr>
          <w:sz w:val="16"/>
        </w:rPr>
      </w:pPr>
      <w:r>
        <w:rPr>
          <w:position w:val="6"/>
          <w:sz w:val="10"/>
        </w:rPr>
        <w:t>21 </w:t>
      </w:r>
      <w:r>
        <w:rPr>
          <w:sz w:val="16"/>
        </w:rPr>
        <w:t>Governor Andrew Bailey described monetary financing as “a permanent expansion of the central bank balance sheet </w:t>
      </w:r>
      <w:r>
        <w:rPr>
          <w:sz w:val="16"/>
          <w:u w:val="single"/>
        </w:rPr>
        <w:t>with the aim</w:t>
      </w:r>
      <w:r>
        <w:rPr>
          <w:sz w:val="16"/>
        </w:rPr>
        <w:t> of funding the government”, Financial Times, 5 April 2020.</w:t>
      </w:r>
    </w:p>
    <w:p>
      <w:pPr>
        <w:spacing w:line="182" w:lineRule="exact" w:before="0"/>
        <w:ind w:left="312" w:right="0" w:firstLine="0"/>
        <w:jc w:val="left"/>
        <w:rPr>
          <w:sz w:val="16"/>
        </w:rPr>
      </w:pPr>
      <w:r>
        <w:rPr>
          <w:position w:val="6"/>
          <w:sz w:val="10"/>
        </w:rPr>
        <w:t>22 </w:t>
      </w:r>
      <w:r>
        <w:rPr>
          <w:sz w:val="16"/>
        </w:rPr>
        <w:t>See Vlieghe 2019 for analysis of case where no interest is paid.</w:t>
      </w:r>
    </w:p>
    <w:p>
      <w:pPr>
        <w:spacing w:line="184" w:lineRule="exact" w:before="0"/>
        <w:ind w:left="312" w:right="0" w:firstLine="0"/>
        <w:jc w:val="left"/>
        <w:rPr>
          <w:sz w:val="16"/>
        </w:rPr>
      </w:pPr>
      <w:r>
        <w:rPr>
          <w:position w:val="6"/>
          <w:sz w:val="10"/>
        </w:rPr>
        <w:t>23 </w:t>
      </w:r>
      <w:r>
        <w:rPr>
          <w:sz w:val="16"/>
        </w:rPr>
        <w:t>The same is true for W&amp;M: government borrows directly at policy rate, which is the rate paid on reserves.</w:t>
      </w:r>
    </w:p>
    <w:p>
      <w:pPr>
        <w:spacing w:line="240" w:lineRule="auto" w:before="0"/>
        <w:ind w:left="312" w:right="192" w:firstLine="0"/>
        <w:jc w:val="left"/>
        <w:rPr>
          <w:sz w:val="16"/>
        </w:rPr>
      </w:pPr>
      <w:r>
        <w:rPr>
          <w:position w:val="6"/>
          <w:sz w:val="10"/>
        </w:rPr>
        <w:t>24 </w:t>
      </w:r>
      <w:r>
        <w:rPr>
          <w:sz w:val="16"/>
        </w:rPr>
        <w:t>Allowing the central bank to use QE as a policy tool is not without risk to the government. The government generally finances itself at long average maturities, so as to insure itself partly against the cost of fluctuations in short-term interest rates. The higher the outstanding QE as a share of total government debt, the more the government is exposed to fluctuations in short-term interest rates in the future. By allowing QE, the government has given the central bank an additional monetary policy lever to achieve the inflation target, demonstrating the importance of price stability.</w:t>
      </w:r>
    </w:p>
    <w:p>
      <w:pPr>
        <w:spacing w:line="237" w:lineRule="auto" w:before="0"/>
        <w:ind w:left="312" w:right="227" w:firstLine="0"/>
        <w:jc w:val="left"/>
        <w:rPr>
          <w:sz w:val="16"/>
        </w:rPr>
      </w:pPr>
      <w:r>
        <w:rPr>
          <w:position w:val="6"/>
          <w:sz w:val="10"/>
        </w:rPr>
        <w:t>25 </w:t>
      </w:r>
      <w:r>
        <w:rPr>
          <w:sz w:val="16"/>
        </w:rPr>
        <w:t>The reason we have not even begun to reduce the QE portfolio is, as stated, that the economy has needed lower interest rates for longer than we expected. But even if the economy had been stronger, we would not have reduced Bank of England gilt holdings to their</w:t>
      </w:r>
    </w:p>
    <w:p>
      <w:pPr>
        <w:spacing w:after="0" w:line="237" w:lineRule="auto"/>
        <w:jc w:val="left"/>
        <w:rPr>
          <w:sz w:val="16"/>
        </w:rPr>
        <w:sectPr>
          <w:footerReference w:type="default" r:id="rId25"/>
          <w:pgSz w:w="11910" w:h="16840"/>
          <w:pgMar w:footer="1338" w:header="0" w:top="1420" w:bottom="1520" w:left="820" w:right="960"/>
          <w:pgNumType w:start="13"/>
        </w:sectPr>
      </w:pPr>
    </w:p>
    <w:p>
      <w:pPr>
        <w:pStyle w:val="BodyText"/>
        <w:spacing w:line="288" w:lineRule="auto" w:before="81"/>
        <w:ind w:left="312" w:right="192"/>
      </w:pPr>
      <w:r>
        <w:rPr/>
        <w:t>I propose that these types of discussions about monetary financing definitions are not useful. One person might say we have never done monetary finance, another might say we are always doing monetary finance, and in some sense both are correct.</w:t>
      </w:r>
    </w:p>
    <w:p>
      <w:pPr>
        <w:pStyle w:val="BodyText"/>
        <w:spacing w:line="288" w:lineRule="auto" w:before="120"/>
        <w:ind w:left="312" w:right="579"/>
      </w:pPr>
      <w:r>
        <w:rPr/>
        <w:t>Let us focus on what really worries (some) people: is this all going to end in inflation, or even in hyperinflation, as in the Weimar Republic or Zimbabwe?</w:t>
      </w:r>
      <w:r>
        <w:rPr>
          <w:position w:val="6"/>
          <w:sz w:val="13"/>
        </w:rPr>
        <w:t>26 </w:t>
      </w:r>
      <w:r>
        <w:rPr/>
        <w:t>When people worry about monetary financing, these historical parallels are often what they have in mind.</w:t>
      </w:r>
    </w:p>
    <w:p>
      <w:pPr>
        <w:pStyle w:val="BodyText"/>
        <w:spacing w:line="288" w:lineRule="auto" w:before="120"/>
        <w:ind w:left="312" w:right="370"/>
      </w:pPr>
      <w:r>
        <w:rPr/>
        <w:t>To understand whether we are headed that way, it is not sufficient to analyse the transactions on our balance sheet. Good and bad monetary financing transactions look the same initially, but one ends in inflation at target and the other ends in excessive inflation. The key distinction between what the Bank of England is doing and the disastrous historical monetary financing episodes is this: who makes the decision and with what objective?</w:t>
      </w:r>
    </w:p>
    <w:p>
      <w:pPr>
        <w:pStyle w:val="BodyText"/>
        <w:spacing w:line="288" w:lineRule="auto" w:before="121"/>
        <w:ind w:left="312" w:right="215"/>
      </w:pPr>
      <w:r>
        <w:rPr/>
        <w:t>The</w:t>
      </w:r>
      <w:r>
        <w:rPr>
          <w:spacing w:val="-5"/>
        </w:rPr>
        <w:t> </w:t>
      </w:r>
      <w:r>
        <w:rPr/>
        <w:t>MPC</w:t>
      </w:r>
      <w:r>
        <w:rPr>
          <w:spacing w:val="-4"/>
        </w:rPr>
        <w:t> </w:t>
      </w:r>
      <w:r>
        <w:rPr/>
        <w:t>has</w:t>
      </w:r>
      <w:r>
        <w:rPr>
          <w:spacing w:val="-3"/>
        </w:rPr>
        <w:t> </w:t>
      </w:r>
      <w:r>
        <w:rPr/>
        <w:t>decided</w:t>
      </w:r>
      <w:r>
        <w:rPr>
          <w:spacing w:val="-4"/>
        </w:rPr>
        <w:t> </w:t>
      </w:r>
      <w:r>
        <w:rPr/>
        <w:t>to</w:t>
      </w:r>
      <w:r>
        <w:rPr>
          <w:spacing w:val="-3"/>
        </w:rPr>
        <w:t> </w:t>
      </w:r>
      <w:r>
        <w:rPr/>
        <w:t>expand</w:t>
      </w:r>
      <w:r>
        <w:rPr>
          <w:spacing w:val="-5"/>
        </w:rPr>
        <w:t> </w:t>
      </w:r>
      <w:r>
        <w:rPr/>
        <w:t>the</w:t>
      </w:r>
      <w:r>
        <w:rPr>
          <w:spacing w:val="-3"/>
        </w:rPr>
        <w:t> </w:t>
      </w:r>
      <w:r>
        <w:rPr/>
        <w:t>Bank</w:t>
      </w:r>
      <w:r>
        <w:rPr>
          <w:spacing w:val="-1"/>
        </w:rPr>
        <w:t> </w:t>
      </w:r>
      <w:r>
        <w:rPr/>
        <w:t>of</w:t>
      </w:r>
      <w:r>
        <w:rPr>
          <w:spacing w:val="-2"/>
        </w:rPr>
        <w:t> </w:t>
      </w:r>
      <w:r>
        <w:rPr/>
        <w:t>England’s</w:t>
      </w:r>
      <w:r>
        <w:rPr>
          <w:spacing w:val="-3"/>
        </w:rPr>
        <w:t> </w:t>
      </w:r>
      <w:r>
        <w:rPr/>
        <w:t>balance</w:t>
      </w:r>
      <w:r>
        <w:rPr>
          <w:spacing w:val="-4"/>
        </w:rPr>
        <w:t> </w:t>
      </w:r>
      <w:r>
        <w:rPr/>
        <w:t>sheet,</w:t>
      </w:r>
      <w:r>
        <w:rPr>
          <w:spacing w:val="-5"/>
        </w:rPr>
        <w:t> </w:t>
      </w:r>
      <w:r>
        <w:rPr/>
        <w:t>because</w:t>
      </w:r>
      <w:r>
        <w:rPr>
          <w:spacing w:val="-2"/>
        </w:rPr>
        <w:t> </w:t>
      </w:r>
      <w:r>
        <w:rPr/>
        <w:t>we</w:t>
      </w:r>
      <w:r>
        <w:rPr>
          <w:spacing w:val="-4"/>
        </w:rPr>
        <w:t> </w:t>
      </w:r>
      <w:r>
        <w:rPr/>
        <w:t>believe</w:t>
      </w:r>
      <w:r>
        <w:rPr>
          <w:spacing w:val="-4"/>
        </w:rPr>
        <w:t> </w:t>
      </w:r>
      <w:r>
        <w:rPr/>
        <w:t>that</w:t>
      </w:r>
      <w:r>
        <w:rPr>
          <w:spacing w:val="-2"/>
        </w:rPr>
        <w:t> </w:t>
      </w:r>
      <w:r>
        <w:rPr/>
        <w:t>if</w:t>
      </w:r>
      <w:r>
        <w:rPr>
          <w:spacing w:val="-2"/>
        </w:rPr>
        <w:t> </w:t>
      </w:r>
      <w:r>
        <w:rPr/>
        <w:t>we</w:t>
      </w:r>
      <w:r>
        <w:rPr>
          <w:spacing w:val="-2"/>
        </w:rPr>
        <w:t> </w:t>
      </w:r>
      <w:r>
        <w:rPr/>
        <w:t>do</w:t>
      </w:r>
      <w:r>
        <w:rPr>
          <w:spacing w:val="-3"/>
        </w:rPr>
        <w:t> </w:t>
      </w:r>
      <w:r>
        <w:rPr/>
        <w:t>not, the economy will weaken further such that we would fall short of our inflation target. Do the monetary financing worriers really believe that we should not be providing support to the economy? There were similar concerns in 2009 when QE was first introduced. Some thought it would turn out to be excessively inflationary. Instead, the post-crisis recovery was generally characterised by inflation being too weak, rather than too strong. Central banks that did QE earlier, ended up with inflation closer to target. Those that waited longer to act, undershot their inflation target by more, some persistently</w:t>
      </w:r>
      <w:r>
        <w:rPr>
          <w:spacing w:val="-11"/>
        </w:rPr>
        <w:t> </w:t>
      </w:r>
      <w:r>
        <w:rPr/>
        <w:t>so.</w:t>
      </w:r>
    </w:p>
    <w:p>
      <w:pPr>
        <w:pStyle w:val="BodyText"/>
        <w:spacing w:line="288" w:lineRule="auto" w:before="120"/>
        <w:ind w:left="312" w:right="171"/>
      </w:pPr>
      <w:r>
        <w:rPr/>
        <w:t>If we were the central bank of the Weimar Republic or Zimbabwe, the mechanical transactions on our balance sheet would be similar to what is actually happening in the UK right now. That is not where you would find the smoking gun. The difference would be that government would be telling the central bank what to do, implicitly or explicitly, in order to achieve fiscal objectives while subordinating any inflation objectives, a situation also known as fiscal dominance. Why would that ultimately lead to inflation? Because, once a government decides to prioritise its fiscal objectives above its inflation objectives, it is likely to involve removing central bank independence implicitly or explicitly, and crucially keeping short-term interest rates lower than would be appropriate to meet the inflation target. The real ex-post financing cost of government debt could be lower,</w:t>
      </w:r>
      <w:r>
        <w:rPr>
          <w:position w:val="6"/>
          <w:sz w:val="13"/>
        </w:rPr>
        <w:t>27 </w:t>
      </w:r>
      <w:r>
        <w:rPr/>
        <w:t>because the debt reduction would be in part achieved via higher inflation. Weimar and Zimbabwe had central banks that issued however much central bank money was required to achieve the government’s financing needs, without any credible action to meet inflation objectives.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r>
        <w:rPr/>
        <w:pict>
          <v:shape style="position:absolute;margin-left:56.639999pt;margin-top:12.068643pt;width:482.05pt;height:.1pt;mso-position-horizontal-relative:page;mso-position-vertical-relative:paragraph;z-index:-251607040;mso-wrap-distance-left:0;mso-wrap-distance-right:0" coordorigin="1133,241" coordsize="9641,0" path="m1133,241l10773,241e" filled="false" stroked="true" strokeweight=".47998pt" strokecolor="#000000">
            <v:path arrowok="t"/>
            <v:stroke dashstyle="solid"/>
            <w10:wrap type="topAndBottom"/>
          </v:shape>
        </w:pict>
      </w:r>
    </w:p>
    <w:p>
      <w:pPr>
        <w:spacing w:before="51"/>
        <w:ind w:left="312" w:right="379" w:firstLine="0"/>
        <w:jc w:val="left"/>
        <w:rPr>
          <w:sz w:val="16"/>
        </w:rPr>
      </w:pPr>
      <w:r>
        <w:rPr>
          <w:sz w:val="16"/>
        </w:rPr>
        <w:t>pre-2008 levels, as changes in liquidity regulation and liquidity demand mean that banks are likely to want to operate with a far higher level of reserves than before 2008. See e.g. Ramsden (2018) for more on this.</w:t>
      </w:r>
    </w:p>
    <w:p>
      <w:pPr>
        <w:spacing w:line="183" w:lineRule="exact" w:before="0"/>
        <w:ind w:left="312" w:right="0" w:firstLine="0"/>
        <w:jc w:val="left"/>
        <w:rPr>
          <w:sz w:val="16"/>
        </w:rPr>
      </w:pPr>
      <w:r>
        <w:rPr>
          <w:position w:val="6"/>
          <w:sz w:val="10"/>
        </w:rPr>
        <w:t>26 </w:t>
      </w:r>
      <w:r>
        <w:rPr>
          <w:sz w:val="16"/>
        </w:rPr>
        <w:t>For other such episodes see Sargent (1982).</w:t>
      </w:r>
    </w:p>
    <w:p>
      <w:pPr>
        <w:spacing w:line="240" w:lineRule="auto" w:before="0"/>
        <w:ind w:left="312" w:right="450" w:firstLine="0"/>
        <w:jc w:val="left"/>
        <w:rPr>
          <w:sz w:val="16"/>
        </w:rPr>
      </w:pPr>
      <w:r>
        <w:rPr>
          <w:position w:val="6"/>
          <w:sz w:val="10"/>
        </w:rPr>
        <w:t>27 </w:t>
      </w:r>
      <w:r>
        <w:rPr>
          <w:sz w:val="16"/>
        </w:rPr>
        <w:t>I say “could” rather than “would”, because it depends on how quickly financial markets price in the higher inflation risk. Allowing inflation to overshoot the target reduces the cost of existing financing, but to the extent that it increase inflation risk premium, it increases the financing cost of new financing. Which effect dominates depends on the maturity of the debt, the composition between nominal and index-linked, and on how financial market expectations evolve.</w:t>
      </w:r>
    </w:p>
    <w:p>
      <w:pPr>
        <w:spacing w:after="0" w:line="240" w:lineRule="auto"/>
        <w:jc w:val="left"/>
        <w:rPr>
          <w:sz w:val="16"/>
        </w:rPr>
        <w:sectPr>
          <w:footerReference w:type="default" r:id="rId26"/>
          <w:pgSz w:w="11910" w:h="16840"/>
          <w:pgMar w:footer="1338" w:header="0" w:top="1340" w:bottom="1520" w:left="820" w:right="960"/>
          <w:pgNumType w:start="14"/>
        </w:sectPr>
      </w:pPr>
    </w:p>
    <w:p>
      <w:pPr>
        <w:pStyle w:val="Heading1"/>
        <w:numPr>
          <w:ilvl w:val="0"/>
          <w:numId w:val="1"/>
        </w:numPr>
        <w:tabs>
          <w:tab w:pos="1034" w:val="left" w:leader="none"/>
        </w:tabs>
        <w:spacing w:line="240" w:lineRule="auto" w:before="64" w:after="0"/>
        <w:ind w:left="1033" w:right="0" w:hanging="361"/>
        <w:jc w:val="left"/>
      </w:pPr>
      <w:r>
        <w:rPr/>
        <w:t>Conclusion</w:t>
      </w:r>
    </w:p>
    <w:p>
      <w:pPr>
        <w:pStyle w:val="BodyText"/>
        <w:rPr>
          <w:sz w:val="26"/>
        </w:rPr>
      </w:pPr>
    </w:p>
    <w:p>
      <w:pPr>
        <w:pStyle w:val="BodyText"/>
        <w:spacing w:line="288" w:lineRule="auto" w:before="219"/>
        <w:ind w:left="312" w:right="625"/>
      </w:pPr>
      <w:r>
        <w:rPr/>
        <w:t>Central banks use their balance sheets to achieve monetary policy objectives. In doing so, they affect government finances. That has always been the case, and that continues to be the case. This in no way detracts from the central bank’s independence and its ability to hit the inflation target.</w:t>
      </w:r>
    </w:p>
    <w:p>
      <w:pPr>
        <w:pStyle w:val="BodyText"/>
        <w:spacing w:line="288" w:lineRule="auto" w:before="120"/>
        <w:ind w:left="312" w:right="192"/>
      </w:pPr>
      <w:r>
        <w:rPr/>
        <w:t>The fact that you can observe a large fiscal stimulus at the same time as large QE operations is not because one is driving the other. Rather, it is because both are responding to a large economic shock, just as they were in 2009, with the mutually consistent aim of stabilising the economy and meeting the inflation target.</w:t>
      </w:r>
    </w:p>
    <w:p>
      <w:pPr>
        <w:pStyle w:val="BodyText"/>
        <w:spacing w:line="288" w:lineRule="auto" w:before="120"/>
        <w:ind w:left="312"/>
      </w:pPr>
      <w:r>
        <w:rPr/>
        <w:t>The UK has an institutional framework in place to make it abundantly clear that the MPC is in charge of monetary policy. Operational independence, a legal mandate for price stability, the structure of MPC, accountability to parliament and the public, an indemnity from the government, are all part of an institutional framework designed to safeguard the inflation target and the tools needed to achieve it. The MPC continues rigorously to frame its monetary policy actions in terms of its monetary policy remit.</w:t>
      </w:r>
    </w:p>
    <w:p>
      <w:pPr>
        <w:spacing w:after="0" w:line="288" w:lineRule="auto"/>
        <w:sectPr>
          <w:pgSz w:w="11910" w:h="16840"/>
          <w:pgMar w:header="0" w:footer="1338" w:top="1420" w:bottom="1520" w:left="820" w:right="960"/>
        </w:sectPr>
      </w:pPr>
    </w:p>
    <w:p>
      <w:pPr>
        <w:spacing w:before="79"/>
        <w:ind w:left="312" w:right="0" w:firstLine="0"/>
        <w:jc w:val="left"/>
        <w:rPr>
          <w:b/>
          <w:sz w:val="24"/>
        </w:rPr>
      </w:pPr>
      <w:r>
        <w:rPr>
          <w:b/>
          <w:sz w:val="24"/>
        </w:rPr>
        <w:t>References</w:t>
      </w:r>
    </w:p>
    <w:p>
      <w:pPr>
        <w:pStyle w:val="BodyText"/>
        <w:rPr>
          <w:b/>
          <w:sz w:val="26"/>
        </w:rPr>
      </w:pPr>
    </w:p>
    <w:p>
      <w:pPr>
        <w:pStyle w:val="BodyText"/>
        <w:spacing w:before="9"/>
        <w:rPr>
          <w:b/>
          <w:sz w:val="21"/>
        </w:rPr>
      </w:pPr>
    </w:p>
    <w:p>
      <w:pPr>
        <w:spacing w:before="0"/>
        <w:ind w:left="312" w:right="0" w:firstLine="0"/>
        <w:jc w:val="left"/>
        <w:rPr>
          <w:sz w:val="20"/>
        </w:rPr>
      </w:pPr>
      <w:r>
        <w:rPr>
          <w:b/>
          <w:sz w:val="20"/>
        </w:rPr>
        <w:t>Altavilla, C., Carboni, G., Lenza, M. and H. Uhlig (2020), </w:t>
      </w:r>
      <w:r>
        <w:rPr>
          <w:sz w:val="20"/>
        </w:rPr>
        <w:t>‘Interbank rate uncertainty and bank lending’,</w:t>
      </w:r>
    </w:p>
    <w:p>
      <w:pPr>
        <w:spacing w:before="22"/>
        <w:ind w:left="312" w:right="0" w:firstLine="0"/>
        <w:jc w:val="left"/>
        <w:rPr>
          <w:sz w:val="20"/>
        </w:rPr>
      </w:pPr>
      <w:r>
        <w:rPr>
          <w:i/>
          <w:sz w:val="20"/>
        </w:rPr>
        <w:t>ECB working paper No 2311</w:t>
      </w:r>
      <w:r>
        <w:rPr>
          <w:sz w:val="20"/>
        </w:rPr>
        <w:t>.</w:t>
      </w:r>
    </w:p>
    <w:p>
      <w:pPr>
        <w:pStyle w:val="BodyText"/>
        <w:rPr>
          <w:sz w:val="23"/>
        </w:rPr>
      </w:pPr>
    </w:p>
    <w:p>
      <w:pPr>
        <w:spacing w:before="0"/>
        <w:ind w:left="312" w:right="0" w:firstLine="0"/>
        <w:jc w:val="left"/>
        <w:rPr>
          <w:sz w:val="20"/>
        </w:rPr>
      </w:pPr>
      <w:r>
        <w:rPr>
          <w:b/>
          <w:sz w:val="20"/>
        </w:rPr>
        <w:t>Bernanke, B. (2020)</w:t>
      </w:r>
      <w:r>
        <w:rPr>
          <w:sz w:val="20"/>
        </w:rPr>
        <w:t>, “The New Tools of Monetary Policy”, </w:t>
      </w:r>
      <w:r>
        <w:rPr>
          <w:i/>
          <w:sz w:val="20"/>
        </w:rPr>
        <w:t>American Economic Review</w:t>
      </w:r>
      <w:r>
        <w:rPr>
          <w:sz w:val="20"/>
        </w:rPr>
        <w:t>, 110(4): 943-983.</w:t>
      </w:r>
    </w:p>
    <w:p>
      <w:pPr>
        <w:pStyle w:val="BodyText"/>
        <w:spacing w:before="9"/>
        <w:rPr>
          <w:sz w:val="22"/>
        </w:rPr>
      </w:pPr>
    </w:p>
    <w:p>
      <w:pPr>
        <w:pStyle w:val="BodyText"/>
        <w:spacing w:line="268" w:lineRule="auto"/>
        <w:ind w:left="312" w:right="404"/>
      </w:pPr>
      <w:r>
        <w:rPr>
          <w:b/>
        </w:rPr>
        <w:t>Castillo-Martinez, L., Reis, R. (2019)</w:t>
      </w:r>
      <w:r>
        <w:rPr/>
        <w:t>, “How do central banks control inflation? A guide for the perplexed”, Unpublished working paper available at: </w:t>
      </w:r>
      <w:hyperlink r:id="rId27">
        <w:r>
          <w:rPr>
            <w:color w:val="0000FF"/>
            <w:u w:val="single" w:color="0000FF"/>
          </w:rPr>
          <w:t>http://personal.lse.ac.uk/reisr/papers/99-perplexed.pdf</w:t>
        </w:r>
      </w:hyperlink>
    </w:p>
    <w:p>
      <w:pPr>
        <w:pStyle w:val="BodyText"/>
        <w:rPr>
          <w:sz w:val="12"/>
        </w:rPr>
      </w:pPr>
    </w:p>
    <w:p>
      <w:pPr>
        <w:spacing w:line="264" w:lineRule="auto" w:before="93"/>
        <w:ind w:left="312" w:right="260" w:firstLine="0"/>
        <w:jc w:val="left"/>
        <w:rPr>
          <w:sz w:val="20"/>
        </w:rPr>
      </w:pPr>
      <w:r>
        <w:rPr>
          <w:b/>
          <w:sz w:val="20"/>
        </w:rPr>
        <w:t>Correa, R., Du, W. and G. Liao (2020), </w:t>
      </w:r>
      <w:r>
        <w:rPr>
          <w:sz w:val="20"/>
        </w:rPr>
        <w:t>‘US Banks and Global Liquidity’, working paper </w:t>
      </w:r>
      <w:r>
        <w:rPr>
          <w:i/>
          <w:sz w:val="20"/>
        </w:rPr>
        <w:t>Board of Governors </w:t>
      </w:r>
      <w:r>
        <w:rPr>
          <w:i/>
          <w:sz w:val="20"/>
        </w:rPr>
        <w:t>of the Federal Reserve System</w:t>
      </w:r>
      <w:r>
        <w:rPr>
          <w:sz w:val="20"/>
        </w:rPr>
        <w:t>.</w:t>
      </w:r>
    </w:p>
    <w:p>
      <w:pPr>
        <w:pStyle w:val="BodyText"/>
        <w:spacing w:before="11"/>
      </w:pPr>
    </w:p>
    <w:p>
      <w:pPr>
        <w:spacing w:before="0"/>
        <w:ind w:left="312" w:right="0" w:firstLine="0"/>
        <w:jc w:val="left"/>
        <w:rPr>
          <w:sz w:val="20"/>
        </w:rPr>
      </w:pPr>
      <w:r>
        <w:rPr>
          <w:b/>
          <w:sz w:val="20"/>
        </w:rPr>
        <w:t>Cui, W. and V. Sterk (2019), </w:t>
      </w:r>
      <w:r>
        <w:rPr>
          <w:sz w:val="20"/>
        </w:rPr>
        <w:t>‘Quantitative Easing’, </w:t>
      </w:r>
      <w:r>
        <w:rPr>
          <w:i/>
          <w:sz w:val="20"/>
        </w:rPr>
        <w:t>HKIMR Working Paper, </w:t>
      </w:r>
      <w:r>
        <w:rPr>
          <w:sz w:val="20"/>
        </w:rPr>
        <w:t>No. 08/2019.</w:t>
      </w:r>
    </w:p>
    <w:p>
      <w:pPr>
        <w:pStyle w:val="BodyText"/>
        <w:spacing w:before="9"/>
        <w:rPr>
          <w:sz w:val="22"/>
        </w:rPr>
      </w:pPr>
    </w:p>
    <w:p>
      <w:pPr>
        <w:spacing w:line="266" w:lineRule="auto" w:before="0"/>
        <w:ind w:left="312" w:right="471" w:firstLine="0"/>
        <w:jc w:val="left"/>
        <w:rPr>
          <w:sz w:val="20"/>
        </w:rPr>
      </w:pPr>
      <w:r>
        <w:rPr>
          <w:b/>
          <w:sz w:val="20"/>
        </w:rPr>
        <w:t>Dell’Ariccia, G., Rabanal, P. and D. Sandri (2018)</w:t>
      </w:r>
      <w:r>
        <w:rPr>
          <w:sz w:val="20"/>
        </w:rPr>
        <w:t>, “Unconventional Monetary Policies in the Euro Area, Japan, and the United Kingdom”, </w:t>
      </w:r>
      <w:r>
        <w:rPr>
          <w:i/>
          <w:sz w:val="20"/>
        </w:rPr>
        <w:t>Journal of Economic Perspectives</w:t>
      </w:r>
      <w:r>
        <w:rPr>
          <w:sz w:val="20"/>
        </w:rPr>
        <w:t>, 32(4): 147-172.</w:t>
      </w:r>
    </w:p>
    <w:p>
      <w:pPr>
        <w:pStyle w:val="BodyText"/>
        <w:spacing w:before="9"/>
      </w:pPr>
    </w:p>
    <w:p>
      <w:pPr>
        <w:spacing w:before="0"/>
        <w:ind w:left="312" w:right="161" w:firstLine="0"/>
        <w:jc w:val="left"/>
        <w:rPr>
          <w:sz w:val="20"/>
        </w:rPr>
      </w:pPr>
      <w:r>
        <w:rPr>
          <w:b/>
          <w:sz w:val="20"/>
        </w:rPr>
        <w:t>Haldane, A., Roberts-Sklar, M., Wieladek, T. and C. Young (2016)</w:t>
      </w:r>
      <w:r>
        <w:rPr>
          <w:sz w:val="20"/>
        </w:rPr>
        <w:t>, “QE: the story so far”, </w:t>
      </w:r>
      <w:r>
        <w:rPr>
          <w:i/>
          <w:sz w:val="20"/>
        </w:rPr>
        <w:t>Bank of England </w:t>
      </w:r>
      <w:r>
        <w:rPr>
          <w:i/>
          <w:sz w:val="20"/>
        </w:rPr>
        <w:t>Staff Working Paper, </w:t>
      </w:r>
      <w:r>
        <w:rPr>
          <w:sz w:val="20"/>
        </w:rPr>
        <w:t>No. 624.</w:t>
      </w:r>
    </w:p>
    <w:p>
      <w:pPr>
        <w:pStyle w:val="BodyText"/>
        <w:spacing w:before="8"/>
      </w:pPr>
    </w:p>
    <w:p>
      <w:pPr>
        <w:pStyle w:val="BodyText"/>
        <w:spacing w:line="266" w:lineRule="auto"/>
        <w:ind w:left="312" w:right="203"/>
      </w:pPr>
      <w:r>
        <w:rPr>
          <w:b/>
        </w:rPr>
        <w:t>Hauser, A. (2019)</w:t>
      </w:r>
      <w:r>
        <w:rPr/>
        <w:t>, “Waiting for the exit: QT and the Bank of England’s long-term balance sheet”, speech available at </w:t>
      </w:r>
      <w:hyperlink r:id="rId28">
        <w:r>
          <w:rPr>
            <w:color w:val="0000FF"/>
            <w:u w:val="single" w:color="0000FF"/>
          </w:rPr>
          <w:t>https://www.bankofengland.co.uk/speech/2019/andrew-hauser-speech-hosted-by-the-afme-isda-</w:t>
        </w:r>
      </w:hyperlink>
      <w:r>
        <w:rPr>
          <w:color w:val="0000FF"/>
        </w:rPr>
        <w:t> </w:t>
      </w:r>
      <w:hyperlink r:id="rId28">
        <w:r>
          <w:rPr>
            <w:color w:val="0000FF"/>
            <w:u w:val="single" w:color="0000FF"/>
          </w:rPr>
          <w:t>icma-london</w:t>
        </w:r>
      </w:hyperlink>
    </w:p>
    <w:p>
      <w:pPr>
        <w:pStyle w:val="BodyText"/>
        <w:spacing w:before="2"/>
        <w:rPr>
          <w:sz w:val="12"/>
        </w:rPr>
      </w:pPr>
    </w:p>
    <w:p>
      <w:pPr>
        <w:pStyle w:val="BodyText"/>
        <w:spacing w:before="93"/>
        <w:ind w:left="312"/>
      </w:pPr>
      <w:r>
        <w:rPr>
          <w:b/>
        </w:rPr>
        <w:t>Kuttner, K. (2018)</w:t>
      </w:r>
      <w:r>
        <w:rPr/>
        <w:t>, “Outside the Box: Unconventional Monetary Policy in the Great Recession and Beyond”,</w:t>
      </w:r>
    </w:p>
    <w:p>
      <w:pPr>
        <w:spacing w:before="22"/>
        <w:ind w:left="312" w:right="0" w:firstLine="0"/>
        <w:jc w:val="left"/>
        <w:rPr>
          <w:sz w:val="20"/>
        </w:rPr>
      </w:pPr>
      <w:r>
        <w:rPr>
          <w:i/>
          <w:sz w:val="20"/>
        </w:rPr>
        <w:t>Journal of Economic Perspectives</w:t>
      </w:r>
      <w:r>
        <w:rPr>
          <w:sz w:val="20"/>
        </w:rPr>
        <w:t>, 32(4): 121-146.</w:t>
      </w:r>
    </w:p>
    <w:p>
      <w:pPr>
        <w:pStyle w:val="BodyText"/>
        <w:spacing w:before="2"/>
        <w:rPr>
          <w:sz w:val="23"/>
        </w:rPr>
      </w:pPr>
    </w:p>
    <w:p>
      <w:pPr>
        <w:spacing w:before="0"/>
        <w:ind w:left="312" w:right="489" w:firstLine="0"/>
        <w:jc w:val="left"/>
        <w:rPr>
          <w:sz w:val="20"/>
        </w:rPr>
      </w:pPr>
      <w:r>
        <w:rPr>
          <w:b/>
          <w:sz w:val="20"/>
        </w:rPr>
        <w:t>McLeay, M., Radia, A., Thomas, R. (2014)</w:t>
      </w:r>
      <w:r>
        <w:rPr>
          <w:sz w:val="20"/>
        </w:rPr>
        <w:t>, “Money creation in the modern economy?", </w:t>
      </w:r>
      <w:r>
        <w:rPr>
          <w:i/>
          <w:sz w:val="20"/>
        </w:rPr>
        <w:t>Bank of England </w:t>
      </w:r>
      <w:r>
        <w:rPr>
          <w:i/>
          <w:sz w:val="20"/>
        </w:rPr>
        <w:t>Quarterly Bulletin 2014 Q1</w:t>
      </w:r>
      <w:r>
        <w:rPr>
          <w:sz w:val="20"/>
        </w:rPr>
        <w:t>.</w:t>
      </w:r>
    </w:p>
    <w:p>
      <w:pPr>
        <w:pStyle w:val="BodyText"/>
        <w:spacing w:before="6"/>
      </w:pPr>
    </w:p>
    <w:p>
      <w:pPr>
        <w:spacing w:before="1"/>
        <w:ind w:left="312" w:right="0" w:firstLine="0"/>
        <w:jc w:val="left"/>
        <w:rPr>
          <w:sz w:val="20"/>
        </w:rPr>
      </w:pPr>
      <w:r>
        <w:rPr>
          <w:b/>
          <w:sz w:val="20"/>
        </w:rPr>
        <w:t>Piazzesi, M., C. Rogers, and M. Schneider (2019), </w:t>
      </w:r>
      <w:r>
        <w:rPr>
          <w:sz w:val="20"/>
        </w:rPr>
        <w:t>‘Money and banking in a New Keynesian model’,</w:t>
      </w:r>
    </w:p>
    <w:p>
      <w:pPr>
        <w:spacing w:before="24"/>
        <w:ind w:left="312" w:right="0" w:firstLine="0"/>
        <w:jc w:val="left"/>
        <w:rPr>
          <w:i/>
          <w:sz w:val="20"/>
        </w:rPr>
      </w:pPr>
      <w:r>
        <w:rPr>
          <w:i/>
          <w:sz w:val="20"/>
        </w:rPr>
        <w:t>Working Paper, Stanford.</w:t>
      </w:r>
    </w:p>
    <w:p>
      <w:pPr>
        <w:pStyle w:val="BodyText"/>
        <w:spacing w:before="9"/>
        <w:rPr>
          <w:i/>
          <w:sz w:val="22"/>
        </w:rPr>
      </w:pPr>
    </w:p>
    <w:p>
      <w:pPr>
        <w:pStyle w:val="BodyText"/>
        <w:spacing w:line="266" w:lineRule="auto"/>
        <w:ind w:left="312" w:right="462"/>
      </w:pPr>
      <w:r>
        <w:rPr>
          <w:b/>
        </w:rPr>
        <w:t>Ramsden, D. (2018)</w:t>
      </w:r>
      <w:r>
        <w:rPr/>
        <w:t>, “Finding the right balance”, speech available at </w:t>
      </w:r>
      <w:hyperlink r:id="rId29">
        <w:r>
          <w:rPr>
            <w:color w:val="0000FF"/>
            <w:w w:val="95"/>
            <w:u w:val="single" w:color="0000FF"/>
          </w:rPr>
          <w:t>https://www.bankofengland.co.uk/speech/2018/dave-ramsden-society-of-professional-economists-annual-</w:t>
        </w:r>
      </w:hyperlink>
      <w:r>
        <w:rPr>
          <w:color w:val="0000FF"/>
          <w:w w:val="95"/>
        </w:rPr>
        <w:t> </w:t>
      </w:r>
      <w:hyperlink r:id="rId29">
        <w:r>
          <w:rPr>
            <w:color w:val="0000FF"/>
            <w:u w:val="single" w:color="0000FF"/>
          </w:rPr>
          <w:t>conference</w:t>
        </w:r>
      </w:hyperlink>
    </w:p>
    <w:p>
      <w:pPr>
        <w:pStyle w:val="BodyText"/>
        <w:spacing w:before="2"/>
        <w:rPr>
          <w:sz w:val="12"/>
        </w:rPr>
      </w:pPr>
    </w:p>
    <w:p>
      <w:pPr>
        <w:spacing w:line="266" w:lineRule="auto" w:before="93"/>
        <w:ind w:left="312" w:right="460" w:firstLine="0"/>
        <w:jc w:val="left"/>
        <w:rPr>
          <w:sz w:val="20"/>
        </w:rPr>
      </w:pPr>
      <w:r>
        <w:rPr>
          <w:b/>
          <w:sz w:val="20"/>
        </w:rPr>
        <w:t>Reis, R. (2016)</w:t>
      </w:r>
      <w:r>
        <w:rPr>
          <w:sz w:val="20"/>
        </w:rPr>
        <w:t>, “Funding Quantitative Easing to Target Inflation”, in </w:t>
      </w:r>
      <w:r>
        <w:rPr>
          <w:i/>
          <w:sz w:val="20"/>
        </w:rPr>
        <w:t>Designing Resilient Monetary Policy </w:t>
      </w:r>
      <w:r>
        <w:rPr>
          <w:i/>
          <w:sz w:val="20"/>
        </w:rPr>
        <w:t>Frameworks for the Future</w:t>
      </w:r>
      <w:r>
        <w:rPr>
          <w:sz w:val="20"/>
        </w:rPr>
        <w:t>, Jackson Hole Economic Policy Symposium: Federal Reserve Bank of Kansas City.</w:t>
      </w:r>
    </w:p>
    <w:p>
      <w:pPr>
        <w:pStyle w:val="BodyText"/>
        <w:spacing w:before="4"/>
      </w:pPr>
    </w:p>
    <w:p>
      <w:pPr>
        <w:spacing w:line="266" w:lineRule="auto" w:before="1"/>
        <w:ind w:left="312" w:right="305" w:firstLine="0"/>
        <w:jc w:val="left"/>
        <w:rPr>
          <w:sz w:val="20"/>
        </w:rPr>
      </w:pPr>
      <w:r>
        <w:rPr>
          <w:b/>
          <w:sz w:val="20"/>
        </w:rPr>
        <w:t>Sargent, T. (1982), </w:t>
      </w:r>
      <w:r>
        <w:rPr>
          <w:sz w:val="20"/>
        </w:rPr>
        <w:t>“The Ends of Four Big Inflations”, in: Hall (ed.), </w:t>
      </w:r>
      <w:r>
        <w:rPr>
          <w:i/>
          <w:sz w:val="20"/>
        </w:rPr>
        <w:t>Inflation: Causes and Effects</w:t>
      </w:r>
      <w:r>
        <w:rPr>
          <w:sz w:val="20"/>
        </w:rPr>
        <w:t>, University of Chicago Press.</w:t>
      </w:r>
    </w:p>
    <w:p>
      <w:pPr>
        <w:pStyle w:val="BodyText"/>
        <w:spacing w:before="3"/>
      </w:pPr>
    </w:p>
    <w:p>
      <w:pPr>
        <w:pStyle w:val="BodyText"/>
        <w:spacing w:line="268" w:lineRule="auto" w:before="1"/>
        <w:ind w:left="312" w:right="727"/>
      </w:pPr>
      <w:r>
        <w:rPr>
          <w:b/>
        </w:rPr>
        <w:t>Vlieghe, G. (2016)</w:t>
      </w:r>
      <w:r>
        <w:rPr/>
        <w:t>, “Monetary Policy Expectations and Long Term Interest Rates”, speech available at </w:t>
      </w:r>
      <w:hyperlink r:id="rId30">
        <w:r>
          <w:rPr>
            <w:color w:val="0000FF"/>
            <w:u w:val="single" w:color="0000FF"/>
          </w:rPr>
          <w:t>http://www.bankofengland.co.uk/publications/Documents/speeches/2016/speech909.pdf</w:t>
        </w:r>
      </w:hyperlink>
    </w:p>
    <w:p>
      <w:pPr>
        <w:pStyle w:val="BodyText"/>
        <w:rPr>
          <w:sz w:val="12"/>
        </w:rPr>
      </w:pPr>
    </w:p>
    <w:p>
      <w:pPr>
        <w:pStyle w:val="BodyText"/>
        <w:spacing w:line="268" w:lineRule="auto" w:before="93"/>
        <w:ind w:left="312" w:right="673"/>
      </w:pPr>
      <w:r>
        <w:rPr>
          <w:b/>
        </w:rPr>
        <w:t>Vlieghe, G. (2018), </w:t>
      </w:r>
      <w:r>
        <w:rPr/>
        <w:t>‘Yield Curve and QE’, speech available at: </w:t>
      </w:r>
      <w:hyperlink r:id="rId31">
        <w:r>
          <w:rPr>
            <w:color w:val="0000FF"/>
            <w:w w:val="95"/>
            <w:u w:val="single" w:color="0000FF"/>
          </w:rPr>
          <w:t>https://www.bankofengland.co.uk/speech/2018/gertjan-vlieghe-imperial-college-business-school-london</w:t>
        </w:r>
      </w:hyperlink>
    </w:p>
    <w:p>
      <w:pPr>
        <w:spacing w:after="0" w:line="268" w:lineRule="auto"/>
        <w:sectPr>
          <w:pgSz w:w="11910" w:h="16840"/>
          <w:pgMar w:header="0" w:footer="1338" w:top="1340" w:bottom="1520" w:left="820" w:right="960"/>
        </w:sectPr>
      </w:pPr>
    </w:p>
    <w:p>
      <w:pPr>
        <w:pStyle w:val="BodyText"/>
        <w:spacing w:line="266" w:lineRule="auto" w:before="76"/>
        <w:ind w:left="312" w:right="205"/>
      </w:pPr>
      <w:r>
        <w:rPr>
          <w:b/>
        </w:rPr>
        <w:t>Vlieghe, G. (2019), </w:t>
      </w:r>
      <w:r>
        <w:rPr/>
        <w:t>‘Monetary policy: adapting to a changed world’, speech available at: </w:t>
      </w:r>
      <w:hyperlink r:id="rId32">
        <w:r>
          <w:rPr>
            <w:color w:val="0000FF"/>
            <w:w w:val="95"/>
            <w:u w:val="single" w:color="0000FF"/>
          </w:rPr>
          <w:t>https://www.bankofengland.co.uk/speech/2019/gertjan-vlieghe-speech-at-money-macro-and-finance-society-</w:t>
        </w:r>
      </w:hyperlink>
      <w:r>
        <w:rPr>
          <w:color w:val="0000FF"/>
          <w:w w:val="95"/>
        </w:rPr>
        <w:t> </w:t>
      </w:r>
      <w:hyperlink r:id="rId32">
        <w:r>
          <w:rPr>
            <w:color w:val="0000FF"/>
            <w:u w:val="single" w:color="0000FF"/>
          </w:rPr>
          <w:t>monetary-and-financial-policy-conference</w:t>
        </w:r>
      </w:hyperlink>
    </w:p>
    <w:sectPr>
      <w:pgSz w:w="11910" w:h="16840"/>
      <w:pgMar w:header="0" w:footer="1338" w:top="1340" w:bottom="1520" w:left="8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8128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19983pt;margin-top:760.346924pt;width:6.55pt;height:3.1pt;mso-position-horizontal-relative:page;mso-position-vertical-relative:page;z-index:-2532802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7923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4544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2444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4339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242368" type="#_x0000_t202" filled="false" stroked="false">
          <v:textbox inset="0,0,0,0">
            <w:txbxContent>
              <w:p>
                <w:pPr>
                  <w:pStyle w:val="BodyText"/>
                  <w:spacing w:before="12"/>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41344"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2403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3929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238272" type="#_x0000_t202" filled="false" stroked="false">
          <v:textbox inset="0,0,0,0">
            <w:txbxContent>
              <w:p>
                <w:pPr>
                  <w:pStyle w:val="BodyText"/>
                  <w:spacing w:before="12"/>
                  <w:ind w:left="20"/>
                </w:pPr>
                <w:r>
                  <w:rPr/>
                  <w:t>12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3724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2362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3520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234176" type="#_x0000_t202" filled="false" stroked="false">
          <v:textbox inset="0,0,0,0">
            <w:txbxContent>
              <w:p>
                <w:pPr>
                  <w:pStyle w:val="BodyText"/>
                  <w:spacing w:before="12"/>
                  <w:ind w:left="20"/>
                </w:pPr>
                <w:r>
                  <w:rPr/>
                  <w:t>13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33152"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2321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3110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230080" type="#_x0000_t202" filled="false" stroked="false">
          <v:textbox inset="0,0,0,0">
            <w:txbxContent>
              <w:p>
                <w:pPr>
                  <w:pStyle w:val="BodyText"/>
                  <w:spacing w:before="12"/>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7820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277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7616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2751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74112"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273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7206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271040"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70016"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2689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6796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266944"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6592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264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6387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262848"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61824"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260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5977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258752"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5772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256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5568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254656"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53632"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252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5158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250560"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249536"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2485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119446pt;width:349.85pt;height:13.15pt;mso-position-horizontal-relative:page;mso-position-vertical-relative:page;z-index:-25324748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24646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33" w:hanging="360"/>
        <w:jc w:val="left"/>
      </w:pPr>
      <w:rPr>
        <w:rFonts w:hint="default" w:ascii="Arial" w:hAnsi="Arial" w:eastAsia="Arial" w:cs="Arial"/>
        <w:spacing w:val="-3"/>
        <w:w w:val="99"/>
        <w:sz w:val="24"/>
        <w:szCs w:val="24"/>
        <w:lang w:val="en-gb" w:eastAsia="en-gb" w:bidi="en-gb"/>
      </w:rPr>
    </w:lvl>
    <w:lvl w:ilvl="1">
      <w:start w:val="0"/>
      <w:numFmt w:val="bullet"/>
      <w:lvlText w:val="•"/>
      <w:lvlJc w:val="left"/>
      <w:pPr>
        <w:ind w:left="1948" w:hanging="360"/>
      </w:pPr>
      <w:rPr>
        <w:rFonts w:hint="default"/>
        <w:lang w:val="en-gb" w:eastAsia="en-gb" w:bidi="en-gb"/>
      </w:rPr>
    </w:lvl>
    <w:lvl w:ilvl="2">
      <w:start w:val="0"/>
      <w:numFmt w:val="bullet"/>
      <w:lvlText w:val="•"/>
      <w:lvlJc w:val="left"/>
      <w:pPr>
        <w:ind w:left="2857" w:hanging="360"/>
      </w:pPr>
      <w:rPr>
        <w:rFonts w:hint="default"/>
        <w:lang w:val="en-gb" w:eastAsia="en-gb" w:bidi="en-gb"/>
      </w:rPr>
    </w:lvl>
    <w:lvl w:ilvl="3">
      <w:start w:val="0"/>
      <w:numFmt w:val="bullet"/>
      <w:lvlText w:val="•"/>
      <w:lvlJc w:val="left"/>
      <w:pPr>
        <w:ind w:left="3765" w:hanging="360"/>
      </w:pPr>
      <w:rPr>
        <w:rFonts w:hint="default"/>
        <w:lang w:val="en-gb" w:eastAsia="en-gb" w:bidi="en-gb"/>
      </w:rPr>
    </w:lvl>
    <w:lvl w:ilvl="4">
      <w:start w:val="0"/>
      <w:numFmt w:val="bullet"/>
      <w:lvlText w:val="•"/>
      <w:lvlJc w:val="left"/>
      <w:pPr>
        <w:ind w:left="4674" w:hanging="360"/>
      </w:pPr>
      <w:rPr>
        <w:rFonts w:hint="default"/>
        <w:lang w:val="en-gb" w:eastAsia="en-gb" w:bidi="en-gb"/>
      </w:rPr>
    </w:lvl>
    <w:lvl w:ilvl="5">
      <w:start w:val="0"/>
      <w:numFmt w:val="bullet"/>
      <w:lvlText w:val="•"/>
      <w:lvlJc w:val="left"/>
      <w:pPr>
        <w:ind w:left="5583" w:hanging="360"/>
      </w:pPr>
      <w:rPr>
        <w:rFonts w:hint="default"/>
        <w:lang w:val="en-gb" w:eastAsia="en-gb" w:bidi="en-gb"/>
      </w:rPr>
    </w:lvl>
    <w:lvl w:ilvl="6">
      <w:start w:val="0"/>
      <w:numFmt w:val="bullet"/>
      <w:lvlText w:val="•"/>
      <w:lvlJc w:val="left"/>
      <w:pPr>
        <w:ind w:left="6491" w:hanging="360"/>
      </w:pPr>
      <w:rPr>
        <w:rFonts w:hint="default"/>
        <w:lang w:val="en-gb" w:eastAsia="en-gb" w:bidi="en-gb"/>
      </w:rPr>
    </w:lvl>
    <w:lvl w:ilvl="7">
      <w:start w:val="0"/>
      <w:numFmt w:val="bullet"/>
      <w:lvlText w:val="•"/>
      <w:lvlJc w:val="left"/>
      <w:pPr>
        <w:ind w:left="7400" w:hanging="360"/>
      </w:pPr>
      <w:rPr>
        <w:rFonts w:hint="default"/>
        <w:lang w:val="en-gb" w:eastAsia="en-gb" w:bidi="en-gb"/>
      </w:rPr>
    </w:lvl>
    <w:lvl w:ilvl="8">
      <w:start w:val="0"/>
      <w:numFmt w:val="bullet"/>
      <w:lvlText w:val="•"/>
      <w:lvlJc w:val="left"/>
      <w:pPr>
        <w:ind w:left="830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033" w:hanging="361"/>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312" w:right="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64"/>
      <w:ind w:left="1033"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bankofengland.co.uk/markets/bank-of-england-market-operations-guide" TargetMode="External"/><Relationship Id="rId10" Type="http://schemas.openxmlformats.org/officeDocument/2006/relationships/footer" Target="footer4.xml"/><Relationship Id="rId11" Type="http://schemas.openxmlformats.org/officeDocument/2006/relationships/hyperlink" Target="https://www.bankofengland.co.uk/letter/2020/apf-letters-march-2020" TargetMode="Externa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image" Target="media/image2.png"/><Relationship Id="rId17" Type="http://schemas.openxmlformats.org/officeDocument/2006/relationships/footer" Target="footer9.xml"/><Relationship Id="rId18" Type="http://schemas.openxmlformats.org/officeDocument/2006/relationships/hyperlink" Target="https://www.dmo.gov.uk/media/2174/drmr9900.pdf" TargetMode="External"/><Relationship Id="rId19" Type="http://schemas.openxmlformats.org/officeDocument/2006/relationships/hyperlink" Target="https://www.bankofengland.co.uk/-/media/boe/files/quarterly-bulletin/2009/quarterly-bulletin-2009-q1.pdf" TargetMode="External"/><Relationship Id="rId20" Type="http://schemas.openxmlformats.org/officeDocument/2006/relationships/footer" Target="footer10.xml"/><Relationship Id="rId21" Type="http://schemas.openxmlformats.org/officeDocument/2006/relationships/hyperlink" Target="https://www.dmo.gov.uk/responsibilities/money-markets/" TargetMode="External"/><Relationship Id="rId22" Type="http://schemas.openxmlformats.org/officeDocument/2006/relationships/footer" Target="footer11.xml"/><Relationship Id="rId23" Type="http://schemas.openxmlformats.org/officeDocument/2006/relationships/hyperlink" Target="http://www.bankofengland.co.uk/-" TargetMode="External"/><Relationship Id="rId24" Type="http://schemas.openxmlformats.org/officeDocument/2006/relationships/hyperlink" Target="https://www.bankofengland.co.uk/news/2020/march/the-covid-corporate-financing-facility" TargetMode="Externa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yperlink" Target="http://personal.lse.ac.uk/reisr/papers/99-perplexed.pdf" TargetMode="External"/><Relationship Id="rId28" Type="http://schemas.openxmlformats.org/officeDocument/2006/relationships/hyperlink" Target="https://www.bankofengland.co.uk/speech/2019/andrew-hauser-speech-hosted-by-the-afme-isda-icma-london" TargetMode="External"/><Relationship Id="rId29" Type="http://schemas.openxmlformats.org/officeDocument/2006/relationships/hyperlink" Target="https://www.bankofengland.co.uk/speech/2018/dave-ramsden-society-of-professional-economists-annual-conference" TargetMode="External"/><Relationship Id="rId30" Type="http://schemas.openxmlformats.org/officeDocument/2006/relationships/hyperlink" Target="http://www.bankofengland.co.uk/publications/Documents/speeches/2016/speech909.pdf" TargetMode="External"/><Relationship Id="rId31" Type="http://schemas.openxmlformats.org/officeDocument/2006/relationships/hyperlink" Target="https://www.bankofengland.co.uk/speech/2018/gertjan-vlieghe-imperial-college-business-school-london" TargetMode="External"/><Relationship Id="rId32" Type="http://schemas.openxmlformats.org/officeDocument/2006/relationships/hyperlink" Target="https://www.bankofengland.co.uk/speech/2019/gertjan-vlieghe-speech-at-money-macro-and-finance-society-monetary-and-financial-policy-conference" TargetMode="External"/><Relationship Id="rId3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Gertjan Vlieghe on Monetary Policy and the Bank of England's balance sheet</dc:subject>
  <dc:title>Speech by Gertjan Vlieghe on Monetary Policy and the Bank of England's balance sheet</dc:title>
  <dcterms:created xsi:type="dcterms:W3CDTF">2020-06-02T17:58:30Z</dcterms:created>
  <dcterms:modified xsi:type="dcterms:W3CDTF">2020-06-02T17:58:30Z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2020-06-02T00:00:00Z</vt:filetime>
  </property>
</Properties>
</file>