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Default Extension="png" ContentType="image/png"/>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9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73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873" w:right="0" w:firstLine="0"/>
        <w:jc w:val="left"/>
        <w:rPr>
          <w:b/>
          <w:sz w:val="32"/>
        </w:rPr>
      </w:pPr>
      <w:r>
        <w:rPr>
          <w:b/>
          <w:color w:val="6A709F"/>
          <w:sz w:val="32"/>
        </w:rPr>
        <w:t>Monetary policy expectations and long term interest rates</w:t>
      </w:r>
    </w:p>
    <w:p>
      <w:pPr>
        <w:spacing w:before="281"/>
        <w:ind w:left="873" w:right="0" w:firstLine="0"/>
        <w:jc w:val="left"/>
        <w:rPr>
          <w:sz w:val="24"/>
        </w:rPr>
      </w:pPr>
      <w:r>
        <w:rPr>
          <w:sz w:val="24"/>
        </w:rPr>
        <w:t>Speech given by</w:t>
      </w:r>
    </w:p>
    <w:p>
      <w:pPr>
        <w:spacing w:before="137"/>
        <w:ind w:left="873" w:right="0" w:firstLine="0"/>
        <w:jc w:val="left"/>
        <w:rPr>
          <w:sz w:val="24"/>
        </w:rPr>
      </w:pPr>
      <w:r>
        <w:rPr>
          <w:sz w:val="24"/>
        </w:rPr>
        <w:t>Gertjan Vlieghe, External MPC member, Bank of England</w:t>
      </w:r>
    </w:p>
    <w:p>
      <w:pPr>
        <w:pStyle w:val="BodyText"/>
        <w:rPr>
          <w:sz w:val="26"/>
        </w:rPr>
      </w:pPr>
    </w:p>
    <w:p>
      <w:pPr>
        <w:pStyle w:val="BodyText"/>
        <w:rPr>
          <w:sz w:val="22"/>
        </w:rPr>
      </w:pPr>
    </w:p>
    <w:p>
      <w:pPr>
        <w:spacing w:line="360" w:lineRule="auto" w:before="0"/>
        <w:ind w:left="873" w:right="7875" w:firstLine="0"/>
        <w:jc w:val="left"/>
        <w:rPr>
          <w:sz w:val="24"/>
        </w:rPr>
      </w:pPr>
      <w:r>
        <w:rPr>
          <w:sz w:val="24"/>
        </w:rPr>
        <w:t>London Business School 19 May 2016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873" w:right="1394"/>
      </w:pPr>
      <w:r>
        <w:rPr/>
        <w:t>I would like to thank Rodrigo Guimaraes for his substantial contribution to this speech. Many of the ideas are based on his earlier and current research. I would also like to thank Bank of England colleagues for detailed and helpful comments.</w:t>
      </w:r>
    </w:p>
    <w:p>
      <w:pPr>
        <w:spacing w:after="0"/>
        <w:sectPr>
          <w:footerReference w:type="default" r:id="rId5"/>
          <w:type w:val="continuous"/>
          <w:pgSz w:w="11910" w:h="16840"/>
          <w:pgMar w:footer="1338" w:top="1180" w:bottom="1520" w:left="260" w:right="240"/>
        </w:sectPr>
      </w:pPr>
    </w:p>
    <w:p>
      <w:pPr>
        <w:pStyle w:val="ListParagraph"/>
        <w:numPr>
          <w:ilvl w:val="0"/>
          <w:numId w:val="1"/>
        </w:numPr>
        <w:tabs>
          <w:tab w:pos="1517" w:val="left" w:leader="none"/>
        </w:tabs>
        <w:spacing w:line="240" w:lineRule="auto" w:before="79" w:after="0"/>
        <w:ind w:left="1516" w:right="0" w:hanging="361"/>
        <w:jc w:val="left"/>
        <w:rPr>
          <w:sz w:val="20"/>
        </w:rPr>
      </w:pPr>
      <w:r>
        <w:rPr>
          <w:sz w:val="20"/>
        </w:rPr>
        <w:t>Introduction</w:t>
      </w:r>
    </w:p>
    <w:p>
      <w:pPr>
        <w:pStyle w:val="BodyText"/>
        <w:rPr>
          <w:sz w:val="22"/>
        </w:rPr>
      </w:pPr>
    </w:p>
    <w:p>
      <w:pPr>
        <w:pStyle w:val="BodyText"/>
        <w:spacing w:before="10"/>
        <w:rPr>
          <w:sz w:val="17"/>
        </w:rPr>
      </w:pPr>
    </w:p>
    <w:p>
      <w:pPr>
        <w:pStyle w:val="BodyText"/>
        <w:spacing w:line="360" w:lineRule="auto"/>
        <w:ind w:left="873" w:right="889"/>
      </w:pPr>
      <w:r>
        <w:rPr/>
        <w:t>My talk today is about long-term interest rates.</w:t>
      </w:r>
      <w:r>
        <w:rPr>
          <w:vertAlign w:val="superscript"/>
        </w:rPr>
        <w:t>1</w:t>
      </w:r>
      <w:r>
        <w:rPr>
          <w:vertAlign w:val="baseline"/>
        </w:rPr>
        <w:t> Long-term interest rates play an important role in monetary policy. They are a key part of the transmission mechanism, via which monetary policy affects the wider economy. And they contain useful information about expected future policy rates and expected future inflation.</w:t>
      </w:r>
    </w:p>
    <w:p>
      <w:pPr>
        <w:pStyle w:val="BodyText"/>
        <w:spacing w:before="1"/>
        <w:rPr>
          <w:sz w:val="30"/>
        </w:rPr>
      </w:pPr>
    </w:p>
    <w:p>
      <w:pPr>
        <w:pStyle w:val="BodyText"/>
        <w:spacing w:line="357" w:lineRule="auto"/>
        <w:ind w:left="873" w:right="889"/>
      </w:pPr>
      <w:r>
        <w:rPr/>
        <w:t>I will decompose long-term interest rates into real and nominal components, as well as expectations and risk premia components, with particular emphasis on the UK experience.</w:t>
      </w:r>
    </w:p>
    <w:p>
      <w:pPr>
        <w:pStyle w:val="BodyText"/>
        <w:spacing w:before="4"/>
        <w:rPr>
          <w:sz w:val="30"/>
        </w:rPr>
      </w:pPr>
    </w:p>
    <w:p>
      <w:pPr>
        <w:pStyle w:val="BodyText"/>
        <w:spacing w:line="360" w:lineRule="auto"/>
        <w:ind w:left="873" w:right="889"/>
      </w:pPr>
      <w:r>
        <w:rPr/>
        <w:t>I will argue that the most important factor behind the fall in long-term interest rates since the financial crisis has been a downward revision in the expected path of policy rates, with inflation expectations relatively stable, thus reflecting lower expected future real rates. The fall in term premia accounts for a relatively small part of the decline in long-term interest rates.</w:t>
      </w:r>
    </w:p>
    <w:p>
      <w:pPr>
        <w:pStyle w:val="BodyText"/>
        <w:spacing w:before="1"/>
        <w:rPr>
          <w:sz w:val="30"/>
        </w:rPr>
      </w:pPr>
    </w:p>
    <w:p>
      <w:pPr>
        <w:pStyle w:val="BodyText"/>
        <w:spacing w:line="357" w:lineRule="auto"/>
        <w:ind w:left="873" w:right="889"/>
      </w:pPr>
      <w:r>
        <w:rPr/>
        <w:t>I will argue that the reason expected future real rates are low is that monetary policy has responded, and is expected to continue to respond, appropriately to persistent forces weighing on demand and inflation.</w:t>
      </w:r>
    </w:p>
    <w:p>
      <w:pPr>
        <w:pStyle w:val="BodyText"/>
        <w:spacing w:line="360" w:lineRule="auto" w:before="4"/>
        <w:ind w:left="873" w:right="1394"/>
      </w:pPr>
      <w:r>
        <w:rPr/>
        <w:t>Interest rates are low because that is what the economy needs in order to keep inflation expectations anchored.</w:t>
      </w:r>
    </w:p>
    <w:p>
      <w:pPr>
        <w:pStyle w:val="BodyText"/>
        <w:spacing w:before="11"/>
        <w:rPr>
          <w:sz w:val="29"/>
        </w:rPr>
      </w:pPr>
    </w:p>
    <w:p>
      <w:pPr>
        <w:pStyle w:val="BodyText"/>
        <w:spacing w:line="360" w:lineRule="auto"/>
        <w:ind w:left="873" w:right="1394"/>
      </w:pPr>
      <w:r>
        <w:rPr/>
        <w:t>The natural rate of interest is expected to remain low for many years. Candidate explanations for a persistently low natural rate of interest across a wide range of countries include debt deleveraging, demographic shifts and changes in the distribution of income, which I discussed earlier in the year. The expectations-driven decline in long-term interest rates is apparent across a wide range of countries, suggesting that these forces are global, not unique to the UK.</w:t>
      </w:r>
    </w:p>
    <w:p>
      <w:pPr>
        <w:pStyle w:val="BodyText"/>
        <w:spacing w:before="1"/>
        <w:rPr>
          <w:sz w:val="30"/>
        </w:rPr>
      </w:pPr>
    </w:p>
    <w:p>
      <w:pPr>
        <w:pStyle w:val="BodyText"/>
        <w:spacing w:line="360" w:lineRule="auto" w:before="1"/>
        <w:ind w:left="873" w:right="989"/>
      </w:pPr>
      <w:r>
        <w:rPr/>
        <w:t>Viewed in this light, there is nothing anomalous about the low level of long-term interest rates, nor is there any evidence that government bond yields are “distorted” by central banks’ asset purchases. None of this should be taken to imply that low long-term interest will not change. They are based on expectations of future policy, which have changed, and will continue to change, as the economy evolves.</w:t>
      </w:r>
    </w:p>
    <w:p>
      <w:pPr>
        <w:pStyle w:val="BodyText"/>
        <w:spacing w:before="9"/>
        <w:rPr>
          <w:sz w:val="29"/>
        </w:rPr>
      </w:pPr>
    </w:p>
    <w:p>
      <w:pPr>
        <w:pStyle w:val="BodyText"/>
        <w:spacing w:line="360" w:lineRule="auto" w:before="1"/>
        <w:ind w:left="873" w:right="1378"/>
      </w:pPr>
      <w:r>
        <w:rPr/>
        <w:t>I will also present some thoughts on the near-term economic outlook, and the associated challenges for monetary policy.</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88994pt;width:144.050pt;height:.1pt;mso-position-horizontal-relative:page;mso-position-vertical-relative:paragraph;z-index:-251657216;mso-wrap-distance-left:0;mso-wrap-distance-right:0" coordorigin="1133,336" coordsize="2881,0" path="m1133,336l4014,336e" filled="false" stroked="true" strokeweight=".48004pt" strokecolor="#000000">
            <v:path arrowok="t"/>
            <v:stroke dashstyle="solid"/>
            <w10:wrap type="topAndBottom"/>
          </v:shape>
        </w:pict>
      </w:r>
    </w:p>
    <w:p>
      <w:pPr>
        <w:spacing w:before="29"/>
        <w:ind w:left="873" w:right="0" w:firstLine="0"/>
        <w:jc w:val="left"/>
        <w:rPr>
          <w:sz w:val="16"/>
        </w:rPr>
      </w:pPr>
      <w:r>
        <w:rPr>
          <w:position w:val="8"/>
          <w:sz w:val="10"/>
        </w:rPr>
        <w:t>1 </w:t>
      </w:r>
      <w:r>
        <w:rPr>
          <w:sz w:val="16"/>
        </w:rPr>
        <w:t>My colleagues on the MPC have recently addressed related issues; see, for example, Shafik (2015) and Broadbent (2014).</w:t>
      </w:r>
    </w:p>
    <w:p>
      <w:pPr>
        <w:spacing w:after="0"/>
        <w:jc w:val="left"/>
        <w:rPr>
          <w:sz w:val="16"/>
        </w:rPr>
        <w:sectPr>
          <w:footerReference w:type="default" r:id="rId7"/>
          <w:pgSz w:w="11910" w:h="16840"/>
          <w:pgMar w:footer="1338" w:header="0" w:top="1520" w:bottom="1520" w:left="260" w:right="240"/>
        </w:sectPr>
      </w:pPr>
    </w:p>
    <w:p>
      <w:pPr>
        <w:pStyle w:val="ListParagraph"/>
        <w:numPr>
          <w:ilvl w:val="0"/>
          <w:numId w:val="1"/>
        </w:numPr>
        <w:tabs>
          <w:tab w:pos="1517" w:val="left" w:leader="none"/>
        </w:tabs>
        <w:spacing w:line="240" w:lineRule="auto" w:before="79" w:after="0"/>
        <w:ind w:left="1516" w:right="0" w:hanging="361"/>
        <w:jc w:val="left"/>
        <w:rPr>
          <w:sz w:val="20"/>
        </w:rPr>
      </w:pPr>
      <w:r>
        <w:rPr>
          <w:sz w:val="20"/>
        </w:rPr>
        <w:t>Why do Central Banks care about yield</w:t>
      </w:r>
      <w:r>
        <w:rPr>
          <w:spacing w:val="-10"/>
          <w:sz w:val="20"/>
        </w:rPr>
        <w:t> </w:t>
      </w:r>
      <w:r>
        <w:rPr>
          <w:sz w:val="20"/>
        </w:rPr>
        <w:t>curves?</w:t>
      </w:r>
    </w:p>
    <w:p>
      <w:pPr>
        <w:pStyle w:val="BodyText"/>
        <w:rPr>
          <w:sz w:val="22"/>
        </w:rPr>
      </w:pPr>
    </w:p>
    <w:p>
      <w:pPr>
        <w:pStyle w:val="BodyText"/>
        <w:spacing w:before="10"/>
        <w:rPr>
          <w:sz w:val="17"/>
        </w:rPr>
      </w:pPr>
    </w:p>
    <w:p>
      <w:pPr>
        <w:pStyle w:val="BodyText"/>
        <w:spacing w:line="360" w:lineRule="auto"/>
        <w:ind w:left="873" w:right="889"/>
      </w:pPr>
      <w:r>
        <w:rPr/>
        <w:t>Setting conventional monetary policy means setting the policy rate, called Bank Rate, at the appropriate level to ensure that inflation is close to its 2% target.</w:t>
      </w:r>
    </w:p>
    <w:p>
      <w:pPr>
        <w:pStyle w:val="BodyText"/>
        <w:rPr>
          <w:sz w:val="30"/>
        </w:rPr>
      </w:pPr>
    </w:p>
    <w:p>
      <w:pPr>
        <w:pStyle w:val="BodyText"/>
        <w:spacing w:line="360" w:lineRule="auto"/>
        <w:ind w:left="873" w:right="889"/>
      </w:pPr>
      <w:r>
        <w:rPr/>
        <w:t>Even though Bank Rate has been the main tool of monetary policy, it directly affects only a small part of the economy: Bank Rate is the interest paid on reserves that banks hold at the Bank of England.</w:t>
      </w:r>
    </w:p>
    <w:p>
      <w:pPr>
        <w:pStyle w:val="BodyText"/>
        <w:spacing w:before="11"/>
        <w:rPr>
          <w:sz w:val="29"/>
        </w:rPr>
      </w:pPr>
    </w:p>
    <w:p>
      <w:pPr>
        <w:pStyle w:val="BodyText"/>
        <w:spacing w:line="360" w:lineRule="auto"/>
        <w:ind w:left="873" w:right="989"/>
      </w:pPr>
      <w:r>
        <w:rPr/>
        <w:t>The real impact of monetary policy is indirect: Bank Rate affects many other interest rates, which have a much larger economic impact. For households, it is the interest rates on deposits, mortgages, personal loans, credit cards and car loans that matter. For businesses, it is the interest rates on deposits, business loans and corporate bonds that matter. For the government, it is the interest rate on government bonds, or gilts, that matters.</w:t>
      </w:r>
    </w:p>
    <w:p>
      <w:pPr>
        <w:pStyle w:val="BodyText"/>
        <w:spacing w:before="2"/>
        <w:rPr>
          <w:sz w:val="30"/>
        </w:rPr>
      </w:pPr>
    </w:p>
    <w:p>
      <w:pPr>
        <w:pStyle w:val="BodyText"/>
        <w:spacing w:line="360" w:lineRule="auto"/>
        <w:ind w:left="873" w:right="1202"/>
        <w:jc w:val="both"/>
      </w:pPr>
      <w:r>
        <w:rPr/>
        <w:t>Bank Rate is an overnight rate, a rate paid on a deposit made today that you can get back tomorrow. But most of the rates that I just listed that directly affect economic activity are not overnight interest rates,</w:t>
      </w:r>
      <w:r>
        <w:rPr>
          <w:spacing w:val="-35"/>
        </w:rPr>
        <w:t> </w:t>
      </w:r>
      <w:r>
        <w:rPr/>
        <w:t>they apply over longer time periods. For example, the bulk of new mortgages have a rate that is fixed for 2</w:t>
      </w:r>
      <w:r>
        <w:rPr>
          <w:spacing w:val="-27"/>
        </w:rPr>
        <w:t> </w:t>
      </w:r>
      <w:r>
        <w:rPr/>
        <w:t>or</w:t>
      </w:r>
    </w:p>
    <w:p>
      <w:pPr>
        <w:pStyle w:val="BodyText"/>
        <w:spacing w:line="360" w:lineRule="auto"/>
        <w:ind w:left="873" w:right="1085"/>
        <w:jc w:val="both"/>
      </w:pPr>
      <w:r>
        <w:rPr/>
        <w:t>3 years, corporate bonds have rates that are fixed for around 14 years (but just 5-7 years before the crisis). The government on average borrows at rates fixed for around 15 years, and issues some bonds with rates that are fixed for over 50 years.</w:t>
      </w:r>
    </w:p>
    <w:p>
      <w:pPr>
        <w:pStyle w:val="BodyText"/>
        <w:spacing w:before="11"/>
        <w:rPr>
          <w:sz w:val="29"/>
        </w:rPr>
      </w:pPr>
    </w:p>
    <w:p>
      <w:pPr>
        <w:pStyle w:val="BodyText"/>
        <w:spacing w:line="360" w:lineRule="auto"/>
        <w:ind w:left="873" w:right="889"/>
      </w:pPr>
      <w:r>
        <w:rPr/>
        <w:t>The interest rates that matter for many parts of the economy are longer term than just overnight. In today’s talk I want to delve into what drives those longer-term interest rates. The range of interest rates from short to long term is described by the yield curve, which is simply a list of interest rates over different time horizons that apply at a particular point in time. I will focus primarily on the yield curve on government debt. Other interest rates are typically described as a spread, or margin, above or below the government yield curve.</w:t>
      </w:r>
    </w:p>
    <w:p>
      <w:pPr>
        <w:pStyle w:val="BodyText"/>
        <w:spacing w:before="10"/>
        <w:rPr>
          <w:sz w:val="29"/>
        </w:rPr>
      </w:pPr>
    </w:p>
    <w:p>
      <w:pPr>
        <w:pStyle w:val="BodyText"/>
        <w:spacing w:line="360" w:lineRule="auto" w:before="1"/>
        <w:ind w:left="873" w:right="956"/>
      </w:pPr>
      <w:r>
        <w:rPr/>
        <w:t>As I will discuss, a crucial way in which policy affects these longer term rates and spreads is by affecting the expectations of future policy. Indeed, as summarised in Woodford (2003), the prevailing academic consensus before the crisis was that expectations of future policy were what mattered most, far more than just setting overnight rates. This consensus lay behind the global drive toward greater transparency from central banks and the adoption of inflation targets by a large (and increasing) number of countries.</w:t>
      </w:r>
    </w:p>
    <w:p>
      <w:pPr>
        <w:pStyle w:val="BodyText"/>
        <w:spacing w:before="1"/>
        <w:rPr>
          <w:sz w:val="30"/>
        </w:rPr>
      </w:pPr>
    </w:p>
    <w:p>
      <w:pPr>
        <w:pStyle w:val="BodyText"/>
        <w:spacing w:line="360" w:lineRule="auto"/>
        <w:ind w:left="873" w:right="889"/>
      </w:pPr>
      <w:r>
        <w:rPr/>
        <w:t>Yield curves matter for monetary policy in two respects. First, as I have just explained, they are a key part of how monetary policy gets transmitted to the rest of the economy. Second, yield curves contain useful information about what market participants expect in the future.</w:t>
      </w:r>
      <w:r>
        <w:rPr>
          <w:vertAlign w:val="superscript"/>
        </w:rPr>
        <w:t>2</w:t>
      </w:r>
      <w:r>
        <w:rPr>
          <w:vertAlign w:val="baseline"/>
        </w:rPr>
        <w:t> Monetary policy responds to economic developments, and in turn aims to influence the economy to achieve the inflation target. Yield curves, as I</w:t>
      </w:r>
    </w:p>
    <w:p>
      <w:pPr>
        <w:pStyle w:val="BodyText"/>
        <w:spacing w:before="2"/>
        <w:rPr>
          <w:sz w:val="9"/>
        </w:rPr>
      </w:pPr>
      <w:r>
        <w:rPr/>
        <w:pict>
          <v:shape style="position:absolute;margin-left:56.664001pt;margin-top:7.514014pt;width:144.050pt;height:.1pt;mso-position-horizontal-relative:page;mso-position-vertical-relative:paragraph;z-index:-251656192;mso-wrap-distance-left:0;mso-wrap-distance-right:0" coordorigin="1133,150" coordsize="2881,0" path="m1133,150l4014,150e" filled="false" stroked="true" strokeweight=".47998pt" strokecolor="#000000">
            <v:path arrowok="t"/>
            <v:stroke dashstyle="solid"/>
            <w10:wrap type="topAndBottom"/>
          </v:shape>
        </w:pict>
      </w:r>
    </w:p>
    <w:p>
      <w:pPr>
        <w:spacing w:before="30"/>
        <w:ind w:left="873" w:right="1394" w:firstLine="0"/>
        <w:jc w:val="left"/>
        <w:rPr>
          <w:sz w:val="16"/>
        </w:rPr>
      </w:pPr>
      <w:r>
        <w:rPr>
          <w:position w:val="8"/>
          <w:sz w:val="10"/>
        </w:rPr>
        <w:t>2 </w:t>
      </w:r>
      <w:r>
        <w:rPr>
          <w:sz w:val="16"/>
        </w:rPr>
        <w:t>See Bank of England (1999) and Woodford (2003) for a discussion of the role of market rates in the transmission mechanism of monetary policy, and Bernanke (2004) for discussion of the information value for policymakers.</w:t>
      </w:r>
    </w:p>
    <w:p>
      <w:pPr>
        <w:spacing w:after="0"/>
        <w:jc w:val="left"/>
        <w:rPr>
          <w:sz w:val="16"/>
        </w:rPr>
        <w:sectPr>
          <w:footerReference w:type="default" r:id="rId8"/>
          <w:pgSz w:w="11910" w:h="16840"/>
          <w:pgMar w:footer="1338" w:header="0" w:top="1520" w:bottom="1520" w:left="260" w:right="240"/>
        </w:sectPr>
      </w:pPr>
    </w:p>
    <w:p>
      <w:pPr>
        <w:pStyle w:val="BodyText"/>
        <w:spacing w:line="360" w:lineRule="auto" w:before="79"/>
        <w:ind w:left="873" w:right="889"/>
      </w:pPr>
      <w:r>
        <w:rPr/>
        <w:t>will explain, contain information about the path for policy rates and inflation that market participants expect to prevail in the future. This can tell us, for example, whether market participants are optimistic or pessimistic about future economic developments, and it can also tell us whether market participants expect the central bank to be successful in meeting its inflation target.</w:t>
      </w:r>
    </w:p>
    <w:p>
      <w:pPr>
        <w:pStyle w:val="BodyText"/>
        <w:spacing w:before="10"/>
        <w:rPr>
          <w:sz w:val="29"/>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Yield curves: what do the data</w:t>
      </w:r>
      <w:r>
        <w:rPr>
          <w:spacing w:val="-1"/>
          <w:sz w:val="20"/>
        </w:rPr>
        <w:t> </w:t>
      </w:r>
      <w:r>
        <w:rPr>
          <w:sz w:val="20"/>
        </w:rPr>
        <w:t>say?</w:t>
      </w:r>
    </w:p>
    <w:p>
      <w:pPr>
        <w:pStyle w:val="BodyText"/>
        <w:rPr>
          <w:sz w:val="22"/>
        </w:rPr>
      </w:pPr>
    </w:p>
    <w:p>
      <w:pPr>
        <w:pStyle w:val="BodyText"/>
        <w:spacing w:before="1"/>
        <w:rPr>
          <w:sz w:val="18"/>
        </w:rPr>
      </w:pPr>
    </w:p>
    <w:p>
      <w:pPr>
        <w:pStyle w:val="BodyText"/>
        <w:spacing w:line="360" w:lineRule="auto"/>
        <w:ind w:left="873" w:right="934"/>
      </w:pPr>
      <w:r>
        <w:rPr/>
        <w:t>To describe the evolution of long-term interest rates over time, it is useful to introduce the concept of forward rates. For those unfamiliar with the concept, consider a one-year loan and a two-year loan. The two-year loan can be thought of as a one-year loan, which is then renewed after a year with another one-year loan.</w:t>
      </w:r>
    </w:p>
    <w:p>
      <w:pPr>
        <w:pStyle w:val="BodyText"/>
        <w:spacing w:line="360" w:lineRule="auto"/>
        <w:ind w:left="873" w:right="889"/>
      </w:pPr>
      <w:r>
        <w:rPr/>
        <w:t>The rate for the second year of the two-year loan, which is implicit in the two year loan rate, is called the forward rate. We can calculate forward rates at all horizons.</w:t>
      </w:r>
    </w:p>
    <w:p>
      <w:pPr>
        <w:pStyle w:val="BodyText"/>
        <w:spacing w:before="11"/>
        <w:rPr>
          <w:sz w:val="29"/>
        </w:rPr>
      </w:pPr>
    </w:p>
    <w:p>
      <w:pPr>
        <w:pStyle w:val="BodyText"/>
        <w:spacing w:line="360" w:lineRule="auto"/>
        <w:ind w:left="873" w:right="889"/>
      </w:pPr>
      <w:r>
        <w:rPr/>
        <w:t>The benefit of doing this is that any long-term interest rate can then be decomposed into a sum of forward rates. This is a useful descriptive device, because it allows us to distinguish whether long term interest rates change because of a change in the near-term forward rates, or the longer-term forward rates, or both.</w:t>
      </w:r>
    </w:p>
    <w:p>
      <w:pPr>
        <w:pStyle w:val="BodyText"/>
        <w:rPr>
          <w:sz w:val="30"/>
        </w:rPr>
      </w:pPr>
    </w:p>
    <w:p>
      <w:pPr>
        <w:pStyle w:val="BodyText"/>
        <w:spacing w:line="360" w:lineRule="auto"/>
        <w:ind w:left="873" w:right="989"/>
      </w:pPr>
      <w:r>
        <w:rPr/>
        <w:t>A second calculation that will turn out to be useful is to split nominal yield curves into an inflation component and a real yield component. The existence of inflation-linked bonds allows us to measure the yield curve for each component separately. The inflation component of the yield curve, also known as “break-even inflation”, is the component of the return on nominal bonds that investors demand for taking inflation risk.</w:t>
      </w:r>
      <w:r>
        <w:rPr>
          <w:vertAlign w:val="superscript"/>
        </w:rPr>
        <w:t>3</w:t>
      </w:r>
      <w:r>
        <w:rPr>
          <w:vertAlign w:val="baseline"/>
        </w:rPr>
        <w:t> There is yet a third split, which I will return to later, into expectations of future short rates and a risk premia component.</w:t>
      </w:r>
    </w:p>
    <w:p>
      <w:pPr>
        <w:pStyle w:val="BodyText"/>
        <w:rPr>
          <w:sz w:val="30"/>
        </w:rPr>
      </w:pPr>
    </w:p>
    <w:p>
      <w:pPr>
        <w:pStyle w:val="BodyText"/>
        <w:spacing w:line="360" w:lineRule="auto"/>
        <w:ind w:left="873" w:right="1268"/>
      </w:pPr>
      <w:r>
        <w:rPr/>
        <w:t>With those tools in hand, we can now examine the history of long-term yields (or long-term interest rates, which is the same thing).</w:t>
      </w:r>
    </w:p>
    <w:p>
      <w:pPr>
        <w:pStyle w:val="BodyText"/>
        <w:spacing w:before="11"/>
        <w:rPr>
          <w:sz w:val="29"/>
        </w:rPr>
      </w:pPr>
    </w:p>
    <w:p>
      <w:pPr>
        <w:pStyle w:val="BodyText"/>
        <w:spacing w:line="360" w:lineRule="auto"/>
        <w:ind w:left="873" w:right="924"/>
        <w:jc w:val="both"/>
      </w:pPr>
      <w:r>
        <w:rPr/>
        <w:t>Figure 1 shows the evolution of 10 year government bond yields in in the UK since 1972. Long term interest rates</w:t>
      </w:r>
      <w:r>
        <w:rPr>
          <w:spacing w:val="-2"/>
        </w:rPr>
        <w:t> </w:t>
      </w:r>
      <w:r>
        <w:rPr/>
        <w:t>rose</w:t>
      </w:r>
      <w:r>
        <w:rPr>
          <w:spacing w:val="-3"/>
        </w:rPr>
        <w:t> </w:t>
      </w:r>
      <w:r>
        <w:rPr/>
        <w:t>sharply</w:t>
      </w:r>
      <w:r>
        <w:rPr>
          <w:spacing w:val="-6"/>
        </w:rPr>
        <w:t> </w:t>
      </w:r>
      <w:r>
        <w:rPr/>
        <w:t>from</w:t>
      </w:r>
      <w:r>
        <w:rPr>
          <w:spacing w:val="2"/>
        </w:rPr>
        <w:t> </w:t>
      </w:r>
      <w:r>
        <w:rPr/>
        <w:t>6%</w:t>
      </w:r>
      <w:r>
        <w:rPr>
          <w:spacing w:val="-3"/>
        </w:rPr>
        <w:t> </w:t>
      </w:r>
      <w:r>
        <w:rPr/>
        <w:t>to</w:t>
      </w:r>
      <w:r>
        <w:rPr>
          <w:spacing w:val="-3"/>
        </w:rPr>
        <w:t> </w:t>
      </w:r>
      <w:r>
        <w:rPr/>
        <w:t>16% in the</w:t>
      </w:r>
      <w:r>
        <w:rPr>
          <w:spacing w:val="-1"/>
        </w:rPr>
        <w:t> </w:t>
      </w:r>
      <w:r>
        <w:rPr/>
        <w:t>1970s,</w:t>
      </w:r>
      <w:r>
        <w:rPr>
          <w:spacing w:val="-3"/>
        </w:rPr>
        <w:t> </w:t>
      </w:r>
      <w:r>
        <w:rPr/>
        <w:t>generally</w:t>
      </w:r>
      <w:r>
        <w:rPr>
          <w:spacing w:val="-5"/>
        </w:rPr>
        <w:t> </w:t>
      </w:r>
      <w:r>
        <w:rPr/>
        <w:t>stayed</w:t>
      </w:r>
      <w:r>
        <w:rPr>
          <w:spacing w:val="-3"/>
        </w:rPr>
        <w:t> </w:t>
      </w:r>
      <w:r>
        <w:rPr/>
        <w:t>above</w:t>
      </w:r>
      <w:r>
        <w:rPr>
          <w:spacing w:val="-3"/>
        </w:rPr>
        <w:t> </w:t>
      </w:r>
      <w:r>
        <w:rPr/>
        <w:t>10%</w:t>
      </w:r>
      <w:r>
        <w:rPr>
          <w:spacing w:val="-2"/>
        </w:rPr>
        <w:t> </w:t>
      </w:r>
      <w:r>
        <w:rPr/>
        <w:t>until</w:t>
      </w:r>
      <w:r>
        <w:rPr>
          <w:spacing w:val="-1"/>
        </w:rPr>
        <w:t> </w:t>
      </w:r>
      <w:r>
        <w:rPr/>
        <w:t>the</w:t>
      </w:r>
      <w:r>
        <w:rPr>
          <w:spacing w:val="-1"/>
        </w:rPr>
        <w:t> </w:t>
      </w:r>
      <w:r>
        <w:rPr/>
        <w:t>early</w:t>
      </w:r>
      <w:r>
        <w:rPr>
          <w:spacing w:val="-6"/>
        </w:rPr>
        <w:t> </w:t>
      </w:r>
      <w:r>
        <w:rPr/>
        <w:t>1980s, and</w:t>
      </w:r>
      <w:r>
        <w:rPr>
          <w:spacing w:val="-1"/>
        </w:rPr>
        <w:t> </w:t>
      </w:r>
      <w:r>
        <w:rPr/>
        <w:t>have come down gradually and significantly since then, with the exception of a brief spike in the </w:t>
      </w:r>
      <w:r>
        <w:rPr>
          <w:spacing w:val="2"/>
        </w:rPr>
        <w:t>early</w:t>
      </w:r>
      <w:r>
        <w:rPr>
          <w:spacing w:val="-26"/>
        </w:rPr>
        <w:t> </w:t>
      </w:r>
      <w:r>
        <w:rPr/>
        <w:t>1990s.</w:t>
      </w:r>
    </w:p>
    <w:p>
      <w:pPr>
        <w:pStyle w:val="BodyText"/>
        <w:spacing w:before="2"/>
        <w:ind w:left="873"/>
        <w:jc w:val="both"/>
      </w:pPr>
      <w:r>
        <w:rPr/>
        <w:t>Currently, the 10 year yield is about 1.5%.</w:t>
      </w:r>
    </w:p>
    <w:p>
      <w:pPr>
        <w:pStyle w:val="BodyText"/>
        <w:rPr>
          <w:sz w:val="22"/>
        </w:rPr>
      </w:pPr>
    </w:p>
    <w:p>
      <w:pPr>
        <w:pStyle w:val="BodyText"/>
        <w:spacing w:before="10"/>
        <w:rPr>
          <w:sz w:val="17"/>
        </w:rPr>
      </w:pPr>
    </w:p>
    <w:p>
      <w:pPr>
        <w:pStyle w:val="BodyText"/>
        <w:spacing w:line="360" w:lineRule="auto"/>
        <w:ind w:left="873" w:right="889"/>
      </w:pPr>
      <w:r>
        <w:rPr/>
        <w:t>Figure 2 decomposes long-term rates into an inflation and real yield component. The decomposition starts only in the early 1980s, when index-linked government bonds were first issued in the UK.</w:t>
      </w:r>
    </w:p>
    <w:p>
      <w:pPr>
        <w:pStyle w:val="BodyText"/>
      </w:pPr>
    </w:p>
    <w:p>
      <w:pPr>
        <w:pStyle w:val="BodyText"/>
      </w:pPr>
    </w:p>
    <w:p>
      <w:pPr>
        <w:pStyle w:val="BodyText"/>
        <w:spacing w:before="4"/>
        <w:rPr>
          <w:sz w:val="27"/>
        </w:rPr>
      </w:pPr>
      <w:r>
        <w:rPr/>
        <w:pict>
          <v:shape style="position:absolute;margin-left:56.664001pt;margin-top:17.951572pt;width:144.050pt;height:.1pt;mso-position-horizontal-relative:page;mso-position-vertical-relative:paragraph;z-index:-251655168;mso-wrap-distance-left:0;mso-wrap-distance-right:0" coordorigin="1133,359" coordsize="2881,0" path="m1133,359l4014,359e" filled="false" stroked="true" strokeweight=".47998pt" strokecolor="#000000">
            <v:path arrowok="t"/>
            <v:stroke dashstyle="solid"/>
            <w10:wrap type="topAndBottom"/>
          </v:shape>
        </w:pict>
      </w:r>
    </w:p>
    <w:p>
      <w:pPr>
        <w:spacing w:line="207" w:lineRule="exact" w:before="30"/>
        <w:ind w:left="873" w:right="0" w:firstLine="0"/>
        <w:jc w:val="left"/>
        <w:rPr>
          <w:sz w:val="16"/>
        </w:rPr>
      </w:pPr>
      <w:r>
        <w:rPr>
          <w:position w:val="8"/>
          <w:sz w:val="10"/>
        </w:rPr>
        <w:t>3 </w:t>
      </w:r>
      <w:r>
        <w:rPr>
          <w:sz w:val="16"/>
        </w:rPr>
        <w:t>Note that break-even inflation rate in the UK is measured in terms of the RPI inflation, because that is the inflation measure</w:t>
      </w:r>
    </w:p>
    <w:p>
      <w:pPr>
        <w:spacing w:before="0"/>
        <w:ind w:left="873" w:right="1062" w:firstLine="0"/>
        <w:jc w:val="left"/>
        <w:rPr>
          <w:sz w:val="16"/>
        </w:rPr>
      </w:pPr>
      <w:r>
        <w:rPr>
          <w:sz w:val="16"/>
        </w:rPr>
        <w:t>index-linked bonds are indexed too. The measure of inflation that the MPC targets, on the other hand, is CPI inflation. There is a large and time-varying wedge between the two measures, reflecting differences in coverage and methodology. See, for example, Liu et al (2015).</w:t>
      </w:r>
    </w:p>
    <w:p>
      <w:pPr>
        <w:spacing w:after="0"/>
        <w:jc w:val="left"/>
        <w:rPr>
          <w:sz w:val="16"/>
        </w:rPr>
        <w:sectPr>
          <w:footerReference w:type="default" r:id="rId9"/>
          <w:pgSz w:w="11910" w:h="16840"/>
          <w:pgMar w:footer="1338" w:header="0" w:top="1520" w:bottom="1520" w:left="260" w:right="240"/>
        </w:sectPr>
      </w:pPr>
    </w:p>
    <w:p>
      <w:pPr>
        <w:pStyle w:val="BodyText"/>
        <w:spacing w:line="360" w:lineRule="auto" w:before="79"/>
        <w:ind w:left="873" w:right="889"/>
      </w:pPr>
      <w:r>
        <w:rPr/>
        <w:t>Initially, long-term interest rates were high because the inflation component was high, and up to Bank of England independence in 1997 the decline in long-term interest rates was primarily due to a decline in the inflation component. Between 1997 and 1999, both the inflation and real yield component fell back. After 1999, the inflation component has been broadly stable and the entire decline in long term interest rates since then has been due to the real component.</w:t>
      </w:r>
    </w:p>
    <w:p>
      <w:pPr>
        <w:pStyle w:val="BodyText"/>
        <w:spacing w:before="10"/>
        <w:rPr>
          <w:sz w:val="29"/>
        </w:rPr>
      </w:pPr>
    </w:p>
    <w:p>
      <w:pPr>
        <w:pStyle w:val="BodyText"/>
        <w:spacing w:line="360" w:lineRule="auto"/>
        <w:ind w:left="873" w:right="989"/>
      </w:pPr>
      <w:r>
        <w:rPr/>
        <w:t>This evolution is consistent with a narrative, familiar to many, of the UK struggling with high and variable inflation in the 1970s through early 1990s, suffering from a lack of a consistent framework for monetary policy. This was brought under control only from 1992 with the introduction of inflation targeting, and further solidified in 1997 with Bank of England operational independence. </w:t>
      </w:r>
      <w:r>
        <w:rPr>
          <w:vertAlign w:val="superscript"/>
        </w:rPr>
        <w:t>4</w:t>
      </w:r>
    </w:p>
    <w:p>
      <w:pPr>
        <w:pStyle w:val="BodyText"/>
        <w:spacing w:before="1"/>
        <w:rPr>
          <w:sz w:val="30"/>
        </w:rPr>
      </w:pPr>
    </w:p>
    <w:p>
      <w:pPr>
        <w:pStyle w:val="BodyText"/>
        <w:spacing w:line="357" w:lineRule="auto"/>
        <w:ind w:left="873" w:right="1189"/>
      </w:pPr>
      <w:r>
        <w:rPr/>
        <w:t>Monetary policy went from being a source of disturbances to the economy, to being an inflation-stabilising force.</w:t>
      </w:r>
    </w:p>
    <w:p>
      <w:pPr>
        <w:pStyle w:val="BodyText"/>
        <w:spacing w:before="5"/>
        <w:rPr>
          <w:sz w:val="30"/>
        </w:rPr>
      </w:pPr>
    </w:p>
    <w:p>
      <w:pPr>
        <w:pStyle w:val="BodyText"/>
        <w:spacing w:line="360" w:lineRule="auto"/>
        <w:ind w:left="873" w:right="889"/>
      </w:pPr>
      <w:r>
        <w:rPr/>
        <w:t>But stabilising inflation did not result in stable long-term rates. The real component of long-term rates kept falling, gently initially, then more sharply after the financial crisis.</w:t>
      </w:r>
    </w:p>
    <w:p>
      <w:pPr>
        <w:pStyle w:val="BodyText"/>
        <w:spacing w:before="11"/>
        <w:rPr>
          <w:sz w:val="29"/>
        </w:rPr>
      </w:pPr>
    </w:p>
    <w:p>
      <w:pPr>
        <w:pStyle w:val="BodyText"/>
        <w:spacing w:line="360" w:lineRule="auto"/>
        <w:ind w:left="873" w:right="989"/>
      </w:pPr>
      <w:r>
        <w:rPr/>
        <w:t>Figure 3 shows the evolution of Bank Rate since 2005, as well as a series of forward curves at different dates. In response to the financial crisis, Bank Rate was cut from 5.5% in 2008 to 0.5% by March 2009.</w:t>
      </w:r>
    </w:p>
    <w:p>
      <w:pPr>
        <w:pStyle w:val="BodyText"/>
        <w:spacing w:before="11"/>
        <w:rPr>
          <w:sz w:val="29"/>
        </w:rPr>
      </w:pPr>
    </w:p>
    <w:p>
      <w:pPr>
        <w:pStyle w:val="BodyText"/>
        <w:spacing w:line="360" w:lineRule="auto"/>
        <w:ind w:left="873" w:right="1015"/>
        <w:jc w:val="both"/>
      </w:pPr>
      <w:r>
        <w:rPr/>
        <w:t>Short-term forwards, which follow Bank Rate closely, fell sharply, but still implied a return to pre-crisis levels over the subsequent years. In other words, initially, long term rates fell largely because the short-term rates fell.</w:t>
      </w:r>
    </w:p>
    <w:p>
      <w:pPr>
        <w:pStyle w:val="BodyText"/>
        <w:rPr>
          <w:sz w:val="30"/>
        </w:rPr>
      </w:pPr>
    </w:p>
    <w:p>
      <w:pPr>
        <w:pStyle w:val="BodyText"/>
        <w:spacing w:line="360" w:lineRule="auto"/>
        <w:ind w:left="873" w:right="889"/>
      </w:pPr>
      <w:r>
        <w:rPr/>
        <w:t>As we progressed through the post-crisis years, two further developments emerged: forwards remained low over increasingly long horizons, and longer term forwards were much less steep. We might call the pattern a “lying down” of the forwards.</w:t>
      </w:r>
    </w:p>
    <w:p>
      <w:pPr>
        <w:pStyle w:val="BodyText"/>
        <w:rPr>
          <w:sz w:val="30"/>
        </w:rPr>
      </w:pPr>
    </w:p>
    <w:p>
      <w:pPr>
        <w:pStyle w:val="BodyText"/>
        <w:spacing w:line="360" w:lineRule="auto"/>
        <w:ind w:left="873" w:right="1023"/>
      </w:pPr>
      <w:r>
        <w:rPr/>
        <w:t>Figure 4 presents a different way to make the same point: initially, most of the fall in long-term interest rates was due to the near-term forwards, here summarised by the 5 year rate (the average of forward rates up to the 5 year horizon). Thereafter, the longer-term forwards also started to decline, as summarised by the average forwards between years 5 and 10, called the 5 year, 5 year rate.</w:t>
      </w:r>
    </w:p>
    <w:p>
      <w:pPr>
        <w:pStyle w:val="BodyText"/>
        <w:spacing w:before="1"/>
        <w:rPr>
          <w:sz w:val="30"/>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UK vs US</w:t>
      </w:r>
    </w:p>
    <w:p>
      <w:pPr>
        <w:pStyle w:val="BodyText"/>
        <w:rPr>
          <w:sz w:val="22"/>
        </w:rPr>
      </w:pPr>
    </w:p>
    <w:p>
      <w:pPr>
        <w:pStyle w:val="BodyText"/>
        <w:spacing w:before="11"/>
        <w:rPr>
          <w:sz w:val="17"/>
        </w:rPr>
      </w:pPr>
    </w:p>
    <w:p>
      <w:pPr>
        <w:pStyle w:val="BodyText"/>
        <w:spacing w:line="360" w:lineRule="auto"/>
        <w:ind w:left="873" w:right="1069"/>
        <w:jc w:val="both"/>
      </w:pPr>
      <w:r>
        <w:rPr/>
        <w:t>To get a sense of the extent to which UK interest rates were driven by domestic or international factors, it</w:t>
      </w:r>
      <w:r>
        <w:rPr>
          <w:spacing w:val="-38"/>
        </w:rPr>
        <w:t> </w:t>
      </w:r>
      <w:r>
        <w:rPr/>
        <w:t>is useful to compare the evolution of UK and US long-term interest rates, shown in Figure</w:t>
      </w:r>
      <w:r>
        <w:rPr>
          <w:spacing w:val="-10"/>
        </w:rPr>
        <w:t> </w:t>
      </w:r>
      <w:r>
        <w:rPr/>
        <w:t>5.</w:t>
      </w:r>
    </w:p>
    <w:p>
      <w:pPr>
        <w:pStyle w:val="BodyText"/>
        <w:spacing w:before="4"/>
        <w:rPr>
          <w:sz w:val="25"/>
        </w:rPr>
      </w:pPr>
      <w:r>
        <w:rPr/>
        <w:pict>
          <v:shape style="position:absolute;margin-left:56.664001pt;margin-top:16.783964pt;width:144.050pt;height:.1pt;mso-position-horizontal-relative:page;mso-position-vertical-relative:paragraph;z-index:-251654144;mso-wrap-distance-left:0;mso-wrap-distance-right:0" coordorigin="1133,336" coordsize="2881,0" path="m1133,336l4014,336e" filled="false" stroked="true" strokeweight=".48004pt" strokecolor="#000000">
            <v:path arrowok="t"/>
            <v:stroke dashstyle="solid"/>
            <w10:wrap type="topAndBottom"/>
          </v:shape>
        </w:pict>
      </w:r>
    </w:p>
    <w:p>
      <w:pPr>
        <w:spacing w:before="29"/>
        <w:ind w:left="873" w:right="0" w:firstLine="0"/>
        <w:jc w:val="left"/>
        <w:rPr>
          <w:sz w:val="16"/>
        </w:rPr>
      </w:pPr>
      <w:r>
        <w:rPr>
          <w:position w:val="8"/>
          <w:sz w:val="10"/>
        </w:rPr>
        <w:t>4 </w:t>
      </w:r>
      <w:r>
        <w:rPr>
          <w:sz w:val="16"/>
        </w:rPr>
        <w:t>See Nelson (2000) for a description of the evolution of monetary policy in the UK from 1972 to 1997.</w:t>
      </w:r>
    </w:p>
    <w:p>
      <w:pPr>
        <w:spacing w:after="0"/>
        <w:jc w:val="left"/>
        <w:rPr>
          <w:sz w:val="16"/>
        </w:rPr>
        <w:sectPr>
          <w:footerReference w:type="default" r:id="rId10"/>
          <w:pgSz w:w="11910" w:h="16840"/>
          <w:pgMar w:footer="1338" w:header="0" w:top="1520" w:bottom="1520" w:left="260" w:right="240"/>
        </w:sectPr>
      </w:pPr>
    </w:p>
    <w:p>
      <w:pPr>
        <w:pStyle w:val="BodyText"/>
        <w:spacing w:before="5"/>
        <w:rPr>
          <w:sz w:val="23"/>
        </w:rPr>
      </w:pPr>
    </w:p>
    <w:p>
      <w:pPr>
        <w:pStyle w:val="BodyText"/>
        <w:spacing w:line="360" w:lineRule="auto" w:before="93"/>
        <w:ind w:left="873" w:right="989"/>
      </w:pPr>
      <w:r>
        <w:rPr/>
        <w:t>The pattern that emerges is “similar but not the same”. In the 1970s, US long-term yields rose more gently, as the US’s inflation experience in the 1970s was not quite as bad as the UK’s. Both countries reached similar levels of long-term yields in the in the early 1980s. Since then, the declines have been of a similar magnitude.</w:t>
      </w:r>
    </w:p>
    <w:p>
      <w:pPr>
        <w:pStyle w:val="BodyText"/>
        <w:rPr>
          <w:sz w:val="30"/>
        </w:rPr>
      </w:pPr>
    </w:p>
    <w:p>
      <w:pPr>
        <w:pStyle w:val="BodyText"/>
        <w:spacing w:line="360" w:lineRule="auto"/>
        <w:ind w:left="873" w:right="986"/>
      </w:pPr>
      <w:r>
        <w:rPr/>
        <w:t>Figure 6 compares short-term interest rates, in this case the 1 year rate which tends to follow the policy rate fairly closely. Here too we see a pattern of “similar but not the same”. Both countries experienced very high short-term interest rates in the early 1980s as monetary policy aimed to reduce inflation sharply. UK rates spiked to similar levels again in the early 1990s, but this was associated with the UK’s membership and subsequent exit of the European Exchange Rate Mechanism, so the US did not have the same experience.</w:t>
      </w:r>
    </w:p>
    <w:p>
      <w:pPr>
        <w:pStyle w:val="BodyText"/>
        <w:rPr>
          <w:sz w:val="30"/>
        </w:rPr>
      </w:pPr>
    </w:p>
    <w:p>
      <w:pPr>
        <w:pStyle w:val="BodyText"/>
        <w:spacing w:line="360" w:lineRule="auto"/>
        <w:ind w:left="873" w:right="901"/>
      </w:pPr>
      <w:r>
        <w:rPr/>
        <w:t>More recently, we can see that US rates came down slightly earlier in the financial crisis, as the US economy started its slowdown slightly before the UK, but short-term interest rates soon reached similar levels.</w:t>
      </w:r>
    </w:p>
    <w:p>
      <w:pPr>
        <w:pStyle w:val="BodyText"/>
        <w:spacing w:before="2"/>
        <w:rPr>
          <w:sz w:val="30"/>
        </w:rPr>
      </w:pPr>
    </w:p>
    <w:p>
      <w:pPr>
        <w:pStyle w:val="BodyText"/>
        <w:spacing w:line="360" w:lineRule="auto"/>
        <w:ind w:left="873" w:right="1001"/>
      </w:pPr>
      <w:r>
        <w:rPr/>
        <w:t>With short-term interest rates clearly responding to some specific domestic developments, but long-term rates seemingly more correlated, a view has sometimes been expressed that short-term rates are under the central bank’s control but long-term rates are driven by other “global factors” beyond the control of central banks. This is reinforced by findings such as those in figure 7, showing that 10 year rates have a higher correlation than 2 year rates.</w:t>
      </w:r>
    </w:p>
    <w:p>
      <w:pPr>
        <w:pStyle w:val="BodyText"/>
        <w:spacing w:before="10"/>
        <w:rPr>
          <w:sz w:val="29"/>
        </w:rPr>
      </w:pPr>
    </w:p>
    <w:p>
      <w:pPr>
        <w:pStyle w:val="BodyText"/>
        <w:spacing w:line="360" w:lineRule="auto"/>
        <w:ind w:left="873" w:right="889"/>
      </w:pPr>
      <w:r>
        <w:rPr/>
        <w:t>I think that is somewhat misleading. A more apt description is that central banks in the UK and US are both responding to domestic circumstances, which tend to be somewhat but not perfectly correlated.</w:t>
      </w:r>
    </w:p>
    <w:p>
      <w:pPr>
        <w:pStyle w:val="BodyText"/>
        <w:spacing w:before="9"/>
        <w:rPr>
          <w:sz w:val="29"/>
        </w:rPr>
      </w:pPr>
    </w:p>
    <w:p>
      <w:pPr>
        <w:pStyle w:val="BodyText"/>
        <w:spacing w:line="362" w:lineRule="auto"/>
        <w:ind w:left="873" w:right="930"/>
      </w:pPr>
      <w:r>
        <w:rPr/>
        <w:t>As shown in figure 8, the correlation of 2 year </w:t>
      </w:r>
      <w:r>
        <w:rPr>
          <w:i/>
        </w:rPr>
        <w:t>forward </w:t>
      </w:r>
      <w:r>
        <w:rPr/>
        <w:t>rates is more often than not higher than the</w:t>
      </w:r>
      <w:r>
        <w:rPr>
          <w:spacing w:val="-32"/>
        </w:rPr>
        <w:t> </w:t>
      </w:r>
      <w:r>
        <w:rPr/>
        <w:t>correlation of 10 year forward rates.  So the high correlation of long-term interest rates is also driven by the forward rates that prevail at shorter horizons, over the first few years of the yield</w:t>
      </w:r>
      <w:r>
        <w:rPr>
          <w:spacing w:val="-5"/>
        </w:rPr>
        <w:t> </w:t>
      </w:r>
      <w:r>
        <w:rPr/>
        <w:t>curve.</w:t>
      </w:r>
    </w:p>
    <w:p>
      <w:pPr>
        <w:pStyle w:val="BodyText"/>
        <w:spacing w:before="7"/>
        <w:rPr>
          <w:sz w:val="29"/>
        </w:rPr>
      </w:pPr>
    </w:p>
    <w:p>
      <w:pPr>
        <w:pStyle w:val="BodyText"/>
        <w:spacing w:line="360" w:lineRule="auto"/>
        <w:ind w:left="873" w:right="1112"/>
      </w:pPr>
      <w:r>
        <w:rPr/>
        <w:t>To be more precise about what drives short-term and longer-term forward rates, we need some more tools and some theory, to which I turn next.</w:t>
      </w:r>
      <w:r>
        <w:rPr>
          <w:vertAlign w:val="superscript"/>
        </w:rPr>
        <w:t>5</w:t>
      </w:r>
    </w:p>
    <w:p>
      <w:pPr>
        <w:pStyle w:val="BodyText"/>
        <w:rPr>
          <w:sz w:val="30"/>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Robust and sensible decompositions</w:t>
      </w:r>
    </w:p>
    <w:p>
      <w:pPr>
        <w:pStyle w:val="BodyText"/>
        <w:rPr>
          <w:sz w:val="22"/>
        </w:rPr>
      </w:pPr>
    </w:p>
    <w:p>
      <w:pPr>
        <w:pStyle w:val="BodyText"/>
        <w:spacing w:before="1"/>
        <w:rPr>
          <w:sz w:val="18"/>
        </w:rPr>
      </w:pPr>
    </w:p>
    <w:p>
      <w:pPr>
        <w:pStyle w:val="BodyText"/>
        <w:spacing w:line="360" w:lineRule="auto"/>
        <w:ind w:left="873" w:right="954"/>
        <w:jc w:val="both"/>
      </w:pPr>
      <w:r>
        <w:rPr/>
        <w:t>Economic theory tells us that forward rates are driven by two components: expectations of future short rates, and risk premia, also referred to as term premia, the premium demanded by investors for holding “term risk”. In order to distinguish the two, we need a model.</w:t>
      </w:r>
    </w:p>
    <w:p>
      <w:pPr>
        <w:pStyle w:val="BodyText"/>
        <w:spacing w:before="4"/>
        <w:rPr>
          <w:sz w:val="23"/>
        </w:rPr>
      </w:pPr>
      <w:r>
        <w:rPr/>
        <w:pict>
          <v:shape style="position:absolute;margin-left:56.664001pt;margin-top:15.647285pt;width:144.050pt;height:.1pt;mso-position-horizontal-relative:page;mso-position-vertical-relative:paragraph;z-index:-251653120;mso-wrap-distance-left:0;mso-wrap-distance-right:0" coordorigin="1133,313" coordsize="2881,0" path="m1133,313l4014,313e" filled="false" stroked="true" strokeweight=".47998pt" strokecolor="#000000">
            <v:path arrowok="t"/>
            <v:stroke dashstyle="solid"/>
            <w10:wrap type="topAndBottom"/>
          </v:shape>
        </w:pict>
      </w:r>
    </w:p>
    <w:p>
      <w:pPr>
        <w:spacing w:before="27"/>
        <w:ind w:left="873" w:right="889" w:firstLine="0"/>
        <w:jc w:val="left"/>
        <w:rPr>
          <w:sz w:val="16"/>
        </w:rPr>
      </w:pPr>
      <w:r>
        <w:rPr>
          <w:position w:val="8"/>
          <w:sz w:val="10"/>
        </w:rPr>
        <w:t>5 </w:t>
      </w:r>
      <w:r>
        <w:rPr>
          <w:sz w:val="16"/>
        </w:rPr>
        <w:t>Using a model to decompose yields into expectations and term premia, as explained in the next section, we find that the correlation of the 10 year rate is just as much about the expectations component as about the term premium component. In other words, it is not the case that the high correlation is driven only by risk premia.</w:t>
      </w:r>
    </w:p>
    <w:p>
      <w:pPr>
        <w:spacing w:after="0"/>
        <w:jc w:val="left"/>
        <w:rPr>
          <w:sz w:val="16"/>
        </w:rPr>
        <w:sectPr>
          <w:footerReference w:type="default" r:id="rId11"/>
          <w:pgSz w:w="11910" w:h="16840"/>
          <w:pgMar w:footer="1338" w:header="0" w:top="1580" w:bottom="1520" w:left="260" w:right="240"/>
        </w:sectPr>
      </w:pPr>
    </w:p>
    <w:p>
      <w:pPr>
        <w:pStyle w:val="BodyText"/>
        <w:spacing w:before="5"/>
        <w:rPr>
          <w:sz w:val="23"/>
        </w:rPr>
      </w:pPr>
    </w:p>
    <w:p>
      <w:pPr>
        <w:pStyle w:val="BodyText"/>
        <w:spacing w:line="360" w:lineRule="auto" w:before="93"/>
        <w:ind w:left="873" w:right="889"/>
      </w:pPr>
      <w:r>
        <w:rPr/>
        <w:t>It is often instructive to start with the simplest first. The two rather extreme assumptions that allow a decomposition of forward rates into expectations and risk premia are the “Expectations Hypothesis” and the “Random Walk Hypothesis”, both shown in figure 9.</w:t>
      </w:r>
    </w:p>
    <w:p>
      <w:pPr>
        <w:pStyle w:val="BodyText"/>
        <w:rPr>
          <w:sz w:val="30"/>
        </w:rPr>
      </w:pPr>
    </w:p>
    <w:p>
      <w:pPr>
        <w:pStyle w:val="BodyText"/>
        <w:spacing w:line="360" w:lineRule="auto"/>
        <w:ind w:left="873" w:right="889"/>
      </w:pPr>
      <w:r>
        <w:rPr/>
        <w:t>The “Expectations Hypothesis” simply states that forwards are entirely driven by expectations, i.e. that there are no risk premia. So observed forward rates are taken to be the expectations of future rates.</w:t>
      </w:r>
    </w:p>
    <w:p>
      <w:pPr>
        <w:pStyle w:val="BodyText"/>
        <w:spacing w:before="11"/>
        <w:rPr>
          <w:sz w:val="29"/>
        </w:rPr>
      </w:pPr>
    </w:p>
    <w:p>
      <w:pPr>
        <w:pStyle w:val="BodyText"/>
        <w:spacing w:line="360" w:lineRule="auto"/>
        <w:ind w:left="873" w:right="889"/>
      </w:pPr>
      <w:r>
        <w:rPr/>
        <w:t>The “Random Walk Hypothesis” takes the opposite approach. It assumes that expectations of future short rates are the current (or spot) short rate. Any deviation of forward rates from that flat expected path must therefore be due to risk premia.</w:t>
      </w:r>
    </w:p>
    <w:p>
      <w:pPr>
        <w:pStyle w:val="BodyText"/>
        <w:rPr>
          <w:sz w:val="30"/>
        </w:rPr>
      </w:pPr>
    </w:p>
    <w:p>
      <w:pPr>
        <w:pStyle w:val="BodyText"/>
        <w:spacing w:line="360" w:lineRule="auto"/>
        <w:ind w:left="873" w:right="1189"/>
      </w:pPr>
      <w:r>
        <w:rPr/>
        <w:t>The advantage of these two approaches, which we might call “0% premia” and “100% premia” is that they are robust, they always give the same decomposition of the yield curve. But are they sensible?</w:t>
      </w:r>
    </w:p>
    <w:p>
      <w:pPr>
        <w:pStyle w:val="BodyText"/>
        <w:spacing w:before="2"/>
        <w:rPr>
          <w:sz w:val="30"/>
        </w:rPr>
      </w:pPr>
    </w:p>
    <w:p>
      <w:pPr>
        <w:pStyle w:val="BodyText"/>
        <w:spacing w:line="360" w:lineRule="auto"/>
        <w:ind w:left="873" w:right="1029"/>
      </w:pPr>
      <w:r>
        <w:rPr/>
        <w:t>Nobody actually believes that risk premia are zero at all times on all assets.</w:t>
      </w:r>
      <w:r>
        <w:rPr>
          <w:vertAlign w:val="superscript"/>
        </w:rPr>
        <w:t>6</w:t>
      </w:r>
      <w:r>
        <w:rPr>
          <w:vertAlign w:val="baseline"/>
        </w:rPr>
        <w:t> This is a simplification used by economists who want to make their models tractable by making them linear, which precludes the existence of risk premia.</w:t>
      </w:r>
    </w:p>
    <w:p>
      <w:pPr>
        <w:pStyle w:val="BodyText"/>
        <w:rPr>
          <w:sz w:val="30"/>
        </w:rPr>
      </w:pPr>
    </w:p>
    <w:p>
      <w:pPr>
        <w:pStyle w:val="BodyText"/>
        <w:spacing w:line="360" w:lineRule="auto"/>
        <w:ind w:left="873" w:right="919"/>
      </w:pPr>
      <w:r>
        <w:rPr/>
        <w:t>What about the assumption of a random walk? A simple clue as to whether this is sensible is given by figure 10, which shows the paths of interest rates that are expected by professional forecasters at different points</w:t>
      </w:r>
      <w:r>
        <w:rPr>
          <w:spacing w:val="-30"/>
        </w:rPr>
        <w:t> </w:t>
      </w:r>
      <w:r>
        <w:rPr/>
        <w:t>in time. If forecasters believed in a random walk, this picture should show only horizontal lines.  But it does not.</w:t>
      </w:r>
      <w:r>
        <w:rPr>
          <w:vertAlign w:val="superscript"/>
        </w:rPr>
        <w:t>7</w:t>
      </w:r>
    </w:p>
    <w:p>
      <w:pPr>
        <w:pStyle w:val="BodyText"/>
        <w:spacing w:before="11"/>
        <w:rPr>
          <w:sz w:val="29"/>
        </w:rPr>
      </w:pPr>
    </w:p>
    <w:p>
      <w:pPr>
        <w:pStyle w:val="BodyText"/>
        <w:spacing w:line="360" w:lineRule="auto"/>
        <w:ind w:left="873" w:right="889"/>
      </w:pPr>
      <w:r>
        <w:rPr/>
        <w:t>If we accept that neither of these two extreme assumptions is sensible, how do we progress? We need a model that allows for non-trivial risk premia, i.e. somewhere in between 0% and 100%.</w:t>
      </w:r>
    </w:p>
    <w:p>
      <w:pPr>
        <w:pStyle w:val="BodyText"/>
        <w:spacing w:before="10"/>
        <w:rPr>
          <w:sz w:val="29"/>
        </w:rPr>
      </w:pPr>
    </w:p>
    <w:p>
      <w:pPr>
        <w:pStyle w:val="BodyText"/>
        <w:spacing w:line="360" w:lineRule="auto" w:before="1"/>
        <w:ind w:left="873" w:right="889"/>
      </w:pPr>
      <w:r>
        <w:rPr/>
        <w:t>A standard class of models used in the academic literature and in central banks is the affine dynamic term structure model (ADTSM). This model specifies a familiar VAR process for yields, which describes the expectations component, and a similar process for the risk-adjustment.</w:t>
      </w:r>
      <w:r>
        <w:rPr>
          <w:vertAlign w:val="superscript"/>
        </w:rPr>
        <w:t>8</w:t>
      </w:r>
    </w:p>
    <w:p>
      <w:pPr>
        <w:pStyle w:val="BodyText"/>
        <w:rPr>
          <w:sz w:val="30"/>
        </w:rPr>
      </w:pPr>
    </w:p>
    <w:p>
      <w:pPr>
        <w:pStyle w:val="BodyText"/>
        <w:spacing w:line="360" w:lineRule="auto"/>
        <w:ind w:left="873" w:right="889"/>
      </w:pPr>
      <w:r>
        <w:rPr/>
        <w:t>The problem with this class of models, as with many highly parametrized economic models estimated from persistent time series data, is that their estimation is not robust. As shown in Guimarães (2016), changing</w:t>
      </w:r>
    </w:p>
    <w:p>
      <w:pPr>
        <w:pStyle w:val="BodyText"/>
        <w:spacing w:before="5"/>
        <w:rPr>
          <w:sz w:val="17"/>
        </w:rPr>
      </w:pPr>
      <w:r>
        <w:rPr/>
        <w:pict>
          <v:shape style="position:absolute;margin-left:56.664001pt;margin-top:12.237831pt;width:144.050pt;height:.1pt;mso-position-horizontal-relative:page;mso-position-vertical-relative:paragraph;z-index:-251652096;mso-wrap-distance-left:0;mso-wrap-distance-right:0" coordorigin="1133,245" coordsize="2881,0" path="m1133,245l4014,245e" filled="false" stroked="true" strokeweight=".48004pt" strokecolor="#000000">
            <v:path arrowok="t"/>
            <v:stroke dashstyle="solid"/>
            <w10:wrap type="topAndBottom"/>
          </v:shape>
        </w:pict>
      </w:r>
    </w:p>
    <w:p>
      <w:pPr>
        <w:spacing w:before="30"/>
        <w:ind w:left="873" w:right="1036" w:firstLine="0"/>
        <w:jc w:val="left"/>
        <w:rPr>
          <w:sz w:val="16"/>
        </w:rPr>
      </w:pPr>
      <w:r>
        <w:rPr>
          <w:position w:val="8"/>
          <w:sz w:val="10"/>
        </w:rPr>
        <w:t>6 </w:t>
      </w:r>
      <w:r>
        <w:rPr>
          <w:sz w:val="16"/>
        </w:rPr>
        <w:t>See Cochrane (2011) for a summary of the consensus for a large role for time-varying risk premia in explaining asset price movements. There is a long literature documenting the failure of the “Expectation Hypothesis” with significant time-varying risk in bond markets, see Piazzesi (2009) for a summary focusing on ADTSM, the class of models we use below.</w:t>
      </w:r>
    </w:p>
    <w:p>
      <w:pPr>
        <w:spacing w:line="184" w:lineRule="exact" w:before="0"/>
        <w:ind w:left="873" w:right="889" w:firstLine="0"/>
        <w:jc w:val="left"/>
        <w:rPr>
          <w:sz w:val="16"/>
        </w:rPr>
      </w:pPr>
      <w:r>
        <w:rPr>
          <w:position w:val="8"/>
          <w:sz w:val="10"/>
        </w:rPr>
        <w:t>7 </w:t>
      </w:r>
      <w:r>
        <w:rPr>
          <w:sz w:val="16"/>
        </w:rPr>
        <w:t>A similar picture arises for the US, using the Survey of Professional Forecasters, or the FOMC’s own projections (made available since 2012).</w:t>
      </w:r>
    </w:p>
    <w:p>
      <w:pPr>
        <w:spacing w:line="182" w:lineRule="exact" w:before="3"/>
        <w:ind w:left="873" w:right="889" w:firstLine="0"/>
        <w:jc w:val="left"/>
        <w:rPr>
          <w:sz w:val="16"/>
        </w:rPr>
      </w:pPr>
      <w:r>
        <w:rPr>
          <w:position w:val="8"/>
          <w:sz w:val="10"/>
        </w:rPr>
        <w:t>8 </w:t>
      </w:r>
      <w:r>
        <w:rPr>
          <w:sz w:val="16"/>
        </w:rPr>
        <w:t>A full specification of an ADTSM involves specifying the determinants (factors) of the risk-free rate, how risk premia depend on these factors and how these factors evolve. The Gaussian ADTSM is the simplest class of such models, where the factors are assumed to</w:t>
      </w:r>
    </w:p>
    <w:p>
      <w:pPr>
        <w:spacing w:before="0"/>
        <w:ind w:left="873" w:right="894" w:firstLine="0"/>
        <w:jc w:val="left"/>
        <w:rPr>
          <w:sz w:val="16"/>
        </w:rPr>
      </w:pPr>
      <w:r>
        <w:rPr>
          <w:sz w:val="16"/>
        </w:rPr>
        <w:t>evolve according to a standard VAR, and the prices of risk are linear on the factors, so the risk-adjusted dynamics also evolve according to a VAR, though with different parameters for the drift (mean and persistence). See Guimarães (2016) for more details.</w:t>
      </w:r>
    </w:p>
    <w:p>
      <w:pPr>
        <w:spacing w:after="0"/>
        <w:jc w:val="left"/>
        <w:rPr>
          <w:sz w:val="16"/>
        </w:rPr>
        <w:sectPr>
          <w:footerReference w:type="default" r:id="rId12"/>
          <w:pgSz w:w="11910" w:h="16840"/>
          <w:pgMar w:footer="1338" w:header="0" w:top="1580" w:bottom="1520" w:left="260" w:right="240"/>
        </w:sectPr>
      </w:pPr>
    </w:p>
    <w:p>
      <w:pPr>
        <w:pStyle w:val="BodyText"/>
        <w:spacing w:line="360" w:lineRule="auto" w:before="79"/>
        <w:ind w:left="873" w:right="1145"/>
      </w:pPr>
      <w:r>
        <w:rPr/>
        <w:t>the sample period or the number of factors can change the results wildly, with important consequences for not just the size but even the sign of risk premia. Figure 11 shows the range of 10 year spot term premia obtained by this class of models.</w:t>
      </w:r>
      <w:r>
        <w:rPr>
          <w:vertAlign w:val="superscript"/>
        </w:rPr>
        <w:t>9</w:t>
      </w:r>
    </w:p>
    <w:p>
      <w:pPr>
        <w:pStyle w:val="BodyText"/>
        <w:rPr>
          <w:sz w:val="30"/>
        </w:rPr>
      </w:pPr>
    </w:p>
    <w:p>
      <w:pPr>
        <w:pStyle w:val="BodyText"/>
        <w:spacing w:line="360" w:lineRule="auto"/>
        <w:ind w:left="873" w:right="989"/>
      </w:pPr>
      <w:r>
        <w:rPr/>
        <w:t>One proposed improvement (suggested by Kim &amp; Orphanides (2005, 2012)),</w:t>
      </w:r>
      <w:r>
        <w:rPr>
          <w:vertAlign w:val="superscript"/>
        </w:rPr>
        <w:t>10</w:t>
      </w:r>
      <w:r>
        <w:rPr>
          <w:vertAlign w:val="baseline"/>
        </w:rPr>
        <w:t> is to put some weight on surveys of forecasters. Even without assuming that forecasters are right, or that surveys are in any way a clean measure of market participants’ expectations, putting some weight on surveys has been shown (Guimarães (2016)) to drastically improve the robustness with which risk premia can be estimated from yields, shown in figure 12.</w:t>
      </w:r>
      <w:r>
        <w:rPr>
          <w:vertAlign w:val="superscript"/>
        </w:rPr>
        <w:t>11</w:t>
      </w:r>
    </w:p>
    <w:p>
      <w:pPr>
        <w:pStyle w:val="BodyText"/>
        <w:spacing w:before="10"/>
        <w:rPr>
          <w:sz w:val="29"/>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Analysing risk premia and monetary policy expectations since the</w:t>
      </w:r>
      <w:r>
        <w:rPr>
          <w:spacing w:val="-9"/>
          <w:sz w:val="20"/>
        </w:rPr>
        <w:t> </w:t>
      </w:r>
      <w:r>
        <w:rPr>
          <w:sz w:val="20"/>
        </w:rPr>
        <w:t>crisis</w:t>
      </w:r>
    </w:p>
    <w:p>
      <w:pPr>
        <w:pStyle w:val="BodyText"/>
        <w:rPr>
          <w:sz w:val="22"/>
        </w:rPr>
      </w:pPr>
    </w:p>
    <w:p>
      <w:pPr>
        <w:pStyle w:val="BodyText"/>
        <w:rPr>
          <w:sz w:val="18"/>
        </w:rPr>
      </w:pPr>
    </w:p>
    <w:p>
      <w:pPr>
        <w:pStyle w:val="BodyText"/>
        <w:spacing w:line="360" w:lineRule="auto"/>
        <w:ind w:left="873" w:right="889"/>
      </w:pPr>
      <w:r>
        <w:rPr/>
        <w:t>A robust and plausible decomposition of long-term interest rates into a risk premium component and an expectations component allows us to examine the impact of monetary policy since the start of the financial crisis, including the impact of unconventional monetary policy.</w:t>
      </w:r>
    </w:p>
    <w:p>
      <w:pPr>
        <w:pStyle w:val="BodyText"/>
        <w:rPr>
          <w:sz w:val="30"/>
        </w:rPr>
      </w:pPr>
    </w:p>
    <w:p>
      <w:pPr>
        <w:pStyle w:val="BodyText"/>
        <w:spacing w:line="360" w:lineRule="auto"/>
        <w:ind w:left="873" w:right="956"/>
      </w:pPr>
      <w:r>
        <w:rPr/>
        <w:t>First, let us recall that monetary policy always works by affecting a wide range of interest rates and risk premia. Expectations of future policy rates have an impact on longer term interest rates. But the expectation of better economic outcomes as a result of monetary stimulus also changes the distribution of risk, and therefore can reasonably be expected to affect risk premia on a wide range of assets, including government bonds.</w:t>
      </w:r>
      <w:r>
        <w:rPr>
          <w:vertAlign w:val="superscript"/>
        </w:rPr>
        <w:t>12</w:t>
      </w:r>
      <w:r>
        <w:rPr>
          <w:vertAlign w:val="baseline"/>
        </w:rPr>
        <w:t> Note also that there is not necessarily a sharp conceptual distinction between the transmission of monetary stimulus executed by a reduction in the policy rate, compared to the one executed via the purchases of government bonds. It is only a few decades ago that monetary policy in the UK and elsewhere was routinely executed by purchasing assets as the primary instrument, with changes in various interest rates as an intermediate target. Carrying out monetary stimulus via asset purchases from 2009 was more remarkable for its sheer speed and size than its change of tools.</w:t>
      </w:r>
      <w:r>
        <w:rPr>
          <w:vertAlign w:val="superscript"/>
        </w:rPr>
        <w:t>13</w:t>
      </w:r>
    </w:p>
    <w:p>
      <w:pPr>
        <w:pStyle w:val="BodyText"/>
      </w:pPr>
    </w:p>
    <w:p>
      <w:pPr>
        <w:pStyle w:val="BodyText"/>
      </w:pPr>
    </w:p>
    <w:p>
      <w:pPr>
        <w:pStyle w:val="BodyText"/>
        <w:spacing w:before="3"/>
        <w:rPr>
          <w:sz w:val="11"/>
        </w:rPr>
      </w:pPr>
      <w:r>
        <w:rPr/>
        <w:pict>
          <v:shape style="position:absolute;margin-left:56.664001pt;margin-top:8.69497pt;width:144.050pt;height:.1pt;mso-position-horizontal-relative:page;mso-position-vertical-relative:paragraph;z-index:-251651072;mso-wrap-distance-left:0;mso-wrap-distance-right:0" coordorigin="1133,174" coordsize="2881,0" path="m1133,174l4014,174e" filled="false" stroked="true" strokeweight=".48004pt" strokecolor="#000000">
            <v:path arrowok="t"/>
            <v:stroke dashstyle="solid"/>
            <w10:wrap type="topAndBottom"/>
          </v:shape>
        </w:pict>
      </w:r>
    </w:p>
    <w:p>
      <w:pPr>
        <w:spacing w:before="30"/>
        <w:ind w:left="873" w:right="982" w:firstLine="0"/>
        <w:jc w:val="left"/>
        <w:rPr>
          <w:sz w:val="16"/>
        </w:rPr>
      </w:pPr>
      <w:r>
        <w:rPr>
          <w:position w:val="8"/>
          <w:sz w:val="10"/>
        </w:rPr>
        <w:t>9 </w:t>
      </w:r>
      <w:r>
        <w:rPr>
          <w:sz w:val="16"/>
        </w:rPr>
        <w:t>The figures show a total of 72 estimates which result from combinations of number of factors (3, 4 and 5 factors driving the interest rate and risk premia) and 24 different data samples for each (8 samples starting in Jan 72, 77, 82, 87, 92, 97, 02, 07 and ending in Dec 2015 and 16 samples starting in Jan 72 but ending in Dec 00, 01, 02,…,14,15). These are estimated using the 3-step regression approach proposed by Adrian et al (2013). The addition of surveys using this method is explained in Guimarães (2016). Guimarães (2016) also shows that the estimation method is not particularly important, what matters is including surveys or not (i.e. same results when estimating the models by Maximum Likelihood with different assumptions about factors).</w:t>
      </w:r>
    </w:p>
    <w:p>
      <w:pPr>
        <w:spacing w:line="184" w:lineRule="exact" w:before="2"/>
        <w:ind w:left="873" w:right="889" w:firstLine="0"/>
        <w:jc w:val="left"/>
        <w:rPr>
          <w:sz w:val="16"/>
        </w:rPr>
      </w:pPr>
      <w:r>
        <w:rPr>
          <w:position w:val="8"/>
          <w:sz w:val="10"/>
        </w:rPr>
        <w:t>10 </w:t>
      </w:r>
      <w:r>
        <w:rPr>
          <w:sz w:val="16"/>
        </w:rPr>
        <w:t>See Kim &amp; Wright (2005) for an early application to US data (model estimates continuously updated by Fed staff) and Joyce et al (2010) for an early application to the government yield curve in the UK.</w:t>
      </w:r>
    </w:p>
    <w:p>
      <w:pPr>
        <w:spacing w:line="182" w:lineRule="exact" w:before="4"/>
        <w:ind w:left="873" w:right="1392" w:firstLine="0"/>
        <w:jc w:val="left"/>
        <w:rPr>
          <w:sz w:val="16"/>
        </w:rPr>
      </w:pPr>
      <w:r>
        <w:rPr>
          <w:position w:val="8"/>
          <w:sz w:val="10"/>
        </w:rPr>
        <w:t>11 </w:t>
      </w:r>
      <w:r>
        <w:rPr>
          <w:sz w:val="16"/>
        </w:rPr>
        <w:t>Importantly, Guimarães (2016) shows that this is purely a statistical identification problem (estimation of parameters), not about changing the information contained in bond prices to fit surveys, and that assuming survey forecasts are more or less noisy is not</w:t>
      </w:r>
    </w:p>
    <w:p>
      <w:pPr>
        <w:spacing w:line="172" w:lineRule="exact" w:before="0"/>
        <w:ind w:left="873" w:right="0" w:firstLine="0"/>
        <w:jc w:val="left"/>
        <w:rPr>
          <w:sz w:val="16"/>
        </w:rPr>
      </w:pPr>
      <w:r>
        <w:rPr>
          <w:sz w:val="16"/>
        </w:rPr>
        <w:t>important (i.e. the results are insensitive to increasing the assumed volatility of errors of survey forecasts).</w:t>
      </w:r>
    </w:p>
    <w:p>
      <w:pPr>
        <w:spacing w:line="182" w:lineRule="exact" w:before="16"/>
        <w:ind w:left="873" w:right="889" w:firstLine="0"/>
        <w:jc w:val="left"/>
        <w:rPr>
          <w:sz w:val="16"/>
        </w:rPr>
      </w:pPr>
      <w:r>
        <w:rPr>
          <w:position w:val="8"/>
          <w:sz w:val="10"/>
        </w:rPr>
        <w:t>12 </w:t>
      </w:r>
      <w:r>
        <w:rPr>
          <w:sz w:val="16"/>
        </w:rPr>
        <w:t>For evidence and theory of risk premia effects of conventional monetary policy see among others Bernanke &amp; Kuttner (2005), Gurkaynak et al (2005), Palomino (2012), Bekaert et al (2013), Hanson &amp; Stein (2015), Fawley &amp; Neely (2014), Gertler &amp; Karadi (2015),</w:t>
      </w:r>
    </w:p>
    <w:p>
      <w:pPr>
        <w:spacing w:before="0"/>
        <w:ind w:left="873" w:right="1303" w:firstLine="0"/>
        <w:jc w:val="left"/>
        <w:rPr>
          <w:sz w:val="16"/>
        </w:rPr>
      </w:pPr>
      <w:r>
        <w:rPr>
          <w:sz w:val="16"/>
        </w:rPr>
        <w:t>Buraschi &amp; Whelan (2015), Boyarchenko et al (2016) ), Cesa-Bianchi et al (2016), Gorodnicheno &amp;Weber (2016) and Schmeling &amp; Wagner (2016).</w:t>
      </w:r>
    </w:p>
    <w:p>
      <w:pPr>
        <w:spacing w:line="183" w:lineRule="exact" w:before="0"/>
        <w:ind w:left="873" w:right="0" w:firstLine="0"/>
        <w:jc w:val="left"/>
        <w:rPr>
          <w:sz w:val="16"/>
        </w:rPr>
      </w:pPr>
      <w:r>
        <w:rPr>
          <w:position w:val="8"/>
          <w:sz w:val="10"/>
        </w:rPr>
        <w:t>13 </w:t>
      </w:r>
      <w:r>
        <w:rPr>
          <w:sz w:val="16"/>
        </w:rPr>
        <w:t>Since 2007, the Bank of England expanded its balance sheet nearly five-fold, or by 20 percentage points of GDP. The Bank of</w:t>
      </w:r>
    </w:p>
    <w:p>
      <w:pPr>
        <w:spacing w:before="0"/>
        <w:ind w:left="873" w:right="903" w:firstLine="0"/>
        <w:jc w:val="left"/>
        <w:rPr>
          <w:sz w:val="16"/>
        </w:rPr>
      </w:pPr>
      <w:r>
        <w:rPr>
          <w:sz w:val="16"/>
        </w:rPr>
        <w:t>England </w:t>
      </w:r>
      <w:hyperlink r:id="rId14">
        <w:r>
          <w:rPr>
            <w:sz w:val="16"/>
          </w:rPr>
          <w:t>(</w:t>
        </w:r>
        <w:r>
          <w:rPr>
            <w:color w:val="0000FF"/>
            <w:sz w:val="16"/>
            <w:u w:val="single" w:color="0000FF"/>
          </w:rPr>
          <w:t>http://www.bankofengland.co.uk/education/Documents/resources/postcards/qecomp.pdf</w:t>
        </w:r>
        <w:r>
          <w:rPr>
            <w:sz w:val="16"/>
          </w:rPr>
          <w:t>) </w:t>
        </w:r>
      </w:hyperlink>
      <w:r>
        <w:rPr>
          <w:sz w:val="16"/>
        </w:rPr>
        <w:t>still describes QE as injecting money in the economy. See also Mervyn King’s 2009 Mansion House speech. Bernanke &amp; Reinhart (2004), before the financial crisis, argued QE could be seen as a continuation of standard open market operations, simply as “switching its focus from the price of reserves to the quantity or growth of reserves” (pg 87).</w:t>
      </w:r>
    </w:p>
    <w:p>
      <w:pPr>
        <w:spacing w:after="0"/>
        <w:jc w:val="left"/>
        <w:rPr>
          <w:sz w:val="16"/>
        </w:rPr>
        <w:sectPr>
          <w:footerReference w:type="default" r:id="rId13"/>
          <w:pgSz w:w="11910" w:h="16840"/>
          <w:pgMar w:footer="1338" w:header="0" w:top="1520" w:bottom="1520" w:left="260" w:right="240"/>
        </w:sectPr>
      </w:pPr>
    </w:p>
    <w:p>
      <w:pPr>
        <w:pStyle w:val="BodyText"/>
        <w:spacing w:line="360" w:lineRule="auto" w:before="79"/>
        <w:ind w:left="873" w:right="1245"/>
      </w:pPr>
      <w:r>
        <w:rPr/>
        <w:t>In March 2009, the MPC cut Bank Rate to 0.5% and announced that this was, at the time, seen to be the effective lower bound on interest rates. In other words, any further reduction of Bank Rate was seen as potentially counterproductive, as the adverse impact on the balance sheets of certain lenders might more than offset the stimulative impact via a range of interest rates and possibly the exchange rate.</w:t>
      </w:r>
      <w:r>
        <w:rPr>
          <w:vertAlign w:val="superscript"/>
        </w:rPr>
        <w:t>14</w:t>
      </w:r>
    </w:p>
    <w:p>
      <w:pPr>
        <w:pStyle w:val="BodyText"/>
        <w:spacing w:before="10"/>
        <w:rPr>
          <w:sz w:val="29"/>
        </w:rPr>
      </w:pPr>
    </w:p>
    <w:p>
      <w:pPr>
        <w:pStyle w:val="BodyText"/>
        <w:spacing w:line="360" w:lineRule="auto"/>
        <w:ind w:left="873" w:right="878"/>
      </w:pPr>
      <w:r>
        <w:rPr/>
        <w:t>Because the monetary stimulus provided by a 0.5% policy rate was judged to be insufficient at the time, the Bank also announced it would start a programme of asset purchases (also known as “quantitative easing”, or QE), and the purchases were primarily of government bonds.</w:t>
      </w:r>
      <w:r>
        <w:rPr>
          <w:vertAlign w:val="superscript"/>
        </w:rPr>
        <w:t>15</w:t>
      </w:r>
    </w:p>
    <w:p>
      <w:pPr>
        <w:pStyle w:val="BodyText"/>
        <w:rPr>
          <w:sz w:val="30"/>
        </w:rPr>
      </w:pPr>
    </w:p>
    <w:p>
      <w:pPr>
        <w:pStyle w:val="BodyText"/>
        <w:spacing w:line="360" w:lineRule="auto"/>
        <w:ind w:left="873" w:right="889"/>
      </w:pPr>
      <w:r>
        <w:rPr/>
        <w:t>We can now look at the evolution of interest rate expectations and risk premia since the start of the financial crisis, including over the period when asset purchases were carried out.</w:t>
      </w:r>
    </w:p>
    <w:p>
      <w:pPr>
        <w:pStyle w:val="BodyText"/>
        <w:rPr>
          <w:sz w:val="30"/>
        </w:rPr>
      </w:pPr>
    </w:p>
    <w:p>
      <w:pPr>
        <w:pStyle w:val="BodyText"/>
        <w:spacing w:line="360" w:lineRule="auto"/>
        <w:ind w:left="873" w:right="889"/>
      </w:pPr>
      <w:r>
        <w:rPr/>
        <w:t>First, by simple inspection of the time series in Fig 13, we can see that risk premia in UK long-term interest rates were generally rising in the period when asset purchases began. Risk premia did not stabilise until 2010, when asset purchase programmes were well underway. And risk premia did not start falling until summer of 2011, and fell further from 2014 when UK asset purchases had already ended. The US showed a similar pattern, as can be seen in Figure 14.</w:t>
      </w:r>
    </w:p>
    <w:p>
      <w:pPr>
        <w:pStyle w:val="BodyText"/>
        <w:spacing w:before="1"/>
        <w:rPr>
          <w:sz w:val="30"/>
        </w:rPr>
      </w:pPr>
    </w:p>
    <w:p>
      <w:pPr>
        <w:pStyle w:val="BodyText"/>
        <w:spacing w:line="360" w:lineRule="auto"/>
        <w:ind w:left="873" w:right="889"/>
      </w:pPr>
      <w:r>
        <w:rPr/>
        <w:t>Expectations, on the other hand, fell throughout this period, in a way that I described earlier as “lying down”. Initially, it was near-term expectations of future policy rates that fell, but policy rates were expected to rise back to the pre-crisis levels fairly swiftly. Then, the point at which rates were expected to rise started being pushed out further in time, and the pace at which rates were expected to rise thereafter was being revised down.</w:t>
      </w:r>
    </w:p>
    <w:p>
      <w:pPr>
        <w:pStyle w:val="BodyText"/>
        <w:rPr>
          <w:sz w:val="30"/>
        </w:rPr>
      </w:pPr>
    </w:p>
    <w:p>
      <w:pPr>
        <w:pStyle w:val="BodyText"/>
        <w:spacing w:line="360" w:lineRule="auto"/>
        <w:ind w:left="873" w:right="889"/>
      </w:pPr>
      <w:r>
        <w:rPr/>
        <w:t>Figure 15 summarises the evolution of term premia and expectations over the entire period from 2007 to 2016. It shows that well over half of the movement in yields was accounted for by changes in expectations, not changes in risk premia. At short horizons, 100% of movement was accounted for by expectations. But even at the 10 year horizon, more than 80% of the movement in the UK yield curve was due to expectations (just under 70% in the US).</w:t>
      </w:r>
    </w:p>
    <w:p>
      <w:pPr>
        <w:pStyle w:val="BodyText"/>
        <w:spacing w:before="1"/>
        <w:rPr>
          <w:sz w:val="30"/>
        </w:rPr>
      </w:pPr>
    </w:p>
    <w:p>
      <w:pPr>
        <w:pStyle w:val="BodyText"/>
        <w:spacing w:line="360" w:lineRule="auto"/>
        <w:ind w:left="873" w:right="989"/>
      </w:pPr>
      <w:r>
        <w:rPr/>
        <w:t>So far, we have just described what happened on average over the period, without trying to pin down specific causality from the asset purchase programme to yields. But I am already finding it hard to tell a convincing story of asset purchases working primarily through term premia when term premia moved the wrong way initially, and when movements in the yield curve were primarily due to changes in the expectations of future short-term rates.</w:t>
      </w:r>
    </w:p>
    <w:p>
      <w:pPr>
        <w:pStyle w:val="BodyText"/>
      </w:pPr>
    </w:p>
    <w:p>
      <w:pPr>
        <w:pStyle w:val="BodyText"/>
        <w:spacing w:before="3"/>
        <w:rPr>
          <w:sz w:val="17"/>
        </w:rPr>
      </w:pPr>
      <w:r>
        <w:rPr/>
        <w:pict>
          <v:shape style="position:absolute;margin-left:56.664001pt;margin-top:12.127207pt;width:144.050pt;height:.1pt;mso-position-horizontal-relative:page;mso-position-vertical-relative:paragraph;z-index:-251650048;mso-wrap-distance-left:0;mso-wrap-distance-right:0" coordorigin="1133,243" coordsize="2881,0" path="m1133,243l4014,243e" filled="false" stroked="true" strokeweight=".47998pt" strokecolor="#000000">
            <v:path arrowok="t"/>
            <v:stroke dashstyle="solid"/>
            <w10:wrap type="topAndBottom"/>
          </v:shape>
        </w:pict>
      </w:r>
    </w:p>
    <w:p>
      <w:pPr>
        <w:spacing w:before="30"/>
        <w:ind w:left="873" w:right="889" w:firstLine="0"/>
        <w:jc w:val="left"/>
        <w:rPr>
          <w:sz w:val="16"/>
        </w:rPr>
      </w:pPr>
      <w:r>
        <w:rPr>
          <w:position w:val="8"/>
          <w:sz w:val="10"/>
        </w:rPr>
        <w:t>14 </w:t>
      </w:r>
      <w:r>
        <w:rPr>
          <w:sz w:val="16"/>
        </w:rPr>
        <w:t>Since then, lender balance sheets have improved, and the MPC announced in February 2015 that interest rates could be cut further if necessary.</w:t>
      </w:r>
    </w:p>
    <w:p>
      <w:pPr>
        <w:spacing w:line="184" w:lineRule="exact" w:before="2"/>
        <w:ind w:left="873" w:right="889" w:firstLine="0"/>
        <w:jc w:val="left"/>
        <w:rPr>
          <w:sz w:val="16"/>
        </w:rPr>
      </w:pPr>
      <w:r>
        <w:rPr>
          <w:position w:val="8"/>
          <w:sz w:val="10"/>
        </w:rPr>
        <w:t>15 </w:t>
      </w:r>
      <w:r>
        <w:rPr>
          <w:sz w:val="16"/>
        </w:rPr>
        <w:t>In the US, Fed funds (policy rate) reached the ELB in December 2008, establishing a band of 0% to 0.25% for its target rate, and purchases of mortgage backed securities began in November 2008 and government bonds in March 2009.</w:t>
      </w:r>
    </w:p>
    <w:p>
      <w:pPr>
        <w:spacing w:after="0" w:line="184" w:lineRule="exact"/>
        <w:jc w:val="left"/>
        <w:rPr>
          <w:sz w:val="16"/>
        </w:rPr>
        <w:sectPr>
          <w:footerReference w:type="default" r:id="rId15"/>
          <w:pgSz w:w="11910" w:h="16840"/>
          <w:pgMar w:footer="1338" w:header="0" w:top="1520" w:bottom="1520" w:left="260" w:right="240"/>
        </w:sectPr>
      </w:pPr>
    </w:p>
    <w:p>
      <w:pPr>
        <w:pStyle w:val="BodyText"/>
        <w:spacing w:line="360" w:lineRule="auto" w:before="79"/>
        <w:ind w:left="873" w:right="978"/>
      </w:pPr>
      <w:r>
        <w:rPr/>
        <w:t>Moreover, let us consider for a moment the broad thrust of the argument that asset purchases reduced term premia primarily by removing bond supply or interest rate risk from the private sector.</w:t>
      </w:r>
      <w:r>
        <w:rPr>
          <w:vertAlign w:val="superscript"/>
        </w:rPr>
        <w:t>16</w:t>
      </w:r>
      <w:r>
        <w:rPr>
          <w:vertAlign w:val="baseline"/>
        </w:rPr>
        <w:t> As pointed out by Greenwood et al (2016), net supply of government bonds in the US </w:t>
      </w:r>
      <w:r>
        <w:rPr>
          <w:i/>
          <w:vertAlign w:val="baseline"/>
        </w:rPr>
        <w:t>increased </w:t>
      </w:r>
      <w:r>
        <w:rPr>
          <w:vertAlign w:val="baseline"/>
        </w:rPr>
        <w:t>over the post-crisis period, as the issuance requirements to fund the deficit rose much more sharply than the Fed’s purchases. A similar pattern was observed in the UK, where net issuance of government bonds was far larger than the amounts bought by the Bank of England</w:t>
      </w:r>
      <w:r>
        <w:rPr>
          <w:vertAlign w:val="superscript"/>
        </w:rPr>
        <w:t>17</w:t>
      </w:r>
      <w:r>
        <w:rPr>
          <w:vertAlign w:val="baseline"/>
        </w:rPr>
        <w:t>. To explain why long-term interest rates declined throughout the post-crisis period, we have to resort to interest rate expectations, we cannot plausibly invoke the mechanical impact of asset purchases.</w:t>
      </w:r>
    </w:p>
    <w:p>
      <w:pPr>
        <w:pStyle w:val="BodyText"/>
        <w:spacing w:before="10"/>
        <w:rPr>
          <w:sz w:val="29"/>
        </w:rPr>
      </w:pPr>
    </w:p>
    <w:p>
      <w:pPr>
        <w:pStyle w:val="BodyText"/>
        <w:spacing w:line="360" w:lineRule="auto"/>
        <w:ind w:left="873" w:right="922"/>
      </w:pPr>
      <w:r>
        <w:rPr/>
        <w:t>One approach often used to assess the impact of asset purchases on yields is to carry out an event study, for example by only looking at the movement in yield curves on the day of significant announcements related to asset purchases. That isolates the effect of asset purchases on the yield curve from the effect of other changes in the economy.</w:t>
      </w:r>
    </w:p>
    <w:p>
      <w:pPr>
        <w:pStyle w:val="BodyText"/>
        <w:spacing w:before="1"/>
        <w:rPr>
          <w:sz w:val="30"/>
        </w:rPr>
      </w:pPr>
    </w:p>
    <w:p>
      <w:pPr>
        <w:pStyle w:val="BodyText"/>
        <w:spacing w:line="360" w:lineRule="auto"/>
        <w:ind w:left="873" w:right="989"/>
      </w:pPr>
      <w:r>
        <w:rPr/>
        <w:t>Figure 16 shows that the results still stand: even at longer maturities, roughly 60% of the movement in the yield curve is due to changes in expectations. And at shorter maturities, the share due to expectations is even larger. Results are similar for the US (just under 50%), as shown in figure 16.</w:t>
      </w:r>
    </w:p>
    <w:p>
      <w:pPr>
        <w:pStyle w:val="BodyText"/>
        <w:rPr>
          <w:sz w:val="30"/>
        </w:rPr>
      </w:pPr>
    </w:p>
    <w:p>
      <w:pPr>
        <w:pStyle w:val="BodyText"/>
        <w:spacing w:line="360" w:lineRule="auto"/>
        <w:ind w:left="873" w:right="989"/>
      </w:pPr>
      <w:r>
        <w:rPr/>
        <w:t>However, I am only showing these event study results for comparability to many other studies in the literature. I would like to emphasise that I do not find event studies convincing for the purpose of analysing the impact of central bank asset purchases. These studies do not allow for the fact that some part of asset purchase announcements were anticipated by financial markets, nor do they allow for a gradual impact over time as market participants adjust their positions or learn about the new policy. Finally, event studies</w:t>
      </w:r>
    </w:p>
    <w:p>
      <w:pPr>
        <w:pStyle w:val="BodyText"/>
        <w:spacing w:before="1"/>
        <w:ind w:left="873"/>
      </w:pPr>
      <w:r>
        <w:rPr/>
        <w:t>over-emphasise temporary effects that could be driven by low market liquidity and fade quickly.</w:t>
      </w:r>
      <w:r>
        <w:rPr>
          <w:vertAlign w:val="superscript"/>
        </w:rPr>
        <w:t>18</w:t>
      </w:r>
    </w:p>
    <w:p>
      <w:pPr>
        <w:pStyle w:val="BodyText"/>
        <w:rPr>
          <w:sz w:val="26"/>
        </w:rPr>
      </w:pPr>
    </w:p>
    <w:p>
      <w:pPr>
        <w:pStyle w:val="BodyText"/>
        <w:spacing w:line="360" w:lineRule="auto" w:before="160"/>
        <w:ind w:left="873" w:right="889"/>
      </w:pPr>
      <w:r>
        <w:rPr/>
        <w:t>The picture that emerges is one where asset purchases have an effect on term premia, but also work by changing expectations of the future path of policy and future economic outcomes. This should not be too surprising</w:t>
      </w:r>
      <w:r>
        <w:rPr>
          <w:vertAlign w:val="superscript"/>
        </w:rPr>
        <w:t>19</w:t>
      </w:r>
      <w:r>
        <w:rPr>
          <w:vertAlign w:val="baseline"/>
        </w:rPr>
        <w:t>. Asset purchases were a powerful signal about central banks’ reaction functions: central banks demonstrated they were willing and able to provide further stimulus even when the policy rate had reached</w:t>
      </w:r>
    </w:p>
    <w:p>
      <w:pPr>
        <w:pStyle w:val="BodyText"/>
        <w:spacing w:before="3"/>
        <w:rPr>
          <w:sz w:val="25"/>
        </w:rPr>
      </w:pPr>
      <w:r>
        <w:rPr/>
        <w:pict>
          <v:shape style="position:absolute;margin-left:56.664001pt;margin-top:16.736757pt;width:144.050pt;height:.1pt;mso-position-horizontal-relative:page;mso-position-vertical-relative:paragraph;z-index:-251649024;mso-wrap-distance-left:0;mso-wrap-distance-right:0" coordorigin="1133,335" coordsize="2881,0" path="m1133,335l4014,335e" filled="false" stroked="true" strokeweight=".47998pt" strokecolor="#000000">
            <v:path arrowok="t"/>
            <v:stroke dashstyle="solid"/>
            <w10:wrap type="topAndBottom"/>
          </v:shape>
        </w:pict>
      </w:r>
    </w:p>
    <w:p>
      <w:pPr>
        <w:spacing w:line="196" w:lineRule="exact" w:before="30"/>
        <w:ind w:left="873" w:right="0" w:firstLine="0"/>
        <w:jc w:val="left"/>
        <w:rPr>
          <w:sz w:val="16"/>
        </w:rPr>
      </w:pPr>
      <w:r>
        <w:rPr>
          <w:position w:val="8"/>
          <w:sz w:val="10"/>
        </w:rPr>
        <w:t>16 </w:t>
      </w:r>
      <w:r>
        <w:rPr>
          <w:sz w:val="16"/>
        </w:rPr>
        <w:t>For an overview of the various papers investigating the portfolio balance channel, see e.g. Joyce et al (2012).</w:t>
      </w:r>
    </w:p>
    <w:p>
      <w:pPr>
        <w:spacing w:line="182" w:lineRule="exact" w:before="16"/>
        <w:ind w:left="873" w:right="889" w:firstLine="0"/>
        <w:jc w:val="left"/>
        <w:rPr>
          <w:sz w:val="16"/>
        </w:rPr>
      </w:pPr>
      <w:r>
        <w:rPr>
          <w:position w:val="8"/>
          <w:sz w:val="10"/>
        </w:rPr>
        <w:t>17 </w:t>
      </w:r>
      <w:r>
        <w:rPr>
          <w:sz w:val="16"/>
        </w:rPr>
        <w:t>Since the start of the 2009 fiscal year, which coincided approximately with the start of UK asset purchases, net issuance of gilts has been GBP 800bn, while asset purchases have only been GBP 375bn. As in the US, it is very hard to reconcile net issuance with term</w:t>
      </w:r>
    </w:p>
    <w:p>
      <w:pPr>
        <w:spacing w:before="0"/>
        <w:ind w:left="873" w:right="884" w:firstLine="0"/>
        <w:jc w:val="left"/>
        <w:rPr>
          <w:sz w:val="16"/>
        </w:rPr>
      </w:pPr>
      <w:r>
        <w:rPr>
          <w:sz w:val="16"/>
        </w:rPr>
        <w:t>premia dynamics: the period of decrease in net issuance (early 2009) corresponds to stable long term forwards and higher term premia estimates, while term premia fell most at the end of the sample, when there was large net issuance. This either suggests these effects are small or that they are temporary, matching the fact there were large fall in yields on announcement days even though over the whole of US QE1 period yields increased, which is what Wright (2012) finds.</w:t>
      </w:r>
    </w:p>
    <w:p>
      <w:pPr>
        <w:spacing w:line="182" w:lineRule="exact" w:before="5"/>
        <w:ind w:left="873" w:right="989" w:firstLine="0"/>
        <w:jc w:val="left"/>
        <w:rPr>
          <w:sz w:val="16"/>
        </w:rPr>
      </w:pPr>
      <w:r>
        <w:rPr>
          <w:position w:val="8"/>
          <w:sz w:val="10"/>
        </w:rPr>
        <w:t>18 </w:t>
      </w:r>
      <w:r>
        <w:rPr>
          <w:sz w:val="16"/>
        </w:rPr>
        <w:t>For a detailed treatment of the potential flaws in event studies, see Gurkaynak &amp; Wright (2013). Greenwood et al (2016) emphasise the possibility of slow adjustment, and temporary effects due to lack of liquidity.</w:t>
      </w:r>
    </w:p>
    <w:p>
      <w:pPr>
        <w:spacing w:line="182" w:lineRule="exact" w:before="3"/>
        <w:ind w:left="873" w:right="889" w:firstLine="0"/>
        <w:jc w:val="left"/>
        <w:rPr>
          <w:sz w:val="16"/>
        </w:rPr>
      </w:pPr>
      <w:r>
        <w:rPr>
          <w:position w:val="8"/>
          <w:sz w:val="10"/>
        </w:rPr>
        <w:t>19 </w:t>
      </w:r>
      <w:r>
        <w:rPr>
          <w:sz w:val="16"/>
        </w:rPr>
        <w:t>Not too surprising, but stands in contrast with some papers in the literature that ascribe most of the effect of QE as working via term premia. See Williams (2014) for a review of the large number of studies on the impact of QE. Studies include the impact on the</w:t>
      </w:r>
    </w:p>
    <w:p>
      <w:pPr>
        <w:spacing w:before="0"/>
        <w:ind w:left="873" w:right="912" w:firstLine="0"/>
        <w:jc w:val="left"/>
        <w:rPr>
          <w:sz w:val="16"/>
        </w:rPr>
      </w:pPr>
      <w:r>
        <w:rPr>
          <w:sz w:val="16"/>
        </w:rPr>
        <w:t>government yield curve (e.g. Doh (2010), Gagnon et al (2011), Bauer &amp; Rudebusch (2014), Cahill et al (2013), Christensen &amp; Rudebusch (2012), D’Amico &amp; King (2013), Joyce et al (2010, 2011), Krishnamurthy &amp; Vissing-Jorgensen (2011), Buraschi &amp; Whelan (2015b)), on different asset classes (e.g. Bauer &amp; Neely (2014), Glick &amp; Leduc (2012), Gilchrist &amp; Zakrajsek (2013), Hattori et al (2016)), on expectations (e.g. Carvalho et al (2011), Altavilla &amp; Giannone (2015)) and on the macroeconomy (e.g. Bridges &amp; Thomas (2012), Baumeister &amp; Benati (2013), Kapetanios et al (2012), Weale &amp; Wieladeck (2016)). We discuss these in Guimarães &amp; Vlieghe (2016).</w:t>
      </w:r>
    </w:p>
    <w:p>
      <w:pPr>
        <w:spacing w:after="0"/>
        <w:jc w:val="left"/>
        <w:rPr>
          <w:sz w:val="16"/>
        </w:rPr>
        <w:sectPr>
          <w:footerReference w:type="default" r:id="rId16"/>
          <w:pgSz w:w="11910" w:h="16840"/>
          <w:pgMar w:footer="1338" w:header="0" w:top="1520" w:bottom="1520" w:left="260" w:right="240"/>
        </w:sectPr>
      </w:pPr>
    </w:p>
    <w:p>
      <w:pPr>
        <w:pStyle w:val="BodyText"/>
        <w:spacing w:line="360" w:lineRule="auto" w:before="119"/>
        <w:ind w:left="873" w:right="889"/>
      </w:pPr>
      <w:r>
        <w:rPr/>
        <w:t>its effective lower bound</w:t>
      </w:r>
      <w:r>
        <w:rPr>
          <w:vertAlign w:val="superscript"/>
        </w:rPr>
        <w:t>20</w:t>
      </w:r>
      <w:r>
        <w:rPr>
          <w:vertAlign w:val="baseline"/>
        </w:rPr>
        <w:t>. Moreover, by carrying out further asset purchases even when the policy rate had been at its effective lower bound for several years, the action was also a signal that either the economy was even weaker than previously thought, or that low interest rates were providing less of a stimulus than previously thought (i.e. the natural rate was lower). Both mechanisms are likely to have contributed to a downward revision of the expected future rate path.</w:t>
      </w:r>
    </w:p>
    <w:p>
      <w:pPr>
        <w:pStyle w:val="BodyText"/>
        <w:spacing w:before="10"/>
        <w:rPr>
          <w:sz w:val="29"/>
        </w:rPr>
      </w:pPr>
    </w:p>
    <w:p>
      <w:pPr>
        <w:pStyle w:val="BodyText"/>
        <w:spacing w:line="360" w:lineRule="auto"/>
        <w:ind w:left="873" w:right="889"/>
      </w:pPr>
      <w:r>
        <w:rPr/>
        <w:t>Why is it important to assign the impact of asset purchases to expectations or to term premia? Because it enhances our understanding of how the policy has worked in the past, and therefore how it might work in the future, should we need to use it again. It also sheds light on the likely impact of unwinding asset purchases one day.</w:t>
      </w:r>
    </w:p>
    <w:p>
      <w:pPr>
        <w:pStyle w:val="BodyText"/>
        <w:spacing w:before="1"/>
        <w:rPr>
          <w:sz w:val="30"/>
        </w:rPr>
      </w:pPr>
    </w:p>
    <w:p>
      <w:pPr>
        <w:pStyle w:val="BodyText"/>
        <w:spacing w:line="360" w:lineRule="auto"/>
        <w:ind w:left="873" w:right="989"/>
      </w:pPr>
      <w:r>
        <w:rPr/>
        <w:t>Relatedly, if one thought that asset purchases work primarily through term premia, this might give credence to the idea that central bank bond purchases are “distorting” long-term interest rates. But, as the data show, most of the fall in long-term interest rates was not due to risk premia, but due to expectations of the future path of policy rates. Estimates of UK term premia are only slightly lower than their average levels in the decade before 2007, and most of the reduction has happened after QE had ended, with a reduction measured in tens of basis points, not hundreds of basis points.</w:t>
      </w:r>
    </w:p>
    <w:p>
      <w:pPr>
        <w:pStyle w:val="BodyText"/>
        <w:rPr>
          <w:sz w:val="30"/>
        </w:rPr>
      </w:pPr>
    </w:p>
    <w:p>
      <w:pPr>
        <w:pStyle w:val="BodyText"/>
        <w:spacing w:line="360" w:lineRule="auto"/>
        <w:ind w:left="873" w:right="1211"/>
      </w:pPr>
      <w:r>
        <w:rPr/>
        <w:t>Turning then to the expectations of the future path of policy rates, what do these say about how monetary policy behaved and is expected to behave?</w:t>
      </w:r>
    </w:p>
    <w:p>
      <w:pPr>
        <w:pStyle w:val="BodyText"/>
        <w:rPr>
          <w:sz w:val="30"/>
        </w:rPr>
      </w:pPr>
    </w:p>
    <w:p>
      <w:pPr>
        <w:pStyle w:val="BodyText"/>
        <w:spacing w:line="360" w:lineRule="auto"/>
        <w:ind w:left="873" w:right="889"/>
      </w:pPr>
      <w:r>
        <w:rPr/>
        <w:t>We know from surveys and from formal models</w:t>
      </w:r>
      <w:r>
        <w:rPr>
          <w:vertAlign w:val="superscript"/>
        </w:rPr>
        <w:t>21</w:t>
      </w:r>
      <w:r>
        <w:rPr>
          <w:vertAlign w:val="baseline"/>
        </w:rPr>
        <w:t> that the relative stability of break-even inflation since the late 1990s is due to the stability of the expectations component of break-even inflation. This is important for our interpretation of the expectation of future short-term interest rates.</w:t>
      </w:r>
    </w:p>
    <w:p>
      <w:pPr>
        <w:pStyle w:val="BodyText"/>
        <w:rPr>
          <w:sz w:val="30"/>
        </w:rPr>
      </w:pPr>
    </w:p>
    <w:p>
      <w:pPr>
        <w:pStyle w:val="BodyText"/>
        <w:spacing w:line="360" w:lineRule="auto"/>
        <w:ind w:left="873" w:right="989"/>
      </w:pPr>
      <w:r>
        <w:rPr/>
        <w:t>The fact that inflation expectations have been broadly stable suggests that monetary policy has been appropriately responding to persistent forces weighing on demand and inflation.</w:t>
      </w:r>
      <w:r>
        <w:rPr>
          <w:vertAlign w:val="superscript"/>
        </w:rPr>
        <w:t>22</w:t>
      </w:r>
      <w:r>
        <w:rPr>
          <w:vertAlign w:val="baseline"/>
        </w:rPr>
        <w:t> If inflation expectations had been declining, that would be indicative of monetary policy providing insufficient stimulus. If inflation expectations had been increasing, it would indicate too much monetary stimulus. But yield curve patterns suggest that market participants on average consider that the monetary stimulus in the UK has been “about right” to achieve the inflation target, and will continue to be “about right”.</w:t>
      </w:r>
    </w:p>
    <w:p>
      <w:pPr>
        <w:pStyle w:val="BodyText"/>
      </w:pPr>
    </w:p>
    <w:p>
      <w:pPr>
        <w:pStyle w:val="BodyText"/>
      </w:pPr>
    </w:p>
    <w:p>
      <w:pPr>
        <w:pStyle w:val="BodyText"/>
      </w:pPr>
    </w:p>
    <w:p>
      <w:pPr>
        <w:pStyle w:val="BodyText"/>
        <w:spacing w:before="4"/>
        <w:rPr>
          <w:sz w:val="17"/>
        </w:rPr>
      </w:pPr>
      <w:r>
        <w:rPr/>
        <w:pict>
          <v:shape style="position:absolute;margin-left:56.664001pt;margin-top:12.213271pt;width:144.050pt;height:.1pt;mso-position-horizontal-relative:page;mso-position-vertical-relative:paragraph;z-index:-251648000;mso-wrap-distance-left:0;mso-wrap-distance-right:0" coordorigin="1133,244" coordsize="2881,0" path="m1133,244l4014,244e" filled="false" stroked="true" strokeweight=".48004pt" strokecolor="#000000">
            <v:path arrowok="t"/>
            <v:stroke dashstyle="solid"/>
            <w10:wrap type="topAndBottom"/>
          </v:shape>
        </w:pict>
      </w:r>
    </w:p>
    <w:p>
      <w:pPr>
        <w:spacing w:before="30"/>
        <w:ind w:left="873" w:right="929" w:firstLine="0"/>
        <w:jc w:val="left"/>
        <w:rPr>
          <w:sz w:val="16"/>
        </w:rPr>
      </w:pPr>
      <w:r>
        <w:rPr>
          <w:position w:val="8"/>
          <w:sz w:val="10"/>
        </w:rPr>
        <w:t>20 </w:t>
      </w:r>
      <w:r>
        <w:rPr>
          <w:sz w:val="16"/>
        </w:rPr>
        <w:t>Bernanke (2015) provides a detailed account of policy at the Fed during the crisis periods. He stresses how, even though there were doubts about how it would work and potential side effects, decisions on QE programmes were often driven more by the desire to send a clear signal about the FOMC’s commitment to provide monetary easing (see pages 420-21 describing the decision to extend MBS purchases and start buying treasuries announced on March 18 2009, or page 484 for the decision to reinvest maturing MBS) than the specific mechanisms through which the policy might work.</w:t>
      </w:r>
    </w:p>
    <w:p>
      <w:pPr>
        <w:spacing w:line="171" w:lineRule="exact" w:before="0"/>
        <w:ind w:left="873" w:right="0" w:firstLine="0"/>
        <w:jc w:val="left"/>
        <w:rPr>
          <w:sz w:val="16"/>
        </w:rPr>
      </w:pPr>
      <w:r>
        <w:rPr>
          <w:position w:val="8"/>
          <w:sz w:val="10"/>
        </w:rPr>
        <w:t>21 </w:t>
      </w:r>
      <w:r>
        <w:rPr>
          <w:sz w:val="16"/>
        </w:rPr>
        <w:t>See Joyce et al (2010) and Guimarães (2016).</w:t>
      </w:r>
    </w:p>
    <w:p>
      <w:pPr>
        <w:spacing w:line="184" w:lineRule="exact" w:before="13"/>
        <w:ind w:left="873" w:right="920" w:firstLine="0"/>
        <w:jc w:val="left"/>
        <w:rPr>
          <w:sz w:val="16"/>
        </w:rPr>
      </w:pPr>
      <w:r>
        <w:rPr>
          <w:position w:val="8"/>
          <w:sz w:val="10"/>
        </w:rPr>
        <w:t>22 </w:t>
      </w:r>
      <w:r>
        <w:rPr>
          <w:sz w:val="16"/>
        </w:rPr>
        <w:t>For the initial deflation scare, see Smith (2012) for evidence from inflation options in the UK, and Guimarães (2012) for discussion of survey evidence and estimates of model-implied inflation risk premia and expectations consistent with a large deflation scare at the time of the Lehman collapse. See also Garcia &amp; Werner (2011) for similar Euro-area evidence and Christensen et al (2012) for the US.</w:t>
      </w:r>
    </w:p>
    <w:p>
      <w:pPr>
        <w:spacing w:after="0" w:line="184" w:lineRule="exact"/>
        <w:jc w:val="left"/>
        <w:rPr>
          <w:sz w:val="16"/>
        </w:rPr>
        <w:sectPr>
          <w:footerReference w:type="default" r:id="rId17"/>
          <w:pgSz w:w="11910" w:h="16840"/>
          <w:pgMar w:footer="1338" w:header="0" w:top="1480" w:bottom="1520" w:left="260" w:right="240"/>
        </w:sectPr>
      </w:pPr>
    </w:p>
    <w:p>
      <w:pPr>
        <w:pStyle w:val="BodyText"/>
        <w:spacing w:line="360" w:lineRule="auto" w:before="79"/>
        <w:ind w:left="873" w:right="989"/>
      </w:pPr>
      <w:r>
        <w:rPr/>
        <w:t>The interest rate that is appropriate in order to keep inflation close to target is referred to as the natural interest rate. The evolution of policy since the crisis and the expected future path of policy show that the MPC has been tracking the natural rate, and is expected to continue tracking the natural rate.</w:t>
      </w:r>
      <w:r>
        <w:rPr>
          <w:vertAlign w:val="superscript"/>
        </w:rPr>
        <w:t>23</w:t>
      </w:r>
    </w:p>
    <w:p>
      <w:pPr>
        <w:pStyle w:val="BodyText"/>
        <w:rPr>
          <w:sz w:val="30"/>
        </w:rPr>
      </w:pPr>
    </w:p>
    <w:p>
      <w:pPr>
        <w:pStyle w:val="BodyText"/>
        <w:spacing w:line="360" w:lineRule="auto"/>
        <w:ind w:left="873" w:right="1055"/>
      </w:pPr>
      <w:r>
        <w:rPr/>
        <w:t>Of course the expected path of future policy changes frequently as it adapts to new information about the economy and the MPC’s reaction function. But the key point is that the expected path of interest rates is in line with the expected path of the natural rate: the MPC is not expected to overheat the economy or to stifle it. Rates are expected to be low because that is what the economy is thought to require in order to return inflation to target and keep it there.</w:t>
      </w:r>
    </w:p>
    <w:p>
      <w:pPr>
        <w:pStyle w:val="BodyText"/>
        <w:spacing w:before="10"/>
        <w:rPr>
          <w:sz w:val="29"/>
        </w:rPr>
      </w:pPr>
    </w:p>
    <w:p>
      <w:pPr>
        <w:pStyle w:val="BodyText"/>
        <w:spacing w:line="360" w:lineRule="auto"/>
        <w:ind w:left="873" w:right="889"/>
      </w:pPr>
      <w:r>
        <w:rPr/>
        <w:t>That leaves us with the question of why the expected path of the natural rate is so low. Earlier this year I offered my own views on this, namely persistent effects from debt deleveraging, demographic shifts and changes in the distribution of income have created an environment where a given level of growth might be consistent with substantially lower interest rates than in the past. This environment might persist for years, even decades.</w:t>
      </w:r>
      <w:r>
        <w:rPr>
          <w:vertAlign w:val="superscript"/>
        </w:rPr>
        <w:t>24</w:t>
      </w:r>
    </w:p>
    <w:p>
      <w:pPr>
        <w:pStyle w:val="BodyText"/>
        <w:rPr>
          <w:sz w:val="30"/>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Other</w:t>
      </w:r>
      <w:r>
        <w:rPr>
          <w:spacing w:val="-1"/>
          <w:sz w:val="20"/>
        </w:rPr>
        <w:t> </w:t>
      </w:r>
      <w:r>
        <w:rPr>
          <w:sz w:val="20"/>
        </w:rPr>
        <w:t>countries</w:t>
      </w:r>
    </w:p>
    <w:p>
      <w:pPr>
        <w:pStyle w:val="BodyText"/>
        <w:rPr>
          <w:sz w:val="22"/>
        </w:rPr>
      </w:pPr>
    </w:p>
    <w:p>
      <w:pPr>
        <w:pStyle w:val="BodyText"/>
        <w:spacing w:before="1"/>
        <w:rPr>
          <w:sz w:val="18"/>
        </w:rPr>
      </w:pPr>
    </w:p>
    <w:p>
      <w:pPr>
        <w:pStyle w:val="BodyText"/>
        <w:spacing w:line="360" w:lineRule="auto"/>
        <w:ind w:left="873" w:right="1053"/>
        <w:jc w:val="both"/>
      </w:pPr>
      <w:r>
        <w:rPr/>
        <w:t>What about countries other than the US and the UK? The same decomposition between the expected path of interest rates and term premia can be estimated for a range of countries using the Consensus Forecasts survey of professional forecasters.</w:t>
      </w:r>
    </w:p>
    <w:p>
      <w:pPr>
        <w:pStyle w:val="BodyText"/>
        <w:rPr>
          <w:sz w:val="30"/>
        </w:rPr>
      </w:pPr>
    </w:p>
    <w:p>
      <w:pPr>
        <w:pStyle w:val="BodyText"/>
        <w:spacing w:line="360" w:lineRule="auto"/>
        <w:ind w:left="873" w:right="1062"/>
      </w:pPr>
      <w:r>
        <w:rPr/>
        <w:t>Using this decomposition, we see from figure 17 that there was no systematic movement in risk premia across a wide range of countries in the post-crisis period. For some, risk premia went up, for others, they fell, and for some they were unchanged.</w:t>
      </w:r>
    </w:p>
    <w:p>
      <w:pPr>
        <w:pStyle w:val="BodyText"/>
        <w:spacing w:before="1"/>
        <w:rPr>
          <w:sz w:val="30"/>
        </w:rPr>
      </w:pPr>
    </w:p>
    <w:p>
      <w:pPr>
        <w:pStyle w:val="BodyText"/>
        <w:spacing w:line="360" w:lineRule="auto"/>
        <w:ind w:left="873" w:right="889"/>
      </w:pPr>
      <w:r>
        <w:rPr/>
        <w:t>What all countries did have in common, however, is a substantial fall in the expected path of future interest rates, shown in figure 18. The path of future policy rates was revised down by several percentage points on average.</w:t>
      </w:r>
    </w:p>
    <w:p>
      <w:pPr>
        <w:pStyle w:val="BodyText"/>
        <w:rPr>
          <w:sz w:val="30"/>
        </w:rPr>
      </w:pPr>
    </w:p>
    <w:p>
      <w:pPr>
        <w:pStyle w:val="BodyText"/>
        <w:spacing w:line="357" w:lineRule="auto"/>
        <w:ind w:left="873" w:right="1021"/>
        <w:jc w:val="both"/>
      </w:pPr>
      <w:r>
        <w:rPr/>
        <w:t>Note that this sample includes countries that carried out asset purchases as well as those who did not. And it includes countries that reached their effective lower bound on interest rates as well as those who did not.</w:t>
      </w:r>
    </w:p>
    <w:p>
      <w:pPr>
        <w:pStyle w:val="BodyText"/>
        <w:spacing w:before="4"/>
        <w:rPr>
          <w:sz w:val="30"/>
        </w:rPr>
      </w:pPr>
    </w:p>
    <w:p>
      <w:pPr>
        <w:pStyle w:val="BodyText"/>
        <w:spacing w:line="360" w:lineRule="auto"/>
        <w:ind w:left="873" w:right="1179"/>
      </w:pPr>
      <w:r>
        <w:rPr/>
        <w:pict>
          <v:shape style="position:absolute;margin-left:56.664001pt;margin-top:58.12989pt;width:144.050pt;height:.1pt;mso-position-horizontal-relative:page;mso-position-vertical-relative:paragraph;z-index:-251646976;mso-wrap-distance-left:0;mso-wrap-distance-right:0" coordorigin="1133,1163" coordsize="2881,0" path="m1133,1163l4014,1163e" filled="false" stroked="true" strokeweight=".47998pt" strokecolor="#000000">
            <v:path arrowok="t"/>
            <v:stroke dashstyle="solid"/>
            <w10:wrap type="topAndBottom"/>
          </v:shape>
        </w:pict>
      </w:r>
      <w:r>
        <w:rPr/>
        <w:t>I interpret this pattern as significant further support for the idea that what is driving long-term interest rates lower is not asset purchases or otherwise distortive monetary policies, but rather global economic circumstances that are expected to require very low policy rates for many years. Without such low policy</w:t>
      </w:r>
    </w:p>
    <w:p>
      <w:pPr>
        <w:spacing w:before="30"/>
        <w:ind w:left="873" w:right="1000" w:firstLine="0"/>
        <w:jc w:val="left"/>
        <w:rPr>
          <w:sz w:val="16"/>
        </w:rPr>
      </w:pPr>
      <w:r>
        <w:rPr>
          <w:position w:val="8"/>
          <w:sz w:val="10"/>
        </w:rPr>
        <w:t>23 </w:t>
      </w:r>
      <w:r>
        <w:rPr>
          <w:sz w:val="16"/>
        </w:rPr>
        <w:t>See Woodford (2003) for textbook description of desirability of tracking the natural rate as optimal policy. See Barsky et al (2014), Curdia (2015), and Curdia et al (2015) for US estimates of the natural rate, and Bank Underground blog post by Goldby et al (2015) for the UK.</w:t>
      </w:r>
    </w:p>
    <w:p>
      <w:pPr>
        <w:spacing w:line="184" w:lineRule="exact" w:before="0"/>
        <w:ind w:left="873" w:right="0" w:firstLine="0"/>
        <w:jc w:val="left"/>
        <w:rPr>
          <w:sz w:val="16"/>
        </w:rPr>
      </w:pPr>
      <w:r>
        <w:rPr>
          <w:position w:val="8"/>
          <w:sz w:val="10"/>
        </w:rPr>
        <w:t>24 </w:t>
      </w:r>
      <w:r>
        <w:rPr>
          <w:sz w:val="16"/>
        </w:rPr>
        <w:t>See Vlieghe (2016) for general discussion and references.</w:t>
      </w:r>
    </w:p>
    <w:p>
      <w:pPr>
        <w:spacing w:after="0" w:line="184" w:lineRule="exact"/>
        <w:jc w:val="left"/>
        <w:rPr>
          <w:sz w:val="16"/>
        </w:rPr>
        <w:sectPr>
          <w:footerReference w:type="default" r:id="rId18"/>
          <w:pgSz w:w="11910" w:h="16840"/>
          <w:pgMar w:footer="1338" w:header="0" w:top="1520" w:bottom="1520" w:left="260" w:right="240"/>
        </w:sectPr>
      </w:pPr>
    </w:p>
    <w:p>
      <w:pPr>
        <w:pStyle w:val="BodyText"/>
        <w:spacing w:line="360" w:lineRule="auto" w:before="79"/>
        <w:ind w:left="873" w:right="1212"/>
      </w:pPr>
      <w:r>
        <w:rPr/>
        <w:t>rates, we risk an unanchoring of inflation expectations to the downside, which in turn makes any level of policy rates less stimulative by increasing real interest rates, and can create a vicious cycle of growth and inflation disappointments, as seen in Japan since the early 1990s.</w:t>
      </w:r>
      <w:r>
        <w:rPr>
          <w:vertAlign w:val="superscript"/>
        </w:rPr>
        <w:t>25</w:t>
      </w:r>
    </w:p>
    <w:p>
      <w:pPr>
        <w:pStyle w:val="BodyText"/>
        <w:rPr>
          <w:sz w:val="30"/>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Current UK</w:t>
      </w:r>
      <w:r>
        <w:rPr>
          <w:spacing w:val="-3"/>
          <w:sz w:val="20"/>
        </w:rPr>
        <w:t> </w:t>
      </w:r>
      <w:r>
        <w:rPr>
          <w:sz w:val="20"/>
        </w:rPr>
        <w:t>outlook</w:t>
      </w:r>
    </w:p>
    <w:p>
      <w:pPr>
        <w:pStyle w:val="BodyText"/>
        <w:rPr>
          <w:sz w:val="22"/>
        </w:rPr>
      </w:pPr>
    </w:p>
    <w:p>
      <w:pPr>
        <w:pStyle w:val="BodyText"/>
        <w:spacing w:before="10"/>
        <w:rPr>
          <w:sz w:val="17"/>
        </w:rPr>
      </w:pPr>
    </w:p>
    <w:p>
      <w:pPr>
        <w:pStyle w:val="BodyText"/>
        <w:spacing w:line="360" w:lineRule="auto"/>
        <w:ind w:left="873"/>
      </w:pPr>
      <w:r>
        <w:rPr/>
        <w:t>Before concluding, I will make a few comments on the current outlook for the UK economy and recent data developments.</w:t>
      </w:r>
    </w:p>
    <w:p>
      <w:pPr>
        <w:pStyle w:val="BodyText"/>
        <w:rPr>
          <w:sz w:val="30"/>
        </w:rPr>
      </w:pPr>
    </w:p>
    <w:p>
      <w:pPr>
        <w:pStyle w:val="BodyText"/>
        <w:spacing w:line="360" w:lineRule="auto"/>
        <w:ind w:left="873" w:right="978"/>
      </w:pPr>
      <w:r>
        <w:rPr/>
        <w:t>Despite repeated forecasts of stabilisation, UK GDP growth has continued to slow, from around 3% </w:t>
      </w:r>
      <w:r>
        <w:rPr>
          <w:spacing w:val="3"/>
        </w:rPr>
        <w:t>in </w:t>
      </w:r>
      <w:r>
        <w:rPr/>
        <w:t>2014, to around 2% in 2015, to less than 2% in 2016 so far. This slowing has taken place against a background</w:t>
      </w:r>
      <w:r>
        <w:rPr>
          <w:spacing w:val="-34"/>
        </w:rPr>
        <w:t> </w:t>
      </w:r>
      <w:r>
        <w:rPr/>
        <w:t>of persistently disappointing global growth, domestic fiscal consolidation, weaker than expected productivity growth, and, more recently, uncertainty about the upcoming referendum on the UK’s membership of the EU. Inflation pressures remain subdued, although the inflation data have, on balance, not continued to surprise us to the downside over the past few months. Headline inflation is well below target at 0.3% on the most recent data, although most of that reflects past falls in energy and food prices, an effect which is expected</w:t>
      </w:r>
      <w:r>
        <w:rPr>
          <w:spacing w:val="-36"/>
        </w:rPr>
        <w:t> </w:t>
      </w:r>
      <w:r>
        <w:rPr/>
        <w:t>to fade. Core inflation remains subdued at 1.2%. </w:t>
      </w:r>
      <w:r>
        <w:rPr>
          <w:spacing w:val="2"/>
        </w:rPr>
        <w:t>Wage </w:t>
      </w:r>
      <w:r>
        <w:rPr/>
        <w:t>inflation at around 2% continues to be weak despite the past declines in the unemployment rate to just above</w:t>
      </w:r>
      <w:r>
        <w:rPr>
          <w:spacing w:val="-4"/>
        </w:rPr>
        <w:t> </w:t>
      </w:r>
      <w:r>
        <w:rPr/>
        <w:t>5%.</w:t>
      </w:r>
    </w:p>
    <w:p>
      <w:pPr>
        <w:pStyle w:val="BodyText"/>
        <w:spacing w:before="2"/>
        <w:rPr>
          <w:sz w:val="30"/>
        </w:rPr>
      </w:pPr>
    </w:p>
    <w:p>
      <w:pPr>
        <w:pStyle w:val="BodyText"/>
        <w:spacing w:line="357" w:lineRule="auto"/>
        <w:ind w:left="873" w:right="1379"/>
      </w:pPr>
      <w:r>
        <w:rPr/>
        <w:t>The upcoming referendum on the UK’s membership of the EU poses particular challenges for monetary policy.</w:t>
      </w:r>
    </w:p>
    <w:p>
      <w:pPr>
        <w:pStyle w:val="BodyText"/>
        <w:spacing w:before="4"/>
        <w:rPr>
          <w:sz w:val="30"/>
        </w:rPr>
      </w:pPr>
    </w:p>
    <w:p>
      <w:pPr>
        <w:pStyle w:val="BodyText"/>
        <w:spacing w:line="360" w:lineRule="auto"/>
        <w:ind w:left="873" w:right="889"/>
      </w:pPr>
      <w:r>
        <w:rPr/>
        <w:t>First, it makes the data less informative than usual about the underlying state of the economy. Uncertainty ahead of such a major event is bound to lead some firms and households to postpone important spending decision until after the event. Should the vote be to remain in the EU, I would expect to see an improvement in growth as the delayed spending is actually carried out.</w:t>
      </w:r>
    </w:p>
    <w:p>
      <w:pPr>
        <w:pStyle w:val="BodyText"/>
        <w:spacing w:before="10"/>
        <w:rPr>
          <w:sz w:val="29"/>
        </w:rPr>
      </w:pPr>
    </w:p>
    <w:p>
      <w:pPr>
        <w:pStyle w:val="BodyText"/>
        <w:spacing w:line="360" w:lineRule="auto"/>
        <w:ind w:left="873" w:right="1189"/>
      </w:pPr>
      <w:r>
        <w:rPr/>
        <w:t>The challenge for the Committee is that we do not know how much of the slowing in growth is due to the referendum, an effect which should be short-lived, and how much of it reflects a more fundamental loss of underlying momentum, which might be more persistent.</w:t>
      </w:r>
    </w:p>
    <w:p>
      <w:pPr>
        <w:pStyle w:val="BodyText"/>
        <w:rPr>
          <w:sz w:val="30"/>
        </w:rPr>
      </w:pPr>
    </w:p>
    <w:p>
      <w:pPr>
        <w:pStyle w:val="BodyText"/>
        <w:spacing w:line="360" w:lineRule="auto"/>
        <w:ind w:left="873" w:right="956"/>
      </w:pPr>
      <w:r>
        <w:rPr/>
        <w:t>The loss of UK growth momentum and absence of a meaningful pick-up in inflationary pressures has been a rather gradual process over the past few years, but, cumulatively, it adds up to a significant downward revision in growth and inflation, to which monetary policy has not responded so far. Instead, a significant downward move in the market path of interest rates over the past two years has provided the stimulus the economy needs to return inflation to the target over the forecast horizon.</w:t>
      </w:r>
    </w:p>
    <w:p>
      <w:pPr>
        <w:pStyle w:val="BodyText"/>
      </w:pPr>
    </w:p>
    <w:p>
      <w:pPr>
        <w:pStyle w:val="BodyText"/>
      </w:pPr>
    </w:p>
    <w:p>
      <w:pPr>
        <w:pStyle w:val="BodyText"/>
        <w:spacing w:before="5"/>
        <w:rPr>
          <w:sz w:val="15"/>
        </w:rPr>
      </w:pPr>
      <w:r>
        <w:rPr/>
        <w:pict>
          <v:shape style="position:absolute;margin-left:56.664001pt;margin-top:11.08455pt;width:144.050pt;height:.1pt;mso-position-horizontal-relative:page;mso-position-vertical-relative:paragraph;z-index:-251645952;mso-wrap-distance-left:0;mso-wrap-distance-right:0" coordorigin="1133,222" coordsize="2881,0" path="m1133,222l4014,222e" filled="false" stroked="true" strokeweight=".48004pt" strokecolor="#000000">
            <v:path arrowok="t"/>
            <v:stroke dashstyle="solid"/>
            <w10:wrap type="topAndBottom"/>
          </v:shape>
        </w:pict>
      </w:r>
    </w:p>
    <w:p>
      <w:pPr>
        <w:spacing w:before="29"/>
        <w:ind w:left="873" w:right="0" w:firstLine="0"/>
        <w:jc w:val="left"/>
        <w:rPr>
          <w:sz w:val="16"/>
        </w:rPr>
      </w:pPr>
      <w:r>
        <w:rPr>
          <w:position w:val="8"/>
          <w:sz w:val="10"/>
        </w:rPr>
        <w:t>25 </w:t>
      </w:r>
      <w:r>
        <w:rPr>
          <w:sz w:val="16"/>
        </w:rPr>
        <w:t>As discussed in, e.g. Bernanke (2003, 2015) and Ahearne et al (2002).</w:t>
      </w:r>
    </w:p>
    <w:p>
      <w:pPr>
        <w:spacing w:after="0"/>
        <w:jc w:val="left"/>
        <w:rPr>
          <w:sz w:val="16"/>
        </w:rPr>
        <w:sectPr>
          <w:footerReference w:type="default" r:id="rId19"/>
          <w:pgSz w:w="11910" w:h="16840"/>
          <w:pgMar w:footer="1338" w:header="0" w:top="1520" w:bottom="1520" w:left="260" w:right="240"/>
          <w:pgNumType w:start="13"/>
        </w:sectPr>
      </w:pPr>
    </w:p>
    <w:p>
      <w:pPr>
        <w:pStyle w:val="BodyText"/>
        <w:spacing w:line="360" w:lineRule="auto" w:before="79"/>
        <w:ind w:left="873" w:right="889"/>
      </w:pPr>
      <w:r>
        <w:rPr/>
        <w:t>Following a vote to remain, I would like to see convincing evidence of an improvement in the economic outlook, in line with the forecasts in the May Inflation Report. If such improvement is not apparent soon, this will reduce my confidence that inflation is likely to return to the target within an acceptable time horizon without additional monetary stimulus.</w:t>
      </w:r>
    </w:p>
    <w:p>
      <w:pPr>
        <w:pStyle w:val="BodyText"/>
        <w:spacing w:before="10"/>
        <w:rPr>
          <w:sz w:val="29"/>
        </w:rPr>
      </w:pPr>
    </w:p>
    <w:p>
      <w:pPr>
        <w:pStyle w:val="BodyText"/>
        <w:spacing w:line="360" w:lineRule="auto"/>
        <w:ind w:left="873" w:right="889"/>
      </w:pPr>
      <w:r>
        <w:rPr/>
        <w:t>If the vote is to leave, the MPC will be faced with an entirely different set of policy challenges. Given significant uncertainty about the future of the UK’s trading relationships, a meaningful drop in domestic demand and in the exchange rate is possible. For some time, the productive potential of the UK economy might also decline as the economy adjusts to new trading relationships and investment patterns. The UK is therefore likely to experience lower growth, and higher inflation for a period as a weaker exchange rate pushes up import prices.</w:t>
      </w:r>
    </w:p>
    <w:p>
      <w:pPr>
        <w:pStyle w:val="BodyText"/>
        <w:rPr>
          <w:sz w:val="30"/>
        </w:rPr>
      </w:pPr>
    </w:p>
    <w:p>
      <w:pPr>
        <w:pStyle w:val="BodyText"/>
        <w:spacing w:line="360" w:lineRule="auto"/>
        <w:ind w:left="873" w:right="889"/>
      </w:pPr>
      <w:r>
        <w:rPr/>
        <w:t>The response of monetary policy will depend on the relative magnitudes of the adjustment in demand, supply and the exchange rate. In any case, the MPC will take whatever action is needed to ensure inflation expectations remain anchored, and to return inflation to the target over an appropriate horizon.</w:t>
      </w:r>
    </w:p>
    <w:p>
      <w:pPr>
        <w:pStyle w:val="BodyText"/>
        <w:rPr>
          <w:sz w:val="30"/>
        </w:rPr>
      </w:pPr>
    </w:p>
    <w:p>
      <w:pPr>
        <w:pStyle w:val="ListParagraph"/>
        <w:numPr>
          <w:ilvl w:val="0"/>
          <w:numId w:val="1"/>
        </w:numPr>
        <w:tabs>
          <w:tab w:pos="1517" w:val="left" w:leader="none"/>
        </w:tabs>
        <w:spacing w:line="240" w:lineRule="auto" w:before="0" w:after="0"/>
        <w:ind w:left="1516" w:right="0" w:hanging="361"/>
        <w:jc w:val="left"/>
        <w:rPr>
          <w:sz w:val="20"/>
        </w:rPr>
      </w:pPr>
      <w:r>
        <w:rPr>
          <w:sz w:val="20"/>
        </w:rPr>
        <w:t>Conclusion</w:t>
      </w:r>
    </w:p>
    <w:p>
      <w:pPr>
        <w:pStyle w:val="BodyText"/>
        <w:rPr>
          <w:sz w:val="22"/>
        </w:rPr>
      </w:pPr>
    </w:p>
    <w:p>
      <w:pPr>
        <w:pStyle w:val="BodyText"/>
        <w:spacing w:before="1"/>
        <w:rPr>
          <w:sz w:val="18"/>
        </w:rPr>
      </w:pPr>
    </w:p>
    <w:p>
      <w:pPr>
        <w:pStyle w:val="BodyText"/>
        <w:spacing w:line="360" w:lineRule="auto"/>
        <w:ind w:left="873" w:right="889"/>
      </w:pPr>
      <w:r>
        <w:rPr/>
        <w:t>Long-term interest rates play an important role in monetary policy. They are a key part of the transmission mechanism, via which monetary policy affects the wider economy. And they contain useful information about expected future policy rates and expected future inflation.</w:t>
      </w:r>
    </w:p>
    <w:p>
      <w:pPr>
        <w:pStyle w:val="BodyText"/>
        <w:rPr>
          <w:sz w:val="30"/>
        </w:rPr>
      </w:pPr>
    </w:p>
    <w:p>
      <w:pPr>
        <w:pStyle w:val="BodyText"/>
        <w:spacing w:line="360" w:lineRule="auto"/>
        <w:ind w:left="873" w:right="889"/>
      </w:pPr>
      <w:r>
        <w:rPr/>
        <w:t>I have decomposed long-term interest rates into real and nominal components, as well as expectations and risk premia components, with particular emphasis on the UK experience.</w:t>
      </w:r>
    </w:p>
    <w:p>
      <w:pPr>
        <w:pStyle w:val="BodyText"/>
        <w:rPr>
          <w:sz w:val="30"/>
        </w:rPr>
      </w:pPr>
    </w:p>
    <w:p>
      <w:pPr>
        <w:pStyle w:val="BodyText"/>
        <w:spacing w:line="360" w:lineRule="auto"/>
        <w:ind w:left="873" w:right="937"/>
      </w:pPr>
      <w:r>
        <w:rPr/>
        <w:t>I have argued that the most important factor behind the fall in long-term interest rates since the financial crisis has been a downward revision in the expected path of policy rates, with inflation expectations relatively stable, thus reflecting lower expected future real rates. The fall in term premia accounts for a relatively small part of the decline in long-term interest rates. In this respect, the evolution of the yield curve since the crisis is still consistent with the notion that central banks’ main effect on the economy is through expectations. As summarized</w:t>
      </w:r>
      <w:r>
        <w:rPr>
          <w:spacing w:val="-3"/>
        </w:rPr>
        <w:t> </w:t>
      </w:r>
      <w:r>
        <w:rPr/>
        <w:t>by</w:t>
      </w:r>
      <w:r>
        <w:rPr>
          <w:spacing w:val="-8"/>
        </w:rPr>
        <w:t> </w:t>
      </w:r>
      <w:r>
        <w:rPr/>
        <w:t>Woodford,</w:t>
      </w:r>
      <w:r>
        <w:rPr>
          <w:spacing w:val="-1"/>
        </w:rPr>
        <w:t> </w:t>
      </w:r>
      <w:r>
        <w:rPr/>
        <w:t>“Not</w:t>
      </w:r>
      <w:r>
        <w:rPr>
          <w:spacing w:val="-3"/>
        </w:rPr>
        <w:t> </w:t>
      </w:r>
      <w:r>
        <w:rPr/>
        <w:t>only</w:t>
      </w:r>
      <w:r>
        <w:rPr>
          <w:spacing w:val="-3"/>
        </w:rPr>
        <w:t> </w:t>
      </w:r>
      <w:r>
        <w:rPr/>
        <w:t>do</w:t>
      </w:r>
      <w:r>
        <w:rPr>
          <w:spacing w:val="-2"/>
        </w:rPr>
        <w:t> </w:t>
      </w:r>
      <w:r>
        <w:rPr/>
        <w:t>expectations</w:t>
      </w:r>
      <w:r>
        <w:rPr>
          <w:spacing w:val="-1"/>
        </w:rPr>
        <w:t> </w:t>
      </w:r>
      <w:r>
        <w:rPr/>
        <w:t>about</w:t>
      </w:r>
      <w:r>
        <w:rPr>
          <w:spacing w:val="-1"/>
        </w:rPr>
        <w:t> </w:t>
      </w:r>
      <w:r>
        <w:rPr/>
        <w:t>policy</w:t>
      </w:r>
      <w:r>
        <w:rPr>
          <w:spacing w:val="-5"/>
        </w:rPr>
        <w:t> </w:t>
      </w:r>
      <w:r>
        <w:rPr/>
        <w:t>matter,</w:t>
      </w:r>
      <w:r>
        <w:rPr>
          <w:spacing w:val="-3"/>
        </w:rPr>
        <w:t> </w:t>
      </w:r>
      <w:r>
        <w:rPr/>
        <w:t>but,</w:t>
      </w:r>
      <w:r>
        <w:rPr>
          <w:spacing w:val="-3"/>
        </w:rPr>
        <w:t> </w:t>
      </w:r>
      <w:r>
        <w:rPr/>
        <w:t>[…]</w:t>
      </w:r>
      <w:r>
        <w:rPr>
          <w:spacing w:val="-1"/>
        </w:rPr>
        <w:t> </w:t>
      </w:r>
      <w:r>
        <w:rPr/>
        <w:t>very</w:t>
      </w:r>
      <w:r>
        <w:rPr>
          <w:spacing w:val="-3"/>
        </w:rPr>
        <w:t> </w:t>
      </w:r>
      <w:r>
        <w:rPr/>
        <w:t>little</w:t>
      </w:r>
      <w:r>
        <w:rPr>
          <w:spacing w:val="-3"/>
        </w:rPr>
        <w:t> </w:t>
      </w:r>
      <w:r>
        <w:rPr/>
        <w:t>else</w:t>
      </w:r>
      <w:r>
        <w:rPr>
          <w:spacing w:val="-2"/>
        </w:rPr>
        <w:t> </w:t>
      </w:r>
      <w:r>
        <w:rPr/>
        <w:t>matters”.</w:t>
      </w:r>
      <w:r>
        <w:rPr>
          <w:vertAlign w:val="superscript"/>
        </w:rPr>
        <w:t>26</w:t>
      </w:r>
    </w:p>
    <w:p>
      <w:pPr>
        <w:pStyle w:val="BodyText"/>
        <w:spacing w:line="360" w:lineRule="auto"/>
        <w:ind w:left="873" w:right="889"/>
      </w:pPr>
      <w:r>
        <w:rPr/>
        <w:t>I have argued that the reason why expected future real rates are low is that monetary policy has responded, and is expected to continue to respond, appropriately to persistent forces weighing on demand and inflation. Interest rates are low because that is what the economy needs in order to keep inflation expectations anchored. The natural rate of interest is expected to remain low for many years.</w:t>
      </w:r>
    </w:p>
    <w:p>
      <w:pPr>
        <w:pStyle w:val="BodyText"/>
      </w:pPr>
    </w:p>
    <w:p>
      <w:pPr>
        <w:pStyle w:val="BodyText"/>
      </w:pPr>
    </w:p>
    <w:p>
      <w:pPr>
        <w:pStyle w:val="BodyText"/>
        <w:spacing w:before="4"/>
        <w:rPr>
          <w:sz w:val="13"/>
        </w:rPr>
      </w:pPr>
      <w:r>
        <w:rPr/>
        <w:pict>
          <v:shape style="position:absolute;margin-left:56.664001pt;margin-top:9.918184pt;width:144.050pt;height:.1pt;mso-position-horizontal-relative:page;mso-position-vertical-relative:paragraph;z-index:-251644928;mso-wrap-distance-left:0;mso-wrap-distance-right:0" coordorigin="1133,198" coordsize="2881,0" path="m1133,198l4014,198e" filled="false" stroked="true" strokeweight=".47998pt" strokecolor="#000000">
            <v:path arrowok="t"/>
            <v:stroke dashstyle="solid"/>
            <w10:wrap type="topAndBottom"/>
          </v:shape>
        </w:pict>
      </w:r>
    </w:p>
    <w:p>
      <w:pPr>
        <w:spacing w:before="27"/>
        <w:ind w:left="873" w:right="1267" w:firstLine="0"/>
        <w:jc w:val="left"/>
        <w:rPr>
          <w:sz w:val="16"/>
        </w:rPr>
      </w:pPr>
      <w:r>
        <w:rPr>
          <w:position w:val="8"/>
          <w:sz w:val="10"/>
        </w:rPr>
        <w:t>26 </w:t>
      </w:r>
      <w:r>
        <w:rPr>
          <w:sz w:val="16"/>
        </w:rPr>
        <w:t>See Woodford (2003), p15. Woodford’s argument is that the control of overnight rates per se is of negligible importance for the economy compared to expectations of future policy, i.e. if changing overnight rates were thought to be unrelated to future overnight interest rates they would have very little effect on the economy.</w:t>
      </w:r>
    </w:p>
    <w:p>
      <w:pPr>
        <w:spacing w:after="0"/>
        <w:jc w:val="left"/>
        <w:rPr>
          <w:sz w:val="16"/>
        </w:rPr>
        <w:sectPr>
          <w:footerReference w:type="default" r:id="rId20"/>
          <w:pgSz w:w="11910" w:h="16840"/>
          <w:pgMar w:footer="1334" w:header="0" w:top="1520" w:bottom="1520" w:left="260" w:right="240"/>
          <w:pgNumType w:start="14"/>
        </w:sectPr>
      </w:pPr>
    </w:p>
    <w:p>
      <w:pPr>
        <w:pStyle w:val="BodyText"/>
        <w:spacing w:line="360" w:lineRule="auto" w:before="79"/>
        <w:ind w:left="873" w:right="989"/>
      </w:pPr>
      <w:r>
        <w:rPr/>
        <w:t>Viewed in this light, there is nothing anomalous about the low level of long-term interest rates, nor is there any evidence that government bond yields are “distorted” by central banks’ asset purchases. None of this should be taken to imply that long-term interest rates will not change. They reflect expectations of future policy, which have changed, and will continue to change, as the economy evolves.</w:t>
      </w:r>
    </w:p>
    <w:p>
      <w:pPr>
        <w:pStyle w:val="BodyText"/>
        <w:spacing w:before="10"/>
        <w:rPr>
          <w:sz w:val="29"/>
        </w:rPr>
      </w:pPr>
    </w:p>
    <w:p>
      <w:pPr>
        <w:pStyle w:val="BodyText"/>
        <w:spacing w:line="360" w:lineRule="auto"/>
        <w:ind w:left="873" w:right="889"/>
      </w:pPr>
      <w:r>
        <w:rPr/>
        <w:t>The expectations-driven decline in long-term interest rates is apparent across a wide range of countries, suggesting that the disinflationary forces are global, not unique to the UK. Candidate explanations for a persistently low natural rate of interest across a wide range of countries include debt deleveraging, demographic shifts and changes in the distribution of income, which I discussed earlier in the year.</w:t>
      </w:r>
    </w:p>
    <w:p>
      <w:pPr>
        <w:spacing w:after="0" w:line="360" w:lineRule="auto"/>
        <w:sectPr>
          <w:pgSz w:w="11910" w:h="16840"/>
          <w:pgMar w:header="0" w:footer="1334" w:top="1520" w:bottom="1520" w:left="260" w:right="240"/>
        </w:sectPr>
      </w:pPr>
    </w:p>
    <w:p>
      <w:pPr>
        <w:spacing w:before="79"/>
        <w:ind w:left="873" w:right="0" w:firstLine="0"/>
        <w:jc w:val="left"/>
        <w:rPr>
          <w:b/>
          <w:sz w:val="24"/>
        </w:rPr>
      </w:pPr>
      <w:r>
        <w:rPr>
          <w:b/>
          <w:sz w:val="24"/>
        </w:rPr>
        <w:t>References</w:t>
      </w:r>
    </w:p>
    <w:p>
      <w:pPr>
        <w:spacing w:before="134"/>
        <w:ind w:left="873" w:right="882" w:firstLine="0"/>
        <w:jc w:val="left"/>
        <w:rPr>
          <w:sz w:val="20"/>
        </w:rPr>
      </w:pPr>
      <w:r>
        <w:rPr>
          <w:sz w:val="20"/>
        </w:rPr>
        <w:t>Adrian, T., R. Crump and E. Moench (2013). "Pricing the Term Structure with Linear Regressions", </w:t>
      </w:r>
      <w:r>
        <w:rPr>
          <w:i/>
          <w:sz w:val="20"/>
        </w:rPr>
        <w:t>Journal of </w:t>
      </w:r>
      <w:r>
        <w:rPr>
          <w:i/>
          <w:sz w:val="20"/>
        </w:rPr>
        <w:t>Financial Economics, vol. 110 (1)</w:t>
      </w:r>
      <w:r>
        <w:rPr>
          <w:sz w:val="20"/>
        </w:rPr>
        <w:t>.</w:t>
      </w:r>
    </w:p>
    <w:p>
      <w:pPr>
        <w:spacing w:before="124"/>
        <w:ind w:left="873" w:right="1222" w:firstLine="0"/>
        <w:jc w:val="left"/>
        <w:rPr>
          <w:i/>
          <w:sz w:val="20"/>
        </w:rPr>
      </w:pPr>
      <w:r>
        <w:rPr>
          <w:sz w:val="20"/>
        </w:rPr>
        <w:t>Ahearne, A., J. Gagnon, J. Haltmaier, S Kamin and others (2002), “Preventing deflation: Lessons from Japan’s experiences in the 1990s”, </w:t>
      </w:r>
      <w:r>
        <w:rPr>
          <w:i/>
          <w:sz w:val="20"/>
        </w:rPr>
        <w:t>Board of Governors, International Finance. Discussion Paper No. 729</w:t>
      </w:r>
    </w:p>
    <w:p>
      <w:pPr>
        <w:spacing w:before="118"/>
        <w:ind w:left="873" w:right="1394" w:firstLine="0"/>
        <w:jc w:val="left"/>
        <w:rPr>
          <w:sz w:val="20"/>
        </w:rPr>
      </w:pPr>
      <w:r>
        <w:rPr>
          <w:sz w:val="20"/>
        </w:rPr>
        <w:t>Altavilla, C. and D. Giannone (2015), “The Effectiveness of Nonstandard Monetary Policy Measures: Evidence from Survey Data”, </w:t>
      </w:r>
      <w:r>
        <w:rPr>
          <w:i/>
          <w:sz w:val="20"/>
        </w:rPr>
        <w:t>Federal Reserve Bank of New York Staff Reports No. 752</w:t>
      </w:r>
      <w:r>
        <w:rPr>
          <w:sz w:val="20"/>
        </w:rPr>
        <w:t>.</w:t>
      </w:r>
    </w:p>
    <w:p>
      <w:pPr>
        <w:pStyle w:val="BodyText"/>
        <w:spacing w:before="121"/>
        <w:ind w:left="873"/>
      </w:pPr>
      <w:r>
        <w:rPr/>
        <w:t>Bank of England (1999), ‘The transmission mechanism of monetary policy’, by Monetary Policy Committee.</w:t>
      </w:r>
    </w:p>
    <w:p>
      <w:pPr>
        <w:spacing w:before="120"/>
        <w:ind w:left="873" w:right="889" w:firstLine="0"/>
        <w:jc w:val="left"/>
        <w:rPr>
          <w:sz w:val="20"/>
        </w:rPr>
      </w:pPr>
      <w:r>
        <w:rPr>
          <w:sz w:val="20"/>
        </w:rPr>
        <w:t>Barsky, R., A. Justiniano and L. Melosi (2014), “The Natural Rate of Interest and Its Usefulness for Monetary Policy”, </w:t>
      </w:r>
      <w:r>
        <w:rPr>
          <w:i/>
          <w:sz w:val="20"/>
        </w:rPr>
        <w:t>American Economic Review, vol. 104 (5)</w:t>
      </w:r>
      <w:r>
        <w:rPr>
          <w:sz w:val="20"/>
        </w:rPr>
        <w:t>.</w:t>
      </w:r>
    </w:p>
    <w:p>
      <w:pPr>
        <w:spacing w:before="116"/>
        <w:ind w:left="873" w:right="878" w:firstLine="0"/>
        <w:jc w:val="left"/>
        <w:rPr>
          <w:sz w:val="20"/>
        </w:rPr>
      </w:pPr>
      <w:r>
        <w:rPr>
          <w:sz w:val="20"/>
        </w:rPr>
        <w:t>Bauer, M. and C. Neely (2014), “International channels of the Fed’s unconventional monetary policy”, </w:t>
      </w:r>
      <w:r>
        <w:rPr>
          <w:i/>
          <w:sz w:val="20"/>
        </w:rPr>
        <w:t>Journal </w:t>
      </w:r>
      <w:r>
        <w:rPr>
          <w:i/>
          <w:sz w:val="20"/>
        </w:rPr>
        <w:t>of International Money and Finance, vol 44</w:t>
      </w:r>
      <w:r>
        <w:rPr>
          <w:sz w:val="20"/>
        </w:rPr>
        <w:t>.</w:t>
      </w:r>
    </w:p>
    <w:p>
      <w:pPr>
        <w:pStyle w:val="BodyText"/>
        <w:spacing w:line="229" w:lineRule="exact" w:before="124"/>
        <w:ind w:left="873"/>
      </w:pPr>
      <w:r>
        <w:rPr/>
        <w:t>Bauer, M. and G. Rudebusch (2014). “The Signalling Channel for Federal Reserve Bond Purchases”,</w:t>
      </w:r>
    </w:p>
    <w:p>
      <w:pPr>
        <w:spacing w:line="229" w:lineRule="exact" w:before="0"/>
        <w:ind w:left="873" w:right="0" w:firstLine="0"/>
        <w:jc w:val="left"/>
        <w:rPr>
          <w:sz w:val="20"/>
        </w:rPr>
      </w:pPr>
      <w:r>
        <w:rPr>
          <w:i/>
          <w:sz w:val="20"/>
        </w:rPr>
        <w:t>International Journal of Central Banking</w:t>
      </w:r>
      <w:r>
        <w:rPr>
          <w:sz w:val="20"/>
        </w:rPr>
        <w:t>.</w:t>
      </w:r>
    </w:p>
    <w:p>
      <w:pPr>
        <w:spacing w:before="122"/>
        <w:ind w:left="873" w:right="989" w:firstLine="0"/>
        <w:jc w:val="left"/>
        <w:rPr>
          <w:sz w:val="20"/>
        </w:rPr>
      </w:pPr>
      <w:r>
        <w:rPr>
          <w:sz w:val="20"/>
        </w:rPr>
        <w:t>Baumeister, C. and L. Benati (2013), “Unconventional monetary policy and the great recession: estimating the macroeconomic effects of a spread compression at the zero lower bound”, </w:t>
      </w:r>
      <w:r>
        <w:rPr>
          <w:i/>
          <w:sz w:val="20"/>
        </w:rPr>
        <w:t>International Journal of </w:t>
      </w:r>
      <w:r>
        <w:rPr>
          <w:i/>
          <w:sz w:val="20"/>
        </w:rPr>
        <w:t>Central Banking, vol. 9, June</w:t>
      </w:r>
      <w:r>
        <w:rPr>
          <w:sz w:val="20"/>
        </w:rPr>
        <w:t>.</w:t>
      </w:r>
    </w:p>
    <w:p>
      <w:pPr>
        <w:spacing w:before="117"/>
        <w:ind w:left="873" w:right="1035" w:firstLine="0"/>
        <w:jc w:val="left"/>
        <w:rPr>
          <w:sz w:val="20"/>
        </w:rPr>
      </w:pPr>
      <w:r>
        <w:rPr>
          <w:sz w:val="20"/>
        </w:rPr>
        <w:t>Bekaert, G., M. Hoerova and M. Duca (2013), “Risk, Uncertainty and Monetary Policy”, </w:t>
      </w:r>
      <w:r>
        <w:rPr>
          <w:i/>
          <w:sz w:val="20"/>
        </w:rPr>
        <w:t>Journal of Monetary </w:t>
      </w:r>
      <w:r>
        <w:rPr>
          <w:i/>
          <w:sz w:val="20"/>
        </w:rPr>
        <w:t>Economics, vol 60</w:t>
      </w:r>
      <w:r>
        <w:rPr>
          <w:sz w:val="20"/>
        </w:rPr>
        <w:t>.</w:t>
      </w:r>
    </w:p>
    <w:p>
      <w:pPr>
        <w:pStyle w:val="BodyText"/>
        <w:spacing w:before="123"/>
        <w:ind w:left="873" w:right="1100"/>
      </w:pPr>
      <w:r>
        <w:rPr/>
        <w:t>Bernanke, B. (2003), “Some Thoughts on Monetary Policy in Japan”, speech at Japan Society of Monetary Economics: </w:t>
      </w:r>
      <w:hyperlink r:id="rId21">
        <w:r>
          <w:rPr>
            <w:color w:val="0000FF"/>
            <w:u w:val="single" w:color="0000FF"/>
          </w:rPr>
          <w:t>http://www.federalreserve.gov/boarddocs/speeches/2003/20030531/</w:t>
        </w:r>
      </w:hyperlink>
    </w:p>
    <w:p>
      <w:pPr>
        <w:pStyle w:val="BodyText"/>
        <w:spacing w:before="121"/>
        <w:ind w:left="873" w:right="2391"/>
      </w:pPr>
      <w:r>
        <w:rPr/>
        <w:t>Bernanke, B (2004), “What Policymakers Can Learn from Asset Prices”, speech available at </w:t>
      </w:r>
      <w:hyperlink r:id="rId22">
        <w:r>
          <w:rPr>
            <w:color w:val="0000FF"/>
            <w:u w:val="single" w:color="0000FF"/>
          </w:rPr>
          <w:t>http://www.federalreserve.gov/boarddocs/speeches/2004/20040415/default.htm</w:t>
        </w:r>
      </w:hyperlink>
    </w:p>
    <w:p>
      <w:pPr>
        <w:pStyle w:val="BodyText"/>
        <w:spacing w:before="118"/>
        <w:ind w:left="873"/>
      </w:pPr>
      <w:r>
        <w:rPr/>
        <w:t>Bernanke, B. (2015), The Courage to Act: A memoir of a crisis and its aftermath, Norton.</w:t>
      </w:r>
    </w:p>
    <w:p>
      <w:pPr>
        <w:spacing w:before="121"/>
        <w:ind w:left="873" w:right="1568" w:firstLine="0"/>
        <w:jc w:val="left"/>
        <w:rPr>
          <w:sz w:val="20"/>
        </w:rPr>
      </w:pPr>
      <w:r>
        <w:rPr>
          <w:sz w:val="20"/>
        </w:rPr>
        <w:t>Bernanke, B and Reinhart, V R (2004). “Conducting Monetary Policy at Very Low Short-Term Interest Rates”, </w:t>
      </w:r>
      <w:r>
        <w:rPr>
          <w:i/>
          <w:sz w:val="20"/>
        </w:rPr>
        <w:t>American Economic Review, Vol. 94, No. 2</w:t>
      </w:r>
      <w:r>
        <w:rPr>
          <w:sz w:val="20"/>
        </w:rPr>
        <w:t>.</w:t>
      </w:r>
    </w:p>
    <w:p>
      <w:pPr>
        <w:spacing w:before="121"/>
        <w:ind w:left="873" w:right="1394" w:firstLine="0"/>
        <w:jc w:val="left"/>
        <w:rPr>
          <w:sz w:val="20"/>
        </w:rPr>
      </w:pPr>
      <w:r>
        <w:rPr>
          <w:sz w:val="20"/>
        </w:rPr>
        <w:t>Bernanke, B., and K. Kuttner (2005), “What Explains the Stock Market’s Reaction to Federal Reserve Policy?”, </w:t>
      </w:r>
      <w:r>
        <w:rPr>
          <w:i/>
          <w:sz w:val="20"/>
        </w:rPr>
        <w:t>Journal of Finance, vol. 60 (3)</w:t>
      </w:r>
      <w:r>
        <w:rPr>
          <w:sz w:val="20"/>
        </w:rPr>
        <w:t>.</w:t>
      </w:r>
    </w:p>
    <w:p>
      <w:pPr>
        <w:spacing w:before="116"/>
        <w:ind w:left="873" w:right="923" w:firstLine="0"/>
        <w:jc w:val="left"/>
        <w:rPr>
          <w:sz w:val="20"/>
        </w:rPr>
      </w:pPr>
      <w:r>
        <w:rPr>
          <w:sz w:val="20"/>
        </w:rPr>
        <w:t>Boyarchenko, N., V. Haddad and M. Plosser (2016), “The Federal Reserve and Market Confidence”, </w:t>
      </w:r>
      <w:r>
        <w:rPr>
          <w:i/>
          <w:sz w:val="20"/>
        </w:rPr>
        <w:t>Federal </w:t>
      </w:r>
      <w:r>
        <w:rPr>
          <w:i/>
          <w:sz w:val="20"/>
        </w:rPr>
        <w:t>Reserve Bank of New York Staff Reports No. 773</w:t>
      </w:r>
      <w:r>
        <w:rPr>
          <w:sz w:val="20"/>
        </w:rPr>
        <w:t>.</w:t>
      </w:r>
    </w:p>
    <w:p>
      <w:pPr>
        <w:spacing w:before="123"/>
        <w:ind w:left="873" w:right="1335" w:firstLine="0"/>
        <w:jc w:val="left"/>
        <w:rPr>
          <w:sz w:val="20"/>
        </w:rPr>
      </w:pPr>
      <w:r>
        <w:rPr>
          <w:sz w:val="20"/>
        </w:rPr>
        <w:t>Bridges, J. and R. Thomas (2012), “The impact of QE on the UK economy - some supportive monetarist arithmetic”, </w:t>
      </w:r>
      <w:r>
        <w:rPr>
          <w:i/>
          <w:sz w:val="20"/>
        </w:rPr>
        <w:t>Bank of England Working Paper No. 442</w:t>
      </w:r>
      <w:r>
        <w:rPr>
          <w:sz w:val="20"/>
        </w:rPr>
        <w:t>.</w:t>
      </w:r>
    </w:p>
    <w:p>
      <w:pPr>
        <w:pStyle w:val="BodyText"/>
        <w:spacing w:before="121"/>
        <w:ind w:left="873" w:right="2601"/>
      </w:pPr>
      <w:r>
        <w:rPr/>
        <w:t>Broadbent, B. (2014), “Monetary policy, asset prices and distribution”, speech available at </w:t>
      </w:r>
      <w:hyperlink r:id="rId23">
        <w:r>
          <w:rPr>
            <w:color w:val="0000FF"/>
            <w:u w:val="single" w:color="0000FF"/>
          </w:rPr>
          <w:t>http://www.bankofengland.co.uk/publications/Documents/speeches/2014/speech770.pdf</w:t>
        </w:r>
      </w:hyperlink>
    </w:p>
    <w:p>
      <w:pPr>
        <w:pStyle w:val="BodyText"/>
        <w:spacing w:before="119"/>
        <w:ind w:left="873" w:right="1256"/>
      </w:pPr>
      <w:r>
        <w:rPr/>
        <w:t>Buraschi, A. and P. Whelan (2015a), “Bond Markets and Monetary Policy”, in Handbook of Fixed-Income Securities, edited by Pietro Veronesi.</w:t>
      </w:r>
    </w:p>
    <w:p>
      <w:pPr>
        <w:spacing w:before="118"/>
        <w:ind w:left="873" w:right="1104" w:firstLine="0"/>
        <w:jc w:val="left"/>
        <w:rPr>
          <w:i/>
          <w:sz w:val="20"/>
        </w:rPr>
      </w:pPr>
      <w:r>
        <w:rPr>
          <w:sz w:val="20"/>
        </w:rPr>
        <w:t>Buraschi, A. and P. Whelan (2015b), “Bond Markets and Unconventional Monetary Policy”, in </w:t>
      </w:r>
      <w:r>
        <w:rPr>
          <w:i/>
          <w:sz w:val="20"/>
        </w:rPr>
        <w:t>Handbook of </w:t>
      </w:r>
      <w:r>
        <w:rPr>
          <w:i/>
          <w:sz w:val="20"/>
        </w:rPr>
        <w:t>Fixed-Income Securities, edited by Pietro Veronesi</w:t>
      </w:r>
    </w:p>
    <w:p>
      <w:pPr>
        <w:spacing w:line="237" w:lineRule="auto" w:before="125"/>
        <w:ind w:left="873" w:right="889" w:firstLine="0"/>
        <w:jc w:val="left"/>
        <w:rPr>
          <w:i/>
          <w:sz w:val="20"/>
        </w:rPr>
      </w:pPr>
      <w:r>
        <w:rPr>
          <w:sz w:val="20"/>
        </w:rPr>
        <w:t>Cahill, M., S. D’Amico, C. Li and J. Sears (2013), “Duration Risk versus Local Supply Channel in Treasury Yields: Evidence from the Federal Reserve’s Asset Purchase Announcements</w:t>
      </w:r>
      <w:r>
        <w:rPr>
          <w:i/>
          <w:sz w:val="20"/>
        </w:rPr>
        <w:t>”, Federal Reserve Board </w:t>
      </w:r>
      <w:r>
        <w:rPr>
          <w:i/>
          <w:sz w:val="20"/>
        </w:rPr>
        <w:t>Finance and Economics Discussion Series 2013-35</w:t>
      </w:r>
    </w:p>
    <w:p>
      <w:pPr>
        <w:spacing w:before="125"/>
        <w:ind w:left="873" w:right="1001" w:firstLine="0"/>
        <w:jc w:val="left"/>
        <w:rPr>
          <w:sz w:val="20"/>
        </w:rPr>
      </w:pPr>
      <w:r>
        <w:rPr>
          <w:sz w:val="20"/>
        </w:rPr>
        <w:t>Carvalho, C., S. Eusepi and C. Grisse (2011). “Unconventional policies during the crisis and expectations of inflation and growth: a cross</w:t>
      </w:r>
      <w:r>
        <w:rPr>
          <w:rFonts w:ascii="Cambria Math" w:hAnsi="Cambria Math"/>
          <w:sz w:val="20"/>
        </w:rPr>
        <w:t>‐</w:t>
      </w:r>
      <w:r>
        <w:rPr>
          <w:sz w:val="20"/>
        </w:rPr>
        <w:t>country analysis”, </w:t>
      </w:r>
      <w:r>
        <w:rPr>
          <w:i/>
          <w:sz w:val="20"/>
        </w:rPr>
        <w:t>Federal Reserve Bank of New York working paper</w:t>
      </w:r>
      <w:r>
        <w:rPr>
          <w:sz w:val="20"/>
        </w:rPr>
        <w:t>.</w:t>
      </w:r>
    </w:p>
    <w:p>
      <w:pPr>
        <w:spacing w:line="235" w:lineRule="auto" w:before="124"/>
        <w:ind w:left="873" w:right="889" w:firstLine="0"/>
        <w:jc w:val="left"/>
        <w:rPr>
          <w:sz w:val="20"/>
        </w:rPr>
      </w:pPr>
      <w:r>
        <w:rPr>
          <w:sz w:val="20"/>
        </w:rPr>
        <w:t>Cesa-Bianchi, A., G Thwaites and A. Vicondoa (2016), “Monetary Policy Transmission in an Open Economy: New Data and Evidence from the United Kingdom”, </w:t>
      </w:r>
      <w:r>
        <w:rPr>
          <w:i/>
          <w:sz w:val="20"/>
        </w:rPr>
        <w:t>unpublished working paper Bank of England</w:t>
      </w:r>
      <w:r>
        <w:rPr>
          <w:sz w:val="20"/>
        </w:rPr>
        <w:t>.</w:t>
      </w:r>
    </w:p>
    <w:p>
      <w:pPr>
        <w:spacing w:after="0" w:line="235" w:lineRule="auto"/>
        <w:jc w:val="left"/>
        <w:rPr>
          <w:sz w:val="20"/>
        </w:rPr>
        <w:sectPr>
          <w:pgSz w:w="11910" w:h="16840"/>
          <w:pgMar w:header="0" w:footer="1334" w:top="1520" w:bottom="1520" w:left="260" w:right="240"/>
        </w:sectPr>
      </w:pPr>
    </w:p>
    <w:p>
      <w:pPr>
        <w:pStyle w:val="BodyText"/>
        <w:spacing w:line="235" w:lineRule="auto" w:before="82"/>
        <w:ind w:left="873" w:right="1394"/>
      </w:pPr>
      <w:r>
        <w:rPr/>
        <w:t>Christensen, J. and G. Rudebusch (2012), “The response of interest rates to US and UK Quantitative Easing”, </w:t>
      </w:r>
      <w:r>
        <w:rPr>
          <w:i/>
        </w:rPr>
        <w:t>Economic Journal, vol. 122</w:t>
      </w:r>
      <w:r>
        <w:rPr/>
        <w:t>.</w:t>
      </w:r>
    </w:p>
    <w:p>
      <w:pPr>
        <w:spacing w:before="125"/>
        <w:ind w:left="873" w:right="1394" w:firstLine="0"/>
        <w:jc w:val="left"/>
        <w:rPr>
          <w:sz w:val="20"/>
        </w:rPr>
      </w:pPr>
      <w:r>
        <w:rPr>
          <w:sz w:val="20"/>
        </w:rPr>
        <w:t>Christensen, J., J. Lopez and G. Rudebusch (2012), “Extracting Deflation Probability Forecasts from Treasury Yields”, </w:t>
      </w:r>
      <w:r>
        <w:rPr>
          <w:i/>
          <w:sz w:val="20"/>
        </w:rPr>
        <w:t>International Journal of Central Banking</w:t>
      </w:r>
      <w:r>
        <w:rPr>
          <w:sz w:val="20"/>
        </w:rPr>
        <w:t>.</w:t>
      </w:r>
    </w:p>
    <w:p>
      <w:pPr>
        <w:spacing w:before="118"/>
        <w:ind w:left="873" w:right="0" w:firstLine="0"/>
        <w:jc w:val="left"/>
        <w:rPr>
          <w:sz w:val="20"/>
        </w:rPr>
      </w:pPr>
      <w:r>
        <w:rPr>
          <w:sz w:val="20"/>
        </w:rPr>
        <w:t>Cochrane, J. (2011), ‘Discount rates’, </w:t>
      </w:r>
      <w:r>
        <w:rPr>
          <w:i/>
          <w:sz w:val="20"/>
        </w:rPr>
        <w:t>Journal of Finance</w:t>
      </w:r>
      <w:r>
        <w:rPr>
          <w:sz w:val="20"/>
        </w:rPr>
        <w:t>, vol. 66, 1047-1109.</w:t>
      </w:r>
    </w:p>
    <w:p>
      <w:pPr>
        <w:spacing w:before="120"/>
        <w:ind w:left="873" w:right="1394" w:firstLine="0"/>
        <w:jc w:val="left"/>
        <w:rPr>
          <w:sz w:val="20"/>
        </w:rPr>
      </w:pPr>
      <w:r>
        <w:rPr>
          <w:sz w:val="20"/>
        </w:rPr>
        <w:t>Curdia, V. (2015). “Why So Slow? A Gradual Return for Interest Rates”, </w:t>
      </w:r>
      <w:r>
        <w:rPr>
          <w:i/>
          <w:sz w:val="20"/>
        </w:rPr>
        <w:t>FRBSF Economic Letter, 13 </w:t>
      </w:r>
      <w:r>
        <w:rPr>
          <w:i/>
          <w:sz w:val="20"/>
        </w:rPr>
        <w:t>October</w:t>
      </w:r>
      <w:r>
        <w:rPr>
          <w:sz w:val="20"/>
        </w:rPr>
        <w:t>.</w:t>
      </w:r>
    </w:p>
    <w:p>
      <w:pPr>
        <w:pStyle w:val="BodyText"/>
        <w:spacing w:before="121"/>
        <w:ind w:left="873" w:right="1394"/>
      </w:pPr>
      <w:r>
        <w:rPr/>
        <w:t>Curdia, V., A. Ferrero, G. Ng and A. Tambalotti (2015). “Has US Monetary Policy Tracked the Efficient Interest Rate?”, </w:t>
      </w:r>
      <w:r>
        <w:rPr>
          <w:i/>
        </w:rPr>
        <w:t>Journal of Monetary Economics</w:t>
      </w:r>
      <w:r>
        <w:rPr/>
        <w:t>, 72-83.</w:t>
      </w:r>
    </w:p>
    <w:p>
      <w:pPr>
        <w:spacing w:before="121"/>
        <w:ind w:left="873" w:right="1045" w:firstLine="0"/>
        <w:jc w:val="left"/>
        <w:rPr>
          <w:sz w:val="20"/>
        </w:rPr>
      </w:pPr>
      <w:r>
        <w:rPr>
          <w:sz w:val="20"/>
        </w:rPr>
        <w:t>D’Amico, S. and T. King (2013), “Flow and stock effects of large-scale treasury purchases: Evidence on the importance of local supply”, </w:t>
      </w:r>
      <w:r>
        <w:rPr>
          <w:i/>
          <w:sz w:val="20"/>
        </w:rPr>
        <w:t>Journal of Financial Economics, vol. 108</w:t>
      </w:r>
      <w:r>
        <w:rPr>
          <w:sz w:val="20"/>
        </w:rPr>
        <w:t>.</w:t>
      </w:r>
    </w:p>
    <w:p>
      <w:pPr>
        <w:spacing w:before="119"/>
        <w:ind w:left="873" w:right="1123" w:firstLine="0"/>
        <w:jc w:val="left"/>
        <w:rPr>
          <w:sz w:val="20"/>
        </w:rPr>
      </w:pPr>
      <w:r>
        <w:rPr>
          <w:sz w:val="20"/>
        </w:rPr>
        <w:t>Doh, T. (2010). “The Efficacy of Large-Scale Asset Purchases at the Zero Lower Bound”, </w:t>
      </w:r>
      <w:r>
        <w:rPr>
          <w:i/>
          <w:sz w:val="20"/>
        </w:rPr>
        <w:t>Federal Reserve </w:t>
      </w:r>
      <w:r>
        <w:rPr>
          <w:i/>
          <w:sz w:val="20"/>
        </w:rPr>
        <w:t>Bank of Kansas City Economic Review</w:t>
      </w:r>
      <w:r>
        <w:rPr>
          <w:sz w:val="20"/>
        </w:rPr>
        <w:t>.</w:t>
      </w:r>
    </w:p>
    <w:p>
      <w:pPr>
        <w:spacing w:before="120"/>
        <w:ind w:left="873" w:right="912" w:firstLine="0"/>
        <w:jc w:val="left"/>
        <w:rPr>
          <w:sz w:val="20"/>
        </w:rPr>
      </w:pPr>
      <w:r>
        <w:rPr>
          <w:sz w:val="20"/>
        </w:rPr>
        <w:t>Fawley, B. and C. Neely (2014), “The Evolution of Federal Reserve Policy and the Impact of Monetary Policy Surprises on Asset Prices”, </w:t>
      </w:r>
      <w:r>
        <w:rPr>
          <w:i/>
          <w:sz w:val="20"/>
        </w:rPr>
        <w:t>Federal Reserve Bank of St. Louis Review, Q1</w:t>
      </w:r>
      <w:r>
        <w:rPr>
          <w:sz w:val="20"/>
        </w:rPr>
        <w:t>.</w:t>
      </w:r>
    </w:p>
    <w:p>
      <w:pPr>
        <w:spacing w:before="122"/>
        <w:ind w:left="873" w:right="1394" w:firstLine="0"/>
        <w:jc w:val="left"/>
        <w:rPr>
          <w:sz w:val="20"/>
        </w:rPr>
      </w:pPr>
      <w:r>
        <w:rPr>
          <w:sz w:val="20"/>
        </w:rPr>
        <w:t>Gagnon, J., M. Raskin, J. Remache and B. Sack (2011), “The Financial Market Effects of the Federal Reserve’s Large-Scale Asset Purchases”, </w:t>
      </w:r>
      <w:r>
        <w:rPr>
          <w:i/>
          <w:sz w:val="20"/>
        </w:rPr>
        <w:t>International Journal of Central Banking</w:t>
      </w:r>
      <w:r>
        <w:rPr>
          <w:sz w:val="20"/>
        </w:rPr>
        <w:t>.</w:t>
      </w:r>
    </w:p>
    <w:p>
      <w:pPr>
        <w:spacing w:before="118"/>
        <w:ind w:left="873" w:right="0" w:firstLine="0"/>
        <w:jc w:val="left"/>
        <w:rPr>
          <w:sz w:val="20"/>
        </w:rPr>
      </w:pPr>
      <w:r>
        <w:rPr>
          <w:sz w:val="20"/>
        </w:rPr>
        <w:t>Garcia, J. and Werner, T., “Inflation risks and inflation risk premia”, </w:t>
      </w:r>
      <w:r>
        <w:rPr>
          <w:i/>
          <w:sz w:val="20"/>
        </w:rPr>
        <w:t>working paper, ECB, 2011</w:t>
      </w:r>
      <w:r>
        <w:rPr>
          <w:sz w:val="20"/>
        </w:rPr>
        <w:t>.</w:t>
      </w:r>
    </w:p>
    <w:p>
      <w:pPr>
        <w:spacing w:before="121"/>
        <w:ind w:left="873" w:right="1546" w:firstLine="0"/>
        <w:jc w:val="left"/>
        <w:rPr>
          <w:sz w:val="20"/>
        </w:rPr>
      </w:pPr>
      <w:r>
        <w:rPr>
          <w:sz w:val="20"/>
        </w:rPr>
        <w:t>Gertler, M. and P. Karadi (2013), “QE 1 vs. 2 vs. 3. . . : A Framework for Analyzing Large-Scale Asset Purchases as a Monetary Policy Tool”, </w:t>
      </w:r>
      <w:r>
        <w:rPr>
          <w:i/>
          <w:sz w:val="20"/>
        </w:rPr>
        <w:t>International Journal of Central Banking, January</w:t>
      </w:r>
      <w:r>
        <w:rPr>
          <w:sz w:val="20"/>
        </w:rPr>
        <w:t>.</w:t>
      </w:r>
    </w:p>
    <w:p>
      <w:pPr>
        <w:pStyle w:val="BodyText"/>
        <w:spacing w:line="229" w:lineRule="exact" w:before="120"/>
        <w:ind w:left="873"/>
      </w:pPr>
      <w:r>
        <w:rPr/>
        <w:t>Gertler, M. and P. Karadi (2015), “Monetary Policy Surprises, Credit Costs, and Economic Activity”,</w:t>
      </w:r>
    </w:p>
    <w:p>
      <w:pPr>
        <w:spacing w:line="229" w:lineRule="exact" w:before="0"/>
        <w:ind w:left="873" w:right="0" w:firstLine="0"/>
        <w:jc w:val="left"/>
        <w:rPr>
          <w:sz w:val="20"/>
        </w:rPr>
      </w:pPr>
      <w:r>
        <w:rPr>
          <w:i/>
          <w:sz w:val="20"/>
        </w:rPr>
        <w:t>American Economic Journal: Macroeconomics, vol. 7 (1)</w:t>
      </w:r>
      <w:r>
        <w:rPr>
          <w:sz w:val="20"/>
        </w:rPr>
        <w:t>.</w:t>
      </w:r>
    </w:p>
    <w:p>
      <w:pPr>
        <w:spacing w:before="123"/>
        <w:ind w:left="873" w:right="1301" w:firstLine="0"/>
        <w:jc w:val="left"/>
        <w:rPr>
          <w:sz w:val="20"/>
        </w:rPr>
      </w:pPr>
      <w:r>
        <w:rPr>
          <w:sz w:val="20"/>
        </w:rPr>
        <w:t>Gilchrist, S. and E. Zakrajsek (2013), “The Impact of the Federal Reserve’s Large-Scale Asset Purchase Programs on Corporate Credit Risk”, </w:t>
      </w:r>
      <w:r>
        <w:rPr>
          <w:i/>
          <w:sz w:val="20"/>
        </w:rPr>
        <w:t>Journal of Money, Credit and Banking, vol 45 (2)</w:t>
      </w:r>
      <w:r>
        <w:rPr>
          <w:sz w:val="20"/>
        </w:rPr>
        <w:t>.</w:t>
      </w:r>
    </w:p>
    <w:p>
      <w:pPr>
        <w:spacing w:before="119"/>
        <w:ind w:left="873" w:right="989" w:firstLine="0"/>
        <w:jc w:val="left"/>
        <w:rPr>
          <w:sz w:val="20"/>
        </w:rPr>
      </w:pPr>
      <w:r>
        <w:rPr>
          <w:sz w:val="20"/>
        </w:rPr>
        <w:t>Glick, R. and S. Leduc (2012). “Central Bank Announcements of Asset Purchases and the Impact on Global Financial and Commodity Markets”, ”, </w:t>
      </w:r>
      <w:r>
        <w:rPr>
          <w:i/>
          <w:sz w:val="20"/>
        </w:rPr>
        <w:t>Journal of International Money and Finance, vol 31</w:t>
      </w:r>
      <w:r>
        <w:rPr>
          <w:sz w:val="20"/>
        </w:rPr>
        <w:t>.</w:t>
      </w:r>
    </w:p>
    <w:p>
      <w:pPr>
        <w:spacing w:before="119"/>
        <w:ind w:left="873" w:right="946" w:firstLine="0"/>
        <w:jc w:val="left"/>
        <w:rPr>
          <w:i/>
          <w:sz w:val="20"/>
        </w:rPr>
      </w:pPr>
      <w:r>
        <w:rPr>
          <w:sz w:val="20"/>
        </w:rPr>
        <w:t>Goldby, M., L. Laureys and K. Reinold (2015), “An estimate of the UK’s natural rate of interest”, </w:t>
      </w:r>
      <w:r>
        <w:rPr>
          <w:i/>
          <w:sz w:val="20"/>
        </w:rPr>
        <w:t>Bank </w:t>
      </w:r>
      <w:r>
        <w:rPr>
          <w:i/>
          <w:sz w:val="20"/>
        </w:rPr>
        <w:t>Underground post 11 August </w:t>
      </w:r>
      <w:hyperlink r:id="rId24">
        <w:r>
          <w:rPr>
            <w:i/>
            <w:color w:val="0000FF"/>
            <w:sz w:val="20"/>
            <w:u w:val="single" w:color="0000FF"/>
          </w:rPr>
          <w:t>https://bankunderground.co.uk/2015/08/11/an-estimate-of-the-uks-natural-rate-</w:t>
        </w:r>
      </w:hyperlink>
      <w:r>
        <w:rPr>
          <w:i/>
          <w:color w:val="0000FF"/>
          <w:sz w:val="20"/>
        </w:rPr>
        <w:t> </w:t>
      </w:r>
      <w:hyperlink r:id="rId24">
        <w:r>
          <w:rPr>
            <w:i/>
            <w:color w:val="0000FF"/>
            <w:sz w:val="20"/>
            <w:u w:val="single" w:color="0000FF"/>
          </w:rPr>
          <w:t>of-interest/</w:t>
        </w:r>
      </w:hyperlink>
    </w:p>
    <w:p>
      <w:pPr>
        <w:pStyle w:val="BodyText"/>
        <w:spacing w:line="228" w:lineRule="exact" w:before="123"/>
        <w:ind w:left="873"/>
      </w:pPr>
      <w:r>
        <w:rPr/>
        <w:t>Gorodnichenko, Y. and M. Weber (2016), “Are Sticky Prices Costly? Evidence From The Stock Market”,</w:t>
      </w:r>
    </w:p>
    <w:p>
      <w:pPr>
        <w:spacing w:line="228" w:lineRule="exact" w:before="0"/>
        <w:ind w:left="873" w:right="0" w:firstLine="0"/>
        <w:jc w:val="left"/>
        <w:rPr>
          <w:sz w:val="20"/>
        </w:rPr>
      </w:pPr>
      <w:r>
        <w:rPr>
          <w:i/>
          <w:sz w:val="20"/>
        </w:rPr>
        <w:t>American Economic Review, forthcoming</w:t>
      </w:r>
      <w:r>
        <w:rPr>
          <w:sz w:val="20"/>
        </w:rPr>
        <w:t>.</w:t>
      </w:r>
    </w:p>
    <w:p>
      <w:pPr>
        <w:pStyle w:val="BodyText"/>
        <w:spacing w:line="229" w:lineRule="exact" w:before="123"/>
        <w:ind w:left="873"/>
      </w:pPr>
      <w:r>
        <w:rPr/>
        <w:t>Greenwood, R., S. Hanson, J. Rudolph, and L. Summers (2015), "Debt Management Conflicts between the</w:t>
      </w:r>
    </w:p>
    <w:p>
      <w:pPr>
        <w:spacing w:before="0"/>
        <w:ind w:left="873" w:right="1141" w:firstLine="0"/>
        <w:jc w:val="left"/>
        <w:rPr>
          <w:sz w:val="20"/>
        </w:rPr>
      </w:pPr>
      <w:r>
        <w:rPr>
          <w:sz w:val="20"/>
        </w:rPr>
        <w:t>U.S. Treasury and the Federal Reserve.", Chap. 2 in </w:t>
      </w:r>
      <w:r>
        <w:rPr>
          <w:i/>
          <w:sz w:val="20"/>
        </w:rPr>
        <w:t>The $13 Trillion Question: How America Manages Its </w:t>
      </w:r>
      <w:r>
        <w:rPr>
          <w:i/>
          <w:sz w:val="20"/>
        </w:rPr>
        <w:t>Debt</w:t>
      </w:r>
      <w:r>
        <w:rPr>
          <w:sz w:val="20"/>
        </w:rPr>
        <w:t>, edited by David Wessel, 43–89. Brookings Institution Press.</w:t>
      </w:r>
    </w:p>
    <w:p>
      <w:pPr>
        <w:spacing w:before="120"/>
        <w:ind w:left="873" w:right="885" w:firstLine="0"/>
        <w:jc w:val="left"/>
        <w:rPr>
          <w:sz w:val="20"/>
        </w:rPr>
      </w:pPr>
      <w:r>
        <w:rPr>
          <w:sz w:val="20"/>
        </w:rPr>
        <w:t>Guimarães, R. (2012), “What accounts for the fall in UK ten-year government bond yields?", </w:t>
      </w:r>
      <w:r>
        <w:rPr>
          <w:i/>
          <w:sz w:val="20"/>
        </w:rPr>
        <w:t>Bank of England </w:t>
      </w:r>
      <w:r>
        <w:rPr>
          <w:i/>
          <w:sz w:val="20"/>
        </w:rPr>
        <w:t>Quarterly Bulletin, vol. 52 (3)</w:t>
      </w:r>
      <w:r>
        <w:rPr>
          <w:sz w:val="20"/>
        </w:rPr>
        <w:t>.</w:t>
      </w:r>
    </w:p>
    <w:p>
      <w:pPr>
        <w:pStyle w:val="BodyText"/>
        <w:spacing w:line="229" w:lineRule="exact" w:before="121"/>
        <w:ind w:left="873"/>
      </w:pPr>
      <w:r>
        <w:rPr/>
        <w:t>Guimarães, R. (2016), “Fool’s Errand? Robust Identification of risk premia and expectations in asset prices”,</w:t>
      </w:r>
    </w:p>
    <w:p>
      <w:pPr>
        <w:spacing w:line="229" w:lineRule="exact" w:before="0"/>
        <w:ind w:left="873" w:right="0" w:firstLine="0"/>
        <w:jc w:val="left"/>
        <w:rPr>
          <w:sz w:val="20"/>
        </w:rPr>
      </w:pPr>
      <w:r>
        <w:rPr>
          <w:i/>
          <w:sz w:val="20"/>
        </w:rPr>
        <w:t>update of Bank of England Working Paper No 489 (March 2014) available at SSRN</w:t>
      </w:r>
      <w:r>
        <w:rPr>
          <w:sz w:val="20"/>
        </w:rPr>
        <w:t>.</w:t>
      </w:r>
    </w:p>
    <w:p>
      <w:pPr>
        <w:pStyle w:val="BodyText"/>
        <w:spacing w:line="229" w:lineRule="exact" w:before="123"/>
        <w:ind w:left="873"/>
      </w:pPr>
      <w:r>
        <w:rPr/>
        <w:t>Guimarães, R. and G. Vlieghe (2016), “Monetary Policy Expectations and Long Term Interest Rates”,</w:t>
      </w:r>
    </w:p>
    <w:p>
      <w:pPr>
        <w:spacing w:line="229" w:lineRule="exact" w:before="0"/>
        <w:ind w:left="873" w:right="0" w:firstLine="0"/>
        <w:jc w:val="left"/>
        <w:rPr>
          <w:sz w:val="20"/>
        </w:rPr>
      </w:pPr>
      <w:r>
        <w:rPr>
          <w:i/>
          <w:sz w:val="20"/>
        </w:rPr>
        <w:t>unpublished working paper</w:t>
      </w:r>
      <w:r>
        <w:rPr>
          <w:sz w:val="20"/>
        </w:rPr>
        <w:t>.</w:t>
      </w:r>
    </w:p>
    <w:p>
      <w:pPr>
        <w:spacing w:line="235" w:lineRule="auto" w:before="127"/>
        <w:ind w:left="873" w:right="889" w:firstLine="0"/>
        <w:jc w:val="left"/>
        <w:rPr>
          <w:sz w:val="20"/>
        </w:rPr>
      </w:pPr>
      <w:r>
        <w:rPr>
          <w:sz w:val="20"/>
        </w:rPr>
        <w:t>Gurkaynak, R., B. Sack and E. Swanson (2005), “Do Actions Speak Louder Than Words? The Response of Asset Prices to Monetary Policy Actions and Statements”, </w:t>
      </w:r>
      <w:r>
        <w:rPr>
          <w:i/>
          <w:sz w:val="20"/>
        </w:rPr>
        <w:t>International Journal of Central Banking</w:t>
      </w:r>
      <w:r>
        <w:rPr>
          <w:sz w:val="20"/>
        </w:rPr>
        <w:t>.</w:t>
      </w:r>
    </w:p>
    <w:p>
      <w:pPr>
        <w:pStyle w:val="BodyText"/>
        <w:spacing w:before="126"/>
        <w:ind w:left="873"/>
      </w:pPr>
      <w:r>
        <w:rPr/>
        <w:t>Gurkaynak, R. and J. Wright (2013), “Identification and Inference Using Event Studies”, Manchester School.</w:t>
      </w:r>
    </w:p>
    <w:p>
      <w:pPr>
        <w:spacing w:line="278" w:lineRule="auto" w:before="128"/>
        <w:ind w:left="873" w:right="1394" w:firstLine="0"/>
        <w:jc w:val="left"/>
        <w:rPr>
          <w:sz w:val="20"/>
        </w:rPr>
      </w:pPr>
      <w:r>
        <w:rPr>
          <w:sz w:val="20"/>
        </w:rPr>
        <w:t>Hanson, S. and J. Stein (2015), </w:t>
      </w:r>
      <w:r>
        <w:rPr>
          <w:b/>
          <w:sz w:val="20"/>
        </w:rPr>
        <w:t>“</w:t>
      </w:r>
      <w:r>
        <w:rPr>
          <w:sz w:val="20"/>
        </w:rPr>
        <w:t>Monetary Policy and Long-Term Real Rates," </w:t>
      </w:r>
      <w:r>
        <w:rPr>
          <w:i/>
          <w:sz w:val="20"/>
        </w:rPr>
        <w:t>Journal of Financial </w:t>
      </w:r>
      <w:r>
        <w:rPr>
          <w:i/>
          <w:sz w:val="20"/>
        </w:rPr>
        <w:t>Economics</w:t>
      </w:r>
      <w:r>
        <w:rPr>
          <w:sz w:val="20"/>
        </w:rPr>
        <w:t>, 115.</w:t>
      </w:r>
    </w:p>
    <w:p>
      <w:pPr>
        <w:spacing w:after="0" w:line="278" w:lineRule="auto"/>
        <w:jc w:val="left"/>
        <w:rPr>
          <w:sz w:val="20"/>
        </w:rPr>
        <w:sectPr>
          <w:pgSz w:w="11910" w:h="16840"/>
          <w:pgMar w:header="0" w:footer="1334" w:top="1520" w:bottom="1520" w:left="260" w:right="240"/>
        </w:sectPr>
      </w:pPr>
    </w:p>
    <w:p>
      <w:pPr>
        <w:spacing w:line="273" w:lineRule="auto" w:before="81"/>
        <w:ind w:left="873" w:right="889" w:firstLine="0"/>
        <w:jc w:val="left"/>
        <w:rPr>
          <w:i/>
          <w:sz w:val="20"/>
        </w:rPr>
      </w:pPr>
      <w:r>
        <w:rPr>
          <w:sz w:val="20"/>
        </w:rPr>
        <w:t>Hattori, M., A. Schrimpf and V. Sushko (2016), “The Response of Tail Risk Perceptions to Unconventional Monetary Policy”, </w:t>
      </w:r>
      <w:r>
        <w:rPr>
          <w:i/>
          <w:sz w:val="20"/>
        </w:rPr>
        <w:t>American Economic Journal: Macroeconomics, vol. 8(2)</w:t>
      </w:r>
    </w:p>
    <w:p>
      <w:pPr>
        <w:spacing w:before="98"/>
        <w:ind w:left="873" w:right="1023" w:firstLine="0"/>
        <w:jc w:val="left"/>
        <w:rPr>
          <w:sz w:val="20"/>
        </w:rPr>
      </w:pPr>
      <w:r>
        <w:rPr>
          <w:sz w:val="20"/>
        </w:rPr>
        <w:t>Joyce, M., Lildholdt, P. and Sorensen, S. (2010),“Extracting Inflation Expectations and Inflation Risk Premia from the Term Structure: A Joint Model of the UK Nominal and Real Yield Curves”, </w:t>
      </w:r>
      <w:r>
        <w:rPr>
          <w:i/>
          <w:sz w:val="20"/>
        </w:rPr>
        <w:t>Journal of Banking and </w:t>
      </w:r>
      <w:r>
        <w:rPr>
          <w:i/>
          <w:sz w:val="20"/>
        </w:rPr>
        <w:t>Finance, vol. 34, p. 281-294</w:t>
      </w:r>
      <w:r>
        <w:rPr>
          <w:sz w:val="20"/>
        </w:rPr>
        <w:t>.</w:t>
      </w:r>
    </w:p>
    <w:p>
      <w:pPr>
        <w:pStyle w:val="BodyText"/>
        <w:spacing w:line="229" w:lineRule="exact" w:before="118"/>
        <w:ind w:left="873"/>
      </w:pPr>
      <w:r>
        <w:rPr/>
        <w:t>Joyce, M., A. Lasaosa, I. Stevens and M. Tong (2010). “The Financial Market Impact of Quantitative Easing,”</w:t>
      </w:r>
    </w:p>
    <w:p>
      <w:pPr>
        <w:spacing w:line="229" w:lineRule="exact" w:before="0"/>
        <w:ind w:left="873" w:right="0" w:firstLine="0"/>
        <w:jc w:val="left"/>
        <w:rPr>
          <w:i/>
          <w:sz w:val="20"/>
        </w:rPr>
      </w:pPr>
      <w:r>
        <w:rPr>
          <w:i/>
          <w:sz w:val="20"/>
        </w:rPr>
        <w:t>Bank of England Working Paper No.393</w:t>
      </w:r>
    </w:p>
    <w:p>
      <w:pPr>
        <w:spacing w:before="123"/>
        <w:ind w:left="873" w:right="1394" w:firstLine="0"/>
        <w:jc w:val="left"/>
        <w:rPr>
          <w:i/>
          <w:sz w:val="20"/>
        </w:rPr>
      </w:pPr>
      <w:r>
        <w:rPr>
          <w:sz w:val="20"/>
        </w:rPr>
        <w:t>Joyce, M, Tong, M and Woods, R (2011), “The United Kingdom’s quantitative easing policy: design, operation and impact”, </w:t>
      </w:r>
      <w:r>
        <w:rPr>
          <w:i/>
          <w:sz w:val="20"/>
        </w:rPr>
        <w:t>Bank of England Quarterly Bulletin, Vol. 51 No. 3, pages 200-12</w:t>
      </w:r>
    </w:p>
    <w:p>
      <w:pPr>
        <w:pStyle w:val="BodyText"/>
        <w:spacing w:before="121"/>
        <w:ind w:left="873" w:right="1334"/>
      </w:pPr>
      <w:r>
        <w:rPr/>
        <w:t>Joyce, M, D. Miles, A. Scott and D. Vayanos (2012), “Quantitative Easing and Unconventional Monetary Policy - An Introduction”, </w:t>
      </w:r>
      <w:r>
        <w:rPr>
          <w:i/>
        </w:rPr>
        <w:t>Economic Journal, vol. 122</w:t>
      </w:r>
      <w:r>
        <w:rPr/>
        <w:t>.</w:t>
      </w:r>
    </w:p>
    <w:p>
      <w:pPr>
        <w:pStyle w:val="BodyText"/>
        <w:spacing w:before="119"/>
        <w:ind w:left="873" w:right="1112"/>
      </w:pPr>
      <w:r>
        <w:rPr/>
        <w:t>Kapetanios, G., H. Mumtaz, I. Stevens and K. Theodoridis (2012). “Assessing the economy-wide effects of quantitative easing”, </w:t>
      </w:r>
      <w:r>
        <w:rPr>
          <w:i/>
        </w:rPr>
        <w:t>Economic Journal, vol 122</w:t>
      </w:r>
      <w:r>
        <w:rPr/>
        <w:t>.</w:t>
      </w:r>
    </w:p>
    <w:p>
      <w:pPr>
        <w:spacing w:before="118"/>
        <w:ind w:left="873" w:right="990" w:firstLine="0"/>
        <w:jc w:val="left"/>
        <w:rPr>
          <w:sz w:val="20"/>
        </w:rPr>
      </w:pPr>
      <w:r>
        <w:rPr>
          <w:sz w:val="20"/>
        </w:rPr>
        <w:t>Kiley, M (2012). “The Aggregate Demand Effects of Short- and Long-Term Interest Rates”, </w:t>
      </w:r>
      <w:r>
        <w:rPr>
          <w:i/>
          <w:sz w:val="20"/>
        </w:rPr>
        <w:t>Federal Reserve </w:t>
      </w:r>
      <w:r>
        <w:rPr>
          <w:i/>
          <w:sz w:val="20"/>
        </w:rPr>
        <w:t>Board of Governors Finance and Economics Discussion Series working paper 2012-54</w:t>
      </w:r>
      <w:r>
        <w:rPr>
          <w:sz w:val="20"/>
        </w:rPr>
        <w:t>.</w:t>
      </w:r>
    </w:p>
    <w:p>
      <w:pPr>
        <w:spacing w:before="124"/>
        <w:ind w:left="873" w:right="1846" w:firstLine="0"/>
        <w:jc w:val="left"/>
        <w:rPr>
          <w:i/>
          <w:sz w:val="20"/>
        </w:rPr>
      </w:pPr>
      <w:r>
        <w:rPr>
          <w:sz w:val="20"/>
        </w:rPr>
        <w:t>Kim, D., and Orphanides, A. (2005), “Term Structure Estimation with Survey Data on Interest Rate Forecasts”, </w:t>
      </w:r>
      <w:r>
        <w:rPr>
          <w:i/>
          <w:sz w:val="20"/>
        </w:rPr>
        <w:t>Finance and Economics Discussion Series, no. 2005-48, Federal Reserve Board</w:t>
      </w:r>
    </w:p>
    <w:p>
      <w:pPr>
        <w:pStyle w:val="BodyText"/>
        <w:spacing w:line="229" w:lineRule="exact" w:before="118"/>
        <w:ind w:left="873"/>
      </w:pPr>
      <w:r>
        <w:rPr/>
        <w:t>Kim, D. and A. Orphanides (2012). "Term structure estimation with survey data on interest rate forecasts",</w:t>
      </w:r>
    </w:p>
    <w:p>
      <w:pPr>
        <w:spacing w:line="229" w:lineRule="exact" w:before="0"/>
        <w:ind w:left="873" w:right="0" w:firstLine="0"/>
        <w:jc w:val="left"/>
        <w:rPr>
          <w:i/>
          <w:sz w:val="20"/>
        </w:rPr>
      </w:pPr>
      <w:r>
        <w:rPr>
          <w:i/>
          <w:sz w:val="20"/>
        </w:rPr>
        <w:t>Journal of Financial and Quantitative Analysis, vol. 47 (1).</w:t>
      </w:r>
    </w:p>
    <w:p>
      <w:pPr>
        <w:spacing w:before="123"/>
        <w:ind w:left="873" w:right="1346" w:firstLine="0"/>
        <w:jc w:val="left"/>
        <w:rPr>
          <w:sz w:val="20"/>
        </w:rPr>
      </w:pPr>
      <w:r>
        <w:rPr>
          <w:sz w:val="20"/>
        </w:rPr>
        <w:t>Kim, D. and J. Wright (2005), “An Arbitrage-Free Three-Factor Term Structure Model and the Recent Behavior of Long-Term Yields and Distant-Horizon Forward Rates”, </w:t>
      </w:r>
      <w:r>
        <w:rPr>
          <w:i/>
          <w:sz w:val="20"/>
        </w:rPr>
        <w:t>Finance and Economics Discussion </w:t>
      </w:r>
      <w:r>
        <w:rPr>
          <w:i/>
          <w:sz w:val="20"/>
        </w:rPr>
        <w:t>Series, no. 2005-33, Federal Reserve Board</w:t>
      </w:r>
      <w:r>
        <w:rPr>
          <w:sz w:val="20"/>
        </w:rPr>
        <w:t>.</w:t>
      </w:r>
    </w:p>
    <w:p>
      <w:pPr>
        <w:pStyle w:val="BodyText"/>
        <w:spacing w:before="119"/>
        <w:ind w:left="873"/>
      </w:pPr>
      <w:r>
        <w:rPr/>
        <w:t>King, M. (2009), Mansion House Speech, 17 June </w:t>
      </w:r>
      <w:hyperlink r:id="rId25">
        <w:r>
          <w:rPr>
            <w:color w:val="0000FF"/>
            <w:w w:val="95"/>
            <w:u w:val="single" w:color="0000FF"/>
          </w:rPr>
          <w:t>http://www.bankofengland.co.uk/archive/Documents/historicpubs/speeches/2009/speech394.pdf</w:t>
        </w:r>
      </w:hyperlink>
    </w:p>
    <w:p>
      <w:pPr>
        <w:pStyle w:val="BodyText"/>
        <w:spacing w:line="273" w:lineRule="auto" w:before="123"/>
        <w:ind w:left="873" w:right="1067"/>
      </w:pPr>
      <w:r>
        <w:rPr/>
        <w:t>Krishnamurthy, A., and A. Vissing-Jorgensen (2011), “The Effects of Quantitative Easing on Interest Rates: Channels and Implications for Policy," </w:t>
      </w:r>
      <w:r>
        <w:rPr>
          <w:i/>
        </w:rPr>
        <w:t>Brookings Papers on Economic Activity</w:t>
      </w:r>
      <w:r>
        <w:rPr/>
        <w:t>, 2011.</w:t>
      </w:r>
    </w:p>
    <w:p>
      <w:pPr>
        <w:pStyle w:val="BodyText"/>
        <w:spacing w:before="100"/>
        <w:ind w:left="873" w:right="1612"/>
      </w:pPr>
      <w:r>
        <w:rPr/>
        <w:t>Liu, Z., E. Vangelista, I. Kaminska and J. Relleen (2015), “The informational content of market-based measures of inflation expectations derived from government bonds and inflation swaps in the United Kingdom”, </w:t>
      </w:r>
      <w:r>
        <w:rPr>
          <w:i/>
        </w:rPr>
        <w:t>Bank of England Staff Working Paper No. 551</w:t>
      </w:r>
      <w:r>
        <w:rPr/>
        <w:t>.</w:t>
      </w:r>
    </w:p>
    <w:p>
      <w:pPr>
        <w:spacing w:before="117"/>
        <w:ind w:left="873" w:right="1412" w:firstLine="0"/>
        <w:jc w:val="left"/>
        <w:rPr>
          <w:i/>
          <w:sz w:val="20"/>
        </w:rPr>
      </w:pPr>
      <w:r>
        <w:rPr>
          <w:sz w:val="20"/>
        </w:rPr>
        <w:t>Nelson, E. (2000), “UK monetary policy 1972- 97: a guide using Taylor rules”, </w:t>
      </w:r>
      <w:r>
        <w:rPr>
          <w:i/>
          <w:sz w:val="20"/>
        </w:rPr>
        <w:t>Bank of England working </w:t>
      </w:r>
      <w:r>
        <w:rPr>
          <w:i/>
          <w:sz w:val="20"/>
        </w:rPr>
        <w:t>paper</w:t>
      </w:r>
    </w:p>
    <w:p>
      <w:pPr>
        <w:spacing w:before="120"/>
        <w:ind w:left="873" w:right="1124" w:firstLine="0"/>
        <w:jc w:val="left"/>
        <w:rPr>
          <w:sz w:val="20"/>
        </w:rPr>
      </w:pPr>
      <w:r>
        <w:rPr>
          <w:sz w:val="20"/>
        </w:rPr>
        <w:t>Palomino, F. (2012), “Bond Risk Premiums and Optimal Monetary Policy”, </w:t>
      </w:r>
      <w:r>
        <w:rPr>
          <w:i/>
          <w:sz w:val="20"/>
        </w:rPr>
        <w:t>Review of Economic Dynamics, </w:t>
      </w:r>
      <w:r>
        <w:rPr>
          <w:i/>
          <w:sz w:val="20"/>
        </w:rPr>
        <w:t>vol 15</w:t>
      </w:r>
      <w:r>
        <w:rPr>
          <w:sz w:val="20"/>
        </w:rPr>
        <w:t>.</w:t>
      </w:r>
    </w:p>
    <w:p>
      <w:pPr>
        <w:spacing w:before="119"/>
        <w:ind w:left="873" w:right="879" w:firstLine="0"/>
        <w:jc w:val="left"/>
        <w:rPr>
          <w:sz w:val="20"/>
        </w:rPr>
      </w:pPr>
      <w:r>
        <w:rPr>
          <w:sz w:val="20"/>
        </w:rPr>
        <w:t>Piazzesi, M., “Affine Term Structure Models”, </w:t>
      </w:r>
      <w:r>
        <w:rPr>
          <w:i/>
          <w:sz w:val="20"/>
        </w:rPr>
        <w:t>Chapter 12 in Handbook of Financial Econometrics, eds. Y. Ait- </w:t>
      </w:r>
      <w:r>
        <w:rPr>
          <w:i/>
          <w:sz w:val="20"/>
        </w:rPr>
        <w:t>Sahalia and L. Hansen, North-Holland. 2009</w:t>
      </w:r>
      <w:r>
        <w:rPr>
          <w:sz w:val="20"/>
        </w:rPr>
        <w:t>.</w:t>
      </w:r>
    </w:p>
    <w:p>
      <w:pPr>
        <w:pStyle w:val="BodyText"/>
        <w:spacing w:before="123"/>
        <w:ind w:left="873" w:right="2368"/>
      </w:pPr>
      <w:r>
        <w:rPr/>
        <w:t>Shafik, M. (2014), “Interpreting the yield curve: warning or opportunity?”, speech available at </w:t>
      </w:r>
      <w:hyperlink r:id="rId26">
        <w:r>
          <w:rPr>
            <w:color w:val="0000FF"/>
            <w:u w:val="single" w:color="0000FF"/>
          </w:rPr>
          <w:t>http://www.bankofengland.co.uk/publications/Documents/speeches/2015/speech818.pdf</w:t>
        </w:r>
      </w:hyperlink>
    </w:p>
    <w:p>
      <w:pPr>
        <w:spacing w:before="119"/>
        <w:ind w:left="873" w:right="1501" w:firstLine="0"/>
        <w:jc w:val="left"/>
        <w:rPr>
          <w:sz w:val="20"/>
        </w:rPr>
      </w:pPr>
      <w:r>
        <w:rPr>
          <w:sz w:val="20"/>
        </w:rPr>
        <w:t>Smith, T (2012), ‘Option-implied probability distributions for future inflation’, </w:t>
      </w:r>
      <w:r>
        <w:rPr>
          <w:i/>
          <w:sz w:val="20"/>
        </w:rPr>
        <w:t>Bank of England Quarterly </w:t>
      </w:r>
      <w:r>
        <w:rPr>
          <w:i/>
          <w:sz w:val="20"/>
        </w:rPr>
        <w:t>Bulletin, Vol. 52, No. 3</w:t>
      </w:r>
      <w:r>
        <w:rPr>
          <w:sz w:val="20"/>
        </w:rPr>
        <w:t>.</w:t>
      </w:r>
    </w:p>
    <w:p>
      <w:pPr>
        <w:pStyle w:val="BodyText"/>
        <w:spacing w:before="120"/>
        <w:ind w:left="873" w:right="1479"/>
      </w:pPr>
      <w:r>
        <w:rPr/>
        <w:t>Vlieghe, G. (2016), “Debt, Demographics and the Distribution of Income: New challenges for monetary policy”, speech available at </w:t>
      </w:r>
      <w:hyperlink r:id="rId27">
        <w:r>
          <w:rPr>
            <w:color w:val="0000FF"/>
            <w:u w:val="single" w:color="0000FF"/>
          </w:rPr>
          <w:t>http://www.bankofengland.co.uk/publications/Documents/speeches/2016/speech872.pdf</w:t>
        </w:r>
      </w:hyperlink>
    </w:p>
    <w:p>
      <w:pPr>
        <w:spacing w:before="120"/>
        <w:ind w:left="873" w:right="1046" w:firstLine="0"/>
        <w:jc w:val="left"/>
        <w:rPr>
          <w:sz w:val="20"/>
        </w:rPr>
      </w:pPr>
      <w:r>
        <w:rPr>
          <w:sz w:val="20"/>
        </w:rPr>
        <w:t>Weale, M. and T. Wieladeck (2016), “What are the macroeconomic effects of asset purchases?”, </w:t>
      </w:r>
      <w:r>
        <w:rPr>
          <w:i/>
          <w:sz w:val="20"/>
        </w:rPr>
        <w:t>Journal of </w:t>
      </w:r>
      <w:r>
        <w:rPr>
          <w:i/>
          <w:sz w:val="20"/>
        </w:rPr>
        <w:t>Monetary Economics, vol. 79</w:t>
      </w:r>
      <w:r>
        <w:rPr>
          <w:sz w:val="20"/>
        </w:rPr>
        <w:t>.</w:t>
      </w:r>
    </w:p>
    <w:p>
      <w:pPr>
        <w:spacing w:before="118"/>
        <w:ind w:left="873" w:right="979" w:firstLine="0"/>
        <w:jc w:val="left"/>
        <w:rPr>
          <w:i/>
          <w:sz w:val="20"/>
        </w:rPr>
      </w:pPr>
      <w:r>
        <w:rPr>
          <w:sz w:val="20"/>
        </w:rPr>
        <w:t>Williams, J. (2014), “Monetary Policy at the Zero Lower Bound: Putting Theory into Practice.” </w:t>
      </w:r>
      <w:r>
        <w:rPr>
          <w:i/>
          <w:sz w:val="20"/>
        </w:rPr>
        <w:t>The Brookings </w:t>
      </w:r>
      <w:r>
        <w:rPr>
          <w:i/>
          <w:sz w:val="20"/>
        </w:rPr>
        <w:t>Institution, Hutchins Center Working Paper no. 3</w:t>
      </w:r>
    </w:p>
    <w:p>
      <w:pPr>
        <w:spacing w:after="0"/>
        <w:jc w:val="left"/>
        <w:rPr>
          <w:sz w:val="20"/>
        </w:rPr>
        <w:sectPr>
          <w:pgSz w:w="11910" w:h="16840"/>
          <w:pgMar w:header="0" w:footer="1334" w:top="1520" w:bottom="1520" w:left="260" w:right="240"/>
        </w:sectPr>
      </w:pPr>
    </w:p>
    <w:p>
      <w:pPr>
        <w:spacing w:before="76"/>
        <w:ind w:left="873" w:right="0" w:firstLine="0"/>
        <w:jc w:val="left"/>
        <w:rPr>
          <w:sz w:val="20"/>
        </w:rPr>
      </w:pPr>
      <w:r>
        <w:rPr>
          <w:sz w:val="20"/>
        </w:rPr>
        <w:t>Woodford M. (2003), “Interest and prices”, </w:t>
      </w:r>
      <w:r>
        <w:rPr>
          <w:i/>
          <w:sz w:val="20"/>
        </w:rPr>
        <w:t>Princeton University Press</w:t>
      </w:r>
      <w:r>
        <w:rPr>
          <w:sz w:val="20"/>
        </w:rPr>
        <w:t>.</w:t>
      </w:r>
    </w:p>
    <w:p>
      <w:pPr>
        <w:pStyle w:val="BodyText"/>
        <w:spacing w:line="229" w:lineRule="exact" w:before="121"/>
        <w:ind w:left="873"/>
      </w:pPr>
      <w:r>
        <w:rPr/>
        <w:t>Wright, J. (2012), ‘What does Monetary Policy do to Long-term Interest Rates at the Zero Lower Bound?’,</w:t>
      </w:r>
    </w:p>
    <w:p>
      <w:pPr>
        <w:spacing w:line="229" w:lineRule="exact" w:before="0"/>
        <w:ind w:left="873" w:right="0" w:firstLine="0"/>
        <w:jc w:val="left"/>
        <w:rPr>
          <w:sz w:val="20"/>
        </w:rPr>
      </w:pPr>
      <w:r>
        <w:rPr>
          <w:i/>
          <w:sz w:val="20"/>
        </w:rPr>
        <w:t>Economic Journal, vol. 122</w:t>
      </w:r>
      <w:r>
        <w:rPr>
          <w:sz w:val="20"/>
        </w:rPr>
        <w:t>.</w:t>
      </w:r>
    </w:p>
    <w:p>
      <w:pPr>
        <w:spacing w:after="0" w:line="229" w:lineRule="exact"/>
        <w:jc w:val="left"/>
        <w:rPr>
          <w:sz w:val="20"/>
        </w:rPr>
        <w:sectPr>
          <w:pgSz w:w="11910" w:h="16840"/>
          <w:pgMar w:header="0" w:footer="1334" w:top="1520" w:bottom="1520" w:left="260" w:right="24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9"/>
        <w:gridCol w:w="570"/>
        <w:gridCol w:w="520"/>
        <w:gridCol w:w="1714"/>
        <w:gridCol w:w="483"/>
        <w:gridCol w:w="1749"/>
        <w:gridCol w:w="545"/>
      </w:tblGrid>
      <w:tr>
        <w:trPr>
          <w:trHeight w:val="614"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54"/>
              <w:ind w:left="107" w:right="406"/>
              <w:rPr>
                <w:sz w:val="20"/>
              </w:rPr>
            </w:pPr>
            <w:r>
              <w:rPr>
                <w:b/>
                <w:sz w:val="20"/>
              </w:rPr>
              <w:t>Figure 1: </w:t>
            </w:r>
            <w:r>
              <w:rPr>
                <w:sz w:val="20"/>
              </w:rPr>
              <w:t>Nominal 10 year zero-coupon spot yield on UK government bonds</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2" w:lineRule="auto" w:before="54"/>
              <w:ind w:left="107" w:right="118"/>
              <w:rPr>
                <w:sz w:val="20"/>
              </w:rPr>
            </w:pPr>
            <w:r>
              <w:rPr>
                <w:b/>
                <w:sz w:val="20"/>
              </w:rPr>
              <w:t>Figure 2: </w:t>
            </w:r>
            <w:r>
              <w:rPr>
                <w:sz w:val="20"/>
              </w:rPr>
              <w:t>Real and inflation breakeven 10 year zero-coupon spot yields on UK government bonds</w:t>
            </w:r>
          </w:p>
        </w:tc>
      </w:tr>
      <w:tr>
        <w:trPr>
          <w:trHeight w:val="360" w:hRule="atLeast"/>
        </w:trPr>
        <w:tc>
          <w:tcPr>
            <w:tcW w:w="5579" w:type="dxa"/>
            <w:tcBorders>
              <w:top w:val="single" w:sz="4" w:space="0" w:color="000000"/>
              <w:left w:val="single" w:sz="4" w:space="0" w:color="000000"/>
              <w:right w:val="single" w:sz="4" w:space="0" w:color="000000"/>
            </w:tcBorders>
          </w:tcPr>
          <w:p>
            <w:pPr>
              <w:pStyle w:val="TableParagraph"/>
              <w:spacing w:before="101"/>
              <w:ind w:right="139"/>
              <w:jc w:val="right"/>
              <w:rPr>
                <w:sz w:val="16"/>
              </w:rPr>
            </w:pPr>
            <w:r>
              <w:rPr>
                <w:sz w:val="16"/>
              </w:rPr>
              <w:t>18</w:t>
            </w:r>
          </w:p>
        </w:tc>
        <w:tc>
          <w:tcPr>
            <w:tcW w:w="570" w:type="dxa"/>
            <w:tcBorders>
              <w:top w:val="single" w:sz="4" w:space="0" w:color="000000"/>
              <w:left w:val="single" w:sz="4" w:space="0" w:color="000000"/>
            </w:tcBorders>
          </w:tcPr>
          <w:p>
            <w:pPr>
              <w:pStyle w:val="TableParagraph"/>
              <w:rPr>
                <w:rFonts w:ascii="Times New Roman"/>
                <w:sz w:val="16"/>
              </w:rPr>
            </w:pPr>
          </w:p>
        </w:tc>
        <w:tc>
          <w:tcPr>
            <w:tcW w:w="520" w:type="dxa"/>
            <w:tcBorders>
              <w:top w:val="single" w:sz="4" w:space="0" w:color="000000"/>
            </w:tcBorders>
          </w:tcPr>
          <w:p>
            <w:pPr>
              <w:pStyle w:val="TableParagraph"/>
              <w:rPr>
                <w:rFonts w:ascii="Times New Roman"/>
                <w:sz w:val="16"/>
              </w:rPr>
            </w:pPr>
          </w:p>
        </w:tc>
        <w:tc>
          <w:tcPr>
            <w:tcW w:w="1714" w:type="dxa"/>
            <w:tcBorders>
              <w:top w:val="single" w:sz="4" w:space="0" w:color="000000"/>
            </w:tcBorders>
          </w:tcPr>
          <w:p>
            <w:pPr>
              <w:pStyle w:val="TableParagraph"/>
              <w:tabs>
                <w:tab w:pos="493" w:val="left" w:leader="none"/>
              </w:tabs>
              <w:spacing w:line="173" w:lineRule="exact" w:before="167"/>
              <w:ind w:left="70"/>
              <w:rPr>
                <w:sz w:val="16"/>
              </w:rPr>
            </w:pPr>
            <w:r>
              <w:rPr>
                <w:w w:val="100"/>
                <w:position w:val="7"/>
                <w:sz w:val="16"/>
                <w:u w:val="thick" w:color="4F81BC"/>
              </w:rPr>
              <w:t> </w:t>
            </w:r>
            <w:r>
              <w:rPr>
                <w:position w:val="7"/>
                <w:sz w:val="16"/>
                <w:u w:val="thick" w:color="4F81BC"/>
              </w:rPr>
              <w:tab/>
            </w:r>
            <w:r>
              <w:rPr>
                <w:sz w:val="16"/>
              </w:rPr>
              <w:t>Nominal</w:t>
            </w:r>
          </w:p>
        </w:tc>
        <w:tc>
          <w:tcPr>
            <w:tcW w:w="483" w:type="dxa"/>
            <w:tcBorders>
              <w:top w:val="single" w:sz="4" w:space="0" w:color="000000"/>
            </w:tcBorders>
          </w:tcPr>
          <w:p>
            <w:pPr>
              <w:pStyle w:val="TableParagraph"/>
              <w:spacing w:before="6"/>
              <w:rPr>
                <w:sz w:val="14"/>
              </w:rPr>
            </w:pPr>
          </w:p>
          <w:p>
            <w:pPr>
              <w:pStyle w:val="TableParagraph"/>
              <w:spacing w:line="173" w:lineRule="exact"/>
              <w:ind w:left="7"/>
              <w:rPr>
                <w:sz w:val="16"/>
              </w:rPr>
            </w:pPr>
            <w:r>
              <w:rPr>
                <w:sz w:val="16"/>
              </w:rPr>
              <w:t>Real</w:t>
            </w:r>
          </w:p>
        </w:tc>
        <w:tc>
          <w:tcPr>
            <w:tcW w:w="1749" w:type="dxa"/>
            <w:tcBorders>
              <w:top w:val="single" w:sz="4" w:space="0" w:color="000000"/>
            </w:tcBorders>
          </w:tcPr>
          <w:p>
            <w:pPr>
              <w:pStyle w:val="TableParagraph"/>
              <w:spacing w:before="6"/>
              <w:rPr>
                <w:sz w:val="14"/>
              </w:rPr>
            </w:pPr>
          </w:p>
          <w:p>
            <w:pPr>
              <w:pStyle w:val="TableParagraph"/>
              <w:spacing w:line="173" w:lineRule="exact"/>
              <w:ind w:left="493"/>
              <w:rPr>
                <w:sz w:val="16"/>
              </w:rPr>
            </w:pPr>
            <w:r>
              <w:rPr>
                <w:sz w:val="16"/>
              </w:rPr>
              <w:t>Inflation BE</w:t>
            </w:r>
          </w:p>
        </w:tc>
        <w:tc>
          <w:tcPr>
            <w:tcW w:w="545" w:type="dxa"/>
            <w:tcBorders>
              <w:top w:val="single" w:sz="4" w:space="0" w:color="000000"/>
              <w:right w:val="single" w:sz="4" w:space="0" w:color="000000"/>
            </w:tcBorders>
          </w:tcPr>
          <w:p>
            <w:pPr>
              <w:pStyle w:val="TableParagraph"/>
              <w:spacing w:before="90"/>
              <w:ind w:left="197"/>
              <w:rPr>
                <w:sz w:val="16"/>
              </w:rPr>
            </w:pPr>
            <w:r>
              <w:rPr>
                <w:sz w:val="16"/>
              </w:rPr>
              <w:t>18</w:t>
            </w:r>
          </w:p>
        </w:tc>
      </w:tr>
      <w:tr>
        <w:trPr>
          <w:trHeight w:val="268" w:hRule="atLeast"/>
        </w:trPr>
        <w:tc>
          <w:tcPr>
            <w:tcW w:w="5579" w:type="dxa"/>
            <w:tcBorders>
              <w:left w:val="single" w:sz="4" w:space="0" w:color="000000"/>
              <w:right w:val="single" w:sz="4" w:space="0" w:color="000000"/>
            </w:tcBorders>
          </w:tcPr>
          <w:p>
            <w:pPr>
              <w:pStyle w:val="TableParagraph"/>
              <w:spacing w:line="176" w:lineRule="exact" w:before="72"/>
              <w:ind w:right="139"/>
              <w:jc w:val="right"/>
              <w:rPr>
                <w:sz w:val="16"/>
              </w:rPr>
            </w:pPr>
            <w:r>
              <w:rPr>
                <w:sz w:val="16"/>
              </w:rPr>
              <w:t>16</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4"/>
              <w:ind w:left="197"/>
              <w:rPr>
                <w:sz w:val="16"/>
              </w:rPr>
            </w:pPr>
            <w:r>
              <w:rPr>
                <w:sz w:val="16"/>
              </w:rPr>
              <w:t>16</w:t>
            </w:r>
          </w:p>
        </w:tc>
      </w:tr>
      <w:tr>
        <w:trPr>
          <w:trHeight w:val="468" w:hRule="atLeast"/>
        </w:trPr>
        <w:tc>
          <w:tcPr>
            <w:tcW w:w="5579" w:type="dxa"/>
            <w:tcBorders>
              <w:left w:val="single" w:sz="4" w:space="0" w:color="000000"/>
              <w:right w:val="single" w:sz="4" w:space="0" w:color="000000"/>
            </w:tcBorders>
          </w:tcPr>
          <w:p>
            <w:pPr>
              <w:pStyle w:val="TableParagraph"/>
              <w:spacing w:before="135"/>
              <w:ind w:right="139"/>
              <w:jc w:val="right"/>
              <w:rPr>
                <w:sz w:val="16"/>
              </w:rPr>
            </w:pPr>
            <w:r>
              <w:rPr>
                <w:sz w:val="16"/>
              </w:rPr>
              <w:t>14</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7"/>
              <w:ind w:left="197"/>
              <w:rPr>
                <w:sz w:val="16"/>
              </w:rPr>
            </w:pPr>
            <w:r>
              <w:rPr>
                <w:sz w:val="16"/>
              </w:rPr>
              <w:t>14</w:t>
            </w:r>
          </w:p>
          <w:p>
            <w:pPr>
              <w:pStyle w:val="TableParagraph"/>
              <w:spacing w:line="167" w:lineRule="exact" w:before="90"/>
              <w:ind w:left="197"/>
              <w:rPr>
                <w:sz w:val="16"/>
              </w:rPr>
            </w:pPr>
            <w:r>
              <w:rPr>
                <w:sz w:val="16"/>
              </w:rPr>
              <w:t>12</w:t>
            </w:r>
          </w:p>
        </w:tc>
      </w:tr>
      <w:tr>
        <w:trPr>
          <w:trHeight w:val="302" w:hRule="atLeast"/>
        </w:trPr>
        <w:tc>
          <w:tcPr>
            <w:tcW w:w="5579" w:type="dxa"/>
            <w:tcBorders>
              <w:left w:val="single" w:sz="4" w:space="0" w:color="000000"/>
              <w:right w:val="single" w:sz="4" w:space="0" w:color="000000"/>
            </w:tcBorders>
          </w:tcPr>
          <w:p>
            <w:pPr>
              <w:pStyle w:val="TableParagraph"/>
              <w:spacing w:line="183" w:lineRule="exact"/>
              <w:ind w:right="139"/>
              <w:jc w:val="right"/>
              <w:rPr>
                <w:sz w:val="16"/>
              </w:rPr>
            </w:pPr>
            <w:r>
              <w:rPr>
                <w:sz w:val="16"/>
              </w:rPr>
              <w:t>12</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85"/>
              <w:ind w:left="197"/>
              <w:rPr>
                <w:sz w:val="16"/>
              </w:rPr>
            </w:pPr>
            <w:r>
              <w:rPr>
                <w:sz w:val="16"/>
              </w:rPr>
              <w:t>10</w:t>
            </w:r>
          </w:p>
        </w:tc>
      </w:tr>
      <w:tr>
        <w:trPr>
          <w:trHeight w:val="286" w:hRule="atLeast"/>
        </w:trPr>
        <w:tc>
          <w:tcPr>
            <w:tcW w:w="5579" w:type="dxa"/>
            <w:tcBorders>
              <w:left w:val="single" w:sz="4" w:space="0" w:color="000000"/>
              <w:right w:val="single" w:sz="4" w:space="0" w:color="000000"/>
            </w:tcBorders>
          </w:tcPr>
          <w:p>
            <w:pPr>
              <w:pStyle w:val="TableParagraph"/>
              <w:spacing w:before="28"/>
              <w:ind w:right="139"/>
              <w:jc w:val="right"/>
              <w:rPr>
                <w:sz w:val="16"/>
              </w:rPr>
            </w:pPr>
            <w:r>
              <w:rPr>
                <w:sz w:val="16"/>
              </w:rPr>
              <w:t>10</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56"/>
              <w:ind w:left="197"/>
              <w:rPr>
                <w:sz w:val="16"/>
              </w:rPr>
            </w:pPr>
            <w:r>
              <w:rPr>
                <w:w w:val="100"/>
                <w:sz w:val="16"/>
              </w:rPr>
              <w:t>8</w:t>
            </w:r>
          </w:p>
        </w:tc>
      </w:tr>
      <w:tr>
        <w:trPr>
          <w:trHeight w:val="288" w:hRule="atLeast"/>
        </w:trPr>
        <w:tc>
          <w:tcPr>
            <w:tcW w:w="5579" w:type="dxa"/>
            <w:tcBorders>
              <w:left w:val="single" w:sz="4" w:space="0" w:color="000000"/>
              <w:right w:val="single" w:sz="4" w:space="0" w:color="000000"/>
            </w:tcBorders>
          </w:tcPr>
          <w:p>
            <w:pPr>
              <w:pStyle w:val="TableParagraph"/>
              <w:spacing w:before="73"/>
              <w:ind w:right="227"/>
              <w:jc w:val="right"/>
              <w:rPr>
                <w:sz w:val="16"/>
              </w:rPr>
            </w:pPr>
            <w:r>
              <w:rPr>
                <w:w w:val="100"/>
                <w:sz w:val="16"/>
              </w:rPr>
              <w:t>8</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42"/>
              <w:ind w:left="197"/>
              <w:rPr>
                <w:sz w:val="16"/>
              </w:rPr>
            </w:pPr>
            <w:r>
              <w:rPr>
                <w:w w:val="100"/>
                <w:sz w:val="16"/>
              </w:rPr>
              <w:t>6</w:t>
            </w:r>
          </w:p>
        </w:tc>
      </w:tr>
      <w:tr>
        <w:trPr>
          <w:trHeight w:val="302" w:hRule="atLeast"/>
        </w:trPr>
        <w:tc>
          <w:tcPr>
            <w:tcW w:w="5579" w:type="dxa"/>
            <w:tcBorders>
              <w:left w:val="single" w:sz="4" w:space="0" w:color="000000"/>
              <w:right w:val="single" w:sz="4" w:space="0" w:color="000000"/>
            </w:tcBorders>
          </w:tcPr>
          <w:p>
            <w:pPr>
              <w:pStyle w:val="TableParagraph"/>
              <w:spacing w:line="166" w:lineRule="exact" w:before="116"/>
              <w:ind w:right="227"/>
              <w:jc w:val="right"/>
              <w:rPr>
                <w:sz w:val="16"/>
              </w:rPr>
            </w:pPr>
            <w:r>
              <w:rPr>
                <w:w w:val="100"/>
                <w:sz w:val="16"/>
              </w:rPr>
              <w:t>6</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26"/>
              <w:ind w:left="197"/>
              <w:rPr>
                <w:sz w:val="16"/>
              </w:rPr>
            </w:pPr>
            <w:r>
              <w:rPr>
                <w:w w:val="100"/>
                <w:sz w:val="16"/>
              </w:rPr>
              <w:t>4</w:t>
            </w:r>
          </w:p>
        </w:tc>
      </w:tr>
      <w:tr>
        <w:trPr>
          <w:trHeight w:val="468" w:hRule="atLeast"/>
        </w:trPr>
        <w:tc>
          <w:tcPr>
            <w:tcW w:w="5579" w:type="dxa"/>
            <w:tcBorders>
              <w:left w:val="single" w:sz="4" w:space="0" w:color="000000"/>
              <w:right w:val="single" w:sz="4" w:space="0" w:color="000000"/>
            </w:tcBorders>
          </w:tcPr>
          <w:p>
            <w:pPr>
              <w:pStyle w:val="TableParagraph"/>
              <w:spacing w:before="146"/>
              <w:ind w:right="227"/>
              <w:jc w:val="right"/>
              <w:rPr>
                <w:sz w:val="16"/>
              </w:rPr>
            </w:pPr>
            <w:r>
              <w:rPr>
                <w:w w:val="100"/>
                <w:sz w:val="16"/>
              </w:rPr>
              <w:t>4</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line="181" w:lineRule="exact"/>
              <w:ind w:right="53"/>
              <w:jc w:val="center"/>
              <w:rPr>
                <w:sz w:val="16"/>
              </w:rPr>
            </w:pPr>
            <w:r>
              <w:rPr>
                <w:w w:val="100"/>
                <w:sz w:val="16"/>
              </w:rPr>
              <w:t>2</w:t>
            </w:r>
          </w:p>
          <w:p>
            <w:pPr>
              <w:pStyle w:val="TableParagraph"/>
              <w:spacing w:line="178" w:lineRule="exact" w:before="89"/>
              <w:ind w:right="53"/>
              <w:jc w:val="center"/>
              <w:rPr>
                <w:sz w:val="16"/>
              </w:rPr>
            </w:pPr>
            <w:r>
              <w:rPr>
                <w:w w:val="100"/>
                <w:sz w:val="16"/>
              </w:rPr>
              <w:t>0</w:t>
            </w:r>
          </w:p>
        </w:tc>
      </w:tr>
      <w:tr>
        <w:trPr>
          <w:trHeight w:val="302" w:hRule="atLeast"/>
        </w:trPr>
        <w:tc>
          <w:tcPr>
            <w:tcW w:w="5579" w:type="dxa"/>
            <w:tcBorders>
              <w:left w:val="single" w:sz="4" w:space="0" w:color="000000"/>
              <w:right w:val="single" w:sz="4" w:space="0" w:color="000000"/>
            </w:tcBorders>
          </w:tcPr>
          <w:p>
            <w:pPr>
              <w:pStyle w:val="TableParagraph"/>
              <w:spacing w:before="9"/>
              <w:ind w:right="227"/>
              <w:jc w:val="right"/>
              <w:rPr>
                <w:sz w:val="16"/>
              </w:rPr>
            </w:pPr>
            <w:r>
              <w:rPr>
                <w:w w:val="100"/>
                <w:sz w:val="16"/>
              </w:rPr>
              <w:t>2</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74"/>
              <w:ind w:left="197"/>
              <w:rPr>
                <w:sz w:val="16"/>
              </w:rPr>
            </w:pPr>
            <w:r>
              <w:rPr>
                <w:sz w:val="16"/>
              </w:rPr>
              <w:t>-2</w:t>
            </w:r>
          </w:p>
        </w:tc>
      </w:tr>
      <w:tr>
        <w:trPr>
          <w:trHeight w:val="231" w:hRule="atLeast"/>
        </w:trPr>
        <w:tc>
          <w:tcPr>
            <w:tcW w:w="5579" w:type="dxa"/>
            <w:tcBorders>
              <w:left w:val="single" w:sz="4" w:space="0" w:color="000000"/>
              <w:right w:val="single" w:sz="4" w:space="0" w:color="000000"/>
            </w:tcBorders>
          </w:tcPr>
          <w:p>
            <w:pPr>
              <w:pStyle w:val="TableParagraph"/>
              <w:spacing w:line="173" w:lineRule="exact" w:before="39"/>
              <w:ind w:right="227"/>
              <w:jc w:val="right"/>
              <w:rPr>
                <w:sz w:val="16"/>
              </w:rPr>
            </w:pPr>
            <w:r>
              <w:rPr>
                <w:w w:val="100"/>
                <w:sz w:val="16"/>
              </w:rPr>
              <w:t>0</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line="167" w:lineRule="exact" w:before="45"/>
              <w:ind w:left="197"/>
              <w:rPr>
                <w:sz w:val="16"/>
              </w:rPr>
            </w:pPr>
            <w:r>
              <w:rPr>
                <w:sz w:val="16"/>
              </w:rPr>
              <w:t>-4</w:t>
            </w:r>
          </w:p>
        </w:tc>
      </w:tr>
      <w:tr>
        <w:trPr>
          <w:trHeight w:val="225" w:hRule="atLeast"/>
        </w:trPr>
        <w:tc>
          <w:tcPr>
            <w:tcW w:w="5579" w:type="dxa"/>
            <w:tcBorders>
              <w:left w:val="single" w:sz="4" w:space="0" w:color="000000"/>
              <w:bottom w:val="single" w:sz="4" w:space="0" w:color="000000"/>
              <w:right w:val="single" w:sz="4" w:space="0" w:color="000000"/>
            </w:tcBorders>
          </w:tcPr>
          <w:p>
            <w:pPr>
              <w:pStyle w:val="TableParagraph"/>
              <w:spacing w:line="182" w:lineRule="exact"/>
              <w:ind w:left="151"/>
              <w:rPr>
                <w:sz w:val="16"/>
              </w:rPr>
            </w:pPr>
            <w:r>
              <w:rPr>
                <w:sz w:val="16"/>
              </w:rPr>
              <w:t>972 1977 1982 1987 1992 1997 2002 2007 2012</w:t>
            </w:r>
          </w:p>
        </w:tc>
        <w:tc>
          <w:tcPr>
            <w:tcW w:w="570" w:type="dxa"/>
            <w:tcBorders>
              <w:left w:val="single" w:sz="4" w:space="0" w:color="000000"/>
              <w:bottom w:val="single" w:sz="4" w:space="0" w:color="000000"/>
            </w:tcBorders>
          </w:tcPr>
          <w:p>
            <w:pPr>
              <w:pStyle w:val="TableParagraph"/>
              <w:spacing w:before="4"/>
              <w:ind w:left="94" w:right="61"/>
              <w:jc w:val="center"/>
              <w:rPr>
                <w:sz w:val="16"/>
              </w:rPr>
            </w:pPr>
            <w:r>
              <w:rPr>
                <w:sz w:val="16"/>
              </w:rPr>
              <w:t>1972</w:t>
            </w:r>
          </w:p>
        </w:tc>
        <w:tc>
          <w:tcPr>
            <w:tcW w:w="520" w:type="dxa"/>
            <w:tcBorders>
              <w:bottom w:val="single" w:sz="4" w:space="0" w:color="000000"/>
            </w:tcBorders>
          </w:tcPr>
          <w:p>
            <w:pPr>
              <w:pStyle w:val="TableParagraph"/>
              <w:spacing w:before="4"/>
              <w:ind w:left="72" w:right="42"/>
              <w:jc w:val="center"/>
              <w:rPr>
                <w:sz w:val="16"/>
              </w:rPr>
            </w:pPr>
            <w:r>
              <w:rPr>
                <w:sz w:val="16"/>
              </w:rPr>
              <w:t>1977</w:t>
            </w:r>
          </w:p>
        </w:tc>
        <w:tc>
          <w:tcPr>
            <w:tcW w:w="1714" w:type="dxa"/>
            <w:tcBorders>
              <w:bottom w:val="single" w:sz="4" w:space="0" w:color="000000"/>
            </w:tcBorders>
          </w:tcPr>
          <w:p>
            <w:pPr>
              <w:pStyle w:val="TableParagraph"/>
              <w:spacing w:before="4"/>
              <w:ind w:left="118"/>
              <w:rPr>
                <w:sz w:val="16"/>
              </w:rPr>
            </w:pPr>
            <w:r>
              <w:rPr>
                <w:sz w:val="16"/>
              </w:rPr>
              <w:t>1982 1987 1992</w:t>
            </w:r>
          </w:p>
        </w:tc>
        <w:tc>
          <w:tcPr>
            <w:tcW w:w="483" w:type="dxa"/>
            <w:tcBorders>
              <w:bottom w:val="single" w:sz="4" w:space="0" w:color="000000"/>
            </w:tcBorders>
          </w:tcPr>
          <w:p>
            <w:pPr>
              <w:pStyle w:val="TableParagraph"/>
              <w:spacing w:before="4"/>
              <w:ind w:left="27"/>
              <w:rPr>
                <w:sz w:val="16"/>
              </w:rPr>
            </w:pPr>
            <w:r>
              <w:rPr>
                <w:sz w:val="16"/>
              </w:rPr>
              <w:t>1997</w:t>
            </w:r>
          </w:p>
        </w:tc>
        <w:tc>
          <w:tcPr>
            <w:tcW w:w="1749" w:type="dxa"/>
            <w:tcBorders>
              <w:bottom w:val="single" w:sz="4" w:space="0" w:color="000000"/>
            </w:tcBorders>
          </w:tcPr>
          <w:p>
            <w:pPr>
              <w:pStyle w:val="TableParagraph"/>
              <w:spacing w:before="4"/>
              <w:ind w:left="84"/>
              <w:rPr>
                <w:sz w:val="16"/>
              </w:rPr>
            </w:pPr>
            <w:r>
              <w:rPr>
                <w:sz w:val="16"/>
              </w:rPr>
              <w:t>2002 2007 2012</w:t>
            </w:r>
          </w:p>
        </w:tc>
        <w:tc>
          <w:tcPr>
            <w:tcW w:w="545" w:type="dxa"/>
            <w:tcBorders>
              <w:bottom w:val="single" w:sz="4" w:space="0" w:color="000000"/>
              <w:right w:val="single" w:sz="4" w:space="0" w:color="000000"/>
            </w:tcBorders>
          </w:tcPr>
          <w:p>
            <w:pPr>
              <w:pStyle w:val="TableParagraph"/>
              <w:rPr>
                <w:rFonts w:ascii="Times New Roman"/>
                <w:sz w:val="16"/>
              </w:rPr>
            </w:pPr>
          </w:p>
        </w:tc>
      </w:tr>
      <w:tr>
        <w:trPr>
          <w:trHeight w:val="244"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before="27"/>
              <w:ind w:left="107"/>
              <w:rPr>
                <w:sz w:val="16"/>
              </w:rPr>
            </w:pPr>
            <w:r>
              <w:rPr>
                <w:sz w:val="16"/>
              </w:rPr>
              <w:t>Source: Bank of England</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7"/>
              <w:ind w:left="107"/>
              <w:rPr>
                <w:sz w:val="16"/>
              </w:rPr>
            </w:pPr>
            <w:r>
              <w:rPr>
                <w:sz w:val="16"/>
              </w:rPr>
              <w:t>Source: Bank of England</w:t>
            </w:r>
          </w:p>
        </w:tc>
      </w:tr>
      <w:tr>
        <w:trPr>
          <w:trHeight w:val="558"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before="57"/>
              <w:ind w:left="107" w:right="406"/>
              <w:rPr>
                <w:sz w:val="20"/>
              </w:rPr>
            </w:pPr>
            <w:r>
              <w:rPr>
                <w:b/>
                <w:sz w:val="20"/>
              </w:rPr>
              <w:t>Figure 3: </w:t>
            </w:r>
            <w:r>
              <w:rPr>
                <w:sz w:val="20"/>
              </w:rPr>
              <w:t>History of Bank rate and OIS instantaneous forward curves</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7"/>
              <w:ind w:left="107" w:right="430"/>
              <w:rPr>
                <w:sz w:val="20"/>
              </w:rPr>
            </w:pPr>
            <w:r>
              <w:rPr>
                <w:b/>
                <w:sz w:val="20"/>
              </w:rPr>
              <w:t>Figure 4: </w:t>
            </w:r>
            <w:r>
              <w:rPr>
                <w:sz w:val="20"/>
              </w:rPr>
              <w:t>Nominal 5 year zero-coupon spot and 5 year,5 year forward yields on UK government bonds</w:t>
            </w:r>
          </w:p>
        </w:tc>
      </w:tr>
      <w:tr>
        <w:trPr>
          <w:trHeight w:val="901" w:hRule="atLeast"/>
        </w:trPr>
        <w:tc>
          <w:tcPr>
            <w:tcW w:w="5579" w:type="dxa"/>
            <w:tcBorders>
              <w:top w:val="single" w:sz="4" w:space="0" w:color="000000"/>
              <w:left w:val="single" w:sz="4" w:space="0" w:color="000000"/>
              <w:right w:val="single" w:sz="4" w:space="0" w:color="000000"/>
            </w:tcBorders>
          </w:tcPr>
          <w:p>
            <w:pPr>
              <w:pStyle w:val="TableParagraph"/>
              <w:tabs>
                <w:tab w:pos="2237" w:val="left" w:leader="none"/>
                <w:tab w:pos="3519" w:val="left" w:leader="none"/>
                <w:tab w:pos="5411" w:val="right" w:leader="none"/>
              </w:tabs>
              <w:spacing w:before="85"/>
              <w:ind w:left="955"/>
              <w:rPr>
                <w:sz w:val="16"/>
              </w:rPr>
            </w:pPr>
            <w:r>
              <w:rPr>
                <w:sz w:val="16"/>
              </w:rPr>
              <w:t>1mth</w:t>
              <w:tab/>
              <w:t>Dec-09</w:t>
              <w:tab/>
              <w:t>Dec-10</w:t>
              <w:tab/>
            </w:r>
            <w:r>
              <w:rPr>
                <w:position w:val="1"/>
                <w:sz w:val="16"/>
              </w:rPr>
              <w:t>7</w:t>
            </w:r>
          </w:p>
          <w:p>
            <w:pPr>
              <w:pStyle w:val="TableParagraph"/>
              <w:tabs>
                <w:tab w:pos="2237" w:val="left" w:leader="none"/>
                <w:tab w:pos="3519" w:val="left" w:leader="none"/>
              </w:tabs>
              <w:spacing w:before="8"/>
              <w:ind w:left="955"/>
              <w:rPr>
                <w:sz w:val="16"/>
              </w:rPr>
            </w:pPr>
            <w:r>
              <w:rPr>
                <w:sz w:val="16"/>
              </w:rPr>
              <w:t>Dec-11</w:t>
              <w:tab/>
              <w:t>Dec-12</w:t>
              <w:tab/>
              <w:t>Dec-13</w:t>
            </w:r>
          </w:p>
          <w:p>
            <w:pPr>
              <w:pStyle w:val="TableParagraph"/>
              <w:tabs>
                <w:tab w:pos="2237" w:val="left" w:leader="none"/>
                <w:tab w:pos="5411" w:val="right" w:leader="none"/>
              </w:tabs>
              <w:spacing w:before="9"/>
              <w:ind w:left="955"/>
              <w:rPr>
                <w:sz w:val="16"/>
              </w:rPr>
            </w:pPr>
            <w:r>
              <w:rPr>
                <w:sz w:val="16"/>
              </w:rPr>
              <w:t>Dec-14</w:t>
              <w:tab/>
              <w:t>Dec-15</w:t>
              <w:tab/>
            </w:r>
            <w:r>
              <w:rPr>
                <w:position w:val="-2"/>
                <w:sz w:val="16"/>
              </w:rPr>
              <w:t>6</w:t>
            </w:r>
          </w:p>
        </w:tc>
        <w:tc>
          <w:tcPr>
            <w:tcW w:w="570" w:type="dxa"/>
            <w:tcBorders>
              <w:top w:val="single" w:sz="4" w:space="0" w:color="000000"/>
              <w:left w:val="single" w:sz="4" w:space="0" w:color="000000"/>
            </w:tcBorders>
          </w:tcPr>
          <w:p>
            <w:pPr>
              <w:pStyle w:val="TableParagraph"/>
              <w:rPr>
                <w:rFonts w:ascii="Times New Roman"/>
                <w:sz w:val="16"/>
              </w:rPr>
            </w:pPr>
          </w:p>
        </w:tc>
        <w:tc>
          <w:tcPr>
            <w:tcW w:w="520" w:type="dxa"/>
            <w:tcBorders>
              <w:top w:val="single" w:sz="4" w:space="0" w:color="000000"/>
            </w:tcBorders>
          </w:tcPr>
          <w:p>
            <w:pPr>
              <w:pStyle w:val="TableParagraph"/>
              <w:rPr>
                <w:rFonts w:ascii="Times New Roman"/>
                <w:sz w:val="16"/>
              </w:rPr>
            </w:pPr>
          </w:p>
        </w:tc>
        <w:tc>
          <w:tcPr>
            <w:tcW w:w="1714" w:type="dxa"/>
            <w:tcBorders>
              <w:top w:val="single" w:sz="4" w:space="0" w:color="000000"/>
            </w:tcBorders>
          </w:tcPr>
          <w:p>
            <w:pPr>
              <w:pStyle w:val="TableParagraph"/>
              <w:tabs>
                <w:tab w:pos="423" w:val="left" w:leader="none"/>
              </w:tabs>
              <w:spacing w:before="167"/>
              <w:ind w:right="56"/>
              <w:jc w:val="right"/>
              <w:rPr>
                <w:sz w:val="16"/>
              </w:rPr>
            </w:pPr>
            <w:r>
              <w:rPr>
                <w:w w:val="100"/>
                <w:position w:val="9"/>
                <w:sz w:val="16"/>
                <w:u w:val="thick" w:color="497DBA"/>
              </w:rPr>
              <w:t> </w:t>
            </w:r>
            <w:r>
              <w:rPr>
                <w:position w:val="9"/>
                <w:sz w:val="16"/>
                <w:u w:val="thick" w:color="497DBA"/>
              </w:rPr>
              <w:tab/>
            </w:r>
            <w:r>
              <w:rPr>
                <w:sz w:val="16"/>
              </w:rPr>
              <w:t>5 yr</w:t>
            </w:r>
            <w:r>
              <w:rPr>
                <w:spacing w:val="-4"/>
                <w:sz w:val="16"/>
              </w:rPr>
              <w:t> </w:t>
            </w:r>
            <w:r>
              <w:rPr>
                <w:sz w:val="16"/>
              </w:rPr>
              <w:t>spot</w:t>
            </w:r>
          </w:p>
        </w:tc>
        <w:tc>
          <w:tcPr>
            <w:tcW w:w="483" w:type="dxa"/>
            <w:tcBorders>
              <w:top w:val="single" w:sz="4" w:space="0" w:color="000000"/>
            </w:tcBorders>
          </w:tcPr>
          <w:p>
            <w:pPr>
              <w:pStyle w:val="TableParagraph"/>
              <w:rPr>
                <w:rFonts w:ascii="Times New Roman"/>
                <w:sz w:val="16"/>
              </w:rPr>
            </w:pPr>
          </w:p>
        </w:tc>
        <w:tc>
          <w:tcPr>
            <w:tcW w:w="1749" w:type="dxa"/>
            <w:tcBorders>
              <w:top w:val="single" w:sz="4" w:space="0" w:color="000000"/>
            </w:tcBorders>
          </w:tcPr>
          <w:p>
            <w:pPr>
              <w:pStyle w:val="TableParagraph"/>
              <w:spacing w:before="6"/>
              <w:rPr>
                <w:sz w:val="14"/>
              </w:rPr>
            </w:pPr>
          </w:p>
          <w:p>
            <w:pPr>
              <w:pStyle w:val="TableParagraph"/>
              <w:ind w:left="89"/>
              <w:rPr>
                <w:sz w:val="16"/>
              </w:rPr>
            </w:pPr>
            <w:r>
              <w:rPr>
                <w:sz w:val="16"/>
              </w:rPr>
              <w:t>5y,5y fwd</w:t>
            </w:r>
          </w:p>
        </w:tc>
        <w:tc>
          <w:tcPr>
            <w:tcW w:w="545" w:type="dxa"/>
            <w:tcBorders>
              <w:top w:val="single" w:sz="4" w:space="0" w:color="000000"/>
              <w:right w:val="single" w:sz="4" w:space="0" w:color="000000"/>
            </w:tcBorders>
          </w:tcPr>
          <w:p>
            <w:pPr>
              <w:pStyle w:val="TableParagraph"/>
              <w:spacing w:before="73"/>
              <w:ind w:left="231"/>
              <w:rPr>
                <w:sz w:val="16"/>
              </w:rPr>
            </w:pPr>
            <w:r>
              <w:rPr>
                <w:sz w:val="16"/>
              </w:rPr>
              <w:t>20</w:t>
            </w:r>
          </w:p>
          <w:p>
            <w:pPr>
              <w:pStyle w:val="TableParagraph"/>
              <w:spacing w:before="117"/>
              <w:ind w:left="231"/>
              <w:rPr>
                <w:sz w:val="16"/>
              </w:rPr>
            </w:pPr>
            <w:r>
              <w:rPr>
                <w:sz w:val="16"/>
              </w:rPr>
              <w:t>18</w:t>
            </w:r>
          </w:p>
          <w:p>
            <w:pPr>
              <w:pStyle w:val="TableParagraph"/>
              <w:spacing w:before="116"/>
              <w:ind w:left="231"/>
              <w:rPr>
                <w:sz w:val="16"/>
              </w:rPr>
            </w:pPr>
            <w:r>
              <w:rPr>
                <w:sz w:val="16"/>
              </w:rPr>
              <w:t>16</w:t>
            </w:r>
          </w:p>
        </w:tc>
      </w:tr>
      <w:tr>
        <w:trPr>
          <w:trHeight w:val="319" w:hRule="atLeast"/>
        </w:trPr>
        <w:tc>
          <w:tcPr>
            <w:tcW w:w="5579" w:type="dxa"/>
            <w:tcBorders>
              <w:left w:val="single" w:sz="4" w:space="0" w:color="000000"/>
              <w:right w:val="single" w:sz="4" w:space="0" w:color="000000"/>
            </w:tcBorders>
          </w:tcPr>
          <w:p>
            <w:pPr>
              <w:pStyle w:val="TableParagraph"/>
              <w:spacing w:before="38"/>
              <w:ind w:right="155"/>
              <w:jc w:val="right"/>
              <w:rPr>
                <w:sz w:val="16"/>
              </w:rPr>
            </w:pPr>
            <w:r>
              <w:rPr>
                <w:w w:val="100"/>
                <w:sz w:val="16"/>
              </w:rPr>
              <w:t>5</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75"/>
              <w:ind w:left="231"/>
              <w:rPr>
                <w:sz w:val="16"/>
              </w:rPr>
            </w:pPr>
            <w:r>
              <w:rPr>
                <w:sz w:val="16"/>
              </w:rPr>
              <w:t>14</w:t>
            </w:r>
          </w:p>
        </w:tc>
      </w:tr>
      <w:tr>
        <w:trPr>
          <w:trHeight w:val="347" w:hRule="atLeast"/>
        </w:trPr>
        <w:tc>
          <w:tcPr>
            <w:tcW w:w="5579" w:type="dxa"/>
            <w:tcBorders>
              <w:left w:val="single" w:sz="4" w:space="0" w:color="000000"/>
              <w:right w:val="single" w:sz="4" w:space="0" w:color="000000"/>
            </w:tcBorders>
          </w:tcPr>
          <w:p>
            <w:pPr>
              <w:pStyle w:val="TableParagraph"/>
              <w:spacing w:line="179" w:lineRule="exact" w:before="148"/>
              <w:ind w:right="155"/>
              <w:jc w:val="right"/>
              <w:rPr>
                <w:sz w:val="16"/>
              </w:rPr>
            </w:pPr>
            <w:r>
              <w:rPr>
                <w:w w:val="100"/>
                <w:sz w:val="16"/>
              </w:rPr>
              <w:t>4</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56"/>
              <w:ind w:left="231"/>
              <w:rPr>
                <w:sz w:val="16"/>
              </w:rPr>
            </w:pPr>
            <w:r>
              <w:rPr>
                <w:sz w:val="16"/>
              </w:rPr>
              <w:t>12</w:t>
            </w:r>
          </w:p>
        </w:tc>
      </w:tr>
      <w:tr>
        <w:trPr>
          <w:trHeight w:val="214" w:hRule="atLeast"/>
        </w:trPr>
        <w:tc>
          <w:tcPr>
            <w:tcW w:w="5579" w:type="dxa"/>
            <w:tcBorders>
              <w:left w:val="single" w:sz="4" w:space="0" w:color="000000"/>
              <w:right w:val="single" w:sz="4" w:space="0" w:color="000000"/>
            </w:tcBorders>
          </w:tcPr>
          <w:p>
            <w:pPr>
              <w:pStyle w:val="TableParagraph"/>
              <w:rPr>
                <w:rFonts w:ascii="Times New Roman"/>
                <w:sz w:val="14"/>
              </w:rPr>
            </w:pPr>
          </w:p>
        </w:tc>
        <w:tc>
          <w:tcPr>
            <w:tcW w:w="570" w:type="dxa"/>
            <w:tcBorders>
              <w:left w:val="single" w:sz="4" w:space="0" w:color="000000"/>
            </w:tcBorders>
          </w:tcPr>
          <w:p>
            <w:pPr>
              <w:pStyle w:val="TableParagraph"/>
              <w:rPr>
                <w:rFonts w:ascii="Times New Roman"/>
                <w:sz w:val="14"/>
              </w:rPr>
            </w:pPr>
          </w:p>
        </w:tc>
        <w:tc>
          <w:tcPr>
            <w:tcW w:w="520" w:type="dxa"/>
          </w:tcPr>
          <w:p>
            <w:pPr>
              <w:pStyle w:val="TableParagraph"/>
              <w:rPr>
                <w:rFonts w:ascii="Times New Roman"/>
                <w:sz w:val="14"/>
              </w:rPr>
            </w:pPr>
          </w:p>
        </w:tc>
        <w:tc>
          <w:tcPr>
            <w:tcW w:w="1714" w:type="dxa"/>
          </w:tcPr>
          <w:p>
            <w:pPr>
              <w:pStyle w:val="TableParagraph"/>
              <w:rPr>
                <w:rFonts w:ascii="Times New Roman"/>
                <w:sz w:val="14"/>
              </w:rPr>
            </w:pPr>
          </w:p>
        </w:tc>
        <w:tc>
          <w:tcPr>
            <w:tcW w:w="483" w:type="dxa"/>
          </w:tcPr>
          <w:p>
            <w:pPr>
              <w:pStyle w:val="TableParagraph"/>
              <w:rPr>
                <w:rFonts w:ascii="Times New Roman"/>
                <w:sz w:val="14"/>
              </w:rPr>
            </w:pPr>
          </w:p>
        </w:tc>
        <w:tc>
          <w:tcPr>
            <w:tcW w:w="1749" w:type="dxa"/>
          </w:tcPr>
          <w:p>
            <w:pPr>
              <w:pStyle w:val="TableParagraph"/>
              <w:rPr>
                <w:rFonts w:ascii="Times New Roman"/>
                <w:sz w:val="14"/>
              </w:rPr>
            </w:pPr>
          </w:p>
        </w:tc>
        <w:tc>
          <w:tcPr>
            <w:tcW w:w="545" w:type="dxa"/>
            <w:tcBorders>
              <w:right w:val="single" w:sz="4" w:space="0" w:color="000000"/>
            </w:tcBorders>
          </w:tcPr>
          <w:p>
            <w:pPr>
              <w:pStyle w:val="TableParagraph"/>
              <w:spacing w:before="10"/>
              <w:ind w:left="231"/>
              <w:rPr>
                <w:sz w:val="16"/>
              </w:rPr>
            </w:pPr>
            <w:r>
              <w:rPr>
                <w:sz w:val="16"/>
              </w:rPr>
              <w:t>10</w:t>
            </w:r>
          </w:p>
        </w:tc>
      </w:tr>
      <w:tr>
        <w:trPr>
          <w:trHeight w:val="341" w:hRule="atLeast"/>
        </w:trPr>
        <w:tc>
          <w:tcPr>
            <w:tcW w:w="5579" w:type="dxa"/>
            <w:tcBorders>
              <w:left w:val="single" w:sz="4" w:space="0" w:color="000000"/>
              <w:right w:val="single" w:sz="4" w:space="0" w:color="000000"/>
            </w:tcBorders>
          </w:tcPr>
          <w:p>
            <w:pPr>
              <w:pStyle w:val="TableParagraph"/>
              <w:spacing w:before="15"/>
              <w:ind w:right="155"/>
              <w:jc w:val="right"/>
              <w:rPr>
                <w:sz w:val="16"/>
              </w:rPr>
            </w:pPr>
            <w:r>
              <w:rPr>
                <w:w w:val="100"/>
                <w:sz w:val="16"/>
              </w:rPr>
              <w:t>3</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97"/>
              <w:ind w:left="231"/>
              <w:rPr>
                <w:sz w:val="16"/>
              </w:rPr>
            </w:pPr>
            <w:r>
              <w:rPr>
                <w:w w:val="100"/>
                <w:sz w:val="16"/>
              </w:rPr>
              <w:t>8</w:t>
            </w:r>
          </w:p>
        </w:tc>
      </w:tr>
      <w:tr>
        <w:trPr>
          <w:trHeight w:val="324" w:hRule="atLeast"/>
        </w:trPr>
        <w:tc>
          <w:tcPr>
            <w:tcW w:w="5579" w:type="dxa"/>
            <w:tcBorders>
              <w:left w:val="single" w:sz="4" w:space="0" w:color="000000"/>
              <w:right w:val="single" w:sz="4" w:space="0" w:color="000000"/>
            </w:tcBorders>
          </w:tcPr>
          <w:p>
            <w:pPr>
              <w:pStyle w:val="TableParagraph"/>
              <w:spacing w:before="103"/>
              <w:ind w:right="155"/>
              <w:jc w:val="right"/>
              <w:rPr>
                <w:sz w:val="16"/>
              </w:rPr>
            </w:pPr>
            <w:r>
              <w:rPr>
                <w:w w:val="100"/>
                <w:sz w:val="16"/>
              </w:rPr>
              <w:t>2</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56"/>
              <w:ind w:left="231"/>
              <w:rPr>
                <w:sz w:val="16"/>
              </w:rPr>
            </w:pPr>
            <w:r>
              <w:rPr>
                <w:w w:val="100"/>
                <w:sz w:val="16"/>
              </w:rPr>
              <w:t>6</w:t>
            </w:r>
          </w:p>
        </w:tc>
      </w:tr>
      <w:tr>
        <w:trPr>
          <w:trHeight w:val="214" w:hRule="atLeast"/>
        </w:trPr>
        <w:tc>
          <w:tcPr>
            <w:tcW w:w="5579" w:type="dxa"/>
            <w:tcBorders>
              <w:left w:val="single" w:sz="4" w:space="0" w:color="000000"/>
              <w:right w:val="single" w:sz="4" w:space="0" w:color="000000"/>
            </w:tcBorders>
          </w:tcPr>
          <w:p>
            <w:pPr>
              <w:pStyle w:val="TableParagraph"/>
              <w:rPr>
                <w:rFonts w:ascii="Times New Roman"/>
                <w:sz w:val="14"/>
              </w:rPr>
            </w:pPr>
          </w:p>
        </w:tc>
        <w:tc>
          <w:tcPr>
            <w:tcW w:w="570" w:type="dxa"/>
            <w:tcBorders>
              <w:left w:val="single" w:sz="4" w:space="0" w:color="000000"/>
            </w:tcBorders>
          </w:tcPr>
          <w:p>
            <w:pPr>
              <w:pStyle w:val="TableParagraph"/>
              <w:rPr>
                <w:rFonts w:ascii="Times New Roman"/>
                <w:sz w:val="14"/>
              </w:rPr>
            </w:pPr>
          </w:p>
        </w:tc>
        <w:tc>
          <w:tcPr>
            <w:tcW w:w="520" w:type="dxa"/>
          </w:tcPr>
          <w:p>
            <w:pPr>
              <w:pStyle w:val="TableParagraph"/>
              <w:rPr>
                <w:rFonts w:ascii="Times New Roman"/>
                <w:sz w:val="14"/>
              </w:rPr>
            </w:pPr>
          </w:p>
        </w:tc>
        <w:tc>
          <w:tcPr>
            <w:tcW w:w="1714" w:type="dxa"/>
          </w:tcPr>
          <w:p>
            <w:pPr>
              <w:pStyle w:val="TableParagraph"/>
              <w:rPr>
                <w:rFonts w:ascii="Times New Roman"/>
                <w:sz w:val="14"/>
              </w:rPr>
            </w:pPr>
          </w:p>
        </w:tc>
        <w:tc>
          <w:tcPr>
            <w:tcW w:w="483" w:type="dxa"/>
          </w:tcPr>
          <w:p>
            <w:pPr>
              <w:pStyle w:val="TableParagraph"/>
              <w:rPr>
                <w:rFonts w:ascii="Times New Roman"/>
                <w:sz w:val="14"/>
              </w:rPr>
            </w:pPr>
          </w:p>
        </w:tc>
        <w:tc>
          <w:tcPr>
            <w:tcW w:w="1749" w:type="dxa"/>
          </w:tcPr>
          <w:p>
            <w:pPr>
              <w:pStyle w:val="TableParagraph"/>
              <w:rPr>
                <w:rFonts w:ascii="Times New Roman"/>
                <w:sz w:val="14"/>
              </w:rPr>
            </w:pPr>
          </w:p>
        </w:tc>
        <w:tc>
          <w:tcPr>
            <w:tcW w:w="545" w:type="dxa"/>
            <w:tcBorders>
              <w:right w:val="single" w:sz="4" w:space="0" w:color="000000"/>
            </w:tcBorders>
          </w:tcPr>
          <w:p>
            <w:pPr>
              <w:pStyle w:val="TableParagraph"/>
              <w:spacing w:line="162" w:lineRule="exact" w:before="33"/>
              <w:ind w:left="231"/>
              <w:rPr>
                <w:sz w:val="16"/>
              </w:rPr>
            </w:pPr>
            <w:r>
              <w:rPr>
                <w:w w:val="100"/>
                <w:sz w:val="16"/>
              </w:rPr>
              <w:t>4</w:t>
            </w:r>
          </w:p>
        </w:tc>
      </w:tr>
      <w:tr>
        <w:trPr>
          <w:trHeight w:val="364" w:hRule="atLeast"/>
        </w:trPr>
        <w:tc>
          <w:tcPr>
            <w:tcW w:w="5579" w:type="dxa"/>
            <w:tcBorders>
              <w:left w:val="single" w:sz="4" w:space="0" w:color="000000"/>
              <w:right w:val="single" w:sz="4" w:space="0" w:color="000000"/>
            </w:tcBorders>
          </w:tcPr>
          <w:p>
            <w:pPr>
              <w:pStyle w:val="TableParagraph"/>
              <w:spacing w:line="177" w:lineRule="exact"/>
              <w:ind w:right="155"/>
              <w:jc w:val="right"/>
              <w:rPr>
                <w:sz w:val="16"/>
              </w:rPr>
            </w:pPr>
            <w:r>
              <w:rPr>
                <w:w w:val="100"/>
                <w:sz w:val="16"/>
              </w:rPr>
              <w:t>1</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119"/>
              <w:ind w:left="231"/>
              <w:rPr>
                <w:sz w:val="16"/>
              </w:rPr>
            </w:pPr>
            <w:r>
              <w:rPr>
                <w:w w:val="100"/>
                <w:sz w:val="16"/>
              </w:rPr>
              <w:t>2</w:t>
            </w:r>
          </w:p>
        </w:tc>
      </w:tr>
      <w:tr>
        <w:trPr>
          <w:trHeight w:val="247" w:hRule="atLeast"/>
        </w:trPr>
        <w:tc>
          <w:tcPr>
            <w:tcW w:w="5579" w:type="dxa"/>
            <w:tcBorders>
              <w:left w:val="single" w:sz="4" w:space="0" w:color="000000"/>
              <w:right w:val="single" w:sz="4" w:space="0" w:color="000000"/>
            </w:tcBorders>
          </w:tcPr>
          <w:p>
            <w:pPr>
              <w:pStyle w:val="TableParagraph"/>
              <w:spacing w:line="168" w:lineRule="exact" w:before="58"/>
              <w:ind w:right="191"/>
              <w:jc w:val="right"/>
              <w:rPr>
                <w:sz w:val="16"/>
              </w:rPr>
            </w:pPr>
            <w:r>
              <w:rPr>
                <w:w w:val="100"/>
                <w:sz w:val="16"/>
              </w:rPr>
              <w:t>-</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line="171" w:lineRule="exact" w:before="56"/>
              <w:ind w:left="231"/>
              <w:rPr>
                <w:sz w:val="16"/>
              </w:rPr>
            </w:pPr>
            <w:r>
              <w:rPr>
                <w:w w:val="100"/>
                <w:sz w:val="16"/>
              </w:rPr>
              <w:t>0</w:t>
            </w:r>
          </w:p>
        </w:tc>
      </w:tr>
      <w:tr>
        <w:trPr>
          <w:trHeight w:val="229" w:hRule="atLeast"/>
        </w:trPr>
        <w:tc>
          <w:tcPr>
            <w:tcW w:w="5579" w:type="dxa"/>
            <w:tcBorders>
              <w:left w:val="single" w:sz="4" w:space="0" w:color="000000"/>
              <w:bottom w:val="single" w:sz="4" w:space="0" w:color="000000"/>
              <w:right w:val="single" w:sz="4" w:space="0" w:color="000000"/>
            </w:tcBorders>
          </w:tcPr>
          <w:p>
            <w:pPr>
              <w:pStyle w:val="TableParagraph"/>
              <w:tabs>
                <w:tab w:pos="1158" w:val="left" w:leader="none"/>
                <w:tab w:pos="2089" w:val="left" w:leader="none"/>
                <w:tab w:pos="3019" w:val="left" w:leader="none"/>
                <w:tab w:pos="3950" w:val="left" w:leader="none"/>
                <w:tab w:pos="4880" w:val="left" w:leader="none"/>
              </w:tabs>
              <w:spacing w:before="2"/>
              <w:ind w:left="228"/>
              <w:rPr>
                <w:sz w:val="16"/>
              </w:rPr>
            </w:pPr>
            <w:r>
              <w:rPr>
                <w:sz w:val="16"/>
              </w:rPr>
              <w:t>Dec-05</w:t>
              <w:tab/>
              <w:t>Dec-08</w:t>
              <w:tab/>
              <w:t>Dec-11</w:t>
              <w:tab/>
              <w:t>Dec-14</w:t>
              <w:tab/>
              <w:t>Dec-17</w:t>
              <w:tab/>
              <w:t>Dec-20</w:t>
            </w:r>
          </w:p>
        </w:tc>
        <w:tc>
          <w:tcPr>
            <w:tcW w:w="570" w:type="dxa"/>
            <w:tcBorders>
              <w:left w:val="single" w:sz="4" w:space="0" w:color="000000"/>
              <w:bottom w:val="single" w:sz="4" w:space="0" w:color="000000"/>
            </w:tcBorders>
          </w:tcPr>
          <w:p>
            <w:pPr>
              <w:pStyle w:val="TableParagraph"/>
              <w:spacing w:line="184" w:lineRule="exact"/>
              <w:ind w:left="94" w:right="61"/>
              <w:jc w:val="center"/>
              <w:rPr>
                <w:sz w:val="16"/>
              </w:rPr>
            </w:pPr>
            <w:r>
              <w:rPr>
                <w:sz w:val="16"/>
              </w:rPr>
              <w:t>1972</w:t>
            </w:r>
          </w:p>
        </w:tc>
        <w:tc>
          <w:tcPr>
            <w:tcW w:w="520" w:type="dxa"/>
            <w:tcBorders>
              <w:bottom w:val="single" w:sz="4" w:space="0" w:color="000000"/>
            </w:tcBorders>
          </w:tcPr>
          <w:p>
            <w:pPr>
              <w:pStyle w:val="TableParagraph"/>
              <w:spacing w:line="184" w:lineRule="exact"/>
              <w:ind w:left="75" w:right="35"/>
              <w:jc w:val="center"/>
              <w:rPr>
                <w:sz w:val="16"/>
              </w:rPr>
            </w:pPr>
            <w:r>
              <w:rPr>
                <w:sz w:val="16"/>
              </w:rPr>
              <w:t>1977</w:t>
            </w:r>
          </w:p>
        </w:tc>
        <w:tc>
          <w:tcPr>
            <w:tcW w:w="1714" w:type="dxa"/>
            <w:tcBorders>
              <w:bottom w:val="single" w:sz="4" w:space="0" w:color="000000"/>
            </w:tcBorders>
          </w:tcPr>
          <w:p>
            <w:pPr>
              <w:pStyle w:val="TableParagraph"/>
              <w:spacing w:line="184" w:lineRule="exact"/>
              <w:ind w:left="128"/>
              <w:rPr>
                <w:sz w:val="16"/>
              </w:rPr>
            </w:pPr>
            <w:r>
              <w:rPr>
                <w:sz w:val="16"/>
              </w:rPr>
              <w:t>1982 1987 1992</w:t>
            </w:r>
          </w:p>
        </w:tc>
        <w:tc>
          <w:tcPr>
            <w:tcW w:w="483" w:type="dxa"/>
            <w:tcBorders>
              <w:bottom w:val="single" w:sz="4" w:space="0" w:color="000000"/>
            </w:tcBorders>
          </w:tcPr>
          <w:p>
            <w:pPr>
              <w:pStyle w:val="TableParagraph"/>
              <w:spacing w:line="184" w:lineRule="exact"/>
              <w:ind w:left="51"/>
              <w:rPr>
                <w:sz w:val="16"/>
              </w:rPr>
            </w:pPr>
            <w:r>
              <w:rPr>
                <w:sz w:val="16"/>
              </w:rPr>
              <w:t>1997</w:t>
            </w:r>
          </w:p>
        </w:tc>
        <w:tc>
          <w:tcPr>
            <w:tcW w:w="1749" w:type="dxa"/>
            <w:tcBorders>
              <w:bottom w:val="single" w:sz="4" w:space="0" w:color="000000"/>
            </w:tcBorders>
          </w:tcPr>
          <w:p>
            <w:pPr>
              <w:pStyle w:val="TableParagraph"/>
              <w:spacing w:line="184" w:lineRule="exact"/>
              <w:ind w:left="114"/>
              <w:rPr>
                <w:sz w:val="16"/>
              </w:rPr>
            </w:pPr>
            <w:r>
              <w:rPr>
                <w:sz w:val="16"/>
              </w:rPr>
              <w:t>2002 2007 2012</w:t>
            </w:r>
          </w:p>
        </w:tc>
        <w:tc>
          <w:tcPr>
            <w:tcW w:w="545" w:type="dxa"/>
            <w:tcBorders>
              <w:bottom w:val="single" w:sz="4" w:space="0" w:color="000000"/>
              <w:right w:val="single" w:sz="4" w:space="0" w:color="000000"/>
            </w:tcBorders>
          </w:tcPr>
          <w:p>
            <w:pPr>
              <w:pStyle w:val="TableParagraph"/>
              <w:rPr>
                <w:rFonts w:ascii="Times New Roman"/>
                <w:sz w:val="16"/>
              </w:rPr>
            </w:pPr>
          </w:p>
        </w:tc>
      </w:tr>
      <w:tr>
        <w:trPr>
          <w:trHeight w:val="244"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before="27"/>
              <w:ind w:left="107"/>
              <w:rPr>
                <w:sz w:val="16"/>
              </w:rPr>
            </w:pPr>
            <w:r>
              <w:rPr>
                <w:sz w:val="16"/>
              </w:rPr>
              <w:t>Source: Bank of England</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before="27"/>
              <w:ind w:left="107"/>
              <w:rPr>
                <w:sz w:val="16"/>
              </w:rPr>
            </w:pPr>
            <w:r>
              <w:rPr>
                <w:sz w:val="16"/>
              </w:rPr>
              <w:t>Source: Bank of England</w:t>
            </w:r>
          </w:p>
        </w:tc>
      </w:tr>
      <w:tr>
        <w:trPr>
          <w:trHeight w:val="558"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before="57"/>
              <w:ind w:left="107" w:right="428"/>
              <w:rPr>
                <w:sz w:val="20"/>
              </w:rPr>
            </w:pPr>
            <w:r>
              <w:rPr>
                <w:b/>
                <w:sz w:val="20"/>
              </w:rPr>
              <w:t>Figure 5: </w:t>
            </w:r>
            <w:r>
              <w:rPr>
                <w:sz w:val="20"/>
              </w:rPr>
              <w:t>Nominal US and UK 10 year zero-coupon spot yields on government bonds</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7"/>
              <w:ind w:left="107" w:right="541"/>
              <w:rPr>
                <w:sz w:val="20"/>
              </w:rPr>
            </w:pPr>
            <w:r>
              <w:rPr>
                <w:b/>
                <w:sz w:val="20"/>
              </w:rPr>
              <w:t>Figure 6: </w:t>
            </w:r>
            <w:r>
              <w:rPr>
                <w:sz w:val="20"/>
              </w:rPr>
              <w:t>Nominal US and UK 1 year zero-coupon spot yields on government bonds</w:t>
            </w:r>
          </w:p>
        </w:tc>
      </w:tr>
      <w:tr>
        <w:trPr>
          <w:trHeight w:val="404" w:hRule="atLeast"/>
        </w:trPr>
        <w:tc>
          <w:tcPr>
            <w:tcW w:w="5579" w:type="dxa"/>
            <w:tcBorders>
              <w:top w:val="single" w:sz="4" w:space="0" w:color="000000"/>
              <w:left w:val="single" w:sz="4" w:space="0" w:color="000000"/>
              <w:right w:val="single" w:sz="4" w:space="0" w:color="000000"/>
            </w:tcBorders>
          </w:tcPr>
          <w:p>
            <w:pPr>
              <w:pStyle w:val="TableParagraph"/>
              <w:tabs>
                <w:tab w:pos="795" w:val="left" w:leader="none"/>
                <w:tab w:pos="2904" w:val="right" w:leader="none"/>
              </w:tabs>
              <w:spacing w:before="128"/>
              <w:ind w:right="91"/>
              <w:jc w:val="right"/>
              <w:rPr>
                <w:sz w:val="16"/>
              </w:rPr>
            </w:pPr>
            <w:r>
              <w:rPr>
                <w:sz w:val="16"/>
              </w:rPr>
              <w:t>UK</w:t>
              <w:tab/>
              <w:t>US</w:t>
              <w:tab/>
            </w:r>
            <w:r>
              <w:rPr>
                <w:position w:val="4"/>
                <w:sz w:val="16"/>
              </w:rPr>
              <w:t>18</w:t>
            </w:r>
          </w:p>
        </w:tc>
        <w:tc>
          <w:tcPr>
            <w:tcW w:w="570" w:type="dxa"/>
            <w:tcBorders>
              <w:top w:val="single" w:sz="4" w:space="0" w:color="000000"/>
              <w:left w:val="single" w:sz="4" w:space="0" w:color="000000"/>
            </w:tcBorders>
          </w:tcPr>
          <w:p>
            <w:pPr>
              <w:pStyle w:val="TableParagraph"/>
              <w:rPr>
                <w:rFonts w:ascii="Times New Roman"/>
                <w:sz w:val="16"/>
              </w:rPr>
            </w:pPr>
          </w:p>
        </w:tc>
        <w:tc>
          <w:tcPr>
            <w:tcW w:w="520" w:type="dxa"/>
            <w:tcBorders>
              <w:top w:val="single" w:sz="4" w:space="0" w:color="000000"/>
            </w:tcBorders>
          </w:tcPr>
          <w:p>
            <w:pPr>
              <w:pStyle w:val="TableParagraph"/>
              <w:rPr>
                <w:rFonts w:ascii="Times New Roman"/>
                <w:sz w:val="16"/>
              </w:rPr>
            </w:pPr>
          </w:p>
        </w:tc>
        <w:tc>
          <w:tcPr>
            <w:tcW w:w="1714" w:type="dxa"/>
            <w:tcBorders>
              <w:top w:val="single" w:sz="4" w:space="0" w:color="000000"/>
            </w:tcBorders>
          </w:tcPr>
          <w:p>
            <w:pPr>
              <w:pStyle w:val="TableParagraph"/>
              <w:tabs>
                <w:tab w:pos="423" w:val="left" w:leader="none"/>
              </w:tabs>
              <w:spacing w:before="168"/>
              <w:jc w:val="right"/>
              <w:rPr>
                <w:sz w:val="16"/>
              </w:rPr>
            </w:pPr>
            <w:r>
              <w:rPr>
                <w:w w:val="100"/>
                <w:position w:val="4"/>
                <w:sz w:val="16"/>
                <w:u w:val="thick" w:color="497DBA"/>
              </w:rPr>
              <w:t> </w:t>
            </w:r>
            <w:r>
              <w:rPr>
                <w:position w:val="4"/>
                <w:sz w:val="16"/>
                <w:u w:val="thick" w:color="497DBA"/>
              </w:rPr>
              <w:tab/>
            </w:r>
            <w:r>
              <w:rPr>
                <w:spacing w:val="-1"/>
                <w:sz w:val="16"/>
              </w:rPr>
              <w:t>UK</w:t>
            </w:r>
          </w:p>
        </w:tc>
        <w:tc>
          <w:tcPr>
            <w:tcW w:w="483" w:type="dxa"/>
            <w:tcBorders>
              <w:top w:val="single" w:sz="4" w:space="0" w:color="000000"/>
            </w:tcBorders>
          </w:tcPr>
          <w:p>
            <w:pPr>
              <w:pStyle w:val="TableParagraph"/>
              <w:rPr>
                <w:rFonts w:ascii="Times New Roman"/>
                <w:sz w:val="16"/>
              </w:rPr>
            </w:pPr>
          </w:p>
        </w:tc>
        <w:tc>
          <w:tcPr>
            <w:tcW w:w="1749" w:type="dxa"/>
            <w:tcBorders>
              <w:top w:val="single" w:sz="4" w:space="0" w:color="000000"/>
            </w:tcBorders>
          </w:tcPr>
          <w:p>
            <w:pPr>
              <w:pStyle w:val="TableParagraph"/>
              <w:spacing w:before="6"/>
              <w:rPr>
                <w:sz w:val="14"/>
              </w:rPr>
            </w:pPr>
          </w:p>
          <w:p>
            <w:pPr>
              <w:pStyle w:val="TableParagraph"/>
              <w:spacing w:before="1"/>
              <w:ind w:left="91"/>
              <w:rPr>
                <w:sz w:val="16"/>
              </w:rPr>
            </w:pPr>
            <w:r>
              <w:rPr>
                <w:sz w:val="16"/>
              </w:rPr>
              <w:t>US</w:t>
            </w:r>
          </w:p>
        </w:tc>
        <w:tc>
          <w:tcPr>
            <w:tcW w:w="545" w:type="dxa"/>
            <w:tcBorders>
              <w:top w:val="single" w:sz="4" w:space="0" w:color="000000"/>
              <w:right w:val="single" w:sz="4" w:space="0" w:color="000000"/>
            </w:tcBorders>
          </w:tcPr>
          <w:p>
            <w:pPr>
              <w:pStyle w:val="TableParagraph"/>
              <w:spacing w:before="131"/>
              <w:ind w:left="235"/>
              <w:rPr>
                <w:sz w:val="16"/>
              </w:rPr>
            </w:pPr>
            <w:r>
              <w:rPr>
                <w:sz w:val="16"/>
              </w:rPr>
              <w:t>18</w:t>
            </w:r>
          </w:p>
        </w:tc>
      </w:tr>
      <w:tr>
        <w:trPr>
          <w:trHeight w:val="302" w:hRule="atLeast"/>
        </w:trPr>
        <w:tc>
          <w:tcPr>
            <w:tcW w:w="5579" w:type="dxa"/>
            <w:tcBorders>
              <w:left w:val="single" w:sz="4" w:space="0" w:color="000000"/>
              <w:right w:val="single" w:sz="4" w:space="0" w:color="000000"/>
            </w:tcBorders>
          </w:tcPr>
          <w:p>
            <w:pPr>
              <w:pStyle w:val="TableParagraph"/>
              <w:spacing w:before="48"/>
              <w:ind w:right="91"/>
              <w:jc w:val="right"/>
              <w:rPr>
                <w:sz w:val="16"/>
              </w:rPr>
            </w:pPr>
            <w:r>
              <w:rPr>
                <w:sz w:val="16"/>
              </w:rPr>
              <w:t>16</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48"/>
              <w:ind w:left="235"/>
              <w:rPr>
                <w:sz w:val="16"/>
              </w:rPr>
            </w:pPr>
            <w:r>
              <w:rPr>
                <w:sz w:val="16"/>
              </w:rPr>
              <w:t>16</w:t>
            </w:r>
          </w:p>
        </w:tc>
      </w:tr>
      <w:tr>
        <w:trPr>
          <w:trHeight w:val="321" w:hRule="atLeast"/>
        </w:trPr>
        <w:tc>
          <w:tcPr>
            <w:tcW w:w="5579" w:type="dxa"/>
            <w:tcBorders>
              <w:left w:val="single" w:sz="4" w:space="0" w:color="000000"/>
              <w:right w:val="single" w:sz="4" w:space="0" w:color="000000"/>
            </w:tcBorders>
          </w:tcPr>
          <w:p>
            <w:pPr>
              <w:pStyle w:val="TableParagraph"/>
              <w:spacing w:before="66"/>
              <w:ind w:right="91"/>
              <w:jc w:val="right"/>
              <w:rPr>
                <w:sz w:val="16"/>
              </w:rPr>
            </w:pPr>
            <w:r>
              <w:rPr>
                <w:sz w:val="16"/>
              </w:rPr>
              <w:t>14</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sz w:val="16"/>
              </w:rPr>
              <w:t>14</w:t>
            </w:r>
          </w:p>
        </w:tc>
      </w:tr>
      <w:tr>
        <w:trPr>
          <w:trHeight w:val="321" w:hRule="atLeast"/>
        </w:trPr>
        <w:tc>
          <w:tcPr>
            <w:tcW w:w="5579" w:type="dxa"/>
            <w:tcBorders>
              <w:left w:val="single" w:sz="4" w:space="0" w:color="000000"/>
              <w:right w:val="single" w:sz="4" w:space="0" w:color="000000"/>
            </w:tcBorders>
          </w:tcPr>
          <w:p>
            <w:pPr>
              <w:pStyle w:val="TableParagraph"/>
              <w:spacing w:before="66"/>
              <w:ind w:right="91"/>
              <w:jc w:val="right"/>
              <w:rPr>
                <w:sz w:val="16"/>
              </w:rPr>
            </w:pPr>
            <w:r>
              <w:rPr>
                <w:sz w:val="16"/>
              </w:rPr>
              <w:t>12</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sz w:val="16"/>
              </w:rPr>
              <w:t>12</w:t>
            </w:r>
          </w:p>
        </w:tc>
      </w:tr>
      <w:tr>
        <w:trPr>
          <w:trHeight w:val="321" w:hRule="atLeast"/>
        </w:trPr>
        <w:tc>
          <w:tcPr>
            <w:tcW w:w="5579" w:type="dxa"/>
            <w:tcBorders>
              <w:left w:val="single" w:sz="4" w:space="0" w:color="000000"/>
              <w:right w:val="single" w:sz="4" w:space="0" w:color="000000"/>
            </w:tcBorders>
          </w:tcPr>
          <w:p>
            <w:pPr>
              <w:pStyle w:val="TableParagraph"/>
              <w:spacing w:before="66"/>
              <w:ind w:right="91"/>
              <w:jc w:val="right"/>
              <w:rPr>
                <w:sz w:val="16"/>
              </w:rPr>
            </w:pPr>
            <w:r>
              <w:rPr>
                <w:sz w:val="16"/>
              </w:rPr>
              <w:t>10</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sz w:val="16"/>
              </w:rPr>
              <w:t>10</w:t>
            </w:r>
          </w:p>
        </w:tc>
      </w:tr>
      <w:tr>
        <w:trPr>
          <w:trHeight w:val="321" w:hRule="atLeast"/>
        </w:trPr>
        <w:tc>
          <w:tcPr>
            <w:tcW w:w="5579" w:type="dxa"/>
            <w:tcBorders>
              <w:left w:val="single" w:sz="4" w:space="0" w:color="000000"/>
              <w:right w:val="single" w:sz="4" w:space="0" w:color="000000"/>
            </w:tcBorders>
          </w:tcPr>
          <w:p>
            <w:pPr>
              <w:pStyle w:val="TableParagraph"/>
              <w:spacing w:before="66"/>
              <w:ind w:right="181"/>
              <w:jc w:val="right"/>
              <w:rPr>
                <w:sz w:val="16"/>
              </w:rPr>
            </w:pPr>
            <w:r>
              <w:rPr>
                <w:w w:val="100"/>
                <w:sz w:val="16"/>
              </w:rPr>
              <w:t>8</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w w:val="100"/>
                <w:sz w:val="16"/>
              </w:rPr>
              <w:t>8</w:t>
            </w:r>
          </w:p>
        </w:tc>
      </w:tr>
      <w:tr>
        <w:trPr>
          <w:trHeight w:val="321" w:hRule="atLeast"/>
        </w:trPr>
        <w:tc>
          <w:tcPr>
            <w:tcW w:w="5579" w:type="dxa"/>
            <w:tcBorders>
              <w:left w:val="single" w:sz="4" w:space="0" w:color="000000"/>
              <w:right w:val="single" w:sz="4" w:space="0" w:color="000000"/>
            </w:tcBorders>
          </w:tcPr>
          <w:p>
            <w:pPr>
              <w:pStyle w:val="TableParagraph"/>
              <w:spacing w:before="66"/>
              <w:ind w:right="181"/>
              <w:jc w:val="right"/>
              <w:rPr>
                <w:sz w:val="16"/>
              </w:rPr>
            </w:pPr>
            <w:r>
              <w:rPr>
                <w:w w:val="100"/>
                <w:sz w:val="16"/>
              </w:rPr>
              <w:t>6</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w w:val="100"/>
                <w:sz w:val="16"/>
              </w:rPr>
              <w:t>6</w:t>
            </w:r>
          </w:p>
        </w:tc>
      </w:tr>
      <w:tr>
        <w:trPr>
          <w:trHeight w:val="321" w:hRule="atLeast"/>
        </w:trPr>
        <w:tc>
          <w:tcPr>
            <w:tcW w:w="5579" w:type="dxa"/>
            <w:tcBorders>
              <w:left w:val="single" w:sz="4" w:space="0" w:color="000000"/>
              <w:right w:val="single" w:sz="4" w:space="0" w:color="000000"/>
            </w:tcBorders>
          </w:tcPr>
          <w:p>
            <w:pPr>
              <w:pStyle w:val="TableParagraph"/>
              <w:spacing w:before="66"/>
              <w:ind w:right="181"/>
              <w:jc w:val="right"/>
              <w:rPr>
                <w:sz w:val="16"/>
              </w:rPr>
            </w:pPr>
            <w:r>
              <w:rPr>
                <w:w w:val="100"/>
                <w:sz w:val="16"/>
              </w:rPr>
              <w:t>4</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w w:val="100"/>
                <w:sz w:val="16"/>
              </w:rPr>
              <w:t>4</w:t>
            </w:r>
          </w:p>
        </w:tc>
      </w:tr>
      <w:tr>
        <w:trPr>
          <w:trHeight w:val="321" w:hRule="atLeast"/>
        </w:trPr>
        <w:tc>
          <w:tcPr>
            <w:tcW w:w="5579" w:type="dxa"/>
            <w:tcBorders>
              <w:left w:val="single" w:sz="4" w:space="0" w:color="000000"/>
              <w:right w:val="single" w:sz="4" w:space="0" w:color="000000"/>
            </w:tcBorders>
          </w:tcPr>
          <w:p>
            <w:pPr>
              <w:pStyle w:val="TableParagraph"/>
              <w:spacing w:before="66"/>
              <w:ind w:right="181"/>
              <w:jc w:val="right"/>
              <w:rPr>
                <w:sz w:val="16"/>
              </w:rPr>
            </w:pPr>
            <w:r>
              <w:rPr>
                <w:w w:val="100"/>
                <w:sz w:val="16"/>
              </w:rPr>
              <w:t>2</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before="66"/>
              <w:ind w:left="235"/>
              <w:rPr>
                <w:sz w:val="16"/>
              </w:rPr>
            </w:pPr>
            <w:r>
              <w:rPr>
                <w:w w:val="100"/>
                <w:sz w:val="16"/>
              </w:rPr>
              <w:t>2</w:t>
            </w:r>
          </w:p>
        </w:tc>
      </w:tr>
      <w:tr>
        <w:trPr>
          <w:trHeight w:val="256" w:hRule="atLeast"/>
        </w:trPr>
        <w:tc>
          <w:tcPr>
            <w:tcW w:w="5579" w:type="dxa"/>
            <w:tcBorders>
              <w:left w:val="single" w:sz="4" w:space="0" w:color="000000"/>
              <w:right w:val="single" w:sz="4" w:space="0" w:color="000000"/>
            </w:tcBorders>
          </w:tcPr>
          <w:p>
            <w:pPr>
              <w:pStyle w:val="TableParagraph"/>
              <w:spacing w:line="170" w:lineRule="exact" w:before="66"/>
              <w:ind w:right="181"/>
              <w:jc w:val="right"/>
              <w:rPr>
                <w:sz w:val="16"/>
              </w:rPr>
            </w:pPr>
            <w:r>
              <w:rPr>
                <w:w w:val="100"/>
                <w:sz w:val="16"/>
              </w:rPr>
              <w:t>0</w:t>
            </w:r>
          </w:p>
        </w:tc>
        <w:tc>
          <w:tcPr>
            <w:tcW w:w="570" w:type="dxa"/>
            <w:tcBorders>
              <w:left w:val="single" w:sz="4" w:space="0" w:color="000000"/>
            </w:tcBorders>
          </w:tcPr>
          <w:p>
            <w:pPr>
              <w:pStyle w:val="TableParagraph"/>
              <w:rPr>
                <w:rFonts w:ascii="Times New Roman"/>
                <w:sz w:val="16"/>
              </w:rPr>
            </w:pPr>
          </w:p>
        </w:tc>
        <w:tc>
          <w:tcPr>
            <w:tcW w:w="520" w:type="dxa"/>
          </w:tcPr>
          <w:p>
            <w:pPr>
              <w:pStyle w:val="TableParagraph"/>
              <w:rPr>
                <w:rFonts w:ascii="Times New Roman"/>
                <w:sz w:val="16"/>
              </w:rPr>
            </w:pPr>
          </w:p>
        </w:tc>
        <w:tc>
          <w:tcPr>
            <w:tcW w:w="1714" w:type="dxa"/>
          </w:tcPr>
          <w:p>
            <w:pPr>
              <w:pStyle w:val="TableParagraph"/>
              <w:rPr>
                <w:rFonts w:ascii="Times New Roman"/>
                <w:sz w:val="16"/>
              </w:rPr>
            </w:pPr>
          </w:p>
        </w:tc>
        <w:tc>
          <w:tcPr>
            <w:tcW w:w="483" w:type="dxa"/>
          </w:tcPr>
          <w:p>
            <w:pPr>
              <w:pStyle w:val="TableParagraph"/>
              <w:rPr>
                <w:rFonts w:ascii="Times New Roman"/>
                <w:sz w:val="16"/>
              </w:rPr>
            </w:pPr>
          </w:p>
        </w:tc>
        <w:tc>
          <w:tcPr>
            <w:tcW w:w="1749" w:type="dxa"/>
          </w:tcPr>
          <w:p>
            <w:pPr>
              <w:pStyle w:val="TableParagraph"/>
              <w:rPr>
                <w:rFonts w:ascii="Times New Roman"/>
                <w:sz w:val="16"/>
              </w:rPr>
            </w:pPr>
          </w:p>
        </w:tc>
        <w:tc>
          <w:tcPr>
            <w:tcW w:w="545" w:type="dxa"/>
            <w:tcBorders>
              <w:right w:val="single" w:sz="4" w:space="0" w:color="000000"/>
            </w:tcBorders>
          </w:tcPr>
          <w:p>
            <w:pPr>
              <w:pStyle w:val="TableParagraph"/>
              <w:spacing w:line="170" w:lineRule="exact" w:before="66"/>
              <w:ind w:left="235"/>
              <w:rPr>
                <w:sz w:val="16"/>
              </w:rPr>
            </w:pPr>
            <w:r>
              <w:rPr>
                <w:w w:val="100"/>
                <w:sz w:val="16"/>
              </w:rPr>
              <w:t>0</w:t>
            </w:r>
          </w:p>
        </w:tc>
      </w:tr>
      <w:tr>
        <w:trPr>
          <w:trHeight w:val="289" w:hRule="atLeast"/>
        </w:trPr>
        <w:tc>
          <w:tcPr>
            <w:tcW w:w="5579" w:type="dxa"/>
            <w:tcBorders>
              <w:left w:val="single" w:sz="4" w:space="0" w:color="000000"/>
              <w:bottom w:val="single" w:sz="4" w:space="0" w:color="000000"/>
              <w:right w:val="single" w:sz="4" w:space="0" w:color="000000"/>
            </w:tcBorders>
          </w:tcPr>
          <w:p>
            <w:pPr>
              <w:pStyle w:val="TableParagraph"/>
              <w:spacing w:before="1"/>
              <w:ind w:left="178"/>
              <w:rPr>
                <w:sz w:val="16"/>
              </w:rPr>
            </w:pPr>
            <w:r>
              <w:rPr>
                <w:sz w:val="16"/>
              </w:rPr>
              <w:t>1972 1977 1982 1987 1992 1997 2002 2007 2012</w:t>
            </w:r>
          </w:p>
        </w:tc>
        <w:tc>
          <w:tcPr>
            <w:tcW w:w="570" w:type="dxa"/>
            <w:tcBorders>
              <w:left w:val="single" w:sz="4" w:space="0" w:color="000000"/>
              <w:bottom w:val="single" w:sz="4" w:space="0" w:color="000000"/>
            </w:tcBorders>
          </w:tcPr>
          <w:p>
            <w:pPr>
              <w:pStyle w:val="TableParagraph"/>
              <w:spacing w:before="1"/>
              <w:ind w:left="88" w:right="68"/>
              <w:jc w:val="center"/>
              <w:rPr>
                <w:sz w:val="16"/>
              </w:rPr>
            </w:pPr>
            <w:r>
              <w:rPr>
                <w:sz w:val="16"/>
              </w:rPr>
              <w:t>1972</w:t>
            </w:r>
          </w:p>
        </w:tc>
        <w:tc>
          <w:tcPr>
            <w:tcW w:w="520" w:type="dxa"/>
            <w:tcBorders>
              <w:bottom w:val="single" w:sz="4" w:space="0" w:color="000000"/>
            </w:tcBorders>
          </w:tcPr>
          <w:p>
            <w:pPr>
              <w:pStyle w:val="TableParagraph"/>
              <w:spacing w:before="1"/>
              <w:ind w:left="69" w:right="42"/>
              <w:jc w:val="center"/>
              <w:rPr>
                <w:sz w:val="16"/>
              </w:rPr>
            </w:pPr>
            <w:r>
              <w:rPr>
                <w:sz w:val="16"/>
              </w:rPr>
              <w:t>1977</w:t>
            </w:r>
          </w:p>
        </w:tc>
        <w:tc>
          <w:tcPr>
            <w:tcW w:w="1714" w:type="dxa"/>
            <w:tcBorders>
              <w:bottom w:val="single" w:sz="4" w:space="0" w:color="000000"/>
            </w:tcBorders>
          </w:tcPr>
          <w:p>
            <w:pPr>
              <w:pStyle w:val="TableParagraph"/>
              <w:spacing w:before="1"/>
              <w:ind w:left="121"/>
              <w:rPr>
                <w:sz w:val="16"/>
              </w:rPr>
            </w:pPr>
            <w:r>
              <w:rPr>
                <w:sz w:val="16"/>
              </w:rPr>
              <w:t>1982 1987 1992</w:t>
            </w:r>
          </w:p>
        </w:tc>
        <w:tc>
          <w:tcPr>
            <w:tcW w:w="483" w:type="dxa"/>
            <w:tcBorders>
              <w:bottom w:val="single" w:sz="4" w:space="0" w:color="000000"/>
            </w:tcBorders>
          </w:tcPr>
          <w:p>
            <w:pPr>
              <w:pStyle w:val="TableParagraph"/>
              <w:spacing w:before="1"/>
              <w:ind w:left="45"/>
              <w:rPr>
                <w:sz w:val="16"/>
              </w:rPr>
            </w:pPr>
            <w:r>
              <w:rPr>
                <w:sz w:val="16"/>
              </w:rPr>
              <w:t>1997</w:t>
            </w:r>
          </w:p>
        </w:tc>
        <w:tc>
          <w:tcPr>
            <w:tcW w:w="1749" w:type="dxa"/>
            <w:tcBorders>
              <w:bottom w:val="single" w:sz="4" w:space="0" w:color="000000"/>
            </w:tcBorders>
          </w:tcPr>
          <w:p>
            <w:pPr>
              <w:pStyle w:val="TableParagraph"/>
              <w:spacing w:before="1"/>
              <w:ind w:left="108"/>
              <w:rPr>
                <w:sz w:val="16"/>
              </w:rPr>
            </w:pPr>
            <w:r>
              <w:rPr>
                <w:sz w:val="16"/>
              </w:rPr>
              <w:t>2002 2007 2012</w:t>
            </w:r>
          </w:p>
        </w:tc>
        <w:tc>
          <w:tcPr>
            <w:tcW w:w="545" w:type="dxa"/>
            <w:tcBorders>
              <w:bottom w:val="single" w:sz="4" w:space="0" w:color="000000"/>
              <w:right w:val="single" w:sz="4" w:space="0" w:color="000000"/>
            </w:tcBorders>
          </w:tcPr>
          <w:p>
            <w:pPr>
              <w:pStyle w:val="TableParagraph"/>
              <w:rPr>
                <w:rFonts w:ascii="Times New Roman"/>
                <w:sz w:val="16"/>
              </w:rPr>
            </w:pPr>
          </w:p>
        </w:tc>
      </w:tr>
      <w:tr>
        <w:trPr>
          <w:trHeight w:val="246" w:hRule="atLeast"/>
        </w:trPr>
        <w:tc>
          <w:tcPr>
            <w:tcW w:w="5579" w:type="dxa"/>
            <w:tcBorders>
              <w:top w:val="single" w:sz="4" w:space="0" w:color="000000"/>
              <w:left w:val="single" w:sz="4" w:space="0" w:color="000000"/>
              <w:bottom w:val="single" w:sz="4" w:space="0" w:color="000000"/>
              <w:right w:val="single" w:sz="4" w:space="0" w:color="000000"/>
            </w:tcBorders>
          </w:tcPr>
          <w:p>
            <w:pPr>
              <w:pStyle w:val="TableParagraph"/>
              <w:spacing w:before="37"/>
              <w:ind w:left="107"/>
              <w:rPr>
                <w:sz w:val="16"/>
              </w:rPr>
            </w:pPr>
            <w:r>
              <w:rPr>
                <w:sz w:val="16"/>
              </w:rPr>
              <w:t>Source: Bank of England, Federal Reserve Board</w:t>
            </w:r>
          </w:p>
        </w:tc>
        <w:tc>
          <w:tcPr>
            <w:tcW w:w="5581" w:type="dxa"/>
            <w:gridSpan w:val="6"/>
            <w:tcBorders>
              <w:top w:val="single" w:sz="4" w:space="0" w:color="000000"/>
              <w:left w:val="single" w:sz="4" w:space="0" w:color="000000"/>
              <w:bottom w:val="single" w:sz="4" w:space="0" w:color="000000"/>
              <w:right w:val="single" w:sz="4" w:space="0" w:color="000000"/>
            </w:tcBorders>
          </w:tcPr>
          <w:p>
            <w:pPr>
              <w:pStyle w:val="TableParagraph"/>
              <w:spacing w:before="37"/>
              <w:ind w:left="107"/>
              <w:rPr>
                <w:sz w:val="16"/>
              </w:rPr>
            </w:pPr>
            <w:r>
              <w:rPr>
                <w:sz w:val="16"/>
              </w:rPr>
              <w:t>Source: Bank of England, Federal Reserve Board</w:t>
            </w:r>
          </w:p>
        </w:tc>
      </w:tr>
    </w:tbl>
    <w:p>
      <w:pPr>
        <w:rPr>
          <w:sz w:val="2"/>
          <w:szCs w:val="2"/>
        </w:rPr>
      </w:pPr>
      <w:r>
        <w:rPr/>
        <w:pict>
          <v:group style="position:absolute;margin-left:30.120001pt;margin-top:122.399986pt;width:246.6pt;height:152.050pt;mso-position-horizontal-relative:page;mso-position-vertical-relative:page;z-index:-255734784" coordorigin="602,2448" coordsize="4932,3041">
            <v:shape style="position:absolute;left:609;top:2455;width:4925;height:3034" coordorigin="610,2455" coordsize="4925,3034" path="m5486,5441l5486,2455m5486,5441l5534,5441m5486,5110l5534,5110m5486,4776l5534,4776m5486,4445l5534,4445m5486,4114l5534,4114m5486,3782l5534,3782m5486,3451l5534,3451m5486,3120l5534,3120m5486,2786l5534,2786m5486,2455l5534,2455m610,5441l5486,5441m610,5441l610,5477m720,5441l720,5477m830,5441l830,5477m938,5441l938,5477m1049,5441l1049,5477m1159,5441l1159,5477m1270,5441l1270,5477m1380,5441l1380,5477m1490,5441l1490,5477m1598,5441l1598,5477m1709,5441l1709,5477m1819,5441l1819,5477m1930,5441l1930,5477m2040,5441l2040,5477m2150,5441l2150,5477m2258,5441l2258,5477m2369,5441l2369,5477m2479,5441l2479,5477m2590,5441l2590,5477m2700,5441l2700,5477m2808,5441l2808,5477m2918,5441l2918,5477m3029,5441l3029,5477m3139,5441l3139,5477m3250,5441l3250,5477m3360,5441l3360,5477m3468,5441l3468,5477m3578,5441l3578,5477m3689,5441l3689,5477m3799,5441l3799,5477m3910,5441l3910,5477m4020,5441l4020,5477m4128,5441l4128,5477m4238,5441l4238,5477m4349,5441l4349,5477m4459,5441l4459,5477m4570,5441l4570,5477m4680,5441l4680,5477m4788,5441l4788,5477m4898,5441l4898,5477m5009,5441l5009,5477m5119,5441l5119,5477m5230,5441l5230,5477m5338,5441l5338,5477m5448,5441l5448,5477m610,5441l610,5489m1159,5441l1159,5489m1709,5441l1709,5489m2258,5441l2258,5489m2808,5441l2808,5489m3360,5441l3360,5489m3910,5441l3910,5489m4459,5441l4459,5489m5009,5441l5009,5489e" filled="false" stroked="true" strokeweight=".72pt" strokecolor="#000000">
              <v:path arrowok="t"/>
              <v:stroke dashstyle="solid"/>
            </v:shape>
            <v:shape style="position:absolute;left:624;top:2798;width:4858;height:2412" coordorigin="624,2798" coordsize="4858,2412" path="m624,4342l634,4308,641,4229,650,4229,660,4044,670,4046,679,3982,686,3898,696,3936,706,3919,715,3902,725,3886,734,3874,742,3847,751,3814,761,3806,770,3866,780,3833,787,3720,797,3643,806,3607,816,3605,826,3449,835,3461,842,3336,852,3348,862,3266,871,3278,881,3312,888,3199,898,3233,907,3067,917,3163,926,2971,936,2880,943,2798,953,3281,962,3278,972,3456,982,3269,989,3305,998,3322,1008,3413,1018,3286,1027,3278,1037,3180,1044,3214,1054,3238,1063,3473,1073,3346,1082,3331,1090,3377,1099,3348,1109,3281,1118,3269,1128,3218,1138,3139,1145,3010,1154,3115,1164,3098,1174,3302,1183,3278,1190,3550,1200,3461,1210,3451,1219,3350,1229,3331,1238,3734,1246,3737,1255,3732,1265,3629,1274,3667,1284,3581,1291,3526,1301,3552,1310,3470,1320,3506,1330,3418,1339,3425,1346,3444,1356,3456,1366,3458,1375,3425,1385,3348,1392,3216,1402,3408,1411,3629,1421,3600,1430,3550,1440,3406,1447,3422,1457,3482,1466,3473,1476,3350,1486,3166,1493,3132,1502,3194,1512,3170,1522,3175,1531,3266,1541,3319,1548,3302,1558,3331,1567,3252,1577,3314,1586,3365,1594,3365,1603,3233,1613,3218,1622,3247,1632,3283,1642,3254,1649,3221,1658,3094,1668,3024,1678,3000,1687,2880,1697,2916,1704,3077,1714,2942,1723,3012,1733,3158,1742,3154,1750,3096,1759,3132,1769,3139,1778,3238,1788,3444,1798,3506,1805,3660,1814,3494,1824,3562,1834,3430,1843,3521,1850,3569,1860,3590,1870,3622,1879,3595,1889,3504,1898,3518,1906,3619,1915,3636,1925,3682,1934,3655,1944,3638,1951,3650,1961,3672,1970,3610,1980,3494,1990,3502,1999,3410,2006,3566,2016,3614,2026,3624,2035,3655,2045,3605,2052,3557,2062,3571,2071,3622,2081,3624,2090,3624,2100,3638,2107,3689,2117,3696,2126,3725,2136,3713,2146,3708,2153,3682,2162,3629,2172,3770,2182,3962,2191,3991,2201,3926,2208,3895,2218,3864,2227,3881,2237,3655,2246,3660,2254,3617,2263,3727,2273,3768,2282,3847,2292,3919,2302,3960,2309,3974,2318,3912,2328,3811,2338,3744,2347,3758,2354,3878,2364,3886,2374,3838,2383,3883,2393,3907,2402,3926,2410,3883,2419,3869,2429,3830,2438,3842,2448,3792,2455,3838m2455,3838l2465,3886,2474,3818,2484,3818,2494,3878,2503,3850,2510,3840,2520,3830,2530,3780,2539,3787,2549,3859,2556,3840,2566,3787,2575,3785,2585,3746,2594,3794,2604,3689,2611,3610,2621,3502,2630,3389,2640,3538,2650,3614,2657,3590,2666,3533,2676,3521,2686,3600,2695,3691,2705,3682,2712,3802,2722,3787,2731,3797,2741,3775,2750,3744,2758,3737,2767,3797,2777,3833,2786,3886,2796,3871,2806,3847,2813,3874,2822,3922,2832,3941,2842,3857,2851,3958,2858,4001,2868,3965,2878,3948,2887,3895,2897,3953,2906,4068,2914,4006,2923,4061,2933,4051,2942,4099,2952,4116,2959,4058,2969,4054,2978,4138,2988,4183,2998,4282,3007,4265,3014,4272,3024,4315,3034,4404,3043,4385,3053,4270,3060,4178,3070,4123,3079,4008,3089,3994,3098,4022,3108,4032,3115,3991,3125,4006,3134,4054,3144,4015,3154,4037,3163,4025,3170,4046,3180,4056,3190,4135,3199,4046,3209,4085,3216,4102,3226,4092,3235,4121,3245,4178,3254,4202,3264,4190,3271,4104,3281,4082,3290,4104,3300,4087,3310,4126,3317,4123,3326,4118,3336,4162,3346,4174,3355,4226,3365,4202,3372,4214,3382,4241,3391,4181,3401,4210,3410,4255,3418,4277,3427,4303,3437,4282,3446,4387,3456,4373,3466,4387,3473,4416,3482,4454,3492,4450,3502,4483,3511,4490,3518,4514,3528,4502,3538,4514,3547,4579,3557,4646,3566,4613,3574,4678,3583,4723,3593,4757,3602,4685,3612,4690,3619,4673,3629,4625,3638,4594,3648,4550,3658,4584,3667,4507,3674,4548,3684,4586,3694,4548,3703,4510,3713,4555,3720,4586,3730,4596,3739,4603,3749,4598,3758,4589,3768,4570,3775,4589,3785,4596,3794,4646,3804,4649,3814,4666,3821,4661,3830,4658,3840,4601,3850,4584,3859,4572,3869,4610,3876,4634,3886,4625,3895,4687,3905,4670,3914,4606,3922,4642,3931,4625,3941,4570,3950,4586,3960,4574,3970,4615,3977,4625,3986,4670,3996,4709,4006,4678,4015,4663,4022,4711,4032,4730,4042,4740,4051,4718,4061,4706,4070,4752,4078,4733,4087,4678,4097,4668,4106,4680,4116,4610,4123,4603,4133,4649,4142,4634,4152,4656,4162,4658,4171,4618,4178,4594,4188,4601,4198,4603,4207,4632,4217,4646,4224,4661,4234,4685,4243,4697,4253,4687,4262,4668,4272,4670,4279,4699,4289,4730m4289,4730l4298,4752,4308,4730,4318,4757,4325,4735,4334,4730,4344,4750,4354,4769,4363,4764,4373,4757,4380,4721,4390,4680,4399,4687,4409,4668,4418,4687,4426,4704,4435,4704,4445,4706,4454,4709,4464,4673,4474,4637,4481,4663,4490,4634,4500,4625,4510,4591,4519,4553,4526,4591,4536,4622,4546,4620,4555,4632,4565,4670,4574,4692,4582,4697,4591,4690,4601,4706,4610,4656,4620,4610,4627,4584,4637,4637,4646,4690,4656,4690,4666,4661,4675,4776,4682,4879,4692,4764,4702,4807,4711,4894,4721,4838,4730,4807,4738,4826,4747,4793,4757,4838,4766,4824,4776,4814,4783,4826,4793,4742,4802,4759,4812,4738,4822,4747,4831,4759,4838,4812,4848,4846,4858,4848,4867,4939,4877,4918,4884,4894,4894,4867,4903,4841,4913,4798,4922,4795,4932,4795,4939,4824,4949,4850,4958,4834,4968,4913,4978,4958,4985,5023,4994,5016,5004,5038,5014,5090,5023,5093,5033,5066,5040,5059,5050,5071,5059,5162,5069,5131,5078,5174,5086,5172,5095,5158,5105,5129,5114,5143,5124,5126,5134,5078,5141,5090,5150,5126,5160,5143,5170,5081,5179,5006,5186,5016,5196,4970,5206,4982,5215,4992,5225,4963,5234,4918,5242,4970,5251,4968,5261,4966,5270,4975,5280,4992,5287,4975,5297,4982,5306,5045,5316,5030,5326,5059,5335,5112,5342,5138,5352,5210,5362,5134,5371,5165,5381,5117,5388,5122,5398,5083,5407,5107,5417,5114,5426,5143,5436,5117,5443,5129,5453,5107,5462,5170,5472,5206,5482,5191e" filled="false" stroked="true" strokeweight="1.44pt" strokecolor="#497dba">
              <v:path arrowok="t"/>
              <v:stroke dashstyle="solid"/>
            </v:shape>
            <w10:wrap type="none"/>
          </v:group>
        </w:pict>
      </w:r>
      <w:r>
        <w:rPr/>
        <w:pict>
          <v:group style="position:absolute;margin-left:312pt;margin-top:121.919983pt;width:242.4pt;height:150.75pt;mso-position-horizontal-relative:page;mso-position-vertical-relative:page;z-index:-255733760" coordorigin="6240,2438" coordsize="4848,3015">
            <v:shape style="position:absolute;left:6247;top:2445;width:4841;height:3000" coordorigin="6247,2446" coordsize="4841,3000" path="m11040,5446l11040,2446m11040,5446l11088,5446m11040,5174l11088,5174m11040,4901l11088,4901m11040,4627l11088,4627m11040,4356l11088,4356m11040,4082l11088,4082m11040,3809l11088,3809m11040,3538l11088,3538m11040,3264l11088,3264m11040,2990l11088,2990m11040,2719l11088,2719m11040,2446l11088,2446m6247,4901l11040,4901m6247,4901l6247,4937m6355,4901l6355,4937m6463,4901l6463,4937m6571,4901l6571,4937m6679,4901l6679,4937m6787,4901l6787,4937m6895,4901l6895,4937m7003,4901l7003,4937m7111,4901l7111,4937m7219,4901l7219,4937m7327,4901l7327,4937m7435,4901l7435,4937m7543,4901l7543,4937m7654,4901l7654,4937m7762,4901l7762,4937m7870,4901l7870,4937m7978,4901l7978,4937m8086,4901l8086,4937m8194,4901l8194,4937m8302,4901l8302,4937m8410,4901l8410,4937m8518,4901l8518,4937m8626,4901l8626,4937m8734,4901l8734,4937m8842,4901l8842,4937m8950,4901l8950,4937m9058,4901l9058,4937m9166,4901l9166,4937m9274,4901l9274,4937m9382,4901l9382,4937m9492,4901l9492,4937m9600,4901l9600,4937m9708,4901l9708,4937m9816,4901l9816,4937m9924,4901l9924,4937m10032,4901l10032,4937m10140,4901l10140,4937m10248,4901l10248,4937m10356,4901l10356,4937m10464,4901l10464,4937m10572,4901l10572,4937m10680,4901l10680,4937m10788,4901l10788,4937m10896,4901l10896,4937m11004,4901l11004,4937m6247,4901l6247,4949m6787,4901l6787,4949m7327,4901l7327,4949m7870,4901l7870,4949m8410,4901l8410,4949m8950,4901l8950,4949m9492,4901l9492,4949m10032,4901l10032,4949m10572,4901l10572,4949e" filled="false" stroked="true" strokeweight=".72pt" strokecolor="#000000">
              <v:path arrowok="t"/>
              <v:stroke dashstyle="solid"/>
            </v:shape>
            <v:shape style="position:absolute;left:6268;top:2728;width:4767;height:1983" coordorigin="6269,2729" coordsize="4767,1983" path="m6269,3996l6278,3970,6288,3905,6295,3905,6305,3751,6314,3754,6324,3701,6331,3634,6341,3665,6350,3650,6360,3636,6367,3622,6377,3612,6386,3590,6396,3564,6403,3557,6413,3605,6422,3578,6432,3485,6439,3422,6449,3391,6458,3391,6468,3262,6478,3271,6485,3170,6494,3180,6504,3113,6514,3122,6521,3149,6530,3058,6540,3086,6550,2950,6557,3026,6566,2870,6576,2796,6586,2729,6593,3125,6602,3122,6612,3269,6622,3113,6629,3144,6638,3156,6648,3233,6658,3130,6665,3122,6674,3041,6684,3070,6694,3089,6701,3281,6710,3178,6720,3166,6730,3204,6737,3180,6746,3125,6756,3115,6766,3072,6773,3007,6782,2902,6792,2988,6802,2974,6809,3142,6818,3122,6828,3346,6838,3271,6845,3264,6854,3180,6864,3166,6874,3497,6881,3499,6890,3494,6900,3410,6910,3444,6917,3370,6926,3326,6936,3348,6946,3281,6955,3310,6962,3238,6972,3242,6982,3259,6991,3269,6998,3271,7008,3242,7018,3180,7027,3070,7034,3228,7044,3410,7054,3386,7063,3346,7070,3228,7080,3240,7090,3290,7099,3283,7106,3180,7116,3031,7126,3002,7135,3053,7142,3034,7152,3038,7162,3113,7171,3156,7178,3142,7188,3166,7198,3101,7207,3151,7214,3194,7224,3192,7234,3086,7243,3072,7250,3096,7260,3125,7270,3103,7279,3077,7286,2971,7296,2914,7306,2892,7315,2794,7322,2825,7332,2957,7342,2846,7351,2904,7358,3024,7368,3019,7378,2974,7387,3002,7397,3007,7404,3089,7414,3259,7423,3310,7433,3437,7440,3300,7450,3355,7459,3247,7469,3322,7476,3362,7486,3379,7495,3403,7505,3384,7512,3307,7522,3319,7531,3403,7541,3415,7548,3454,7558,3432,7567,3420,7577,3427,7584,3446,7594,3396,7603,3300,7613,3307,7620,3230,7630,3360,7639,3398,7649,3406,7656,3432,7666,3391,7675,3350,7685,3365,7692,3406,7702,3408,7711,3406,7721,3418,7728,3458,7738,3466,7747,3490,7757,3480,7764,3475,7774,3454,7783,3410,7793,3528,7800,3684,7810,3710,7819,3655,7829,3629,7836,3602,7846,3617,7855,3432,7865,3437,7874,3401,7882,3490,7891,3523,7901,3590,7910,3648,7918,3682,7927,3696,7937,3643,7946,3562,7954,3506,7963,3518,7973,3614,7982,3622,7990,3583,7999,3619,8009,3641,8018,3655,8026,3619,8035,3607,8045,3576,8054,3586,8062,3545,8071,3581m8071,3581l8081,3622,8090,3566,8098,3566,8107,3614,8117,3590,8126,3586,8134,3578,8143,3535,8153,3540,8162,3600,8170,3586,8179,3540,8189,3540,8198,3506,8206,3545,8215,3461,8225,3396,8234,3307,8242,3214,8251,3336,8261,3398,8270,3379,8278,3331,8287,3322,8297,3386,8306,3461,8316,3454,8323,3554,8333,3542,8342,3547,8352,3533,8359,3504,8369,3499,8378,3550,8388,3578,8395,3622,8405,3610,8414,3590,8424,3612,8431,3650,8441,3667,8450,3598,8460,3682,8467,3715,8477,3686,8486,3672,8496,3631,8503,3677,8513,3770,8522,3720,8532,3766,8539,3758,8549,3797,8558,3811,8568,3766,8575,3761,8585,3828,8594,3866,8604,3948,8611,3934,8621,3938,8630,3974,8640,4049,8647,4032,8657,3938,8666,3864,8676,3818,8683,3722,8693,3710,8702,3734,8712,3742,8719,3708,8729,3720,8738,3761,8748,3730,8755,3746,8765,3737,8774,3754,8784,3761,8794,3826,8801,3754,8810,3785,8820,3799,8830,3792,8837,3816,8846,3864,8856,3883,8866,3871,8873,3802,8882,3782,8892,3802,8902,3787,8909,3818,8918,3818,8928,3814,8938,3850,8945,3859,8954,3902,8964,3881,8974,3893,8981,3914,8990,3864,9000,3888,9010,3926,9017,3943,9026,3965,9036,3948,9046,4034,9053,4022,9062,4034,9072,4058,9082,4090,9089,4085,9098,4114,9108,4121,9118,4140,9125,4130,9134,4140,9144,4193,9154,4248,9161,4219,9170,4274,9180,4310,9190,4339,9197,4279,9206,4282,9216,4270,9226,4231,9233,4205,9242,4169,9252,4195,9262,4133,9271,4166,9278,4198,9288,4169,9298,4135,9307,4174,9314,4198,9324,4205,9334,4212,9343,4210,9350,4200,9360,4186,9370,4200,9379,4207,9386,4248,9396,4248,9406,4265,9415,4258,9422,4258,9432,4210,9442,4198,9451,4188,9458,4219,9468,4238,9478,4231,9487,4282,9494,4267,9504,4214,9514,4243,9523,4229,9530,4186,9540,4198,9550,4188,9559,4222,9566,4229,9576,4267,9586,4298,9595,4274,9602,4260,9612,4301,9622,4318,9631,4325,9638,4308,9648,4298,9658,4334,9667,4318,9674,4272,9684,4265,9694,4274,9703,4217,9713,4212,9720,4250,9730,4238,9739,4255,9749,4258,9756,4224,9766,4205,9775,4212,9785,4212,9792,4236,9802,4248,9811,4260,9821,4279,9828,4289,9838,4282,9847,4267,9857,4267,9864,4291,9874,4318m9874,4318l9883,4334,9893,4315,9900,4339,9910,4322,9919,4318,9929,4332,9936,4349,9946,4344,9955,4339,9965,4308,9972,4274,9982,4282,9991,4267,10001,4282,10008,4296,10018,4294,10027,4298,10037,4301,10044,4270,10054,4238,10063,4262,10073,4238,10080,4229,10090,4202,10099,4169,10109,4202,10116,4229,10126,4226,10135,4236,10145,4267,10152,4284,10162,4289,10171,4284,10181,4298,10190,4255,10198,4219,10207,4195,10217,4238,10226,4284,10234,4284,10243,4260,10253,4354,10262,4438,10270,4344,10279,4380,10289,4450,10298,4404,10306,4380,10315,4397,10325,4368,10334,4406,10342,4394,10351,4387,10361,4397,10370,4327,10378,4339,10387,4322,10397,4332,10406,4342,10414,4385,10423,4411,10433,4414,10442,4488,10450,4471,10459,4450,10469,4428,10478,4406,10486,4370,10495,4370,10505,4370,10514,4394,10522,4414,10531,4402,10541,4469,10550,4505,10558,4558,10567,4550,10577,4570,10586,4613,10594,4615,10603,4594,10613,4586,10622,4598,10632,4673,10639,4646,10649,4680,10658,4680,10668,4668,10675,4644,10685,4656,10694,4644,10704,4603,10711,4613,10721,4642,10730,4656,10740,4606,10747,4543,10757,4553,10766,4514,10776,4524,10783,4531,10793,4510,10802,4471,10812,4514,10819,4512,10829,4510,10838,4517,10848,4531,10855,4517,10865,4524,10874,4574,10884,4565,10891,4586,10901,4630,10910,4654,10920,4711,10927,4649,10937,4675,10946,4637,10956,4639,10963,4608,10973,4627,10982,4632,10992,4656,10999,4634,11009,4646,11018,4627,11028,4678,11035,4709e" filled="false" stroked="true" strokeweight="1.44pt" strokecolor="#4f81bc">
              <v:path arrowok="t"/>
              <v:stroke dashstyle="solid"/>
            </v:shape>
            <v:shape style="position:absolute;left:7675;top:4226;width:3360;height:862" coordorigin="7675,4226" coordsize="3360,862" path="m7675,4406l7685,4454,7692,4414,7702,4394,7711,4368,7721,4356,7728,4363,7738,4380,7747,4385,7757,4378,7764,4370,7774,4337,7783,4325,7793,4356,7800,4325,7810,4402,7819,4435,7829,4418,7836,4399,7846,4406,7855,4361,7865,4342,7874,4337,7882,4346,7891,4363,7901,4428,7910,4440,7918,4402,7927,4404,7937,4368,7946,4378,7954,4363,7963,4337,7973,4310,7982,4399,7990,4390,7999,4373,8009,4392,8018,4426,8026,4430,8035,4418,8045,4426,8054,4414,8062,4392,8071,4385,8081,4430,8090,4399,8098,4382,8107,4397,8117,4423,8126,4418,8134,4404,8143,4387,8153,4390,8162,4438,8170,4445,8179,4416,8189,4418,8198,4409,8206,4418,8215,4399,8225,4361,8234,4337,8242,4320,8251,4327,8261,4322,8270,4306,8278,4318,8287,4308,8297,4325,8306,4354,8316,4344,8323,4342,8333,4342,8342,4344,8352,4346,8359,4342,8369,4322,8378,4310,8388,4322,8395,4337,8405,4334,8414,4325,8424,4298,8431,4322,8441,4327,8450,4291,8460,4286,8467,4303,8477,4298,8486,4260,8496,4226,8503,4356,8513,4442,8522,4411,8532,4406,8539,4445,8549,4486,8558,4490,8568,4464,8575,4457,8585,4457,8594,4474,8604,4478,8611,4483,8621,4495,8630,4502,8640,4538,8647,4534,8657,4483,8666,4464,8676,4447,8683,4394,8693,4375,8702,4363,8712,4394,8719,4385,8729,4375,8738,4380,8748,4378,8755,4373,8765,4373,8774,4375,8784,4385,8794,4423,8801,4394,8810,4416,8820,4430,8830,4414,8837,4409,8846,4430,8856,4433,8866,4428,8873,4402,8882,4402,8892,4409,8902,4385,8909,4390,8918,4399,8928,4409,8938,4428,8945,4428,8954,4445,8964,4435,8974,4435,8981,4447,8990,4418,9000,4423,9010,4402,9017,4402,9026,4411,9036,4409,9046,4442,9053,4471,9062,4469,9072,4481,9082,4471,9089,4483,9098,4498,9108,4502,9118,4514,9125,4507,9134,4526,9144,4555,9154,4541,9161,4550,9170,4579,9180,4627,9190,4639,9197,4642,9206,4661,9216,4649,9226,4646,9233,4639,9242,4627,9252,4584,9262,4591,9271,4603,9278,4622,9288,4634,9298,4589,9307,4610,9314,4610,9324,4615,9334,4601,9343,4620,9350,4596,9360,4591,9370,4586,9379,4579,9386,4601,9396,4596,9406,4598,9415,4596,9422,4562,9432,4534,9442,4536,9451,4541,9458,4550,9468,4579,9478,4546m9478,4546l9487,4574,9494,4565,9504,4553,9514,4560,9523,4570,9530,4565,9540,4565,9550,4572,9559,4586,9566,4558,9576,4596,9586,4598,9595,4582,9602,4570,9612,4606,9622,4627,9631,4661,9638,4646,9648,4637,9658,4666,9667,4668,9674,4634,9684,4630,9694,4644,9703,4596,9713,4598,9720,4637,9730,4622,9739,4644,9749,4654,9756,4630,9766,4615,9775,4618,9785,4610,9792,4632,9802,4639,9811,4644,9821,4651,9828,4663,9838,4656,9847,4656,9857,4658,9864,4666,9874,4670,9883,4690,9893,4673,9900,4699,9910,4690,9919,4690,9929,4697,9936,4718,9946,4723,9955,4723,9965,4702,9972,4678,9982,4682,9991,4666,10001,4687,10008,4706,10018,4694,10027,4704,10037,4704,10044,4675,10054,4642,10063,4675,10073,4649,10080,4639,10090,4608,10099,4596,10109,4620,10116,4651,10126,4656,10135,4666,10145,4704,10152,4714,10162,4726,10171,4740,10181,4771,10190,4726,10198,4699,10207,4728,10217,4704,10226,4769,10234,4718,10243,4567,10253,4522,10262,4680,10270,4718,10279,4742,10289,4754,10298,4747,10306,4766,10315,4774,10325,4740,10334,4771,10342,4776,10351,4807,10361,4819,10370,4778,10378,4776,10387,4781,10397,4805,10406,4814,10414,4793,10423,4810,10433,4781,10442,4838,10450,4843,10459,4843,10469,4824,10478,4834,10486,4812,10495,4826,10505,4817,10514,4838,10522,4853,10531,4846,10541,4908,10550,4898,10558,4932,10567,4915,10577,4946,10586,4982,10594,4982,10603,4992,10613,4980,10622,4978,10632,5002,10639,4978,10649,4994,10658,5011,10668,4978,10675,4978,10685,4997,10694,5002,10704,5030,10711,5057,10721,5088,10730,5069,10740,5030,10747,4949,10757,4973,10766,4949,10776,4944,10783,4961,10793,4944,10802,4915,10812,4932,10819,4937,10829,4942,10838,4951,10848,4954,10855,4942,10865,4942,10874,4990,10884,4970,10891,4982,10901,5023,10910,5035,10920,5045,10927,5026,10937,5040,10946,5033,10956,5026,10963,5009,10973,5018,10982,5011,10992,5014,10999,5006,11009,5023,11018,4987,11028,5026,11035,5045e" filled="false" stroked="true" strokeweight="1.44pt" strokecolor="#bd4a47">
              <v:path arrowok="t"/>
              <v:stroke dashstyle="solid"/>
            </v:shape>
            <v:shape style="position:absolute;left:7675;top:3794;width:3360;height:939" coordorigin="7675,3794" coordsize="3360,939" path="m7675,3845l7685,3809,7692,3890,7702,3914,7711,3938,7721,3962,7728,3996,7738,3989,7747,4006,7757,4001,7764,4008,7774,4018,7783,3986,7793,4073,7800,4260,7810,4210,7819,4121,7829,4111,7836,4104,7846,4111,7855,3972,7865,3996,7874,3965,7882,4044,7891,4063,7901,4063,7910,4109,7918,4183,7927,4190,7937,4176,7946,4085,7954,4042,7963,4082,7973,4207,7982,4123,7990,4094,7999,4147,8009,4150,8018,4130,8026,4090,8035,4090,8045,4054,8054,4073,8062,4054,8071,4099,8081,4092,8090,4068,8098,4085,8107,4118,8117,4070,8126,4068,8134,4075,8143,4046,8153,4054,8162,4066,8170,4042,8179,4025,8189,4022,8198,3998,8206,4027,8215,3962,8225,3936,8234,3871,8242,3794,8251,3910,8261,3977,8270,3972,8278,3914,8287,3914,8297,3962,8306,4008,8316,4013,8323,4114,8333,4102,8342,4104,8352,4087,8359,4063,8369,4080,8378,4140,8388,4157,8395,4186,8405,4176,8414,4166,8424,4217,8431,4229,8441,4241,8450,4207,8460,4296,8467,4313,8477,4291,8486,4315,8496,4306,8503,4224,8513,4229,8522,4210,8532,4260,8539,4214,8549,4212,8558,4222,8568,4202,8575,4202,8585,4272,8594,4294,8604,4368,8611,4351,8621,4344,8630,4373,8640,4411,8647,4402,8657,4356,8666,4301,8676,4272,8683,4231,8693,4236,8702,4272,8712,4248,8719,4226,8729,4248,8738,4279,8748,4253,8755,4274,8765,4265,8774,4279,8784,4277,8794,4306,8801,4260,8810,4270,8820,4270,8830,4279,8837,4308,8846,4334,8856,4351,8866,4344,8873,4303,8882,4282,8892,4294,8902,4303,8909,4330,8918,4320,8928,4306,8938,4322,8945,4332,8954,4358,8964,4346,8974,4356,8981,4368,8990,4346,9000,4368,9010,4426,9017,4442,9026,4457,9036,4440,9046,4493,9053,4452,9062,4469,9072,4481,9082,4519,9089,4502,9098,4517,9108,4519,9118,4524,9125,4524,9134,4514,9144,4538,9154,4606,9161,4570,9170,4596,9180,4586,9190,4598,9197,4538,9206,4522,9216,4522,9226,4486,9233,4466,9242,4442,9252,4512,9262,4442,9271,4466,9278,4478,9288,4433,9298,4447,9307,4464,9314,4490,9324,4490,9334,4512,9343,4490,9350,4505,9360,4495,9370,4514,9379,4529,9386,4548,9396,4555,9406,4565,9415,4562,9422,4596,9432,4579,9442,4562,9451,4548,9458,4570,9468,4560,9478,4586m9478,4586l9487,4608,9494,4603,9504,4565,9514,4584,9523,4560,9530,4522,9540,4534,9550,4517,9559,4538,9566,4572,9576,4572,9586,4603,9595,4591,9602,4594,9612,4596,9622,4591,9631,4565,9638,4562,9648,4562,9658,4570,9667,4553,9674,4538,9684,4538,9694,4534,9703,4522,9713,4517,9720,4514,9730,4517,9739,4512,9749,4502,9756,4495,9766,4490,9775,4493,9785,4502,9792,4505,9802,4510,9811,4517,9821,4529,9828,4526,9838,4526,9847,4512,9857,4512,9864,4526,9874,4548,9883,4546,9893,4543,9900,4538,9910,4531,9919,4526,9929,4536,9936,4531,9946,4524,9955,4517,9965,4510,9972,4500,9982,4500,9991,4502,10001,4495,10008,4490,10018,4500,10027,4495,10037,4495,10044,4495,10054,4500,10063,4488,10073,4490,10080,4493,10090,4495,10099,4474,10109,4483,10116,4478,10126,4469,10135,4474,10145,4464,10152,4474,10162,4464,10171,4445,10181,4428,10190,4430,10198,4421,10207,4368,10217,4435,10226,4416,10234,4466,10243,4594,10253,4733,10262,4661,10270,4526,10279,4541,10289,4596,10298,4558,10306,4514,10315,4524,10325,4529,10334,4536,10342,4519,10351,4481,10361,4478,10370,4450,10378,4466,10387,4445,10397,4428,10406,4428,10414,4490,10423,4502,10433,4534,10442,4550,10450,4529,10459,4510,10469,4505,10478,4474,10486,4462,10495,4445,10505,4454,10514,4457,10522,4462,10531,4454,10541,4462,10550,4507,10558,4526,10567,4536,10577,4524,10586,4534,10594,4534,10603,4502,10613,4507,10622,4522,10632,4572,10639,4570,10649,4586,10658,4570,10668,4591,10675,4567,10685,4560,10694,4543,10704,4474,10711,4457,10721,4454,10730,4488,10740,4476,10747,4495,10757,4478,10766,4466,10776,4481,10783,4471,10793,4464,10802,4454,10812,4483,10819,4476,10829,4469,10838,4469,10848,4478,10855,4478,10865,4483,10874,4486,10884,4495,10891,4505,10901,4507,10910,4519,10920,4570,10927,4522,10937,4534,10946,4505,10956,4514,10963,4500,10973,4510,10982,4522,10992,4543,10999,4529,11009,4524,11018,4541,11028,4553,11035,4565e" filled="false" stroked="true" strokeweight="1.44pt" strokecolor="#97b853">
              <v:path arrowok="t"/>
              <v:stroke dashstyle="solid"/>
            </v:shape>
            <v:line style="position:absolute" from="8333,2522" to="8717,2522" stroked="true" strokeweight="1.44pt" strokecolor="#bd4a47">
              <v:stroke dashstyle="solid"/>
            </v:line>
            <v:line style="position:absolute" from="9300,2522" to="9684,2522" stroked="true" strokeweight="1.44pt" strokecolor="#97b853">
              <v:stroke dashstyle="solid"/>
            </v:line>
            <w10:wrap type="none"/>
          </v:group>
        </w:pict>
      </w:r>
      <w:r>
        <w:rPr/>
        <w:pict>
          <v:group style="position:absolute;margin-left:42.240002pt;margin-top:338.279968pt;width:235.8pt;height:153pt;mso-position-horizontal-relative:page;mso-position-vertical-relative:page;z-index:-255732736" coordorigin="845,6766" coordsize="4716,3060">
            <v:shape style="position:absolute;left:859;top:6772;width:4702;height:3053" coordorigin="859,6773" coordsize="4702,3053" path="m5510,9778l5510,6773m5510,9778l5561,9778m5510,9348l5561,9348m5510,8918l5561,8918m5510,8489l5561,8489m5510,8059l5561,8059m5510,7630l5561,7630m5510,7202l5561,7202m5510,6773l5561,6773m859,9778l5510,9778m859,9778l859,9814m1171,9778l1171,9814m1481,9778l1481,9814m1790,9778l1790,9814m2100,9778l2100,9814m2410,9778l2410,9814m2722,9778l2722,9814m3031,9778l3031,9814m3341,9778l3341,9814m3650,9778l3650,9814m3960,9778l3960,9814m4272,9778l4272,9814m4582,9778l4582,9814m4891,9778l4891,9814m5201,9778l5201,9814m5510,9778l5510,9814m859,9778l859,9826m1790,9778l1790,9826m2722,9778l2722,9826m3650,9778l3650,9826m4582,9778l4582,9826m5510,9778l5510,9826e" filled="false" stroked="true" strokeweight=".72pt" strokecolor="#000000">
              <v:path arrowok="t"/>
              <v:stroke dashstyle="solid"/>
            </v:shape>
            <v:shape style="position:absolute;left:844;top:7293;width:4680;height:2348" type="#_x0000_t75" stroked="false">
              <v:imagedata r:id="rId28" o:title=""/>
            </v:shape>
            <v:line style="position:absolute" from="905,6787" to="1289,6787" stroked="true" strokeweight="1.44pt" strokecolor="#416ea6">
              <v:stroke dashstyle="solid"/>
            </v:line>
            <v:line style="position:absolute" from="2186,6787" to="2570,6787" stroked="true" strokeweight="1.44pt" strokecolor="#6d538d">
              <v:stroke dashstyle="solid"/>
            </v:line>
            <v:line style="position:absolute" from="3468,6787" to="3852,6787" stroked="true" strokeweight="1.44pt" strokecolor="#3c95ad">
              <v:stroke dashstyle="solid"/>
            </v:line>
            <v:line style="position:absolute" from="905,6979" to="1289,6979" stroked="true" strokeweight="1.44pt" strokecolor="#da8137">
              <v:stroke dashstyle="solid"/>
            </v:line>
            <v:line style="position:absolute" from="2186,6979" to="2570,6979" stroked="true" strokeweight="1.44pt" strokecolor="#8ea4ca">
              <v:stroke dashstyle="solid"/>
            </v:line>
            <v:line style="position:absolute" from="3468,6979" to="3852,6979" stroked="true" strokeweight="1.44pt" strokecolor="#ce8e8d">
              <v:stroke dashstyle="solid"/>
            </v:line>
            <v:line style="position:absolute" from="905,7171" to="1289,7171" stroked="true" strokeweight="1.44pt" strokecolor="#b5c992">
              <v:stroke dashstyle="solid"/>
            </v:line>
            <v:line style="position:absolute" from="2186,7171" to="2570,7171" stroked="true" strokeweight="1.44pt" strokecolor="#a8423e">
              <v:stroke dashstyle="solid"/>
            </v:line>
            <w10:wrap type="none"/>
          </v:group>
        </w:pict>
      </w:r>
      <w:r>
        <w:rPr/>
        <w:pict>
          <v:group style="position:absolute;margin-left:311.880005pt;margin-top:337.799988pt;width:244.35pt;height:153.4pt;mso-position-horizontal-relative:page;mso-position-vertical-relative:page;z-index:-255731712" coordorigin="6238,6756" coordsize="4887,3068">
            <v:shape style="position:absolute;left:6247;top:6763;width:4877;height:3060" coordorigin="6247,6763" coordsize="4877,3060" path="m11076,9775l11076,6763m11076,9775l11124,9775m11076,9473l11124,9473m11076,9173l11124,9173m11076,8873l11124,8873m11076,8570l11124,8570m11076,8270l11124,8270m11076,7968l11124,7968m11076,7668l11124,7668m11076,7366l11124,7366m11076,7066l11124,7066m11076,6763l11124,6763m6247,9775l11076,9775m6247,9775l6247,9811m6355,9775l6355,9811m6466,9775l6466,9811m6574,9775l6574,9811m6684,9775l6684,9811m6792,9775l6792,9811m6902,9775l6902,9811m7010,9775l7010,9811m7118,9775l7118,9811m7229,9775l7229,9811m7337,9775l7337,9811m7447,9775l7447,9811m7555,9775l7555,9811m7666,9775l7666,9811m7774,9775l7774,9811m7884,9775l7884,9811m7992,9775l7992,9811m8102,9775l8102,9811m8210,9775l8210,9811m8321,9775l8321,9811m8429,9775l8429,9811m8539,9775l8539,9811m8647,9775l8647,9811m8755,9775l8755,9811m8866,9775l8866,9811m8974,9775l8974,9811m9084,9775l9084,9811m9192,9775l9192,9811m9302,9775l9302,9811m9410,9775l9410,9811m9521,9775l9521,9811m9629,9775l9629,9811m9739,9775l9739,9811m9847,9775l9847,9811m9958,9775l9958,9811m10066,9775l10066,9811m10176,9775l10176,9811m10284,9775l10284,9811m10392,9775l10392,9811m10502,9775l10502,9811m10610,9775l10610,9811m10721,9775l10721,9811m10829,9775l10829,9811m10939,9775l10939,9811m11047,9775l11047,9811m6247,9775l6247,9823m6792,9775l6792,9823m7337,9775l7337,9823m7884,9775l7884,9823m8429,9775l8429,9823m8974,9775l8974,9823m9521,9775l9521,9823m10066,9775l10066,9823m10610,9775l10610,9823e" filled="false" stroked="true" strokeweight=".72pt" strokecolor="#000000">
              <v:path arrowok="t"/>
              <v:stroke dashstyle="solid"/>
            </v:shape>
            <v:shape style="position:absolute;left:6237;top:6972;width:4848;height:2732" type="#_x0000_t75" stroked="false">
              <v:imagedata r:id="rId29" o:title=""/>
            </v:shape>
            <v:line style="position:absolute" from="8897,6859" to="9281,6859" stroked="true" strokeweight="1.44pt" strokecolor="#bd4a47">
              <v:stroke dashstyle="solid"/>
            </v:line>
            <w10:wrap type="none"/>
          </v:group>
        </w:pict>
      </w:r>
      <w:r>
        <w:rPr/>
        <w:pict>
          <v:group style="position:absolute;margin-left:35.759998pt;margin-top:557.519958pt;width:243.25pt;height:147.5pt;mso-position-horizontal-relative:page;mso-position-vertical-relative:page;z-index:-255730688" coordorigin="715,11150" coordsize="4865,2950">
            <v:shape style="position:absolute;left:727;top:11157;width:4853;height:2943" coordorigin="727,11158" coordsize="4853,2943" path="m5532,14052l5532,11158m5532,14052l5580,14052m5532,13730l5580,13730m5532,13409l5580,13409m5532,13087l5580,13087m5532,12766l5580,12766m5532,12444l5580,12444m5532,12122l5580,12122m5532,11801l5580,11801m5532,11479l5580,11479m5532,11158l5580,11158m727,14052l5532,14052m727,14052l727,14088m835,14052l835,14088m943,14052l943,14088m1051,14052l1051,14088m1159,14052l1159,14088m1267,14052l1267,14088m1378,14052l1378,14088m1486,14052l1486,14088m1594,14052l1594,14088m1702,14052l1702,14088m1810,14052l1810,14088m1918,14052l1918,14088m2028,14052l2028,14088m2136,14052l2136,14088m2244,14052l2244,14088m2352,14052l2352,14088m2460,14052l2460,14088m2570,14052l2570,14088m2678,14052l2678,14088m2786,14052l2786,14088m2894,14052l2894,14088m3002,14052l3002,14088m3110,14052l3110,14088m3221,14052l3221,14088m3329,14052l3329,14088m3437,14052l3437,14088m3545,14052l3545,14088m3653,14052l3653,14088m3761,14052l3761,14088m3871,14052l3871,14088m3979,14052l3979,14088m4087,14052l4087,14088m4195,14052l4195,14088m4303,14052l4303,14088m4411,14052l4411,14088m4522,14052l4522,14088m4630,14052l4630,14088m4738,14052l4738,14088m4846,14052l4846,14088m4954,14052l4954,14088m5062,14052l5062,14088m5172,14052l5172,14088m5280,14052l5280,14088m5388,14052l5388,14088m5496,14052l5496,14088m727,14052l727,14100m1267,14052l1267,14100m1810,14052l1810,14100m2352,14052l2352,14100m2894,14052l2894,14100m3437,14052l3437,14100m3979,14052l3979,14100m4522,14052l4522,14100m5062,14052l5062,14100e" filled="false" stroked="true" strokeweight=".72pt" strokecolor="#000000">
              <v:path arrowok="t"/>
              <v:stroke dashstyle="solid"/>
            </v:shape>
            <v:shape style="position:absolute;left:715;top:11476;width:4827;height:2367" type="#_x0000_t75" stroked="false">
              <v:imagedata r:id="rId30" o:title=""/>
            </v:shape>
            <v:line style="position:absolute" from="2520,11196" to="2904,11196" stroked="true" strokeweight="1.44pt" strokecolor="#497dba">
              <v:stroke dashstyle="solid"/>
            </v:line>
            <v:line style="position:absolute" from="3314,11196" to="3698,11196" stroked="true" strokeweight="1.44pt" strokecolor="#bd4a47">
              <v:stroke dashstyle="solid"/>
            </v:line>
            <w10:wrap type="none"/>
          </v:group>
        </w:pict>
      </w:r>
      <w:r>
        <w:rPr/>
        <w:pict>
          <v:group style="position:absolute;margin-left:311.519989pt;margin-top:557.519958pt;width:244.8pt;height:147.5pt;mso-position-horizontal-relative:page;mso-position-vertical-relative:page;z-index:-255729664" coordorigin="6230,11150" coordsize="4896,2950">
            <v:shape style="position:absolute;left:6240;top:11157;width:4887;height:2943" coordorigin="6240,11158" coordsize="4887,2943" path="m11078,14052l11078,11158m11078,14052l11126,14052m11078,13730l11126,13730m11078,13409l11126,13409m11078,13087l11126,13087m11078,12766l11126,12766m11078,12444l11126,12444m11078,12122l11126,12122m11078,11801l11126,11801m11078,11479l11126,11479m11078,11158l11126,11158m6240,14052l11078,14052m6240,14052l6240,14088m6348,14052l6348,14088m6458,14052l6458,14088m6566,14052l6566,14088m6677,14052l6677,14088m6785,14052l6785,14088m6895,14052l6895,14088m7003,14052l7003,14088m7114,14052l7114,14088m7222,14052l7222,14088m7332,14052l7332,14088m7440,14052l7440,14088m7550,14052l7550,14088m7658,14052l7658,14088m7769,14052l7769,14088m7877,14052l7877,14088m7987,14052l7987,14088m8095,14052l8095,14088m8206,14052l8206,14088m8314,14052l8314,14088m8424,14052l8424,14088m8532,14052l8532,14088m8640,14052l8640,14088m8750,14052l8750,14088m8858,14052l8858,14088m8969,14052l8969,14088m9077,14052l9077,14088m9187,14052l9187,14088m9295,14052l9295,14088m9406,14052l9406,14088m9514,14052l9514,14088m9624,14052l9624,14088m9732,14052l9732,14088m9842,14052l9842,14088m9950,14052l9950,14088m10061,14052l10061,14088m10169,14052l10169,14088m10279,14052l10279,14088m10387,14052l10387,14088m10498,14052l10498,14088m10606,14052l10606,14088m10716,14052l10716,14088m10824,14052l10824,14088m10932,14052l10932,14088m11042,14052l11042,14088m6240,14052l6240,14100m6785,14052l6785,14100m7332,14052l7332,14100m7877,14052l7877,14100m8424,14052l8424,14100m8969,14052l8969,14100m9514,14052l9514,14100m10061,14052l10061,14100m10606,14052l10606,14100e" filled="false" stroked="true" strokeweight=".72pt" strokecolor="#000000">
              <v:path arrowok="t"/>
              <v:stroke dashstyle="solid"/>
            </v:shape>
            <v:shape style="position:absolute;left:6238;top:12988;width:94;height:372" type="#_x0000_t75" stroked="false">
              <v:imagedata r:id="rId31" o:title=""/>
            </v:shape>
            <v:shape style="position:absolute;left:6345;top:11647;width:1745;height:1462" coordorigin="6346,11647" coordsize="1745,1462" path="m6346,12792l6353,12862,6362,12730,6372,12794,6382,12842,6391,12898,6398,12926,6408,12516,6418,12449,6427,12418,6434,12446,6444,12182,6454,12259,6463,12302,6473,12329,6480,12175,6490,12245,6499,12350,6509,12233,6518,12425,6526,12370,6535,12454,6545,12554,6554,12343,6564,12228,6571,12451,6581,12499,6590,12535,6600,12523,6607,12571,6617,12540,6626,12420,6636,12466,6646,12396,6653,12266,6662,12305,6672,12348,6682,12559,6691,12670,6698,12684,6708,12470,6718,12264,6727,12391,6737,12276,6744,12348,6754,12086,6763,11846,6773,11942,6780,12034,6790,12254,6799,12398,6809,12658,6818,12768,6826,12590,6835,12607,6845,12605,6854,13022,6864,13063,6871,13109,6881,12799,6890,12996,6900,12929,6910,12907,6917,12864,6926,12684,6936,12562,6946,12470,6953,12504,6962,12526,6972,12530,6982,12305,6991,12259,6998,12206,7008,12106,7018,12310,7027,12403,7037,12437,7044,12295,7054,12110,7063,12048,7073,12084,7082,12053,7090,11940,7099,11741,7109,11748,7118,11736,7128,11647,7135,11650,7145,11820,7154,11842,7164,11894,7171,11962,7181,11818,7190,11986,7200,11976,7210,12005,7217,11993,7226,12058,7236,12163,7246,12146,7255,12156,7262,12108,7272,12106,7282,11887,7291,11971,7301,11647,7308,11686,7318,11894,7327,11738,7337,11868,7344,12000,7354,12038,7363,11993,7373,12113,7382,12101,7390,12271,7399,12449,7409,12480,7418,12670,7428,12425,7435,12430,7445,12307,7454,12386,7464,12389,7474,12468,7481,12434,7490,12444,7500,12360,7510,12370,7517,12490,7526,12533,7536,12521,7546,12523,7555,12545,7562,12569,7572,12590,7582,12571,7591,12374,7601,12413,7608,12185,7618,12355,7627,12367,7637,12403,7646,12504,7654,12422,7663,12247,7673,12101,7682,12194,7690,12238,7699,12226,7709,12235,7718,12389,7728,12372,7735,12374,7745,12338,7754,12322,7764,12238,7774,12120,7781,12276,7790,12492,7800,12610,7810,12614,7819,12581,7826,12509,7836,12542,7846,12290,7855,12322,7862,12295,7882,12418,7891,12497,7901,12598,7908,12677,7918,12691,7927,12614,7937,12523,7946,12394,7954,12451,7963,12614,7973,12691,7982,12626,7992,12626,7999,12600,8009,12701,8018,12682,8028,12706,8035,12514,8045,12458,8054,12298,8064,12398,8074,12346,8081,12192,8090,12202e" filled="false" stroked="true" strokeweight="1.44pt" strokecolor="#497dba">
              <v:path arrowok="t"/>
              <v:stroke dashstyle="solid"/>
            </v:shape>
            <v:shape style="position:absolute;left:8090;top:11752;width:2984;height:2273" coordorigin="8090,11753" coordsize="2984,2273" path="m8090,12202l8100,12276,8110,12190,8119,12214,8126,12209,8136,12034,8146,12091,8155,12180,8165,12132,8172,11998,8182,12002,8191,11926,8201,11942,8208,11873,8218,11849,8227,11786,8237,11753,8246,11856,8254,11938,8263,11969,8273,12014,8282,11988,8292,12221,8299,12278,8309,12216,8318,12197,8328,12343,8338,12374,8345,12401,8354,12432,8364,12434,8374,12449,8381,12485,8390,12547,8400,12530,8410,12490,8419,12442,8426,12538,8436,12574,8446,12439,8455,12550,8465,12602,8472,12600,8482,12526,8491,12470,8501,12792,8510,13034,8518,13003,8527,13022,8537,13145,8546,13186,8554,13154,8563,13090,8573,13126,8582,13164,8592,13202,8599,13195,8609,13176,8618,13222,8628,13243,8638,13270,8645,13260,8654,13262,8664,13178,8674,13178,8683,13159,8690,13121,8700,13032,8710,13015,8719,12948,8726,12962,8736,12982,8746,12914,8755,12919,8765,12910,8772,12943,8782,12902,8791,12989,8801,12934,8810,12979,8818,13008,8827,13018,8837,13030,8846,13082,8856,13094,8863,13116,8873,13085,8882,13066,8892,13073,8899,13068,8909,13123,8918,13123,8928,13135,8938,13104,8945,13044,8954,13020,8964,13010,8974,13042,8983,13046,8990,13006,9000,13013,9010,12996,9019,12955,9029,12938,9036,12924,9046,12929,9055,12948,9065,12898,9072,12938,9082,12977,9091,12950,9101,12970,9110,12989,9118,12982,9127,12893,9137,12910,9146,12996,9156,13058,9163,13111,9173,13135,9182,13231,9192,13255,9202,13265,9209,13301,9218,13260,9228,13262,9238,13274,9245,13212,9254,13205,9264,13135,9274,13118,9283,13085,9290,13051,9300,13037,9310,13049,9319,13046,9329,13070,9336,13066,9346,13092,9355,13087,9365,13080,9374,13114,9382,13130,9391,13171,9401,13210,9410,13224,9420,13238,9427,13265,9437,13260,9446,13241,9456,13200,9463,13248,9473,13294,9482,13363,9492,13418,9502,13416,9509,13361,9518,13361,9528,13368,9538,13315,9547,13346,9554,13327,9564,13351,9574,13438,9583,13447,9593,13488,9600,13474,9610,13426,9619,13466,9629,13478,9636,13534,9646,13522,9655,13517,9665,13529,9674,13524,9682,13507,9691,13454,9701,13452,9710,13378,9720,13368,9727,13399,9737,13375,9746,13385,9756,13356,9766,13334,9773,13279,9782,13279,9792,13262,9802,13291,9809,13308,9818,13320,9828,13339,9838,13334,9847,13325,9854,13289,9864,13301,9874,13315,9883,13344,9893,13375,9900,13375,9910,13378m9910,13378l9919,13370,9929,13356,9938,13361,9946,13378,9955,13358,9965,13358,9974,13342,9982,13325,9991,13308,10001,13301,10010,13296,10020,13267,10027,13260,10037,13241,10046,13243,10056,13219,10066,13174,10073,13190,10082,13174,10092,13157,10102,13130,10111,13116,10118,13126,10128,13154,10138,13202,10147,13195,10154,13253,10164,13289,10174,13322,10183,13342,10193,13358,10200,13322,10210,13238,10219,13214,10229,13250,10238,13286,10246,13399,10255,13591,10265,13766,10274,13906,10284,13898,10291,13927,10301,13942,10310,13946,10320,13946,10327,13918,10337,13934,10346,13958,10356,13946,10366,13942,10373,13954,10382,13939,10392,13939,10402,13949,10411,13942,10418,13944,10428,13954,10438,13956,10447,13951,10457,13958,10464,13958,10474,13954,10483,13958,10493,13949,10500,13925,10510,13908,10519,13901,10529,13932,10538,13939,10546,13944,10555,13958,10565,13958,10574,13963,10584,13968,10591,13978,10601,13992,10610,13985,10620,13980,10630,13980,10637,13982,10646,13999,10656,14002,10666,14023,10673,14018,10682,14006,10692,14004,10702,13997,10711,13999,10718,14002,10728,14018,10738,14026,10747,14018,10757,14004,10764,14006,10774,14011,10783,14004,10793,14002,10802,14002,10810,13997,10819,13992,10829,13997,10838,13997,10846,13990,10855,13994,10865,13990,10874,13961,10884,13956,10891,13975,10901,13970,10910,13985,10920,13990,10930,14004,10937,14006,10946,13997,10956,14004,10966,13992,10975,13987,10982,13982,10992,13975,11002,13980,11011,13985,11018,13978,11028,13985,11038,13992,11047,14014,11057,14014,11064,14002,11074,13992e" filled="false" stroked="true" strokeweight="1.44pt" strokecolor="#497dba">
              <v:path arrowok="t"/>
              <v:stroke dashstyle="solid"/>
            </v:shape>
            <v:shape style="position:absolute;left:6244;top:11462;width:1820;height:1916" coordorigin="6245,11462" coordsize="1820,1916" path="m6245,13370l6254,13378,6262,13246,6271,13322,6281,13318,6290,13236,6300,13284,6307,13195,6317,13176,6326,13176,6336,13198,6346,13142,6353,13066,6362,13018,6372,12929,6382,12970,6391,12922,6398,12833,6408,12655,6418,12720,6427,12883,6434,12926,6444,12898,6454,12895,6463,12929,6473,12929,6480,12742,6490,12641,6499,12694,6509,12679,6518,12662,6526,12535,6535,12756,6545,12806,6554,12862,6564,12905,6571,13049,6581,13102,6590,13049,6600,12960,6607,13070,6617,12965,6626,12898,6636,12871,6646,12840,6653,13032,6662,12994,6672,13066,6682,13159,6691,13073,6698,13082,6708,13090,6718,12974,6727,13025,6737,13068,6744,13099,6754,13118,6763,13162,6773,13246,6780,13260,6790,13142,6799,13164,6809,13181,6818,13166,6826,13128,6835,13147,6845,13073,6854,13054,6864,13006,6871,12953,6881,12965,6890,12946,6900,12907,6910,12902,6917,12886,6926,12862,6936,12802,6946,12737,6953,12742,6962,12730,6972,12667,6982,12530,6991,12490,6998,12401,7008,12473,7018,12458,7027,12494,7037,12473,7044,12516,7054,12617,7063,12542,7073,12437,7082,12362,7090,12065,7099,12240,7109,12211,7118,12161,7128,11719,7135,11623,7145,12338,7154,12653,7164,12682,7171,12593,7181,12274,7190,12149,7200,11969,7210,11789,7217,11954,7226,11875,7236,11856,7246,12029,7255,11741,7262,11724,7272,11779,7282,11566,7291,11462,7301,11530,7308,11794,7318,12226,7327,11921,7337,11846,7344,11863,7354,11827,7363,11909,7373,12005,7382,11801,7390,12036,7399,12257,7409,12382,7418,12557,7428,12566,7435,12631,7445,12619,7454,12665,7464,12569,7474,12648,7481,12566,7490,12514,7500,12413,7510,12396,7517,12499,7526,12509,7536,12490,7546,12454,7555,12492,7562,12434,7572,12334,7582,12319,7591,12134,7601,12125,7608,12175,7618,12175,7627,12252,7637,12401,7646,12528,7654,12588,7663,12607,7673,12490,7682,12523,7690,12600,7699,12756,7709,12797,7718,12734,7728,12773,7735,12766,7745,12773,7754,12799,7764,12830,7774,12830,7781,12857,7790,12955,7800,12989,7810,12946,7819,12998,7826,13037,7836,13157,7846,13102,7855,13123,7862,13121,7872,13068,7882,13092,7891,13082,7901,13046,7908,12938,7918,12900,7927,12941,7937,12941,7946,12888,7954,12787,7963,12917,7973,12910,7982,12890,7992,12962,7999,12986,8009,12953,8018,12912,8028,12823,8035,12845,8045,12780,8054,12720,8064,12749e" filled="false" stroked="true" strokeweight="1.44pt" strokecolor="#bd4a47">
              <v:path arrowok="t"/>
              <v:stroke dashstyle="solid"/>
            </v:shape>
            <v:shape style="position:absolute;left:8064;top:11196;width:3010;height:2840" coordorigin="8064,11196" coordsize="3010,2840" path="m8064,12749l8074,12773,8081,12667,8090,12612,8100,12617,8110,12542,8119,12499,8126,12586,8136,12638,8146,12744,8155,12823,8165,12720,8172,12703,8182,12790,8191,12816,8201,12794,8208,12751,8218,12751,8227,12715,8237,12674,8246,12744,8254,12773,8263,12816,8273,12797,8282,12811,8292,12847,8299,12876,8309,12941,8318,12979,8328,13001,8338,13020,8345,13049,8354,13051,8364,13034,8374,13054,8381,13121,8390,13164,8400,13214,8410,13274,8419,13373,8426,13342,8436,13327,8446,13286,8455,13332,8465,13354,8472,13382,8482,13450,8491,13478,8501,13536,8510,13454,8518,13406,8527,13452,8537,13483,8546,13510,8554,13502,8563,13522,8573,13466,8582,13481,8592,13474,8599,13498,8609,13498,8618,13483,8628,13462,8638,13459,8645,13478,8654,13394,8664,13320,8674,13243,8683,13198,8690,13171,8700,13186,8710,13169,8719,13102,8726,13068,8736,12958,8746,12886,8755,12962,8765,13027,8772,13022,8782,13049,8791,13126,8801,13140,8810,13140,8818,13147,8827,13140,8837,13162,8846,13193,8856,13226,8863,13262,8873,13219,8882,13174,8892,13147,8899,13130,8909,13130,8918,13114,8928,13114,8938,13133,8945,13171,8954,13188,8964,13154,8974,13154,8983,13135,8990,13085,9000,13104,9010,13121,9019,13130,9029,13162,9036,13135,9046,13150,9055,13166,9065,13145,9072,13157,9082,13195,9091,13171,9101,13169,9110,13174,9118,13171,9127,13181,9137,13186,9146,13241,9156,13327,9163,13346,9173,13308,9182,13313,9192,13308,9202,13250,9209,13274,9218,13265,9228,13229,9238,13210,9245,13200,9254,13171,9264,13188,9274,13159,9283,13123,9290,13085,9300,13042,9310,13044,9319,13032,9329,13010,9336,12979,9346,13022,9355,13027,9365,13044,9374,13058,9382,13054,9391,13097,9401,13176,9410,13291,9420,13322,9427,13382,9437,13399,9446,13438,9456,13428,9463,13490,9473,13519,9482,13654,9492,13728,9502,13718,9509,13718,9518,13687,9528,13699,9538,13610,9547,13682,9554,13678,9564,13721,9574,13778,9583,13776,9593,13812,9600,13831,9610,13807,9619,13853,9629,13846,9636,13855,9646,13865,9655,13865,9665,13870,9674,13886,9682,13850,9691,13843,9701,13879,9710,13848,9720,13822,9727,13853,9737,13848,9746,13867,9756,13865,9766,13793,9773,13754,9782,13718,9792,13716,9802,13735,9809,13694,9818,13690,9828,13625,9838,13608,9847,13574,9854,13529,9864,13500,9874,13507,9883,13507m9883,13507l9893,13488,9900,13433,9910,13450,9919,13387,9929,13356,9938,13349,9946,13344,9955,13320,9965,13298,9974,13277,9982,13267,9991,13243,10001,13214,10010,13238,10020,13258,10027,13267,10037,13267,10046,13277,10056,13255,10066,13248,10073,13274,10082,13277,10092,13274,10102,13253,10111,13262,10118,13291,10128,13363,10138,13404,10147,13404,10154,13538,10164,13536,10174,13709,10183,13793,10193,13817,10200,13747,10210,13690,10219,13682,10229,13699,10238,13709,10246,13764,10255,13838,10265,13927,10274,13990,10284,13966,10291,13937,10301,13961,10310,13970,10320,13973,10327,13963,10337,13966,10346,13980,10356,13985,10366,13990,10373,14009,10382,13966,10392,13999,10402,13997,10411,13982,10418,13978,10428,13985,10438,13997,10447,14002,10457,14004,10464,14009,10474,14014,10483,14004,10493,14004,10500,14006,10510,14006,10519,13999,10529,14014,10538,14018,10546,14016,10555,14011,10565,14030,10574,14023,10584,14026,10591,14028,10601,14028,10610,14028,10620,14018,10630,14014,10637,14018,10646,14014,10656,14011,10666,14023,10673,14021,10682,14021,10692,14016,10702,14018,10711,14021,10718,14023,10728,14023,10738,14023,10747,14028,10757,14026,10764,14021,10774,14030,10783,14028,10793,14033,10802,14030,10810,14028,10819,14028,10829,14030,10838,14033,10846,14033,10855,14035,10865,14035,10874,14033,10884,14033,10891,14033,10901,14028,10910,14028,10920,14028,10930,14004,10937,14021,10946,14009,10956,14006,10966,14009,10975,14004,10982,14002,10992,13997,11002,13982,11011,13994,11018,13978,11028,13944,11038,13925,11047,13951,11057,13946,11064,13956,11074,13958m8899,11196l9283,11196e" filled="false" stroked="true" strokeweight="1.44pt" strokecolor="#bd4a47">
              <v:path arrowok="t"/>
              <v:stroke dashstyle="solid"/>
            </v:shape>
            <w10:wrap type="none"/>
          </v:group>
        </w:pict>
      </w:r>
    </w:p>
    <w:p>
      <w:pPr>
        <w:spacing w:after="0"/>
        <w:rPr>
          <w:sz w:val="2"/>
          <w:szCs w:val="2"/>
        </w:rPr>
        <w:sectPr>
          <w:pgSz w:w="11910" w:h="16840"/>
          <w:pgMar w:header="0" w:footer="1334" w:top="1580" w:bottom="1520" w:left="260" w:right="240"/>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
        <w:gridCol w:w="523"/>
        <w:gridCol w:w="581"/>
        <w:gridCol w:w="571"/>
        <w:gridCol w:w="559"/>
        <w:gridCol w:w="559"/>
        <w:gridCol w:w="489"/>
        <w:gridCol w:w="629"/>
        <w:gridCol w:w="598"/>
        <w:gridCol w:w="498"/>
        <w:gridCol w:w="785"/>
        <w:gridCol w:w="1989"/>
        <w:gridCol w:w="805"/>
        <w:gridCol w:w="406"/>
        <w:gridCol w:w="820"/>
        <w:gridCol w:w="782"/>
      </w:tblGrid>
      <w:tr>
        <w:trPr>
          <w:trHeight w:val="614" w:hRule="atLeast"/>
        </w:trPr>
        <w:tc>
          <w:tcPr>
            <w:tcW w:w="5587" w:type="dxa"/>
            <w:gridSpan w:val="10"/>
          </w:tcPr>
          <w:p>
            <w:pPr>
              <w:pStyle w:val="TableParagraph"/>
              <w:spacing w:line="242" w:lineRule="auto" w:before="54"/>
              <w:ind w:left="107" w:right="102"/>
              <w:rPr>
                <w:sz w:val="20"/>
              </w:rPr>
            </w:pPr>
            <w:r>
              <w:rPr>
                <w:b/>
                <w:sz w:val="20"/>
              </w:rPr>
              <w:t>Figure 7: </w:t>
            </w:r>
            <w:r>
              <w:rPr>
                <w:sz w:val="20"/>
              </w:rPr>
              <w:t>Correlation between UK and US zero-coupon spot rates, 2 year and 10 year maturities</w:t>
            </w:r>
          </w:p>
        </w:tc>
        <w:tc>
          <w:tcPr>
            <w:tcW w:w="5587" w:type="dxa"/>
            <w:gridSpan w:val="6"/>
          </w:tcPr>
          <w:p>
            <w:pPr>
              <w:pStyle w:val="TableParagraph"/>
              <w:spacing w:line="242" w:lineRule="auto" w:before="54"/>
              <w:ind w:left="107" w:right="102"/>
              <w:rPr>
                <w:sz w:val="20"/>
              </w:rPr>
            </w:pPr>
            <w:r>
              <w:rPr>
                <w:b/>
                <w:sz w:val="20"/>
              </w:rPr>
              <w:t>Figure 8: </w:t>
            </w:r>
            <w:r>
              <w:rPr>
                <w:sz w:val="20"/>
              </w:rPr>
              <w:t>Correlation between UK and US (instantaneous) forward rates, 2 year and 10 year horizons</w:t>
            </w:r>
          </w:p>
        </w:tc>
      </w:tr>
      <w:tr>
        <w:trPr>
          <w:trHeight w:val="431" w:hRule="atLeast"/>
        </w:trPr>
        <w:tc>
          <w:tcPr>
            <w:tcW w:w="580" w:type="dxa"/>
            <w:tcBorders>
              <w:bottom w:val="nil"/>
              <w:right w:val="nil"/>
            </w:tcBorders>
          </w:tcPr>
          <w:p>
            <w:pPr>
              <w:pStyle w:val="TableParagraph"/>
              <w:rPr>
                <w:rFonts w:ascii="Times New Roman"/>
                <w:sz w:val="18"/>
              </w:rPr>
            </w:pPr>
          </w:p>
        </w:tc>
        <w:tc>
          <w:tcPr>
            <w:tcW w:w="523" w:type="dxa"/>
            <w:tcBorders>
              <w:left w:val="nil"/>
              <w:bottom w:val="nil"/>
              <w:right w:val="nil"/>
            </w:tcBorders>
          </w:tcPr>
          <w:p>
            <w:pPr>
              <w:pStyle w:val="TableParagraph"/>
              <w:rPr>
                <w:rFonts w:ascii="Times New Roman"/>
                <w:sz w:val="18"/>
              </w:rPr>
            </w:pPr>
          </w:p>
        </w:tc>
        <w:tc>
          <w:tcPr>
            <w:tcW w:w="1152" w:type="dxa"/>
            <w:gridSpan w:val="2"/>
            <w:tcBorders>
              <w:left w:val="nil"/>
              <w:bottom w:val="nil"/>
              <w:right w:val="nil"/>
            </w:tcBorders>
          </w:tcPr>
          <w:p>
            <w:pPr>
              <w:pStyle w:val="TableParagraph"/>
              <w:spacing w:before="7"/>
              <w:rPr>
                <w:sz w:val="19"/>
              </w:rPr>
            </w:pPr>
          </w:p>
          <w:p>
            <w:pPr>
              <w:pStyle w:val="TableParagraph"/>
              <w:ind w:left="585"/>
              <w:rPr>
                <w:sz w:val="16"/>
              </w:rPr>
            </w:pPr>
            <w:r>
              <w:rPr>
                <w:sz w:val="16"/>
              </w:rPr>
              <w:t>2 yr</w:t>
            </w:r>
          </w:p>
        </w:tc>
        <w:tc>
          <w:tcPr>
            <w:tcW w:w="559" w:type="dxa"/>
            <w:tcBorders>
              <w:left w:val="nil"/>
              <w:bottom w:val="nil"/>
              <w:right w:val="nil"/>
            </w:tcBorders>
          </w:tcPr>
          <w:p>
            <w:pPr>
              <w:pStyle w:val="TableParagraph"/>
              <w:rPr>
                <w:rFonts w:ascii="Times New Roman"/>
                <w:sz w:val="18"/>
              </w:rPr>
            </w:pPr>
          </w:p>
        </w:tc>
        <w:tc>
          <w:tcPr>
            <w:tcW w:w="559" w:type="dxa"/>
            <w:tcBorders>
              <w:left w:val="nil"/>
              <w:bottom w:val="nil"/>
              <w:right w:val="nil"/>
            </w:tcBorders>
          </w:tcPr>
          <w:p>
            <w:pPr>
              <w:pStyle w:val="TableParagraph"/>
              <w:rPr>
                <w:rFonts w:ascii="Times New Roman"/>
                <w:sz w:val="18"/>
              </w:rPr>
            </w:pPr>
          </w:p>
        </w:tc>
        <w:tc>
          <w:tcPr>
            <w:tcW w:w="489" w:type="dxa"/>
            <w:tcBorders>
              <w:left w:val="nil"/>
              <w:bottom w:val="nil"/>
              <w:right w:val="nil"/>
            </w:tcBorders>
          </w:tcPr>
          <w:p>
            <w:pPr>
              <w:pStyle w:val="TableParagraph"/>
              <w:spacing w:before="7"/>
              <w:rPr>
                <w:sz w:val="19"/>
              </w:rPr>
            </w:pPr>
          </w:p>
          <w:p>
            <w:pPr>
              <w:pStyle w:val="TableParagraph"/>
              <w:ind w:left="134" w:right="-15"/>
              <w:rPr>
                <w:sz w:val="16"/>
              </w:rPr>
            </w:pPr>
            <w:r>
              <w:rPr>
                <w:sz w:val="16"/>
              </w:rPr>
              <w:t>10</w:t>
            </w:r>
            <w:r>
              <w:rPr>
                <w:spacing w:val="-2"/>
                <w:sz w:val="16"/>
              </w:rPr>
              <w:t> </w:t>
            </w:r>
            <w:r>
              <w:rPr>
                <w:sz w:val="16"/>
              </w:rPr>
              <w:t>yr</w:t>
            </w:r>
          </w:p>
        </w:tc>
        <w:tc>
          <w:tcPr>
            <w:tcW w:w="629" w:type="dxa"/>
            <w:tcBorders>
              <w:left w:val="nil"/>
              <w:bottom w:val="nil"/>
              <w:right w:val="nil"/>
            </w:tcBorders>
          </w:tcPr>
          <w:p>
            <w:pPr>
              <w:pStyle w:val="TableParagraph"/>
              <w:rPr>
                <w:rFonts w:ascii="Times New Roman"/>
                <w:sz w:val="18"/>
              </w:rPr>
            </w:pPr>
          </w:p>
        </w:tc>
        <w:tc>
          <w:tcPr>
            <w:tcW w:w="598" w:type="dxa"/>
            <w:tcBorders>
              <w:left w:val="nil"/>
              <w:bottom w:val="nil"/>
              <w:right w:val="nil"/>
            </w:tcBorders>
          </w:tcPr>
          <w:p>
            <w:pPr>
              <w:pStyle w:val="TableParagraph"/>
              <w:rPr>
                <w:rFonts w:ascii="Times New Roman"/>
                <w:sz w:val="18"/>
              </w:rPr>
            </w:pPr>
          </w:p>
        </w:tc>
        <w:tc>
          <w:tcPr>
            <w:tcW w:w="498" w:type="dxa"/>
            <w:tcBorders>
              <w:left w:val="nil"/>
              <w:bottom w:val="nil"/>
            </w:tcBorders>
          </w:tcPr>
          <w:p>
            <w:pPr>
              <w:pStyle w:val="TableParagraph"/>
              <w:spacing w:before="155"/>
              <w:ind w:left="142"/>
              <w:rPr>
                <w:sz w:val="16"/>
              </w:rPr>
            </w:pPr>
            <w:r>
              <w:rPr>
                <w:sz w:val="16"/>
              </w:rPr>
              <w:t>1.0</w:t>
            </w:r>
          </w:p>
        </w:tc>
        <w:tc>
          <w:tcPr>
            <w:tcW w:w="785" w:type="dxa"/>
            <w:tcBorders>
              <w:bottom w:val="nil"/>
              <w:right w:val="nil"/>
            </w:tcBorders>
          </w:tcPr>
          <w:p>
            <w:pPr>
              <w:pStyle w:val="TableParagraph"/>
              <w:rPr>
                <w:rFonts w:ascii="Times New Roman"/>
                <w:sz w:val="18"/>
              </w:rPr>
            </w:pPr>
          </w:p>
        </w:tc>
        <w:tc>
          <w:tcPr>
            <w:tcW w:w="1989" w:type="dxa"/>
            <w:tcBorders>
              <w:left w:val="nil"/>
              <w:bottom w:val="nil"/>
              <w:right w:val="nil"/>
            </w:tcBorders>
          </w:tcPr>
          <w:p>
            <w:pPr>
              <w:pStyle w:val="TableParagraph"/>
              <w:spacing w:before="7"/>
              <w:rPr>
                <w:sz w:val="19"/>
              </w:rPr>
            </w:pPr>
          </w:p>
          <w:p>
            <w:pPr>
              <w:pStyle w:val="TableParagraph"/>
              <w:tabs>
                <w:tab w:pos="939" w:val="left" w:leader="none"/>
              </w:tabs>
              <w:ind w:left="516"/>
              <w:rPr>
                <w:sz w:val="16"/>
              </w:rPr>
            </w:pPr>
            <w:r>
              <w:rPr>
                <w:w w:val="100"/>
                <w:position w:val="7"/>
                <w:sz w:val="16"/>
                <w:u w:val="thick" w:color="4A7DBA"/>
              </w:rPr>
              <w:t> </w:t>
            </w:r>
            <w:r>
              <w:rPr>
                <w:position w:val="7"/>
                <w:sz w:val="16"/>
                <w:u w:val="thick" w:color="4A7DBA"/>
              </w:rPr>
              <w:tab/>
            </w:r>
            <w:r>
              <w:rPr>
                <w:sz w:val="16"/>
              </w:rPr>
              <w:t>2</w:t>
            </w:r>
            <w:r>
              <w:rPr>
                <w:spacing w:val="-1"/>
                <w:sz w:val="16"/>
              </w:rPr>
              <w:t> </w:t>
            </w:r>
            <w:r>
              <w:rPr>
                <w:sz w:val="16"/>
              </w:rPr>
              <w:t>yr</w:t>
            </w:r>
          </w:p>
        </w:tc>
        <w:tc>
          <w:tcPr>
            <w:tcW w:w="805" w:type="dxa"/>
            <w:tcBorders>
              <w:left w:val="nil"/>
              <w:bottom w:val="nil"/>
              <w:right w:val="nil"/>
            </w:tcBorders>
          </w:tcPr>
          <w:p>
            <w:pPr>
              <w:pStyle w:val="TableParagraph"/>
              <w:rPr>
                <w:rFonts w:ascii="Times New Roman"/>
                <w:sz w:val="18"/>
              </w:rPr>
            </w:pPr>
          </w:p>
        </w:tc>
        <w:tc>
          <w:tcPr>
            <w:tcW w:w="406" w:type="dxa"/>
            <w:tcBorders>
              <w:left w:val="nil"/>
              <w:bottom w:val="nil"/>
              <w:right w:val="nil"/>
            </w:tcBorders>
          </w:tcPr>
          <w:p>
            <w:pPr>
              <w:pStyle w:val="TableParagraph"/>
              <w:spacing w:before="7"/>
              <w:rPr>
                <w:sz w:val="19"/>
              </w:rPr>
            </w:pPr>
          </w:p>
          <w:p>
            <w:pPr>
              <w:pStyle w:val="TableParagraph"/>
              <w:ind w:right="34"/>
              <w:jc w:val="center"/>
              <w:rPr>
                <w:sz w:val="16"/>
              </w:rPr>
            </w:pPr>
            <w:r>
              <w:rPr>
                <w:sz w:val="16"/>
              </w:rPr>
              <w:t>10 yr</w:t>
            </w:r>
          </w:p>
        </w:tc>
        <w:tc>
          <w:tcPr>
            <w:tcW w:w="820" w:type="dxa"/>
            <w:tcBorders>
              <w:left w:val="nil"/>
              <w:bottom w:val="nil"/>
              <w:right w:val="nil"/>
            </w:tcBorders>
          </w:tcPr>
          <w:p>
            <w:pPr>
              <w:pStyle w:val="TableParagraph"/>
              <w:rPr>
                <w:rFonts w:ascii="Times New Roman"/>
                <w:sz w:val="18"/>
              </w:rPr>
            </w:pPr>
          </w:p>
        </w:tc>
        <w:tc>
          <w:tcPr>
            <w:tcW w:w="782" w:type="dxa"/>
            <w:tcBorders>
              <w:left w:val="nil"/>
              <w:bottom w:val="nil"/>
            </w:tcBorders>
          </w:tcPr>
          <w:p>
            <w:pPr>
              <w:pStyle w:val="TableParagraph"/>
              <w:spacing w:before="135"/>
              <w:ind w:right="126"/>
              <w:jc w:val="right"/>
              <w:rPr>
                <w:sz w:val="16"/>
              </w:rPr>
            </w:pPr>
            <w:r>
              <w:rPr>
                <w:sz w:val="16"/>
              </w:rPr>
              <w:t>1.0</w:t>
            </w:r>
          </w:p>
        </w:tc>
      </w:tr>
      <w:tr>
        <w:trPr>
          <w:trHeight w:val="200" w:hRule="atLeast"/>
        </w:trPr>
        <w:tc>
          <w:tcPr>
            <w:tcW w:w="5587" w:type="dxa"/>
            <w:gridSpan w:val="10"/>
            <w:tcBorders>
              <w:top w:val="nil"/>
              <w:bottom w:val="nil"/>
            </w:tcBorders>
          </w:tcPr>
          <w:p>
            <w:pPr>
              <w:pStyle w:val="TableParagraph"/>
              <w:spacing w:line="164" w:lineRule="exact" w:before="17"/>
              <w:ind w:right="125"/>
              <w:jc w:val="right"/>
              <w:rPr>
                <w:sz w:val="16"/>
              </w:rPr>
            </w:pPr>
            <w:r>
              <w:rPr>
                <w:sz w:val="16"/>
              </w:rPr>
              <w:t>0.9</w:t>
            </w:r>
          </w:p>
        </w:tc>
        <w:tc>
          <w:tcPr>
            <w:tcW w:w="5587" w:type="dxa"/>
            <w:gridSpan w:val="6"/>
            <w:tcBorders>
              <w:top w:val="nil"/>
              <w:bottom w:val="nil"/>
            </w:tcBorders>
          </w:tcPr>
          <w:p>
            <w:pPr>
              <w:pStyle w:val="TableParagraph"/>
              <w:rPr>
                <w:rFonts w:ascii="Times New Roman"/>
                <w:sz w:val="14"/>
              </w:rPr>
            </w:pPr>
          </w:p>
        </w:tc>
      </w:tr>
      <w:tr>
        <w:trPr>
          <w:trHeight w:val="350" w:hRule="atLeast"/>
        </w:trPr>
        <w:tc>
          <w:tcPr>
            <w:tcW w:w="5587" w:type="dxa"/>
            <w:gridSpan w:val="10"/>
            <w:tcBorders>
              <w:top w:val="nil"/>
              <w:bottom w:val="nil"/>
            </w:tcBorders>
          </w:tcPr>
          <w:p>
            <w:pPr>
              <w:pStyle w:val="TableParagraph"/>
              <w:spacing w:before="109"/>
              <w:ind w:right="125"/>
              <w:jc w:val="right"/>
              <w:rPr>
                <w:sz w:val="16"/>
              </w:rPr>
            </w:pPr>
            <w:r>
              <w:rPr>
                <w:sz w:val="16"/>
              </w:rPr>
              <w:t>0.8</w:t>
            </w:r>
          </w:p>
        </w:tc>
        <w:tc>
          <w:tcPr>
            <w:tcW w:w="5587" w:type="dxa"/>
            <w:gridSpan w:val="6"/>
            <w:tcBorders>
              <w:top w:val="nil"/>
              <w:bottom w:val="nil"/>
            </w:tcBorders>
          </w:tcPr>
          <w:p>
            <w:pPr>
              <w:pStyle w:val="TableParagraph"/>
              <w:spacing w:line="179" w:lineRule="exact"/>
              <w:ind w:right="126"/>
              <w:jc w:val="right"/>
              <w:rPr>
                <w:sz w:val="16"/>
              </w:rPr>
            </w:pPr>
            <w:r>
              <w:rPr>
                <w:sz w:val="16"/>
              </w:rPr>
              <w:t>0.8</w:t>
            </w:r>
          </w:p>
        </w:tc>
      </w:tr>
      <w:tr>
        <w:trPr>
          <w:trHeight w:val="336" w:hRule="atLeast"/>
        </w:trPr>
        <w:tc>
          <w:tcPr>
            <w:tcW w:w="5587" w:type="dxa"/>
            <w:gridSpan w:val="10"/>
            <w:tcBorders>
              <w:top w:val="nil"/>
              <w:bottom w:val="nil"/>
            </w:tcBorders>
          </w:tcPr>
          <w:p>
            <w:pPr>
              <w:pStyle w:val="TableParagraph"/>
              <w:spacing w:before="52"/>
              <w:ind w:right="125"/>
              <w:jc w:val="right"/>
              <w:rPr>
                <w:sz w:val="16"/>
              </w:rPr>
            </w:pPr>
            <w:r>
              <w:rPr>
                <w:sz w:val="16"/>
              </w:rPr>
              <w:t>0.7</w:t>
            </w:r>
          </w:p>
        </w:tc>
        <w:tc>
          <w:tcPr>
            <w:tcW w:w="5587" w:type="dxa"/>
            <w:gridSpan w:val="6"/>
            <w:tcBorders>
              <w:top w:val="nil"/>
              <w:bottom w:val="nil"/>
            </w:tcBorders>
          </w:tcPr>
          <w:p>
            <w:pPr>
              <w:pStyle w:val="TableParagraph"/>
              <w:spacing w:line="178" w:lineRule="exact" w:before="138"/>
              <w:ind w:right="126"/>
              <w:jc w:val="right"/>
              <w:rPr>
                <w:sz w:val="16"/>
              </w:rPr>
            </w:pPr>
            <w:r>
              <w:rPr>
                <w:sz w:val="16"/>
              </w:rPr>
              <w:t>0.6</w:t>
            </w:r>
          </w:p>
        </w:tc>
      </w:tr>
      <w:tr>
        <w:trPr>
          <w:trHeight w:val="246" w:hRule="atLeast"/>
        </w:trPr>
        <w:tc>
          <w:tcPr>
            <w:tcW w:w="5587" w:type="dxa"/>
            <w:gridSpan w:val="10"/>
            <w:tcBorders>
              <w:top w:val="nil"/>
              <w:bottom w:val="nil"/>
            </w:tcBorders>
          </w:tcPr>
          <w:p>
            <w:pPr>
              <w:pStyle w:val="TableParagraph"/>
              <w:spacing w:before="9"/>
              <w:ind w:right="125"/>
              <w:jc w:val="right"/>
              <w:rPr>
                <w:sz w:val="16"/>
              </w:rPr>
            </w:pPr>
            <w:r>
              <w:rPr>
                <w:sz w:val="16"/>
              </w:rPr>
              <w:t>0.6</w:t>
            </w:r>
          </w:p>
        </w:tc>
        <w:tc>
          <w:tcPr>
            <w:tcW w:w="5587" w:type="dxa"/>
            <w:gridSpan w:val="6"/>
            <w:tcBorders>
              <w:top w:val="nil"/>
              <w:bottom w:val="nil"/>
            </w:tcBorders>
          </w:tcPr>
          <w:p>
            <w:pPr>
              <w:pStyle w:val="TableParagraph"/>
              <w:rPr>
                <w:rFonts w:ascii="Times New Roman"/>
                <w:sz w:val="16"/>
              </w:rPr>
            </w:pPr>
          </w:p>
        </w:tc>
      </w:tr>
      <w:tr>
        <w:trPr>
          <w:trHeight w:val="297" w:hRule="atLeast"/>
        </w:trPr>
        <w:tc>
          <w:tcPr>
            <w:tcW w:w="5587" w:type="dxa"/>
            <w:gridSpan w:val="10"/>
            <w:tcBorders>
              <w:top w:val="nil"/>
              <w:bottom w:val="nil"/>
            </w:tcBorders>
          </w:tcPr>
          <w:p>
            <w:pPr>
              <w:pStyle w:val="TableParagraph"/>
              <w:spacing w:before="57"/>
              <w:ind w:right="125"/>
              <w:jc w:val="right"/>
              <w:rPr>
                <w:sz w:val="16"/>
              </w:rPr>
            </w:pPr>
            <w:r>
              <w:rPr>
                <w:sz w:val="16"/>
              </w:rPr>
              <w:t>0.5</w:t>
            </w:r>
          </w:p>
        </w:tc>
        <w:tc>
          <w:tcPr>
            <w:tcW w:w="5587" w:type="dxa"/>
            <w:gridSpan w:val="6"/>
            <w:tcBorders>
              <w:top w:val="nil"/>
              <w:bottom w:val="nil"/>
            </w:tcBorders>
          </w:tcPr>
          <w:p>
            <w:pPr>
              <w:pStyle w:val="TableParagraph"/>
              <w:spacing w:before="47"/>
              <w:ind w:right="126"/>
              <w:jc w:val="right"/>
              <w:rPr>
                <w:sz w:val="16"/>
              </w:rPr>
            </w:pPr>
            <w:r>
              <w:rPr>
                <w:sz w:val="16"/>
              </w:rPr>
              <w:t>0.4</w:t>
            </w:r>
          </w:p>
        </w:tc>
      </w:tr>
      <w:tr>
        <w:trPr>
          <w:trHeight w:val="241" w:hRule="atLeast"/>
        </w:trPr>
        <w:tc>
          <w:tcPr>
            <w:tcW w:w="5587" w:type="dxa"/>
            <w:gridSpan w:val="10"/>
            <w:tcBorders>
              <w:top w:val="nil"/>
              <w:bottom w:val="nil"/>
            </w:tcBorders>
          </w:tcPr>
          <w:p>
            <w:pPr>
              <w:pStyle w:val="TableParagraph"/>
              <w:spacing w:line="170" w:lineRule="exact" w:before="52"/>
              <w:ind w:right="125"/>
              <w:jc w:val="right"/>
              <w:rPr>
                <w:sz w:val="16"/>
              </w:rPr>
            </w:pPr>
            <w:r>
              <w:rPr>
                <w:sz w:val="16"/>
              </w:rPr>
              <w:t>0.4</w:t>
            </w:r>
          </w:p>
        </w:tc>
        <w:tc>
          <w:tcPr>
            <w:tcW w:w="5587" w:type="dxa"/>
            <w:gridSpan w:val="6"/>
            <w:tcBorders>
              <w:top w:val="nil"/>
              <w:bottom w:val="nil"/>
            </w:tcBorders>
          </w:tcPr>
          <w:p>
            <w:pPr>
              <w:pStyle w:val="TableParagraph"/>
              <w:rPr>
                <w:rFonts w:ascii="Times New Roman"/>
                <w:sz w:val="16"/>
              </w:rPr>
            </w:pPr>
          </w:p>
        </w:tc>
      </w:tr>
      <w:tr>
        <w:trPr>
          <w:trHeight w:val="344" w:hRule="atLeast"/>
        </w:trPr>
        <w:tc>
          <w:tcPr>
            <w:tcW w:w="5587" w:type="dxa"/>
            <w:gridSpan w:val="10"/>
            <w:tcBorders>
              <w:top w:val="nil"/>
              <w:bottom w:val="nil"/>
            </w:tcBorders>
          </w:tcPr>
          <w:p>
            <w:pPr>
              <w:pStyle w:val="TableParagraph"/>
              <w:spacing w:before="103"/>
              <w:ind w:right="125"/>
              <w:jc w:val="right"/>
              <w:rPr>
                <w:sz w:val="16"/>
              </w:rPr>
            </w:pPr>
            <w:r>
              <w:rPr>
                <w:sz w:val="16"/>
              </w:rPr>
              <w:t>0.3</w:t>
            </w:r>
          </w:p>
        </w:tc>
        <w:tc>
          <w:tcPr>
            <w:tcW w:w="5587" w:type="dxa"/>
            <w:gridSpan w:val="6"/>
            <w:tcBorders>
              <w:top w:val="nil"/>
              <w:bottom w:val="nil"/>
            </w:tcBorders>
          </w:tcPr>
          <w:p>
            <w:pPr>
              <w:pStyle w:val="TableParagraph"/>
              <w:spacing w:before="1"/>
              <w:ind w:right="126"/>
              <w:jc w:val="right"/>
              <w:rPr>
                <w:sz w:val="16"/>
              </w:rPr>
            </w:pPr>
            <w:r>
              <w:rPr>
                <w:sz w:val="16"/>
              </w:rPr>
              <w:t>0.2</w:t>
            </w:r>
          </w:p>
        </w:tc>
      </w:tr>
      <w:tr>
        <w:trPr>
          <w:trHeight w:val="341" w:hRule="atLeast"/>
        </w:trPr>
        <w:tc>
          <w:tcPr>
            <w:tcW w:w="5587" w:type="dxa"/>
            <w:gridSpan w:val="10"/>
            <w:tcBorders>
              <w:top w:val="nil"/>
              <w:bottom w:val="nil"/>
            </w:tcBorders>
          </w:tcPr>
          <w:p>
            <w:pPr>
              <w:pStyle w:val="TableParagraph"/>
              <w:spacing w:before="52"/>
              <w:ind w:right="125"/>
              <w:jc w:val="right"/>
              <w:rPr>
                <w:sz w:val="16"/>
              </w:rPr>
            </w:pPr>
            <w:r>
              <w:rPr>
                <w:sz w:val="16"/>
              </w:rPr>
              <w:t>0.2</w:t>
            </w:r>
          </w:p>
        </w:tc>
        <w:tc>
          <w:tcPr>
            <w:tcW w:w="5587" w:type="dxa"/>
            <w:gridSpan w:val="6"/>
            <w:tcBorders>
              <w:top w:val="nil"/>
              <w:bottom w:val="nil"/>
            </w:tcBorders>
          </w:tcPr>
          <w:p>
            <w:pPr>
              <w:pStyle w:val="TableParagraph"/>
              <w:spacing w:line="173" w:lineRule="exact" w:before="148"/>
              <w:ind w:right="126"/>
              <w:jc w:val="right"/>
              <w:rPr>
                <w:sz w:val="16"/>
              </w:rPr>
            </w:pPr>
            <w:r>
              <w:rPr>
                <w:sz w:val="16"/>
              </w:rPr>
              <w:t>0.0</w:t>
            </w:r>
          </w:p>
        </w:tc>
      </w:tr>
      <w:tr>
        <w:trPr>
          <w:trHeight w:val="245" w:hRule="atLeast"/>
        </w:trPr>
        <w:tc>
          <w:tcPr>
            <w:tcW w:w="5587" w:type="dxa"/>
            <w:gridSpan w:val="10"/>
            <w:tcBorders>
              <w:top w:val="nil"/>
              <w:bottom w:val="nil"/>
            </w:tcBorders>
          </w:tcPr>
          <w:p>
            <w:pPr>
              <w:pStyle w:val="TableParagraph"/>
              <w:spacing w:before="4"/>
              <w:ind w:right="125"/>
              <w:jc w:val="right"/>
              <w:rPr>
                <w:sz w:val="16"/>
              </w:rPr>
            </w:pPr>
            <w:r>
              <w:rPr>
                <w:sz w:val="16"/>
              </w:rPr>
              <w:t>0.1</w:t>
            </w:r>
          </w:p>
        </w:tc>
        <w:tc>
          <w:tcPr>
            <w:tcW w:w="5587" w:type="dxa"/>
            <w:gridSpan w:val="6"/>
            <w:tcBorders>
              <w:top w:val="nil"/>
              <w:bottom w:val="nil"/>
            </w:tcBorders>
          </w:tcPr>
          <w:p>
            <w:pPr>
              <w:pStyle w:val="TableParagraph"/>
              <w:rPr>
                <w:rFonts w:ascii="Times New Roman"/>
                <w:sz w:val="16"/>
              </w:rPr>
            </w:pPr>
          </w:p>
        </w:tc>
      </w:tr>
      <w:tr>
        <w:trPr>
          <w:trHeight w:val="243" w:hRule="atLeast"/>
        </w:trPr>
        <w:tc>
          <w:tcPr>
            <w:tcW w:w="5587" w:type="dxa"/>
            <w:gridSpan w:val="10"/>
            <w:tcBorders>
              <w:top w:val="nil"/>
              <w:bottom w:val="nil"/>
            </w:tcBorders>
          </w:tcPr>
          <w:p>
            <w:pPr>
              <w:pStyle w:val="TableParagraph"/>
              <w:spacing w:line="171" w:lineRule="exact" w:before="52"/>
              <w:ind w:right="125"/>
              <w:jc w:val="right"/>
              <w:rPr>
                <w:sz w:val="16"/>
              </w:rPr>
            </w:pPr>
            <w:r>
              <w:rPr>
                <w:sz w:val="16"/>
              </w:rPr>
              <w:t>0.0</w:t>
            </w:r>
          </w:p>
        </w:tc>
        <w:tc>
          <w:tcPr>
            <w:tcW w:w="5587" w:type="dxa"/>
            <w:gridSpan w:val="6"/>
            <w:tcBorders>
              <w:top w:val="nil"/>
              <w:bottom w:val="nil"/>
            </w:tcBorders>
          </w:tcPr>
          <w:p>
            <w:pPr>
              <w:pStyle w:val="TableParagraph"/>
              <w:spacing w:line="168" w:lineRule="exact" w:before="54"/>
              <w:ind w:right="74"/>
              <w:jc w:val="right"/>
              <w:rPr>
                <w:sz w:val="16"/>
              </w:rPr>
            </w:pPr>
            <w:r>
              <w:rPr>
                <w:sz w:val="16"/>
              </w:rPr>
              <w:t>-0.2</w:t>
            </w:r>
          </w:p>
        </w:tc>
      </w:tr>
      <w:tr>
        <w:trPr>
          <w:trHeight w:val="224" w:hRule="atLeast"/>
        </w:trPr>
        <w:tc>
          <w:tcPr>
            <w:tcW w:w="1103" w:type="dxa"/>
            <w:gridSpan w:val="2"/>
            <w:tcBorders>
              <w:top w:val="nil"/>
              <w:right w:val="nil"/>
            </w:tcBorders>
          </w:tcPr>
          <w:p>
            <w:pPr>
              <w:pStyle w:val="TableParagraph"/>
              <w:tabs>
                <w:tab w:pos="680" w:val="left" w:leader="none"/>
              </w:tabs>
              <w:spacing w:line="184" w:lineRule="exact"/>
              <w:ind w:left="122"/>
              <w:rPr>
                <w:sz w:val="16"/>
              </w:rPr>
            </w:pPr>
            <w:r>
              <w:rPr>
                <w:sz w:val="16"/>
              </w:rPr>
              <w:t>1982</w:t>
              <w:tab/>
              <w:t>1986</w:t>
            </w:r>
          </w:p>
        </w:tc>
        <w:tc>
          <w:tcPr>
            <w:tcW w:w="581" w:type="dxa"/>
            <w:tcBorders>
              <w:top w:val="nil"/>
              <w:left w:val="nil"/>
              <w:right w:val="nil"/>
            </w:tcBorders>
          </w:tcPr>
          <w:p>
            <w:pPr>
              <w:pStyle w:val="TableParagraph"/>
              <w:spacing w:line="184" w:lineRule="exact"/>
              <w:ind w:left="141"/>
              <w:rPr>
                <w:sz w:val="16"/>
              </w:rPr>
            </w:pPr>
            <w:r>
              <w:rPr>
                <w:sz w:val="16"/>
              </w:rPr>
              <w:t>1990</w:t>
            </w:r>
          </w:p>
        </w:tc>
        <w:tc>
          <w:tcPr>
            <w:tcW w:w="2178" w:type="dxa"/>
            <w:gridSpan w:val="4"/>
            <w:tcBorders>
              <w:top w:val="nil"/>
              <w:left w:val="nil"/>
              <w:right w:val="nil"/>
            </w:tcBorders>
          </w:tcPr>
          <w:p>
            <w:pPr>
              <w:pStyle w:val="TableParagraph"/>
              <w:tabs>
                <w:tab w:pos="677" w:val="left" w:leader="none"/>
                <w:tab w:pos="1235" w:val="left" w:leader="none"/>
                <w:tab w:pos="1794" w:val="left" w:leader="none"/>
              </w:tabs>
              <w:spacing w:line="184" w:lineRule="exact"/>
              <w:ind w:left="118"/>
              <w:rPr>
                <w:sz w:val="16"/>
              </w:rPr>
            </w:pPr>
            <w:r>
              <w:rPr>
                <w:sz w:val="16"/>
              </w:rPr>
              <w:t>1994</w:t>
              <w:tab/>
              <w:t>1998</w:t>
              <w:tab/>
              <w:t>2002</w:t>
              <w:tab/>
              <w:t>2006</w:t>
            </w:r>
          </w:p>
        </w:tc>
        <w:tc>
          <w:tcPr>
            <w:tcW w:w="1725" w:type="dxa"/>
            <w:gridSpan w:val="3"/>
            <w:tcBorders>
              <w:top w:val="nil"/>
              <w:left w:val="nil"/>
            </w:tcBorders>
          </w:tcPr>
          <w:p>
            <w:pPr>
              <w:pStyle w:val="TableParagraph"/>
              <w:tabs>
                <w:tab w:pos="733" w:val="left" w:leader="none"/>
              </w:tabs>
              <w:spacing w:line="184" w:lineRule="exact"/>
              <w:ind w:left="174"/>
              <w:rPr>
                <w:sz w:val="16"/>
              </w:rPr>
            </w:pPr>
            <w:r>
              <w:rPr>
                <w:sz w:val="16"/>
              </w:rPr>
              <w:t>2010</w:t>
              <w:tab/>
              <w:t>2014</w:t>
            </w:r>
          </w:p>
        </w:tc>
        <w:tc>
          <w:tcPr>
            <w:tcW w:w="785" w:type="dxa"/>
            <w:tcBorders>
              <w:top w:val="nil"/>
              <w:right w:val="nil"/>
            </w:tcBorders>
          </w:tcPr>
          <w:p>
            <w:pPr>
              <w:pStyle w:val="TableParagraph"/>
              <w:spacing w:before="2"/>
              <w:ind w:left="121"/>
              <w:rPr>
                <w:sz w:val="16"/>
              </w:rPr>
            </w:pPr>
            <w:r>
              <w:rPr>
                <w:sz w:val="16"/>
              </w:rPr>
              <w:t>1982</w:t>
            </w:r>
          </w:p>
        </w:tc>
        <w:tc>
          <w:tcPr>
            <w:tcW w:w="1989" w:type="dxa"/>
            <w:tcBorders>
              <w:top w:val="nil"/>
              <w:left w:val="nil"/>
              <w:right w:val="nil"/>
            </w:tcBorders>
          </w:tcPr>
          <w:p>
            <w:pPr>
              <w:pStyle w:val="TableParagraph"/>
              <w:tabs>
                <w:tab w:pos="736" w:val="left" w:leader="none"/>
                <w:tab w:pos="1435" w:val="left" w:leader="none"/>
              </w:tabs>
              <w:spacing w:before="2"/>
              <w:ind w:left="38"/>
              <w:rPr>
                <w:sz w:val="16"/>
              </w:rPr>
            </w:pPr>
            <w:r>
              <w:rPr>
                <w:sz w:val="16"/>
              </w:rPr>
              <w:t>1987</w:t>
              <w:tab/>
              <w:t>1992</w:t>
              <w:tab/>
              <w:t>1997</w:t>
            </w:r>
          </w:p>
        </w:tc>
        <w:tc>
          <w:tcPr>
            <w:tcW w:w="805" w:type="dxa"/>
            <w:tcBorders>
              <w:top w:val="nil"/>
              <w:left w:val="nil"/>
              <w:right w:val="nil"/>
            </w:tcBorders>
          </w:tcPr>
          <w:p>
            <w:pPr>
              <w:pStyle w:val="TableParagraph"/>
              <w:spacing w:before="2"/>
              <w:ind w:left="144"/>
              <w:rPr>
                <w:sz w:val="16"/>
              </w:rPr>
            </w:pPr>
            <w:r>
              <w:rPr>
                <w:sz w:val="16"/>
              </w:rPr>
              <w:t>2002</w:t>
            </w:r>
          </w:p>
        </w:tc>
        <w:tc>
          <w:tcPr>
            <w:tcW w:w="406" w:type="dxa"/>
            <w:tcBorders>
              <w:top w:val="nil"/>
              <w:left w:val="nil"/>
              <w:right w:val="nil"/>
            </w:tcBorders>
          </w:tcPr>
          <w:p>
            <w:pPr>
              <w:pStyle w:val="TableParagraph"/>
              <w:spacing w:before="2"/>
              <w:ind w:left="23"/>
              <w:jc w:val="center"/>
              <w:rPr>
                <w:sz w:val="16"/>
              </w:rPr>
            </w:pPr>
            <w:r>
              <w:rPr>
                <w:sz w:val="16"/>
              </w:rPr>
              <w:t>2007</w:t>
            </w:r>
          </w:p>
        </w:tc>
        <w:tc>
          <w:tcPr>
            <w:tcW w:w="820" w:type="dxa"/>
            <w:tcBorders>
              <w:top w:val="nil"/>
              <w:left w:val="nil"/>
              <w:right w:val="nil"/>
            </w:tcBorders>
          </w:tcPr>
          <w:p>
            <w:pPr>
              <w:pStyle w:val="TableParagraph"/>
              <w:spacing w:before="2"/>
              <w:ind w:left="329"/>
              <w:rPr>
                <w:sz w:val="16"/>
              </w:rPr>
            </w:pPr>
            <w:r>
              <w:rPr>
                <w:sz w:val="16"/>
              </w:rPr>
              <w:t>2012</w:t>
            </w:r>
          </w:p>
        </w:tc>
        <w:tc>
          <w:tcPr>
            <w:tcW w:w="782" w:type="dxa"/>
            <w:tcBorders>
              <w:top w:val="nil"/>
              <w:left w:val="nil"/>
            </w:tcBorders>
          </w:tcPr>
          <w:p>
            <w:pPr>
              <w:pStyle w:val="TableParagraph"/>
              <w:rPr>
                <w:rFonts w:ascii="Times New Roman"/>
                <w:sz w:val="16"/>
              </w:rPr>
            </w:pPr>
          </w:p>
        </w:tc>
      </w:tr>
      <w:tr>
        <w:trPr>
          <w:trHeight w:val="244" w:hRule="atLeast"/>
        </w:trPr>
        <w:tc>
          <w:tcPr>
            <w:tcW w:w="5587" w:type="dxa"/>
            <w:gridSpan w:val="10"/>
          </w:tcPr>
          <w:p>
            <w:pPr>
              <w:pStyle w:val="TableParagraph"/>
              <w:spacing w:before="37"/>
              <w:ind w:left="107"/>
              <w:rPr>
                <w:sz w:val="16"/>
              </w:rPr>
            </w:pPr>
            <w:r>
              <w:rPr>
                <w:sz w:val="16"/>
              </w:rPr>
              <w:t>Source: Bank of England, Federal Reserve Board, author calculations</w:t>
            </w:r>
          </w:p>
        </w:tc>
        <w:tc>
          <w:tcPr>
            <w:tcW w:w="5587" w:type="dxa"/>
            <w:gridSpan w:val="6"/>
          </w:tcPr>
          <w:p>
            <w:pPr>
              <w:pStyle w:val="TableParagraph"/>
              <w:spacing w:before="37"/>
              <w:ind w:left="107"/>
              <w:rPr>
                <w:sz w:val="16"/>
              </w:rPr>
            </w:pPr>
            <w:r>
              <w:rPr>
                <w:sz w:val="16"/>
              </w:rPr>
              <w:t>Source: Bank of England, Federal Reserve Board, author calculations</w:t>
            </w:r>
          </w:p>
        </w:tc>
      </w:tr>
      <w:tr>
        <w:trPr>
          <w:trHeight w:val="558" w:hRule="atLeast"/>
        </w:trPr>
        <w:tc>
          <w:tcPr>
            <w:tcW w:w="5587" w:type="dxa"/>
            <w:gridSpan w:val="10"/>
          </w:tcPr>
          <w:p>
            <w:pPr>
              <w:pStyle w:val="TableParagraph"/>
              <w:spacing w:before="57"/>
              <w:ind w:left="107" w:right="102"/>
              <w:rPr>
                <w:sz w:val="20"/>
              </w:rPr>
            </w:pPr>
            <w:r>
              <w:rPr>
                <w:b/>
                <w:sz w:val="20"/>
              </w:rPr>
              <w:t>Figure 9: </w:t>
            </w:r>
            <w:r>
              <w:rPr>
                <w:sz w:val="20"/>
              </w:rPr>
              <w:t>Example of “Random Walk Hypothesis”and “Expectations Hypothesis” (with Dec’10 forward curve)</w:t>
            </w:r>
          </w:p>
        </w:tc>
        <w:tc>
          <w:tcPr>
            <w:tcW w:w="5587" w:type="dxa"/>
            <w:gridSpan w:val="6"/>
          </w:tcPr>
          <w:p>
            <w:pPr>
              <w:pStyle w:val="TableParagraph"/>
              <w:spacing w:before="57"/>
              <w:ind w:left="107" w:right="102"/>
              <w:rPr>
                <w:sz w:val="20"/>
              </w:rPr>
            </w:pPr>
            <w:r>
              <w:rPr>
                <w:b/>
                <w:sz w:val="20"/>
              </w:rPr>
              <w:t>Figure 10: </w:t>
            </w:r>
            <w:r>
              <w:rPr>
                <w:sz w:val="20"/>
              </w:rPr>
              <w:t>Bank rate forecasts from HMT survey of private professional forecasters</w:t>
            </w:r>
          </w:p>
        </w:tc>
      </w:tr>
      <w:tr>
        <w:trPr>
          <w:trHeight w:val="306" w:hRule="atLeast"/>
        </w:trPr>
        <w:tc>
          <w:tcPr>
            <w:tcW w:w="1103" w:type="dxa"/>
            <w:gridSpan w:val="2"/>
            <w:vMerge w:val="restart"/>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2"/>
              <w:ind w:left="228"/>
              <w:rPr>
                <w:sz w:val="16"/>
              </w:rPr>
            </w:pPr>
            <w:r>
              <w:rPr>
                <w:sz w:val="16"/>
              </w:rPr>
              <w:t>Dec-05</w:t>
            </w:r>
          </w:p>
        </w:tc>
        <w:tc>
          <w:tcPr>
            <w:tcW w:w="581" w:type="dxa"/>
            <w:vMerge w:val="restart"/>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2"/>
              <w:ind w:left="71" w:right="-15"/>
              <w:rPr>
                <w:sz w:val="16"/>
              </w:rPr>
            </w:pPr>
            <w:r>
              <w:rPr>
                <w:sz w:val="16"/>
              </w:rPr>
              <w:t>Dec-08</w:t>
            </w:r>
          </w:p>
        </w:tc>
        <w:tc>
          <w:tcPr>
            <w:tcW w:w="2178" w:type="dxa"/>
            <w:gridSpan w:val="4"/>
            <w:vMerge w:val="restart"/>
            <w:tcBorders>
              <w:left w:val="nil"/>
              <w:right w:val="nil"/>
            </w:tcBorders>
          </w:tcPr>
          <w:p>
            <w:pPr>
              <w:pStyle w:val="TableParagraph"/>
              <w:spacing w:before="1"/>
              <w:rPr>
                <w:sz w:val="23"/>
              </w:rPr>
            </w:pPr>
          </w:p>
          <w:p>
            <w:pPr>
              <w:pStyle w:val="TableParagraph"/>
              <w:spacing w:before="1"/>
              <w:ind w:left="265"/>
              <w:rPr>
                <w:sz w:val="16"/>
              </w:rPr>
            </w:pPr>
            <w:r>
              <w:rPr>
                <w:sz w:val="16"/>
              </w:rPr>
              <w:t>data</w:t>
            </w:r>
          </w:p>
          <w:p>
            <w:pPr>
              <w:pStyle w:val="TableParagraph"/>
              <w:spacing w:line="307" w:lineRule="auto" w:before="51"/>
              <w:ind w:left="265" w:right="727"/>
              <w:rPr>
                <w:sz w:val="16"/>
              </w:rPr>
            </w:pPr>
            <w:r>
              <w:rPr>
                <w:sz w:val="16"/>
              </w:rPr>
              <w:t>EH expectations EH term premia</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18"/>
              </w:rPr>
            </w:pPr>
          </w:p>
          <w:p>
            <w:pPr>
              <w:pStyle w:val="TableParagraph"/>
              <w:tabs>
                <w:tab w:pos="1371" w:val="left" w:leader="none"/>
              </w:tabs>
              <w:ind w:left="430"/>
              <w:rPr>
                <w:sz w:val="16"/>
              </w:rPr>
            </w:pPr>
            <w:r>
              <w:rPr>
                <w:sz w:val="16"/>
              </w:rPr>
              <w:t>Dec-11</w:t>
              <w:tab/>
              <w:t>Dec-14</w:t>
            </w:r>
          </w:p>
        </w:tc>
        <w:tc>
          <w:tcPr>
            <w:tcW w:w="1725" w:type="dxa"/>
            <w:gridSpan w:val="3"/>
            <w:vMerge w:val="restart"/>
            <w:tcBorders>
              <w:left w:val="nil"/>
            </w:tcBorders>
          </w:tcPr>
          <w:p>
            <w:pPr>
              <w:pStyle w:val="TableParagraph"/>
              <w:spacing w:line="154" w:lineRule="exact" w:before="141"/>
              <w:ind w:left="1471"/>
              <w:rPr>
                <w:sz w:val="16"/>
              </w:rPr>
            </w:pPr>
            <w:r>
              <w:rPr>
                <w:w w:val="100"/>
                <w:sz w:val="16"/>
              </w:rPr>
              <w:t>7</w:t>
            </w:r>
          </w:p>
          <w:p>
            <w:pPr>
              <w:pStyle w:val="TableParagraph"/>
              <w:spacing w:line="154" w:lineRule="exact"/>
              <w:ind w:left="5"/>
              <w:rPr>
                <w:sz w:val="16"/>
              </w:rPr>
            </w:pPr>
            <w:r>
              <w:rPr>
                <w:sz w:val="16"/>
              </w:rPr>
              <w:t>RW expectations</w:t>
            </w:r>
          </w:p>
          <w:p>
            <w:pPr>
              <w:pStyle w:val="TableParagraph"/>
              <w:tabs>
                <w:tab w:pos="1471" w:val="left" w:leader="none"/>
              </w:tabs>
              <w:spacing w:before="47"/>
              <w:ind w:left="5"/>
              <w:rPr>
                <w:sz w:val="16"/>
              </w:rPr>
            </w:pPr>
            <w:r>
              <w:rPr>
                <w:position w:val="1"/>
                <w:sz w:val="16"/>
              </w:rPr>
              <w:t>RW</w:t>
            </w:r>
            <w:r>
              <w:rPr>
                <w:spacing w:val="-2"/>
                <w:position w:val="1"/>
                <w:sz w:val="16"/>
              </w:rPr>
              <w:t> </w:t>
            </w:r>
            <w:r>
              <w:rPr>
                <w:position w:val="1"/>
                <w:sz w:val="16"/>
              </w:rPr>
              <w:t>term premia</w:t>
              <w:tab/>
            </w:r>
            <w:r>
              <w:rPr>
                <w:sz w:val="16"/>
              </w:rPr>
              <w:t>6</w:t>
            </w:r>
          </w:p>
          <w:p>
            <w:pPr>
              <w:pStyle w:val="TableParagraph"/>
              <w:spacing w:before="9"/>
              <w:rPr>
                <w:sz w:val="15"/>
              </w:rPr>
            </w:pPr>
          </w:p>
          <w:p>
            <w:pPr>
              <w:pStyle w:val="TableParagraph"/>
              <w:ind w:right="157"/>
              <w:jc w:val="right"/>
              <w:rPr>
                <w:sz w:val="16"/>
              </w:rPr>
            </w:pPr>
            <w:r>
              <w:rPr>
                <w:w w:val="100"/>
                <w:sz w:val="16"/>
              </w:rPr>
              <w:t>5</w:t>
            </w:r>
          </w:p>
          <w:p>
            <w:pPr>
              <w:pStyle w:val="TableParagraph"/>
              <w:spacing w:before="9"/>
              <w:rPr>
                <w:sz w:val="15"/>
              </w:rPr>
            </w:pPr>
          </w:p>
          <w:p>
            <w:pPr>
              <w:pStyle w:val="TableParagraph"/>
              <w:ind w:right="157"/>
              <w:jc w:val="right"/>
              <w:rPr>
                <w:sz w:val="16"/>
              </w:rPr>
            </w:pPr>
            <w:r>
              <w:rPr>
                <w:w w:val="100"/>
                <w:sz w:val="16"/>
              </w:rPr>
              <w:t>4</w:t>
            </w:r>
          </w:p>
          <w:p>
            <w:pPr>
              <w:pStyle w:val="TableParagraph"/>
              <w:spacing w:before="9"/>
              <w:rPr>
                <w:sz w:val="15"/>
              </w:rPr>
            </w:pPr>
          </w:p>
          <w:p>
            <w:pPr>
              <w:pStyle w:val="TableParagraph"/>
              <w:ind w:right="157"/>
              <w:jc w:val="right"/>
              <w:rPr>
                <w:sz w:val="16"/>
              </w:rPr>
            </w:pPr>
            <w:r>
              <w:rPr>
                <w:w w:val="100"/>
                <w:sz w:val="16"/>
              </w:rPr>
              <w:t>3</w:t>
            </w:r>
          </w:p>
          <w:p>
            <w:pPr>
              <w:pStyle w:val="TableParagraph"/>
              <w:spacing w:before="9"/>
              <w:rPr>
                <w:sz w:val="15"/>
              </w:rPr>
            </w:pPr>
          </w:p>
          <w:p>
            <w:pPr>
              <w:pStyle w:val="TableParagraph"/>
              <w:ind w:right="157"/>
              <w:jc w:val="right"/>
              <w:rPr>
                <w:sz w:val="16"/>
              </w:rPr>
            </w:pPr>
            <w:r>
              <w:rPr>
                <w:w w:val="100"/>
                <w:sz w:val="16"/>
              </w:rPr>
              <w:t>2</w:t>
            </w:r>
          </w:p>
          <w:p>
            <w:pPr>
              <w:pStyle w:val="TableParagraph"/>
              <w:spacing w:before="9"/>
              <w:rPr>
                <w:sz w:val="15"/>
              </w:rPr>
            </w:pPr>
          </w:p>
          <w:p>
            <w:pPr>
              <w:pStyle w:val="TableParagraph"/>
              <w:spacing w:before="1"/>
              <w:ind w:right="157"/>
              <w:jc w:val="right"/>
              <w:rPr>
                <w:sz w:val="16"/>
              </w:rPr>
            </w:pPr>
            <w:r>
              <w:rPr>
                <w:w w:val="100"/>
                <w:sz w:val="16"/>
              </w:rPr>
              <w:t>1</w:t>
            </w:r>
          </w:p>
          <w:p>
            <w:pPr>
              <w:pStyle w:val="TableParagraph"/>
              <w:spacing w:before="8"/>
              <w:rPr>
                <w:sz w:val="15"/>
              </w:rPr>
            </w:pPr>
          </w:p>
          <w:p>
            <w:pPr>
              <w:pStyle w:val="TableParagraph"/>
              <w:ind w:right="157"/>
              <w:jc w:val="right"/>
              <w:rPr>
                <w:sz w:val="16"/>
              </w:rPr>
            </w:pPr>
            <w:r>
              <w:rPr>
                <w:w w:val="100"/>
                <w:sz w:val="16"/>
              </w:rPr>
              <w:t>0</w:t>
            </w:r>
          </w:p>
          <w:p>
            <w:pPr>
              <w:pStyle w:val="TableParagraph"/>
              <w:spacing w:before="10"/>
              <w:rPr>
                <w:sz w:val="15"/>
              </w:rPr>
            </w:pPr>
          </w:p>
          <w:p>
            <w:pPr>
              <w:pStyle w:val="TableParagraph"/>
              <w:ind w:right="105"/>
              <w:jc w:val="right"/>
              <w:rPr>
                <w:sz w:val="16"/>
              </w:rPr>
            </w:pPr>
            <w:r>
              <w:rPr>
                <w:spacing w:val="-2"/>
                <w:sz w:val="16"/>
              </w:rPr>
              <w:t>-1</w:t>
            </w:r>
          </w:p>
          <w:p>
            <w:pPr>
              <w:pStyle w:val="TableParagraph"/>
              <w:tabs>
                <w:tab w:pos="941" w:val="left" w:leader="none"/>
              </w:tabs>
              <w:spacing w:before="6"/>
              <w:ind w:right="126"/>
              <w:jc w:val="right"/>
              <w:rPr>
                <w:sz w:val="16"/>
              </w:rPr>
            </w:pPr>
            <w:r>
              <w:rPr>
                <w:sz w:val="16"/>
              </w:rPr>
              <w:t>Dec-17</w:t>
              <w:tab/>
            </w:r>
            <w:r>
              <w:rPr>
                <w:spacing w:val="-1"/>
                <w:sz w:val="16"/>
              </w:rPr>
              <w:t>Dec-20</w:t>
            </w:r>
          </w:p>
        </w:tc>
        <w:tc>
          <w:tcPr>
            <w:tcW w:w="785" w:type="dxa"/>
            <w:tcBorders>
              <w:bottom w:val="nil"/>
              <w:right w:val="nil"/>
            </w:tcBorders>
          </w:tcPr>
          <w:p>
            <w:pPr>
              <w:pStyle w:val="TableParagraph"/>
              <w:rPr>
                <w:rFonts w:ascii="Times New Roman"/>
                <w:sz w:val="18"/>
              </w:rPr>
            </w:pPr>
          </w:p>
        </w:tc>
        <w:tc>
          <w:tcPr>
            <w:tcW w:w="1989" w:type="dxa"/>
            <w:tcBorders>
              <w:left w:val="nil"/>
              <w:bottom w:val="nil"/>
              <w:right w:val="nil"/>
            </w:tcBorders>
          </w:tcPr>
          <w:p>
            <w:pPr>
              <w:pStyle w:val="TableParagraph"/>
              <w:tabs>
                <w:tab w:pos="1161" w:val="left" w:leader="none"/>
              </w:tabs>
              <w:spacing w:line="162" w:lineRule="exact" w:before="124"/>
              <w:ind w:left="86"/>
              <w:rPr>
                <w:sz w:val="16"/>
              </w:rPr>
            </w:pPr>
            <w:r>
              <w:rPr>
                <w:sz w:val="16"/>
              </w:rPr>
              <w:t>Data</w:t>
              <w:tab/>
              <w:t>Feb-08</w:t>
            </w:r>
          </w:p>
        </w:tc>
        <w:tc>
          <w:tcPr>
            <w:tcW w:w="805" w:type="dxa"/>
            <w:tcBorders>
              <w:left w:val="nil"/>
              <w:bottom w:val="nil"/>
              <w:right w:val="nil"/>
            </w:tcBorders>
          </w:tcPr>
          <w:p>
            <w:pPr>
              <w:pStyle w:val="TableParagraph"/>
              <w:spacing w:line="162" w:lineRule="exact" w:before="124"/>
              <w:ind w:left="246"/>
              <w:rPr>
                <w:sz w:val="16"/>
              </w:rPr>
            </w:pPr>
            <w:r>
              <w:rPr>
                <w:sz w:val="16"/>
              </w:rPr>
              <w:t>Feb-09</w:t>
            </w:r>
          </w:p>
        </w:tc>
        <w:tc>
          <w:tcPr>
            <w:tcW w:w="406" w:type="dxa"/>
            <w:tcBorders>
              <w:left w:val="nil"/>
              <w:bottom w:val="nil"/>
              <w:right w:val="nil"/>
            </w:tcBorders>
          </w:tcPr>
          <w:p>
            <w:pPr>
              <w:pStyle w:val="TableParagraph"/>
              <w:rPr>
                <w:rFonts w:ascii="Times New Roman"/>
                <w:sz w:val="18"/>
              </w:rPr>
            </w:pPr>
          </w:p>
        </w:tc>
        <w:tc>
          <w:tcPr>
            <w:tcW w:w="820" w:type="dxa"/>
            <w:tcBorders>
              <w:left w:val="nil"/>
              <w:bottom w:val="nil"/>
              <w:right w:val="nil"/>
            </w:tcBorders>
          </w:tcPr>
          <w:p>
            <w:pPr>
              <w:pStyle w:val="TableParagraph"/>
              <w:spacing w:line="162" w:lineRule="exact" w:before="124"/>
              <w:ind w:left="110"/>
              <w:rPr>
                <w:sz w:val="16"/>
              </w:rPr>
            </w:pPr>
            <w:r>
              <w:rPr>
                <w:sz w:val="16"/>
              </w:rPr>
              <w:t>Feb-10</w:t>
            </w:r>
          </w:p>
        </w:tc>
        <w:tc>
          <w:tcPr>
            <w:tcW w:w="782" w:type="dxa"/>
            <w:tcBorders>
              <w:left w:val="nil"/>
              <w:bottom w:val="nil"/>
            </w:tcBorders>
          </w:tcPr>
          <w:p>
            <w:pPr>
              <w:pStyle w:val="TableParagraph"/>
              <w:spacing w:line="148" w:lineRule="exact" w:before="138"/>
              <w:ind w:right="113"/>
              <w:jc w:val="right"/>
              <w:rPr>
                <w:sz w:val="16"/>
              </w:rPr>
            </w:pPr>
            <w:r>
              <w:rPr>
                <w:w w:val="100"/>
                <w:sz w:val="16"/>
              </w:rPr>
              <w:t>7</w:t>
            </w:r>
          </w:p>
        </w:tc>
      </w:tr>
      <w:tr>
        <w:trPr>
          <w:trHeight w:val="153"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785" w:type="dxa"/>
            <w:tcBorders>
              <w:top w:val="nil"/>
              <w:bottom w:val="nil"/>
              <w:right w:val="nil"/>
            </w:tcBorders>
          </w:tcPr>
          <w:p>
            <w:pPr>
              <w:pStyle w:val="TableParagraph"/>
              <w:rPr>
                <w:rFonts w:ascii="Times New Roman"/>
                <w:sz w:val="8"/>
              </w:rPr>
            </w:pPr>
          </w:p>
        </w:tc>
        <w:tc>
          <w:tcPr>
            <w:tcW w:w="1989" w:type="dxa"/>
            <w:tcBorders>
              <w:top w:val="nil"/>
              <w:left w:val="nil"/>
              <w:bottom w:val="nil"/>
              <w:right w:val="nil"/>
            </w:tcBorders>
          </w:tcPr>
          <w:p>
            <w:pPr>
              <w:pStyle w:val="TableParagraph"/>
              <w:tabs>
                <w:tab w:pos="1161" w:val="left" w:leader="none"/>
              </w:tabs>
              <w:spacing w:line="134" w:lineRule="exact"/>
              <w:ind w:left="86"/>
              <w:rPr>
                <w:sz w:val="16"/>
              </w:rPr>
            </w:pPr>
            <w:r>
              <w:rPr>
                <w:sz w:val="16"/>
              </w:rPr>
              <w:t>Feb-11</w:t>
              <w:tab/>
              <w:t>Feb-12</w:t>
            </w:r>
          </w:p>
        </w:tc>
        <w:tc>
          <w:tcPr>
            <w:tcW w:w="805" w:type="dxa"/>
            <w:tcBorders>
              <w:top w:val="nil"/>
              <w:left w:val="nil"/>
              <w:bottom w:val="nil"/>
              <w:right w:val="nil"/>
            </w:tcBorders>
          </w:tcPr>
          <w:p>
            <w:pPr>
              <w:pStyle w:val="TableParagraph"/>
              <w:spacing w:line="134" w:lineRule="exact"/>
              <w:ind w:left="246"/>
              <w:rPr>
                <w:sz w:val="16"/>
              </w:rPr>
            </w:pPr>
            <w:r>
              <w:rPr>
                <w:sz w:val="16"/>
              </w:rPr>
              <w:t>Feb-13</w:t>
            </w:r>
          </w:p>
        </w:tc>
        <w:tc>
          <w:tcPr>
            <w:tcW w:w="406" w:type="dxa"/>
            <w:tcBorders>
              <w:top w:val="nil"/>
              <w:left w:val="nil"/>
              <w:bottom w:val="nil"/>
              <w:right w:val="nil"/>
            </w:tcBorders>
          </w:tcPr>
          <w:p>
            <w:pPr>
              <w:pStyle w:val="TableParagraph"/>
              <w:rPr>
                <w:rFonts w:ascii="Times New Roman"/>
                <w:sz w:val="8"/>
              </w:rPr>
            </w:pPr>
          </w:p>
        </w:tc>
        <w:tc>
          <w:tcPr>
            <w:tcW w:w="820" w:type="dxa"/>
            <w:tcBorders>
              <w:top w:val="nil"/>
              <w:left w:val="nil"/>
              <w:bottom w:val="nil"/>
              <w:right w:val="nil"/>
            </w:tcBorders>
          </w:tcPr>
          <w:p>
            <w:pPr>
              <w:pStyle w:val="TableParagraph"/>
              <w:spacing w:line="134" w:lineRule="exact"/>
              <w:ind w:left="110"/>
              <w:rPr>
                <w:sz w:val="16"/>
              </w:rPr>
            </w:pPr>
            <w:r>
              <w:rPr>
                <w:sz w:val="16"/>
              </w:rPr>
              <w:t>Feb-14</w:t>
            </w:r>
          </w:p>
        </w:tc>
        <w:tc>
          <w:tcPr>
            <w:tcW w:w="782" w:type="dxa"/>
            <w:tcBorders>
              <w:top w:val="nil"/>
              <w:left w:val="nil"/>
              <w:bottom w:val="nil"/>
            </w:tcBorders>
          </w:tcPr>
          <w:p>
            <w:pPr>
              <w:pStyle w:val="TableParagraph"/>
              <w:rPr>
                <w:rFonts w:ascii="Times New Roman"/>
                <w:sz w:val="8"/>
              </w:rPr>
            </w:pPr>
          </w:p>
        </w:tc>
      </w:tr>
      <w:tr>
        <w:trPr>
          <w:trHeight w:val="332"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785" w:type="dxa"/>
            <w:tcBorders>
              <w:top w:val="nil"/>
              <w:bottom w:val="nil"/>
              <w:right w:val="nil"/>
            </w:tcBorders>
          </w:tcPr>
          <w:p>
            <w:pPr>
              <w:pStyle w:val="TableParagraph"/>
              <w:rPr>
                <w:rFonts w:ascii="Times New Roman"/>
                <w:sz w:val="18"/>
              </w:rPr>
            </w:pPr>
          </w:p>
        </w:tc>
        <w:tc>
          <w:tcPr>
            <w:tcW w:w="1989" w:type="dxa"/>
            <w:tcBorders>
              <w:top w:val="nil"/>
              <w:left w:val="nil"/>
              <w:bottom w:val="nil"/>
              <w:right w:val="nil"/>
            </w:tcBorders>
          </w:tcPr>
          <w:p>
            <w:pPr>
              <w:pStyle w:val="TableParagraph"/>
              <w:tabs>
                <w:tab w:pos="1161" w:val="left" w:leader="none"/>
              </w:tabs>
              <w:spacing w:line="170" w:lineRule="exact"/>
              <w:ind w:left="86"/>
              <w:rPr>
                <w:sz w:val="16"/>
              </w:rPr>
            </w:pPr>
            <w:r>
              <w:rPr>
                <w:sz w:val="16"/>
              </w:rPr>
              <w:t>Feb-15</w:t>
              <w:tab/>
              <w:t>Feb-16</w:t>
            </w:r>
          </w:p>
        </w:tc>
        <w:tc>
          <w:tcPr>
            <w:tcW w:w="805" w:type="dxa"/>
            <w:tcBorders>
              <w:top w:val="nil"/>
              <w:left w:val="nil"/>
              <w:bottom w:val="nil"/>
              <w:right w:val="nil"/>
            </w:tcBorders>
          </w:tcPr>
          <w:p>
            <w:pPr>
              <w:pStyle w:val="TableParagraph"/>
              <w:rPr>
                <w:rFonts w:ascii="Times New Roman"/>
                <w:sz w:val="18"/>
              </w:rPr>
            </w:pPr>
          </w:p>
        </w:tc>
        <w:tc>
          <w:tcPr>
            <w:tcW w:w="406" w:type="dxa"/>
            <w:tcBorders>
              <w:top w:val="nil"/>
              <w:left w:val="nil"/>
              <w:bottom w:val="nil"/>
              <w:right w:val="nil"/>
            </w:tcBorders>
          </w:tcPr>
          <w:p>
            <w:pPr>
              <w:pStyle w:val="TableParagraph"/>
              <w:rPr>
                <w:rFonts w:ascii="Times New Roman"/>
                <w:sz w:val="18"/>
              </w:rPr>
            </w:pPr>
          </w:p>
        </w:tc>
        <w:tc>
          <w:tcPr>
            <w:tcW w:w="820" w:type="dxa"/>
            <w:tcBorders>
              <w:top w:val="nil"/>
              <w:left w:val="nil"/>
              <w:bottom w:val="nil"/>
              <w:right w:val="nil"/>
            </w:tcBorders>
          </w:tcPr>
          <w:p>
            <w:pPr>
              <w:pStyle w:val="TableParagraph"/>
              <w:rPr>
                <w:rFonts w:ascii="Times New Roman"/>
                <w:sz w:val="18"/>
              </w:rPr>
            </w:pPr>
          </w:p>
        </w:tc>
        <w:tc>
          <w:tcPr>
            <w:tcW w:w="782" w:type="dxa"/>
            <w:tcBorders>
              <w:top w:val="nil"/>
              <w:left w:val="nil"/>
              <w:bottom w:val="nil"/>
            </w:tcBorders>
          </w:tcPr>
          <w:p>
            <w:pPr>
              <w:pStyle w:val="TableParagraph"/>
              <w:spacing w:before="79"/>
              <w:ind w:right="113"/>
              <w:jc w:val="right"/>
              <w:rPr>
                <w:sz w:val="16"/>
              </w:rPr>
            </w:pPr>
            <w:r>
              <w:rPr>
                <w:w w:val="100"/>
                <w:sz w:val="16"/>
              </w:rPr>
              <w:t>6</w:t>
            </w:r>
          </w:p>
        </w:tc>
      </w:tr>
      <w:tr>
        <w:trPr>
          <w:trHeight w:val="391"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5587" w:type="dxa"/>
            <w:gridSpan w:val="6"/>
            <w:tcBorders>
              <w:top w:val="nil"/>
              <w:bottom w:val="nil"/>
            </w:tcBorders>
          </w:tcPr>
          <w:p>
            <w:pPr>
              <w:pStyle w:val="TableParagraph"/>
              <w:spacing w:before="158"/>
              <w:ind w:right="113"/>
              <w:jc w:val="right"/>
              <w:rPr>
                <w:sz w:val="16"/>
              </w:rPr>
            </w:pPr>
            <w:r>
              <w:rPr>
                <w:w w:val="100"/>
                <w:sz w:val="16"/>
              </w:rPr>
              <w:t>5</w:t>
            </w:r>
          </w:p>
        </w:tc>
      </w:tr>
      <w:tr>
        <w:trPr>
          <w:trHeight w:val="578"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5587" w:type="dxa"/>
            <w:gridSpan w:val="6"/>
            <w:tcBorders>
              <w:top w:val="nil"/>
              <w:bottom w:val="nil"/>
            </w:tcBorders>
          </w:tcPr>
          <w:p>
            <w:pPr>
              <w:pStyle w:val="TableParagraph"/>
              <w:spacing w:before="5"/>
              <w:rPr>
                <w:sz w:val="15"/>
              </w:rPr>
            </w:pPr>
          </w:p>
          <w:p>
            <w:pPr>
              <w:pStyle w:val="TableParagraph"/>
              <w:ind w:right="113"/>
              <w:jc w:val="right"/>
              <w:rPr>
                <w:sz w:val="16"/>
              </w:rPr>
            </w:pPr>
            <w:r>
              <w:rPr>
                <w:w w:val="100"/>
                <w:sz w:val="16"/>
              </w:rPr>
              <w:t>4</w:t>
            </w:r>
          </w:p>
        </w:tc>
      </w:tr>
      <w:tr>
        <w:trPr>
          <w:trHeight w:val="1055"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5587" w:type="dxa"/>
            <w:gridSpan w:val="6"/>
            <w:tcBorders>
              <w:top w:val="nil"/>
              <w:bottom w:val="nil"/>
            </w:tcBorders>
          </w:tcPr>
          <w:p>
            <w:pPr>
              <w:pStyle w:val="TableParagraph"/>
              <w:spacing w:before="10"/>
              <w:ind w:left="5372"/>
              <w:rPr>
                <w:sz w:val="16"/>
              </w:rPr>
            </w:pPr>
            <w:r>
              <w:rPr>
                <w:w w:val="100"/>
                <w:sz w:val="16"/>
              </w:rPr>
              <w:t>3</w:t>
            </w:r>
          </w:p>
          <w:p>
            <w:pPr>
              <w:pStyle w:val="TableParagraph"/>
              <w:spacing w:before="7"/>
              <w:rPr>
                <w:sz w:val="20"/>
              </w:rPr>
            </w:pPr>
          </w:p>
          <w:p>
            <w:pPr>
              <w:pStyle w:val="TableParagraph"/>
              <w:ind w:left="5372"/>
              <w:rPr>
                <w:sz w:val="16"/>
              </w:rPr>
            </w:pPr>
            <w:r>
              <w:rPr>
                <w:w w:val="100"/>
                <w:sz w:val="16"/>
              </w:rPr>
              <w:t>2</w:t>
            </w:r>
          </w:p>
          <w:p>
            <w:pPr>
              <w:pStyle w:val="TableParagraph"/>
              <w:spacing w:before="7"/>
              <w:rPr>
                <w:sz w:val="20"/>
              </w:rPr>
            </w:pPr>
          </w:p>
          <w:p>
            <w:pPr>
              <w:pStyle w:val="TableParagraph"/>
              <w:spacing w:line="183" w:lineRule="exact"/>
              <w:ind w:left="5372"/>
              <w:rPr>
                <w:sz w:val="16"/>
              </w:rPr>
            </w:pPr>
            <w:r>
              <w:rPr>
                <w:w w:val="100"/>
                <w:sz w:val="16"/>
              </w:rPr>
              <w:t>1</w:t>
            </w:r>
          </w:p>
        </w:tc>
      </w:tr>
      <w:tr>
        <w:trPr>
          <w:trHeight w:val="187"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5587" w:type="dxa"/>
            <w:gridSpan w:val="6"/>
            <w:tcBorders>
              <w:top w:val="nil"/>
              <w:bottom w:val="nil"/>
            </w:tcBorders>
          </w:tcPr>
          <w:p>
            <w:pPr>
              <w:pStyle w:val="TableParagraph"/>
              <w:rPr>
                <w:rFonts w:ascii="Times New Roman"/>
                <w:sz w:val="12"/>
              </w:rPr>
            </w:pPr>
          </w:p>
        </w:tc>
      </w:tr>
      <w:tr>
        <w:trPr>
          <w:trHeight w:val="195"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5587" w:type="dxa"/>
            <w:gridSpan w:val="6"/>
            <w:tcBorders>
              <w:top w:val="nil"/>
              <w:bottom w:val="nil"/>
            </w:tcBorders>
          </w:tcPr>
          <w:p>
            <w:pPr>
              <w:pStyle w:val="TableParagraph"/>
              <w:spacing w:line="165" w:lineRule="exact" w:before="11"/>
              <w:ind w:right="149"/>
              <w:jc w:val="right"/>
              <w:rPr>
                <w:sz w:val="16"/>
              </w:rPr>
            </w:pPr>
            <w:r>
              <w:rPr>
                <w:w w:val="100"/>
                <w:sz w:val="16"/>
              </w:rPr>
              <w:t>-</w:t>
            </w:r>
          </w:p>
        </w:tc>
      </w:tr>
      <w:tr>
        <w:trPr>
          <w:trHeight w:val="222" w:hRule="atLeast"/>
        </w:trPr>
        <w:tc>
          <w:tcPr>
            <w:tcW w:w="1103" w:type="dxa"/>
            <w:gridSpan w:val="2"/>
            <w:vMerge/>
            <w:tcBorders>
              <w:top w:val="nil"/>
              <w:right w:val="nil"/>
            </w:tcBorders>
          </w:tcPr>
          <w:p>
            <w:pPr>
              <w:rPr>
                <w:sz w:val="2"/>
                <w:szCs w:val="2"/>
              </w:rPr>
            </w:pPr>
          </w:p>
        </w:tc>
        <w:tc>
          <w:tcPr>
            <w:tcW w:w="581" w:type="dxa"/>
            <w:vMerge/>
            <w:tcBorders>
              <w:top w:val="nil"/>
              <w:left w:val="nil"/>
              <w:right w:val="nil"/>
            </w:tcBorders>
          </w:tcPr>
          <w:p>
            <w:pPr>
              <w:rPr>
                <w:sz w:val="2"/>
                <w:szCs w:val="2"/>
              </w:rPr>
            </w:pPr>
          </w:p>
        </w:tc>
        <w:tc>
          <w:tcPr>
            <w:tcW w:w="2178" w:type="dxa"/>
            <w:gridSpan w:val="4"/>
            <w:vMerge/>
            <w:tcBorders>
              <w:top w:val="nil"/>
              <w:left w:val="nil"/>
              <w:right w:val="nil"/>
            </w:tcBorders>
          </w:tcPr>
          <w:p>
            <w:pPr>
              <w:rPr>
                <w:sz w:val="2"/>
                <w:szCs w:val="2"/>
              </w:rPr>
            </w:pPr>
          </w:p>
        </w:tc>
        <w:tc>
          <w:tcPr>
            <w:tcW w:w="1725" w:type="dxa"/>
            <w:gridSpan w:val="3"/>
            <w:vMerge/>
            <w:tcBorders>
              <w:top w:val="nil"/>
              <w:left w:val="nil"/>
            </w:tcBorders>
          </w:tcPr>
          <w:p>
            <w:pPr>
              <w:rPr>
                <w:sz w:val="2"/>
                <w:szCs w:val="2"/>
              </w:rPr>
            </w:pPr>
          </w:p>
        </w:tc>
        <w:tc>
          <w:tcPr>
            <w:tcW w:w="785" w:type="dxa"/>
            <w:tcBorders>
              <w:top w:val="nil"/>
              <w:right w:val="nil"/>
            </w:tcBorders>
          </w:tcPr>
          <w:p>
            <w:pPr>
              <w:pStyle w:val="TableParagraph"/>
              <w:spacing w:line="180" w:lineRule="exact"/>
              <w:ind w:left="226"/>
              <w:rPr>
                <w:sz w:val="16"/>
              </w:rPr>
            </w:pPr>
            <w:r>
              <w:rPr>
                <w:sz w:val="16"/>
              </w:rPr>
              <w:t>Dec-05</w:t>
            </w:r>
          </w:p>
        </w:tc>
        <w:tc>
          <w:tcPr>
            <w:tcW w:w="1989" w:type="dxa"/>
            <w:tcBorders>
              <w:top w:val="nil"/>
              <w:left w:val="nil"/>
              <w:right w:val="nil"/>
            </w:tcBorders>
          </w:tcPr>
          <w:p>
            <w:pPr>
              <w:pStyle w:val="TableParagraph"/>
              <w:tabs>
                <w:tab w:pos="1328" w:val="left" w:leader="none"/>
              </w:tabs>
              <w:spacing w:line="180" w:lineRule="exact"/>
              <w:ind w:left="387"/>
              <w:rPr>
                <w:sz w:val="16"/>
              </w:rPr>
            </w:pPr>
            <w:r>
              <w:rPr>
                <w:sz w:val="16"/>
              </w:rPr>
              <w:t>Dec-08</w:t>
              <w:tab/>
              <w:t>Dec-11</w:t>
            </w:r>
          </w:p>
        </w:tc>
        <w:tc>
          <w:tcPr>
            <w:tcW w:w="805" w:type="dxa"/>
            <w:tcBorders>
              <w:top w:val="nil"/>
              <w:left w:val="nil"/>
              <w:right w:val="nil"/>
            </w:tcBorders>
          </w:tcPr>
          <w:p>
            <w:pPr>
              <w:pStyle w:val="TableParagraph"/>
              <w:spacing w:line="180" w:lineRule="exact"/>
              <w:ind w:left="280"/>
              <w:rPr>
                <w:sz w:val="16"/>
              </w:rPr>
            </w:pPr>
            <w:r>
              <w:rPr>
                <w:sz w:val="16"/>
              </w:rPr>
              <w:t>Dec-14</w:t>
            </w:r>
          </w:p>
        </w:tc>
        <w:tc>
          <w:tcPr>
            <w:tcW w:w="406" w:type="dxa"/>
            <w:tcBorders>
              <w:top w:val="nil"/>
              <w:left w:val="nil"/>
              <w:right w:val="nil"/>
            </w:tcBorders>
          </w:tcPr>
          <w:p>
            <w:pPr>
              <w:pStyle w:val="TableParagraph"/>
              <w:rPr>
                <w:rFonts w:ascii="Times New Roman"/>
                <w:sz w:val="14"/>
              </w:rPr>
            </w:pPr>
          </w:p>
        </w:tc>
        <w:tc>
          <w:tcPr>
            <w:tcW w:w="820" w:type="dxa"/>
            <w:tcBorders>
              <w:top w:val="nil"/>
              <w:left w:val="nil"/>
              <w:right w:val="nil"/>
            </w:tcBorders>
          </w:tcPr>
          <w:p>
            <w:pPr>
              <w:pStyle w:val="TableParagraph"/>
              <w:spacing w:line="180" w:lineRule="exact"/>
              <w:ind w:left="9"/>
              <w:rPr>
                <w:sz w:val="16"/>
              </w:rPr>
            </w:pPr>
            <w:r>
              <w:rPr>
                <w:sz w:val="16"/>
              </w:rPr>
              <w:t>Dec-17</w:t>
            </w:r>
          </w:p>
        </w:tc>
        <w:tc>
          <w:tcPr>
            <w:tcW w:w="782" w:type="dxa"/>
            <w:tcBorders>
              <w:top w:val="nil"/>
              <w:left w:val="nil"/>
            </w:tcBorders>
          </w:tcPr>
          <w:p>
            <w:pPr>
              <w:pStyle w:val="TableParagraph"/>
              <w:spacing w:line="180" w:lineRule="exact"/>
              <w:ind w:right="128"/>
              <w:jc w:val="right"/>
              <w:rPr>
                <w:sz w:val="16"/>
              </w:rPr>
            </w:pPr>
            <w:r>
              <w:rPr>
                <w:sz w:val="16"/>
              </w:rPr>
              <w:t>Dec-20</w:t>
            </w:r>
          </w:p>
        </w:tc>
      </w:tr>
      <w:tr>
        <w:trPr>
          <w:trHeight w:val="244" w:hRule="atLeast"/>
        </w:trPr>
        <w:tc>
          <w:tcPr>
            <w:tcW w:w="5587" w:type="dxa"/>
            <w:gridSpan w:val="10"/>
          </w:tcPr>
          <w:p>
            <w:pPr>
              <w:pStyle w:val="TableParagraph"/>
              <w:spacing w:before="27"/>
              <w:ind w:left="107"/>
              <w:rPr>
                <w:sz w:val="16"/>
              </w:rPr>
            </w:pPr>
            <w:r>
              <w:rPr>
                <w:sz w:val="16"/>
              </w:rPr>
              <w:t>Source: Bank of England, author calculations</w:t>
            </w:r>
          </w:p>
        </w:tc>
        <w:tc>
          <w:tcPr>
            <w:tcW w:w="5587" w:type="dxa"/>
            <w:gridSpan w:val="6"/>
          </w:tcPr>
          <w:p>
            <w:pPr>
              <w:pStyle w:val="TableParagraph"/>
              <w:spacing w:before="27"/>
              <w:ind w:left="107"/>
              <w:rPr>
                <w:sz w:val="16"/>
              </w:rPr>
            </w:pPr>
            <w:r>
              <w:rPr>
                <w:sz w:val="16"/>
              </w:rPr>
              <w:t>Source: Bank of England, HMT</w:t>
            </w:r>
          </w:p>
        </w:tc>
      </w:tr>
      <w:tr>
        <w:trPr>
          <w:trHeight w:val="613" w:hRule="atLeast"/>
        </w:trPr>
        <w:tc>
          <w:tcPr>
            <w:tcW w:w="5587" w:type="dxa"/>
            <w:gridSpan w:val="10"/>
          </w:tcPr>
          <w:p>
            <w:pPr>
              <w:pStyle w:val="TableParagraph"/>
              <w:spacing w:before="57"/>
              <w:ind w:left="107" w:right="102"/>
              <w:rPr>
                <w:sz w:val="20"/>
              </w:rPr>
            </w:pPr>
            <w:r>
              <w:rPr>
                <w:b/>
                <w:sz w:val="20"/>
              </w:rPr>
              <w:t>Figure 11: </w:t>
            </w:r>
            <w:r>
              <w:rPr>
                <w:sz w:val="20"/>
              </w:rPr>
              <w:t>Range of nominal 10 year spot term premia from 72</w:t>
            </w:r>
            <w:r>
              <w:rPr>
                <w:sz w:val="20"/>
                <w:vertAlign w:val="superscript"/>
              </w:rPr>
              <w:t>1</w:t>
            </w:r>
            <w:r>
              <w:rPr>
                <w:sz w:val="20"/>
                <w:vertAlign w:val="baseline"/>
              </w:rPr>
              <w:t> unrestricted model estimates of ADTSM</w:t>
            </w:r>
          </w:p>
        </w:tc>
        <w:tc>
          <w:tcPr>
            <w:tcW w:w="5587" w:type="dxa"/>
            <w:gridSpan w:val="6"/>
          </w:tcPr>
          <w:p>
            <w:pPr>
              <w:pStyle w:val="TableParagraph"/>
              <w:spacing w:before="57"/>
              <w:ind w:left="107" w:right="102"/>
              <w:rPr>
                <w:sz w:val="20"/>
              </w:rPr>
            </w:pPr>
            <w:r>
              <w:rPr>
                <w:b/>
                <w:sz w:val="20"/>
              </w:rPr>
              <w:t>Figure 12: </w:t>
            </w:r>
            <w:r>
              <w:rPr>
                <w:sz w:val="20"/>
              </w:rPr>
              <w:t>Range of nominal 10 year spot term premia from 72</w:t>
            </w:r>
            <w:r>
              <w:rPr>
                <w:sz w:val="20"/>
                <w:vertAlign w:val="superscript"/>
              </w:rPr>
              <w:t>1</w:t>
            </w:r>
            <w:r>
              <w:rPr>
                <w:sz w:val="20"/>
                <w:vertAlign w:val="baseline"/>
              </w:rPr>
              <w:t> model estimates of ADTSM including survey forecasts</w:t>
            </w:r>
          </w:p>
        </w:tc>
      </w:tr>
      <w:tr>
        <w:trPr>
          <w:trHeight w:val="315" w:hRule="atLeast"/>
        </w:trPr>
        <w:tc>
          <w:tcPr>
            <w:tcW w:w="5587" w:type="dxa"/>
            <w:gridSpan w:val="10"/>
            <w:tcBorders>
              <w:bottom w:val="nil"/>
            </w:tcBorders>
          </w:tcPr>
          <w:p>
            <w:pPr>
              <w:pStyle w:val="TableParagraph"/>
              <w:spacing w:before="28"/>
              <w:ind w:right="179"/>
              <w:jc w:val="right"/>
              <w:rPr>
                <w:rFonts w:ascii="Calibri"/>
                <w:sz w:val="20"/>
              </w:rPr>
            </w:pPr>
            <w:r>
              <w:rPr>
                <w:rFonts w:ascii="Calibri"/>
                <w:w w:val="99"/>
                <w:sz w:val="20"/>
              </w:rPr>
              <w:t>6</w:t>
            </w:r>
          </w:p>
        </w:tc>
        <w:tc>
          <w:tcPr>
            <w:tcW w:w="5587" w:type="dxa"/>
            <w:gridSpan w:val="6"/>
            <w:tcBorders>
              <w:bottom w:val="nil"/>
            </w:tcBorders>
          </w:tcPr>
          <w:p>
            <w:pPr>
              <w:pStyle w:val="TableParagraph"/>
              <w:spacing w:before="28"/>
              <w:ind w:right="219"/>
              <w:jc w:val="right"/>
              <w:rPr>
                <w:rFonts w:ascii="Calibri"/>
                <w:sz w:val="20"/>
              </w:rPr>
            </w:pPr>
            <w:r>
              <w:rPr>
                <w:rFonts w:ascii="Calibri"/>
                <w:w w:val="99"/>
                <w:sz w:val="20"/>
              </w:rPr>
              <w:t>6</w:t>
            </w:r>
          </w:p>
        </w:tc>
      </w:tr>
      <w:tr>
        <w:trPr>
          <w:trHeight w:val="329" w:hRule="atLeast"/>
        </w:trPr>
        <w:tc>
          <w:tcPr>
            <w:tcW w:w="5587" w:type="dxa"/>
            <w:gridSpan w:val="10"/>
            <w:tcBorders>
              <w:top w:val="nil"/>
              <w:bottom w:val="nil"/>
            </w:tcBorders>
          </w:tcPr>
          <w:p>
            <w:pPr>
              <w:pStyle w:val="TableParagraph"/>
              <w:spacing w:before="5"/>
              <w:ind w:right="179"/>
              <w:jc w:val="right"/>
              <w:rPr>
                <w:rFonts w:ascii="Calibri"/>
                <w:sz w:val="20"/>
              </w:rPr>
            </w:pPr>
            <w:r>
              <w:rPr>
                <w:rFonts w:ascii="Calibri"/>
                <w:w w:val="99"/>
                <w:sz w:val="20"/>
              </w:rPr>
              <w:t>5</w:t>
            </w:r>
          </w:p>
        </w:tc>
        <w:tc>
          <w:tcPr>
            <w:tcW w:w="5587" w:type="dxa"/>
            <w:gridSpan w:val="6"/>
            <w:tcBorders>
              <w:top w:val="nil"/>
              <w:bottom w:val="nil"/>
            </w:tcBorders>
          </w:tcPr>
          <w:p>
            <w:pPr>
              <w:pStyle w:val="TableParagraph"/>
              <w:spacing w:line="231" w:lineRule="exact" w:before="79"/>
              <w:ind w:right="219"/>
              <w:jc w:val="right"/>
              <w:rPr>
                <w:rFonts w:ascii="Calibri"/>
                <w:sz w:val="20"/>
              </w:rPr>
            </w:pPr>
            <w:r>
              <w:rPr>
                <w:rFonts w:ascii="Calibri"/>
                <w:w w:val="99"/>
                <w:sz w:val="20"/>
              </w:rPr>
              <w:t>5</w:t>
            </w:r>
          </w:p>
        </w:tc>
      </w:tr>
      <w:tr>
        <w:trPr>
          <w:trHeight w:val="513" w:hRule="atLeast"/>
        </w:trPr>
        <w:tc>
          <w:tcPr>
            <w:tcW w:w="5587" w:type="dxa"/>
            <w:gridSpan w:val="10"/>
            <w:tcBorders>
              <w:top w:val="nil"/>
              <w:bottom w:val="nil"/>
            </w:tcBorders>
          </w:tcPr>
          <w:p>
            <w:pPr>
              <w:pStyle w:val="TableParagraph"/>
              <w:spacing w:line="213" w:lineRule="exact"/>
              <w:ind w:right="179"/>
              <w:jc w:val="right"/>
              <w:rPr>
                <w:rFonts w:ascii="Calibri"/>
                <w:sz w:val="20"/>
              </w:rPr>
            </w:pPr>
            <w:r>
              <w:rPr>
                <w:rFonts w:ascii="Calibri"/>
                <w:w w:val="99"/>
                <w:sz w:val="20"/>
              </w:rPr>
              <w:t>4</w:t>
            </w:r>
          </w:p>
          <w:p>
            <w:pPr>
              <w:pStyle w:val="TableParagraph"/>
              <w:spacing w:line="231" w:lineRule="exact" w:before="49"/>
              <w:ind w:right="179"/>
              <w:jc w:val="right"/>
              <w:rPr>
                <w:rFonts w:ascii="Calibri"/>
                <w:sz w:val="20"/>
              </w:rPr>
            </w:pPr>
            <w:r>
              <w:rPr>
                <w:rFonts w:ascii="Calibri"/>
                <w:w w:val="99"/>
                <w:sz w:val="20"/>
              </w:rPr>
              <w:t>3</w:t>
            </w:r>
          </w:p>
        </w:tc>
        <w:tc>
          <w:tcPr>
            <w:tcW w:w="5587" w:type="dxa"/>
            <w:gridSpan w:val="6"/>
            <w:tcBorders>
              <w:top w:val="nil"/>
              <w:bottom w:val="nil"/>
            </w:tcBorders>
          </w:tcPr>
          <w:p>
            <w:pPr>
              <w:pStyle w:val="TableParagraph"/>
              <w:spacing w:before="115"/>
              <w:ind w:right="219"/>
              <w:jc w:val="right"/>
              <w:rPr>
                <w:rFonts w:ascii="Calibri"/>
                <w:sz w:val="20"/>
              </w:rPr>
            </w:pPr>
            <w:r>
              <w:rPr>
                <w:rFonts w:ascii="Calibri"/>
                <w:w w:val="99"/>
                <w:sz w:val="20"/>
              </w:rPr>
              <w:t>4</w:t>
            </w:r>
          </w:p>
        </w:tc>
      </w:tr>
      <w:tr>
        <w:trPr>
          <w:trHeight w:val="329" w:hRule="atLeast"/>
        </w:trPr>
        <w:tc>
          <w:tcPr>
            <w:tcW w:w="5587" w:type="dxa"/>
            <w:gridSpan w:val="10"/>
            <w:tcBorders>
              <w:top w:val="nil"/>
              <w:bottom w:val="nil"/>
            </w:tcBorders>
          </w:tcPr>
          <w:p>
            <w:pPr>
              <w:pStyle w:val="TableParagraph"/>
              <w:spacing w:before="42"/>
              <w:ind w:right="179"/>
              <w:jc w:val="right"/>
              <w:rPr>
                <w:rFonts w:ascii="Calibri"/>
                <w:sz w:val="20"/>
              </w:rPr>
            </w:pPr>
            <w:r>
              <w:rPr>
                <w:rFonts w:ascii="Calibri"/>
                <w:w w:val="99"/>
                <w:sz w:val="20"/>
              </w:rPr>
              <w:t>2</w:t>
            </w:r>
          </w:p>
        </w:tc>
        <w:tc>
          <w:tcPr>
            <w:tcW w:w="5587" w:type="dxa"/>
            <w:gridSpan w:val="6"/>
            <w:tcBorders>
              <w:top w:val="nil"/>
              <w:bottom w:val="nil"/>
            </w:tcBorders>
          </w:tcPr>
          <w:p>
            <w:pPr>
              <w:pStyle w:val="TableParagraph"/>
              <w:spacing w:line="213" w:lineRule="exact"/>
              <w:ind w:right="219"/>
              <w:jc w:val="right"/>
              <w:rPr>
                <w:rFonts w:ascii="Calibri"/>
                <w:sz w:val="20"/>
              </w:rPr>
            </w:pPr>
            <w:r>
              <w:rPr>
                <w:rFonts w:ascii="Calibri"/>
                <w:w w:val="99"/>
                <w:sz w:val="20"/>
              </w:rPr>
              <w:t>3</w:t>
            </w:r>
          </w:p>
        </w:tc>
      </w:tr>
      <w:tr>
        <w:trPr>
          <w:trHeight w:val="293" w:hRule="atLeast"/>
        </w:trPr>
        <w:tc>
          <w:tcPr>
            <w:tcW w:w="5587" w:type="dxa"/>
            <w:gridSpan w:val="10"/>
            <w:tcBorders>
              <w:top w:val="nil"/>
              <w:bottom w:val="nil"/>
            </w:tcBorders>
          </w:tcPr>
          <w:p>
            <w:pPr>
              <w:pStyle w:val="TableParagraph"/>
              <w:spacing w:before="6"/>
              <w:ind w:right="179"/>
              <w:jc w:val="right"/>
              <w:rPr>
                <w:rFonts w:ascii="Calibri"/>
                <w:sz w:val="20"/>
              </w:rPr>
            </w:pPr>
            <w:r>
              <w:rPr>
                <w:rFonts w:ascii="Calibri"/>
                <w:w w:val="99"/>
                <w:sz w:val="20"/>
              </w:rPr>
              <w:t>1</w:t>
            </w:r>
          </w:p>
        </w:tc>
        <w:tc>
          <w:tcPr>
            <w:tcW w:w="5587" w:type="dxa"/>
            <w:gridSpan w:val="6"/>
            <w:tcBorders>
              <w:top w:val="nil"/>
              <w:bottom w:val="nil"/>
            </w:tcBorders>
          </w:tcPr>
          <w:p>
            <w:pPr>
              <w:pStyle w:val="TableParagraph"/>
              <w:spacing w:before="6"/>
              <w:ind w:right="219"/>
              <w:jc w:val="right"/>
              <w:rPr>
                <w:rFonts w:ascii="Calibri"/>
                <w:sz w:val="20"/>
              </w:rPr>
            </w:pPr>
            <w:r>
              <w:rPr>
                <w:rFonts w:ascii="Calibri"/>
                <w:w w:val="99"/>
                <w:sz w:val="20"/>
              </w:rPr>
              <w:t>2</w:t>
            </w:r>
          </w:p>
        </w:tc>
      </w:tr>
      <w:tr>
        <w:trPr>
          <w:trHeight w:val="329" w:hRule="atLeast"/>
        </w:trPr>
        <w:tc>
          <w:tcPr>
            <w:tcW w:w="5587" w:type="dxa"/>
            <w:gridSpan w:val="10"/>
            <w:tcBorders>
              <w:top w:val="nil"/>
              <w:bottom w:val="nil"/>
            </w:tcBorders>
          </w:tcPr>
          <w:p>
            <w:pPr>
              <w:pStyle w:val="TableParagraph"/>
              <w:spacing w:before="6"/>
              <w:ind w:right="179"/>
              <w:jc w:val="right"/>
              <w:rPr>
                <w:rFonts w:ascii="Calibri"/>
                <w:sz w:val="20"/>
              </w:rPr>
            </w:pPr>
            <w:r>
              <w:rPr>
                <w:rFonts w:ascii="Calibri"/>
                <w:w w:val="99"/>
                <w:sz w:val="20"/>
              </w:rPr>
              <w:t>0</w:t>
            </w:r>
          </w:p>
        </w:tc>
        <w:tc>
          <w:tcPr>
            <w:tcW w:w="5587" w:type="dxa"/>
            <w:gridSpan w:val="6"/>
            <w:tcBorders>
              <w:top w:val="nil"/>
              <w:bottom w:val="nil"/>
            </w:tcBorders>
          </w:tcPr>
          <w:p>
            <w:pPr>
              <w:pStyle w:val="TableParagraph"/>
              <w:spacing w:line="231" w:lineRule="exact" w:before="79"/>
              <w:ind w:right="219"/>
              <w:jc w:val="right"/>
              <w:rPr>
                <w:rFonts w:ascii="Calibri"/>
                <w:sz w:val="20"/>
              </w:rPr>
            </w:pPr>
            <w:r>
              <w:rPr>
                <w:rFonts w:ascii="Calibri"/>
                <w:w w:val="99"/>
                <w:sz w:val="20"/>
              </w:rPr>
              <w:t>1</w:t>
            </w:r>
          </w:p>
        </w:tc>
      </w:tr>
      <w:tr>
        <w:trPr>
          <w:trHeight w:val="513" w:hRule="atLeast"/>
        </w:trPr>
        <w:tc>
          <w:tcPr>
            <w:tcW w:w="5587" w:type="dxa"/>
            <w:gridSpan w:val="10"/>
            <w:tcBorders>
              <w:top w:val="nil"/>
              <w:bottom w:val="nil"/>
            </w:tcBorders>
          </w:tcPr>
          <w:p>
            <w:pPr>
              <w:pStyle w:val="TableParagraph"/>
              <w:spacing w:line="214" w:lineRule="exact"/>
              <w:ind w:right="115"/>
              <w:jc w:val="right"/>
              <w:rPr>
                <w:rFonts w:ascii="Calibri"/>
                <w:sz w:val="20"/>
              </w:rPr>
            </w:pPr>
            <w:r>
              <w:rPr>
                <w:rFonts w:ascii="Calibri"/>
                <w:sz w:val="20"/>
              </w:rPr>
              <w:t>-1</w:t>
            </w:r>
          </w:p>
          <w:p>
            <w:pPr>
              <w:pStyle w:val="TableParagraph"/>
              <w:spacing w:line="231" w:lineRule="exact" w:before="49"/>
              <w:ind w:right="115"/>
              <w:jc w:val="right"/>
              <w:rPr>
                <w:rFonts w:ascii="Calibri"/>
                <w:sz w:val="20"/>
              </w:rPr>
            </w:pPr>
            <w:r>
              <w:rPr>
                <w:rFonts w:ascii="Calibri"/>
                <w:sz w:val="20"/>
              </w:rPr>
              <w:t>-2</w:t>
            </w:r>
          </w:p>
        </w:tc>
        <w:tc>
          <w:tcPr>
            <w:tcW w:w="5587" w:type="dxa"/>
            <w:gridSpan w:val="6"/>
            <w:tcBorders>
              <w:top w:val="nil"/>
              <w:bottom w:val="nil"/>
            </w:tcBorders>
          </w:tcPr>
          <w:p>
            <w:pPr>
              <w:pStyle w:val="TableParagraph"/>
              <w:spacing w:before="116"/>
              <w:ind w:right="219"/>
              <w:jc w:val="right"/>
              <w:rPr>
                <w:rFonts w:ascii="Calibri"/>
                <w:sz w:val="20"/>
              </w:rPr>
            </w:pPr>
            <w:r>
              <w:rPr>
                <w:rFonts w:ascii="Calibri"/>
                <w:w w:val="99"/>
                <w:sz w:val="20"/>
              </w:rPr>
              <w:t>0</w:t>
            </w:r>
          </w:p>
        </w:tc>
      </w:tr>
      <w:tr>
        <w:trPr>
          <w:trHeight w:val="329" w:hRule="atLeast"/>
        </w:trPr>
        <w:tc>
          <w:tcPr>
            <w:tcW w:w="5587" w:type="dxa"/>
            <w:gridSpan w:val="10"/>
            <w:tcBorders>
              <w:top w:val="nil"/>
              <w:bottom w:val="nil"/>
            </w:tcBorders>
          </w:tcPr>
          <w:p>
            <w:pPr>
              <w:pStyle w:val="TableParagraph"/>
              <w:spacing w:before="42"/>
              <w:ind w:right="115"/>
              <w:jc w:val="right"/>
              <w:rPr>
                <w:rFonts w:ascii="Calibri"/>
                <w:sz w:val="20"/>
              </w:rPr>
            </w:pPr>
            <w:r>
              <w:rPr>
                <w:rFonts w:ascii="Calibri"/>
                <w:sz w:val="20"/>
              </w:rPr>
              <w:t>-3</w:t>
            </w:r>
          </w:p>
        </w:tc>
        <w:tc>
          <w:tcPr>
            <w:tcW w:w="5587" w:type="dxa"/>
            <w:gridSpan w:val="6"/>
            <w:tcBorders>
              <w:top w:val="nil"/>
              <w:bottom w:val="nil"/>
            </w:tcBorders>
          </w:tcPr>
          <w:p>
            <w:pPr>
              <w:pStyle w:val="TableParagraph"/>
              <w:spacing w:line="213" w:lineRule="exact"/>
              <w:ind w:right="155"/>
              <w:jc w:val="right"/>
              <w:rPr>
                <w:rFonts w:ascii="Calibri"/>
                <w:sz w:val="20"/>
              </w:rPr>
            </w:pPr>
            <w:r>
              <w:rPr>
                <w:rFonts w:ascii="Calibri"/>
                <w:sz w:val="20"/>
              </w:rPr>
              <w:t>-1</w:t>
            </w:r>
          </w:p>
        </w:tc>
      </w:tr>
      <w:tr>
        <w:trPr>
          <w:trHeight w:val="276" w:hRule="atLeast"/>
        </w:trPr>
        <w:tc>
          <w:tcPr>
            <w:tcW w:w="5587" w:type="dxa"/>
            <w:gridSpan w:val="10"/>
            <w:tcBorders>
              <w:top w:val="nil"/>
              <w:bottom w:val="nil"/>
            </w:tcBorders>
          </w:tcPr>
          <w:p>
            <w:pPr>
              <w:pStyle w:val="TableParagraph"/>
              <w:spacing w:before="5"/>
              <w:ind w:right="115"/>
              <w:jc w:val="right"/>
              <w:rPr>
                <w:rFonts w:ascii="Calibri"/>
                <w:sz w:val="20"/>
              </w:rPr>
            </w:pPr>
            <w:r>
              <w:rPr>
                <w:rFonts w:ascii="Calibri"/>
                <w:sz w:val="20"/>
              </w:rPr>
              <w:t>-4</w:t>
            </w:r>
          </w:p>
        </w:tc>
        <w:tc>
          <w:tcPr>
            <w:tcW w:w="5587" w:type="dxa"/>
            <w:gridSpan w:val="6"/>
            <w:tcBorders>
              <w:top w:val="nil"/>
              <w:bottom w:val="nil"/>
            </w:tcBorders>
          </w:tcPr>
          <w:p>
            <w:pPr>
              <w:pStyle w:val="TableParagraph"/>
              <w:spacing w:before="5"/>
              <w:ind w:right="155"/>
              <w:jc w:val="right"/>
              <w:rPr>
                <w:rFonts w:ascii="Calibri"/>
                <w:sz w:val="20"/>
              </w:rPr>
            </w:pPr>
            <w:r>
              <w:rPr>
                <w:rFonts w:ascii="Calibri"/>
                <w:sz w:val="20"/>
              </w:rPr>
              <w:t>-2</w:t>
            </w:r>
          </w:p>
        </w:tc>
      </w:tr>
      <w:tr>
        <w:trPr>
          <w:trHeight w:val="276" w:hRule="atLeast"/>
        </w:trPr>
        <w:tc>
          <w:tcPr>
            <w:tcW w:w="5587" w:type="dxa"/>
            <w:gridSpan w:val="10"/>
            <w:tcBorders>
              <w:top w:val="nil"/>
            </w:tcBorders>
          </w:tcPr>
          <w:p>
            <w:pPr>
              <w:pStyle w:val="TableParagraph"/>
              <w:tabs>
                <w:tab w:pos="964" w:val="left" w:leader="none"/>
                <w:tab w:pos="1699" w:val="left" w:leader="none"/>
                <w:tab w:pos="2435" w:val="left" w:leader="none"/>
                <w:tab w:pos="3171" w:val="left" w:leader="none"/>
                <w:tab w:pos="3907" w:val="left" w:leader="none"/>
                <w:tab w:pos="4643" w:val="left" w:leader="none"/>
              </w:tabs>
              <w:spacing w:line="234" w:lineRule="exact"/>
              <w:ind w:left="228"/>
              <w:rPr>
                <w:rFonts w:ascii="Calibri"/>
                <w:sz w:val="20"/>
              </w:rPr>
            </w:pPr>
            <w:r>
              <w:rPr>
                <w:rFonts w:ascii="Calibri"/>
                <w:sz w:val="20"/>
              </w:rPr>
              <w:t>Jan-72</w:t>
              <w:tab/>
              <w:t>Jan-79</w:t>
              <w:tab/>
              <w:t>Jan-86</w:t>
              <w:tab/>
              <w:t>Jan-93</w:t>
              <w:tab/>
              <w:t>Jan-00</w:t>
              <w:tab/>
              <w:t>Jan-07</w:t>
              <w:tab/>
              <w:t>Jan-14</w:t>
            </w:r>
          </w:p>
        </w:tc>
        <w:tc>
          <w:tcPr>
            <w:tcW w:w="5587" w:type="dxa"/>
            <w:gridSpan w:val="6"/>
            <w:tcBorders>
              <w:top w:val="nil"/>
            </w:tcBorders>
          </w:tcPr>
          <w:p>
            <w:pPr>
              <w:pStyle w:val="TableParagraph"/>
              <w:tabs>
                <w:tab w:pos="956" w:val="left" w:leader="none"/>
                <w:tab w:pos="1686" w:val="left" w:leader="none"/>
                <w:tab w:pos="2415" w:val="left" w:leader="none"/>
                <w:tab w:pos="3145" w:val="left" w:leader="none"/>
                <w:tab w:pos="3874" w:val="left" w:leader="none"/>
                <w:tab w:pos="4605" w:val="left" w:leader="none"/>
              </w:tabs>
              <w:spacing w:line="234" w:lineRule="exact"/>
              <w:ind w:left="226"/>
              <w:rPr>
                <w:rFonts w:ascii="Calibri"/>
                <w:sz w:val="20"/>
              </w:rPr>
            </w:pPr>
            <w:r>
              <w:rPr>
                <w:rFonts w:ascii="Calibri"/>
                <w:sz w:val="20"/>
              </w:rPr>
              <w:t>Jan-72</w:t>
              <w:tab/>
              <w:t>Jan-79</w:t>
              <w:tab/>
              <w:t>Jan-86</w:t>
              <w:tab/>
              <w:t>Jan-93</w:t>
              <w:tab/>
              <w:t>Jan-00</w:t>
              <w:tab/>
              <w:t>Jan-07</w:t>
              <w:tab/>
              <w:t>Jan-14</w:t>
            </w:r>
          </w:p>
        </w:tc>
      </w:tr>
      <w:tr>
        <w:trPr>
          <w:trHeight w:val="400" w:hRule="atLeast"/>
        </w:trPr>
        <w:tc>
          <w:tcPr>
            <w:tcW w:w="5587" w:type="dxa"/>
            <w:gridSpan w:val="10"/>
          </w:tcPr>
          <w:p>
            <w:pPr>
              <w:pStyle w:val="TableParagraph"/>
              <w:spacing w:line="180" w:lineRule="atLeast" w:before="37"/>
              <w:ind w:left="107" w:right="102"/>
              <w:rPr>
                <w:sz w:val="16"/>
              </w:rPr>
            </w:pPr>
            <w:r>
              <w:rPr>
                <w:sz w:val="16"/>
              </w:rPr>
              <w:t>Source: Guimarães &amp; Vlieghe (2016), </w:t>
            </w:r>
            <w:r>
              <w:rPr>
                <w:sz w:val="16"/>
                <w:vertAlign w:val="superscript"/>
              </w:rPr>
              <w:t>1</w:t>
            </w:r>
            <w:r>
              <w:rPr>
                <w:sz w:val="16"/>
                <w:vertAlign w:val="baseline"/>
              </w:rPr>
              <w:t>:combination of different number of factors (3) and samples (24)</w:t>
            </w:r>
          </w:p>
        </w:tc>
        <w:tc>
          <w:tcPr>
            <w:tcW w:w="5587" w:type="dxa"/>
            <w:gridSpan w:val="6"/>
          </w:tcPr>
          <w:p>
            <w:pPr>
              <w:pStyle w:val="TableParagraph"/>
              <w:spacing w:line="180" w:lineRule="atLeast" w:before="37"/>
              <w:ind w:left="107" w:right="102"/>
              <w:rPr>
                <w:sz w:val="16"/>
              </w:rPr>
            </w:pPr>
            <w:r>
              <w:rPr>
                <w:sz w:val="16"/>
              </w:rPr>
              <w:t>Source: Guimarães &amp; Vlieghe (2016), </w:t>
            </w:r>
            <w:r>
              <w:rPr>
                <w:sz w:val="16"/>
                <w:vertAlign w:val="superscript"/>
              </w:rPr>
              <w:t>1</w:t>
            </w:r>
            <w:r>
              <w:rPr>
                <w:sz w:val="16"/>
                <w:vertAlign w:val="baseline"/>
              </w:rPr>
              <w:t>:combination of different number of factors (3) and samples (24)</w:t>
            </w:r>
          </w:p>
        </w:tc>
      </w:tr>
    </w:tbl>
    <w:p>
      <w:pPr>
        <w:rPr>
          <w:sz w:val="2"/>
          <w:szCs w:val="2"/>
        </w:rPr>
      </w:pPr>
      <w:r>
        <w:rPr/>
        <w:pict>
          <v:group style="position:absolute;margin-left:32.880001pt;margin-top:125.159981pt;width:242.4pt;height:149.4pt;mso-position-horizontal-relative:page;mso-position-vertical-relative:page;z-index:-255728640" coordorigin="658,2503" coordsize="4848,2988">
            <v:shape style="position:absolute;left:664;top:2510;width:4841;height:2981" coordorigin="665,2510" coordsize="4841,2981" path="m5458,5443l5458,2510m5458,5443l5506,5443m5458,5150l5506,5150m5458,4858l5506,4858m5458,4562l5506,4562m5458,4270l5506,4270m5458,3977l5506,3977m5458,3684l5506,3684m5458,3391l5506,3391m5458,3096l5506,3096m5458,2803l5506,2803m5458,2510l5506,2510m665,5443l5458,5443m665,5443l665,5491m1222,5443l1222,5491m1781,5443l1781,5491m2340,5443l2340,5491m2897,5443l2897,5491m3456,5443l3456,5491m4015,5443l4015,5491m4572,5443l4572,5491m5131,5443l5131,5491e" filled="false" stroked="true" strokeweight=".72pt" strokecolor="#000000">
              <v:path arrowok="t"/>
              <v:stroke dashstyle="solid"/>
            </v:shape>
            <v:shape style="position:absolute;left:667;top:2911;width:4798;height:2223" type="#_x0000_t75" stroked="false">
              <v:imagedata r:id="rId33" o:title=""/>
            </v:shape>
            <v:line style="position:absolute" from="1627,2580" to="2011,2580" stroked="true" strokeweight="1.44pt" strokecolor="#4a7dba">
              <v:stroke dashstyle="solid"/>
            </v:line>
            <v:line style="position:absolute" from="3446,2580" to="3830,2580" stroked="true" strokeweight="1.44pt" strokecolor="#bd4a47">
              <v:stroke dashstyle="solid"/>
            </v:line>
            <w10:wrap type="none"/>
          </v:group>
        </w:pict>
      </w:r>
      <w:r>
        <w:rPr/>
        <w:pict>
          <v:group style="position:absolute;margin-left:312.119995pt;margin-top:124.199982pt;width:242.4pt;height:148.450pt;mso-position-horizontal-relative:page;mso-position-vertical-relative:page;z-index:-255727616" coordorigin="6242,2484" coordsize="4848,2969">
            <v:shape style="position:absolute;left:6249;top:2491;width:4841;height:2955" coordorigin="6250,2491" coordsize="4841,2955" path="m11042,5446l11042,2491m11042,5446l11090,5446m11042,4954l11090,4954m11042,4462l11090,4462m11042,3967l11090,3967m11042,3475l11090,3475m11042,2983l11090,2983m11042,2491l11090,2491m6250,4954l11042,4954m6250,4954l6250,4990m6389,4954l6389,4990m6528,4954l6528,4990m6667,4954l6667,4990m6806,4954l6806,4990m6948,4954l6948,4990m7087,4954l7087,4990m7226,4954l7226,4990m7366,4954l7366,4990m7505,4954l7505,4990m7644,4954l7644,4990m7786,4954l7786,4990m7925,4954l7925,4990m8064,4954l8064,4990m8203,4954l8203,4990m8342,4954l8342,4990m8482,4954l8482,4990m8621,4954l8621,4990m8762,4954l8762,4990m8902,4954l8902,4990m9041,4954l9041,4990m9180,4954l9180,4990m9319,4954l9319,4990m9458,4954l9458,4990m9600,4954l9600,4990m9739,4954l9739,4990m9878,4954l9878,4990m10018,4954l10018,4990m10157,4954l10157,4990m10296,4954l10296,4990m10438,4954l10438,4990m10577,4954l10577,4990m10716,4954l10716,4990m10855,4954l10855,4990m10994,4954l10994,4990m6250,4954l6250,5002m6948,4954l6948,5002m7644,4954l7644,5002m8342,4954l8342,5002m9041,4954l9041,5002m9739,4954l9739,5002m10438,4954l10438,5002e" filled="false" stroked="true" strokeweight=".72pt" strokecolor="#000000">
              <v:path arrowok="t"/>
              <v:stroke dashstyle="solid"/>
            </v:shape>
            <v:shape style="position:absolute;left:6266;top:3091;width:4769;height:1774" coordorigin="6266,3091" coordsize="4769,1774" path="m6266,4829l6278,4829,6290,4848,6302,4855,6312,4834,6324,4865,6336,4788,6348,4759,6360,4752,6372,4726,6382,4733,6394,4726,6406,4723,6418,4704,6430,4692,6442,4687,6454,4685,6463,4682,6475,4680,6487,4666,6499,4644,6511,4639,6523,4620,6533,4622,6545,4630,6557,4632,6569,4654,6581,4627,6593,4572,6605,4582,6614,4630,6626,4627,6638,4630,6650,4618,6662,4603,6674,4603,6684,4589,6696,4594,6708,4577,6720,4596,6732,4598,6744,4598,6756,4608,6766,4606,6778,4603,6790,4596,6802,4606,6814,4634,6826,4630,6835,4606,6847,4577,6859,4584,6871,4589,6883,4610,6895,4615,6907,4610,6917,4543,6929,4505,6941,4522,6953,4522,6965,4414,6977,4414,6986,4418,6998,4430,7010,4426,7022,4428,7034,4416,7046,4406,7058,4421,7068,4394,7080,4390,7092,4390,7104,4399,7116,4397,7128,4404,7140,4402,7150,4404,7162,4418,7174,4418,7186,4409,7198,4404,7210,4402,7219,4380,7231,4390,7243,4370,7255,4313,7267,4301,7279,4301,7291,4286,7301,4270,7313,4255,7325,4248,7337,4250,7349,4315,7361,4154,7370,4159,7382,4133,7394,4109,7406,4106,7418,4152,7430,4130,7442,4104,7452,4092,7464,4142,7476,4126,7488,4133,7500,4126,7512,4109,7522,4114,7534,4102,7546,4102,7558,4106,7570,4078,7582,4080,7594,4085,7603,4082,7615,4128,7627,4058,7639,4094,7651,4145,7663,4138,7673,4133,7685,4039,7697,4030,7709,4027,7721,4001,7733,4090,7745,4130,7754,4126,7766,4272,7778,4243,7790,4243,7802,4234,7814,4234,7824,4238,7836,4258,7848,4267,7860,4258,7872,4320,7884,4320,7896,4344,7906,4349,7918,4356,7930,4361,7942,4356,7954,4303,7966,4229,7975,4224,7987,4308,7999,4306,8011,4188,8023,4162,8035,4154,8047,4166,8057,4181,8069,4171,8081,4164,8093,4159,8105,4159,8117,4162,8126,4102,8138,4104,8150,4099,8162,4102,8174,4099,8186,4099,8198,4068,8208,4022,8220,4027,8232,4037,8244,4068,8256,4046,8268,4058,8278,4006,8290,3994,8302,3998,8314,4054,8326,4068,8338,4061,8350,4046,8359,4049,8371,4042,8383,3996,8395,3948,8407,3941,8419,3931,8429,3943,8441,3965,8453,3912,8465,3974,8477,3970,8489,3958,8501,3934,8510,3929,8522,3912,8534,3917,8546,3919,8558,3883,8570,3888,8582,3869,8592,3842m8592,3842l8604,3847,8616,3900,8628,3890,8640,3888,8652,3869,8662,3869,8674,3847,8686,3830,8698,3806,8710,3828,8722,3818,8734,3823,8743,3840,8755,3828,8767,3816,8779,3850,8791,3852,8803,3859,8813,3888,8825,3926,8837,3931,8849,3924,8861,3914,8873,3910,8885,3917,8894,3914,8906,3905,8918,3893,8930,3888,8942,3890,8954,3866,8964,3862,8976,3871,8988,3864,9000,3866,9012,3881,9024,3864,9036,3842,9046,3806,9058,3758,9070,3758,9082,3766,9094,3751,9106,3766,9115,3732,9127,3677,9139,3646,9151,3619,9163,3336,9175,3348,9187,3338,9197,3374,9209,3374,9221,3370,9233,3322,9245,3310,9257,3314,9266,3259,9278,3259,9290,3269,9302,3240,9314,3228,9326,3209,9338,3204,9348,3226,9360,3254,9372,3283,9384,3262,9396,3264,9408,3269,9418,3259,9430,3276,9442,3274,9454,3278,9466,3274,9478,3274,9490,3250,9499,3257,9511,3257,9523,3300,9535,3276,9547,3238,9559,3233,9569,3230,9581,3230,9593,3230,9605,3230,9617,3221,9629,3242,9641,3252,9650,3235,9662,3238,9674,3240,9686,3238,9698,3233,9710,3235,9720,3206,9732,3211,9744,3214,9756,3204,9768,3194,9780,3209,9792,3211,9802,3199,9814,3199,9826,3180,9838,3168,9850,3166,9862,3151,9871,3125,9883,3125,9895,3146,9907,3146,9919,3149,9931,3110,9943,3108,9953,3091,9965,3101,9977,3120,9989,3144,10001,3132,10013,3122,10025,3170,10034,3202,10046,3233,10058,3245,10070,3242,10082,3252,10094,3221,10104,3221,10116,3235,10128,3214,10140,3209,10152,3204,10164,3194,10176,3209,10186,3218,10198,3221,10210,3206,10222,3199,10234,3197,10246,3204,10255,3214,10267,3216,10279,3221,10291,3218,10303,3204,10315,3218,10327,3214,10337,3214,10349,3218,10361,3216,10373,3216,10385,3214,10397,3214,10406,3214,10418,3216,10430,3221,10442,3242,10454,3242,10466,3240,10478,3259,10488,3271,10500,3271,10512,3274,10524,3290,10536,3295,10548,3314,10558,3314,10570,3324,10582,3346,10594,3324,10606,3334,10618,3336,10630,3336,10639,3334,10651,3329,10663,3370,10675,3367,10687,3367,10699,3403,10709,3398,10721,3389,10733,3382,10745,3384,10757,3374,10769,3355,10781,3358,10790,3355,10802,3355,10814,3370,10826,3365,10838,3360,10850,3314,10860,3326,10872,3319,10884,3317,10896,3302,10908,3307,10920,3307m10920,3307l10932,3307,10942,3319,10954,3322,10966,3324,10978,3324,10990,3326,11002,3324,11011,3305,11023,3307,11035,3314e" filled="false" stroked="true" strokeweight="1.44pt" strokecolor="#4a7dba">
              <v:path arrowok="t"/>
              <v:stroke dashstyle="solid"/>
            </v:shape>
            <v:shape style="position:absolute;left:6266;top:2580;width:4769;height:2607" coordorigin="6266,2580" coordsize="4769,2607" path="m6266,5045l6278,5050,6290,5165,6302,5165,6312,5167,6324,5186,6336,5186,6348,5110,6360,5071,6372,5035,6382,5033,6394,5018,6406,4990,6418,4963,6430,4966,6442,4958,6454,4963,6463,4963,6475,4944,6487,4942,6499,4932,6511,4920,6523,4913,6533,4918,6545,4930,6557,4920,6569,4930,6581,4937,6593,4934,6605,4934,6614,4915,6626,4949,6638,4944,6650,4771,6662,4781,6674,4774,6684,4728,6696,4735,6708,4723,6720,4776,6732,4795,6744,4788,6756,4795,6766,4800,6778,4807,6790,4795,6802,4790,6814,4776,6826,4757,6835,4718,6847,4690,6859,4687,6871,4668,6883,4670,6895,4675,6907,4675,6917,4668,6929,4670,6941,4666,6953,4642,6965,4646,6977,4646,6986,4639,6998,4642,7010,4637,7022,4627,7034,4608,7046,4558,7058,4558,7068,4538,7080,4531,7092,4502,7104,4507,7116,4505,7128,4505,7140,4490,7150,4481,7162,4471,7174,4483,7186,4490,7198,4483,7210,4476,7219,4478,7231,4488,7243,4462,7255,4459,7267,4454,7279,4452,7291,4466,7301,4466,7313,4469,7325,4466,7337,4471,7349,4486,7361,4483,7370,4493,7382,4385,7394,4402,7406,4428,7418,4380,7430,4363,7442,4351,7452,4291,7464,4241,7476,4236,7488,4243,7500,4214,7512,4214,7522,4222,7534,4248,7546,4217,7558,4226,7570,4231,7582,4248,7594,4250,7603,4272,7615,4262,7627,4265,7639,4318,7651,4308,7663,4294,7673,4267,7685,3826,7697,3840,7709,3838,7721,3833,7733,3835,7745,3902,7754,3977,7766,4032,7778,4042,7790,4056,7802,4130,7814,4162,7824,4142,7836,4154,7848,4126,7860,4106,7872,4164,7884,4150,7896,4171,7906,4183,7918,4234,7930,4246,7942,4250,7954,4243,7966,4231,7975,4234,7987,4186,7999,4176,8011,4193,8023,4210,8035,4224,8047,4202,8057,4200,8069,4214,8081,4174,8093,4118,8105,4116,8117,4116,8126,4049,8138,4066,8150,4046,8162,4044,8174,4032,8186,4022,8198,4025,8208,4015,8220,4013,8232,3996,8244,4090,8256,4099,8268,4145,8278,4123,8290,4092,8302,4082,8314,4090,8326,4073,8338,4039,8350,4025,8359,4022,8371,4027,8383,3998,8395,3962,8407,3967,8419,3958,8429,3960,8441,3943,8453,3917,8465,3936,8477,3938,8489,3936,8501,3934,8510,3934,8522,3934,8534,3960,8546,3950,8558,3938,8570,3845,8582,3826,8592,3840m8592,3840l8604,3811,8616,3785,8628,3749,8640,3756,8652,3737,8662,3725,8674,3725,8686,3670,8698,3689,8710,3684,8722,3701,8734,3701,8743,3691,8755,3703,8767,3701,8779,3766,8791,3768,8803,3763,8813,3799,8825,3826,8837,3828,8849,3845,8861,3926,8873,3934,8885,3931,8894,3979,8906,3979,8918,3967,8930,3958,8942,3943,8954,3919,8964,3922,8976,3914,8988,3914,9000,3914,9012,3912,9024,3902,9036,3907,9046,3914,9058,3881,9070,3871,9082,3842,9094,3806,9106,3802,9115,3818,9127,3809,9139,3782,9151,3708,9163,3679,9175,3643,9187,3648,9197,3631,9209,3662,9221,3638,9233,3641,9245,3629,9257,3658,9266,3698,9278,3703,9290,3708,9302,3701,9314,3612,9326,3590,9338,3576,9348,3610,9360,3617,9372,3610,9384,3619,9396,3614,9408,3612,9418,3612,9430,3617,9442,3619,9454,3631,9466,3612,9478,3646,9490,3646,9499,3643,9511,3638,9523,3641,9535,3595,9547,3590,9559,3583,9569,3566,9581,3578,9593,3586,9605,3586,9617,3598,9629,3665,9641,3634,9650,3605,9662,3607,9674,3619,9686,3617,9698,3622,9710,3638,9720,3648,9732,3667,9744,3653,9756,3655,9768,3646,9780,3655,9792,3670,9802,3634,9814,3634,9826,3667,9838,3694,9850,3718,9862,3722,9871,3732,9883,3746,9895,3734,9907,3725,9919,3703,9931,3713,9943,3722,9953,3732,9965,3739,9977,3746,9989,3727,10001,3672,10013,3602,10025,3485,10034,3338,10046,3346,10058,3319,10070,3288,10082,3278,10094,3233,10104,3235,10116,3211,10128,3216,10140,3194,10152,3151,10164,3115,10176,3084,10186,3106,10198,3113,10210,3113,10222,3108,10234,3103,10246,3096,10255,3055,10267,3041,10279,3031,10291,3026,10303,3043,10315,3038,10327,3038,10337,3038,10349,3048,10361,3050,10373,3046,10385,3050,10397,3038,10406,3012,10418,3031,10430,3022,10442,3017,10454,3017,10466,3022,10478,3029,10488,3024,10500,3005,10512,2990,10524,2986,10536,2990,10548,2988,10558,2995,10570,2995,10582,2998,10594,2993,10606,2981,10618,2983,10630,2976,10639,2969,10651,2971,10663,2933,10675,2938,10687,2935,10699,2935,10709,2928,10721,2928,10733,2916,10745,2918,10757,2918,10769,2921,10781,2918,10790,2918,10802,2921,10814,2918,10826,2918,10838,2918,10850,2914,10860,2909,10872,2897,10884,2899,10896,2904,10908,2904,10920,2906m10920,2906l10932,2904,10942,2902,10954,2904,10966,2904,10978,2897,10990,2894,11002,2897,11011,2897,11023,2897,11035,2899m9113,2580l9497,2580e" filled="false" stroked="true" strokeweight="1.44pt" strokecolor="#bd4a47">
              <v:path arrowok="t"/>
              <v:stroke dashstyle="solid"/>
            </v:shape>
            <w10:wrap type="none"/>
          </v:group>
        </w:pict>
      </w:r>
      <w:r>
        <w:rPr/>
        <w:pict>
          <v:group style="position:absolute;margin-left:42pt;margin-top:341.279968pt;width:238.9pt;height:146.9pt;mso-position-horizontal-relative:page;mso-position-vertical-relative:page;z-index:-255726592" coordorigin="840,6826" coordsize="4778,2938">
            <v:shape style="position:absolute;left:854;top:6832;width:4752;height:2924" coordorigin="854,6833" coordsize="4752,2924" path="m5558,9756l5558,6833m5558,9756l5606,9756m5558,9391l5606,9391m5558,9026l5606,9026m5558,8662l5606,8662m5558,8294l5606,8294m5558,7930l5606,7930m5558,7565l5606,7565m5558,7198l5606,7198m5558,6833l5606,6833m854,9391l5558,9391m854,9391l854,9439m1795,9391l1795,9439e" filled="false" stroked="true" strokeweight=".72pt" strokecolor="#000000">
              <v:path arrowok="t"/>
              <v:stroke dashstyle="solid"/>
            </v:shape>
            <v:shape style="position:absolute;left:840;top:7144;width:4778;height:2305" type="#_x0000_t75" stroked="false">
              <v:imagedata r:id="rId34" o:title=""/>
            </v:shape>
            <v:line style="position:absolute" from="1889,6958" to="2273,6958" stroked="true" strokeweight="1.44pt" strokecolor="#000000">
              <v:stroke dashstyle="solid"/>
            </v:line>
            <v:shape style="position:absolute;left:3957;top:6916;width:82;height:82" coordorigin="3958,6917" coordsize="82,82" path="m3998,6917l3982,6920,3970,6929,3961,6942,3958,6958,3961,6974,3970,6986,3982,6995,3998,6998,4014,6995,4027,6986,4036,6974,4039,6958,4036,6942,4027,6929,4014,6920,3998,6917xe" filled="true" fillcolor="#c00000" stroked="false">
              <v:path arrowok="t"/>
              <v:fill opacity="22873f" type="solid"/>
            </v:shape>
            <v:shape style="position:absolute;left:3957;top:6916;width:82;height:82" coordorigin="3958,6917" coordsize="82,82" path="m4039,6958l4036,6974,4027,6986,4014,6995,3998,6998,3982,6995,3970,6986,3961,6974,3958,6958,3961,6942,3970,6929,3982,6920,3998,6917,4014,6920,4027,6929,4036,6942,4039,6958xe" filled="false" stroked="true" strokeweight=".72pt" strokecolor="#bd4a47">
              <v:path arrowok="t"/>
              <v:stroke dashstyle="solid"/>
            </v:shape>
            <w10:wrap type="none"/>
          </v:group>
        </w:pict>
      </w:r>
      <w:r>
        <w:rPr/>
        <w:pict>
          <v:group style="position:absolute;margin-left:319.920013pt;margin-top:338.439972pt;width:239.65pt;height:152.85pt;mso-position-horizontal-relative:page;mso-position-vertical-relative:page;z-index:-255725568" coordorigin="6398,6769" coordsize="4793,3057">
            <v:shape style="position:absolute;left:6439;top:6830;width:4752;height:2996" coordorigin="6439,6830" coordsize="4752,2996" path="m11143,9778l11143,6830m11143,9778l11191,9778m11143,9358l11191,9358m11143,8935l11191,8935m11143,8515l11191,8515m11143,8093l11191,8093m11143,7673l11191,7673m11143,7250l11191,7250m11143,6830l11191,6830m6439,9778l11143,9778m6439,9778l6439,9826m7380,9778l7380,9826m8321,9778l8321,9826m9262,9778l9262,9826m10202,9778l10202,9826m11143,9778l11143,9826e" filled="false" stroked="true" strokeweight=".72pt" strokecolor="#000000">
              <v:path arrowok="t"/>
              <v:stroke dashstyle="solid"/>
            </v:shape>
            <v:shape style="position:absolute;left:7068;top:7461;width:2612;height:2105" coordorigin="7068,7462" coordsize="2612,2105" path="m7068,7462l7094,7567,7121,7567,7145,7673,7277,7673,7303,7884,7330,8515,7356,8935,7380,9146,7406,9358,7433,9566,7459,9566,7486,9566,9655,9566,9679,9566e" filled="false" stroked="true" strokeweight="1.44pt" strokecolor="#416ea6">
              <v:path arrowok="t"/>
              <v:stroke dashstyle="solid"/>
            </v:shape>
            <v:shape style="position:absolute;left:7040;top:7486;width:155;height:155" type="#_x0000_t75" stroked="false">
              <v:imagedata r:id="rId35" o:title=""/>
            </v:shape>
            <v:shape style="position:absolute;left:7302;top:7508;width:155;height:155" type="#_x0000_t75" stroked="false">
              <v:imagedata r:id="rId35" o:title=""/>
            </v:shape>
            <v:shape style="position:absolute;left:7616;top:7597;width:155;height:155" type="#_x0000_t75" stroked="false">
              <v:imagedata r:id="rId36" o:title=""/>
            </v:shape>
            <v:shape style="position:absolute;left:7928;top:7563;width:155;height:155" type="#_x0000_t75" stroked="false">
              <v:imagedata r:id="rId37" o:title=""/>
            </v:shape>
            <v:shape style="position:absolute;left:8242;top:7530;width:155;height:155" type="#_x0000_t75" stroked="false">
              <v:imagedata r:id="rId38" o:title=""/>
            </v:shape>
            <v:shape style="position:absolute;left:8554;top:7597;width:155;height:155" type="#_x0000_t75" stroked="false">
              <v:imagedata r:id="rId36" o:title=""/>
            </v:shape>
            <v:shape style="position:absolute;left:7354;top:9488;width:155;height:155" type="#_x0000_t75" stroked="false">
              <v:imagedata r:id="rId39" o:title=""/>
            </v:shape>
            <v:shape style="position:absolute;left:7624;top:9383;width:140;height:140" coordorigin="7624,9383" coordsize="140,140" path="m7694,9383l7624,9453,7694,9522,7763,9453,7694,9383xe" filled="true" fillcolor="#88a44e" stroked="false">
              <v:path arrowok="t"/>
              <v:fill type="solid"/>
            </v:shape>
            <v:shape style="position:absolute;left:7624;top:9383;width:140;height:140" coordorigin="7624,9383" coordsize="140,140" path="m7694,9383l7763,9453,7694,9522,7624,9453,7694,9383xe" filled="false" stroked="true" strokeweight=".75pt" strokecolor="#85a349">
              <v:path arrowok="t"/>
              <v:stroke dashstyle="solid"/>
            </v:shape>
            <v:shape style="position:absolute;left:7928;top:9193;width:155;height:155" type="#_x0000_t75" stroked="false">
              <v:imagedata r:id="rId40" o:title=""/>
            </v:shape>
            <v:shape style="position:absolute;left:8242;top:8552;width:155;height:155" type="#_x0000_t75" stroked="false">
              <v:imagedata r:id="rId41" o:title=""/>
            </v:shape>
            <v:shape style="position:absolute;left:8554;top:8120;width:155;height:155" type="#_x0000_t75" stroked="false">
              <v:imagedata r:id="rId42" o:title=""/>
            </v:shape>
            <v:shape style="position:absolute;left:8869;top:7866;width:155;height:155" type="#_x0000_t75" stroked="false">
              <v:imagedata r:id="rId42" o:title=""/>
            </v:shape>
            <v:shape style="position:absolute;left:7674;top:9496;width:140;height:140" coordorigin="7674,9496" coordsize="140,140" path="m7744,9496l7674,9566,7744,9635,7814,9566,7744,9496xe" filled="true" fillcolor="#70578f" stroked="false">
              <v:path arrowok="t"/>
              <v:fill type="solid"/>
            </v:shape>
            <v:shape style="position:absolute;left:7674;top:9496;width:140;height:140" coordorigin="7674,9496" coordsize="140,140" path="m7744,9496l7814,9566,7744,9635,7674,9566,7744,9496xe" filled="false" stroked="true" strokeweight=".75pt" strokecolor="#6d538d">
              <v:path arrowok="t"/>
              <v:stroke dashstyle="solid"/>
            </v:shape>
            <v:shape style="position:absolute;left:7936;top:9452;width:140;height:140" coordorigin="7936,9453" coordsize="140,140" path="m8006,9453l7936,9523,8006,9592,8075,9523,8006,9453xe" filled="true" fillcolor="#70578f" stroked="false">
              <v:path arrowok="t"/>
              <v:fill type="solid"/>
            </v:shape>
            <v:shape style="position:absolute;left:7936;top:9452;width:140;height:140" coordorigin="7936,9453" coordsize="140,140" path="m8006,9453l8075,9523,8006,9592,7936,9523,8006,9453xe" filled="false" stroked="true" strokeweight=".75pt" strokecolor="#6d538d">
              <v:path arrowok="t"/>
              <v:stroke dashstyle="solid"/>
            </v:shape>
            <v:shape style="position:absolute;left:8242;top:9025;width:155;height:155" type="#_x0000_t75" stroked="false">
              <v:imagedata r:id="rId43" o:title=""/>
            </v:shape>
            <v:shape style="position:absolute;left:8554;top:8518;width:155;height:155" type="#_x0000_t75" stroked="false">
              <v:imagedata r:id="rId44" o:title=""/>
            </v:shape>
            <v:shape style="position:absolute;left:8869;top:8226;width:155;height:155" type="#_x0000_t75" stroked="false">
              <v:imagedata r:id="rId44" o:title=""/>
            </v:shape>
            <v:shape style="position:absolute;left:9183;top:8014;width:155;height:155" type="#_x0000_t75" stroked="false">
              <v:imagedata r:id="rId45" o:title=""/>
            </v:shape>
            <v:shape style="position:absolute;left:7988;top:9496;width:140;height:140" coordorigin="7989,9496" coordsize="140,140" path="m8059,9496l7989,9566,8059,9635,8128,9566,8059,9496xe" filled="true" fillcolor="#4197ae" stroked="false">
              <v:path arrowok="t"/>
              <v:fill type="solid"/>
            </v:shape>
            <v:shape style="position:absolute;left:7988;top:9496;width:140;height:140" coordorigin="7989,9496" coordsize="140,140" path="m8059,9496l8128,9566,8059,9635,7989,9566,8059,9496xe" filled="false" stroked="true" strokeweight=".75pt" strokecolor="#3c95ad">
              <v:path arrowok="t"/>
              <v:stroke dashstyle="solid"/>
            </v:shape>
            <v:shape style="position:absolute;left:8250;top:9368;width:140;height:140" coordorigin="8250,9369" coordsize="140,140" path="m8320,9369l8250,9439,8320,9508,8390,9439,8320,9369xe" filled="true" fillcolor="#4197ae" stroked="false">
              <v:path arrowok="t"/>
              <v:fill type="solid"/>
            </v:shape>
            <v:shape style="position:absolute;left:8250;top:9368;width:140;height:140" coordorigin="8250,9369" coordsize="140,140" path="m8320,9369l8390,9439,8320,9508,8250,9439,8320,9369xe" filled="false" stroked="true" strokeweight=".75pt" strokecolor="#3c95ad">
              <v:path arrowok="t"/>
              <v:stroke dashstyle="solid"/>
            </v:shape>
            <v:shape style="position:absolute;left:8554;top:9066;width:155;height:155" type="#_x0000_t75" stroked="false">
              <v:imagedata r:id="rId46" o:title=""/>
            </v:shape>
            <v:shape style="position:absolute;left:8869;top:8689;width:155;height:155" type="#_x0000_t75" stroked="false">
              <v:imagedata r:id="rId47" o:title=""/>
            </v:shape>
            <v:shape style="position:absolute;left:9183;top:8350;width:155;height:155" type="#_x0000_t75" stroked="false">
              <v:imagedata r:id="rId48" o:title=""/>
            </v:shape>
            <v:shape style="position:absolute;left:9495;top:8139;width:155;height:155" type="#_x0000_t75" stroked="false">
              <v:imagedata r:id="rId48" o:title=""/>
            </v:shape>
            <v:shape style="position:absolute;left:8303;top:9496;width:140;height:140" coordorigin="8303,9496" coordsize="140,140" path="m8373,9496l8303,9566,8373,9635,8442,9566,8373,9496xe" filled="true" fillcolor="#db843c" stroked="false">
              <v:path arrowok="t"/>
              <v:fill type="solid"/>
            </v:shape>
            <v:shape style="position:absolute;left:8303;top:9496;width:140;height:140" coordorigin="8303,9496" coordsize="140,140" path="m8373,9496l8442,9566,8373,9635,8303,9566,8373,9496xe" filled="false" stroked="true" strokeweight=".75pt" strokecolor="#da8137">
              <v:path arrowok="t"/>
              <v:stroke dashstyle="solid"/>
            </v:shape>
            <v:shape style="position:absolute;left:8562;top:9484;width:140;height:140" coordorigin="8562,9484" coordsize="140,140" path="m8632,9484l8562,9554,8632,9623,8702,9554,8632,9484xe" filled="true" fillcolor="#db843c" stroked="false">
              <v:path arrowok="t"/>
              <v:fill type="solid"/>
            </v:shape>
            <v:shape style="position:absolute;left:8562;top:9484;width:140;height:140" coordorigin="8562,9484" coordsize="140,140" path="m8632,9484l8702,9554,8632,9623,8562,9554,8632,9484xe" filled="false" stroked="true" strokeweight=".75pt" strokecolor="#da8137">
              <v:path arrowok="t"/>
              <v:stroke dashstyle="solid"/>
            </v:shape>
            <v:shape style="position:absolute;left:8876;top:9368;width:140;height:140" coordorigin="8877,9369" coordsize="140,140" path="m8947,9369l8877,9439,8947,9508,9016,9439,8947,9369xe" filled="true" fillcolor="#db843c" stroked="false">
              <v:path arrowok="t"/>
              <v:fill type="solid"/>
            </v:shape>
            <v:shape style="position:absolute;left:8876;top:9368;width:140;height:140" coordorigin="8877,9369" coordsize="140,140" path="m8947,9369l9016,9439,8947,9508,8877,9439,8947,9369xe" filled="false" stroked="true" strokeweight=".75pt" strokecolor="#da8137">
              <v:path arrowok="t"/>
              <v:stroke dashstyle="solid"/>
            </v:shape>
            <v:shape style="position:absolute;left:9183;top:9118;width:155;height:155" type="#_x0000_t75" stroked="false">
              <v:imagedata r:id="rId49" o:title=""/>
            </v:shape>
            <v:shape style="position:absolute;left:9495;top:8746;width:155;height:155" type="#_x0000_t75" stroked="false">
              <v:imagedata r:id="rId50" o:title=""/>
            </v:shape>
            <v:shape style="position:absolute;left:9810;top:8372;width:155;height:155" type="#_x0000_t75" stroked="false">
              <v:imagedata r:id="rId50" o:title=""/>
            </v:shape>
            <v:shape style="position:absolute;left:8615;top:9496;width:140;height:140" coordorigin="8615,9496" coordsize="140,140" path="m8685,9496l8615,9566,8685,9635,8754,9566,8685,9496xe" filled="true" fillcolor="#92a9cf" stroked="false">
              <v:path arrowok="t"/>
              <v:fill type="solid"/>
            </v:shape>
            <v:shape style="position:absolute;left:8615;top:9496;width:140;height:140" coordorigin="8615,9496" coordsize="140,140" path="m8685,9496l8754,9566,8685,9635,8615,9566,8685,9496xe" filled="false" stroked="true" strokeweight=".75pt" strokecolor="#8ea4ca">
              <v:path arrowok="t"/>
              <v:stroke dashstyle="solid"/>
            </v:shape>
            <v:shape style="position:absolute;left:8876;top:9486;width:140;height:140" coordorigin="8877,9486" coordsize="140,140" path="m8947,9486l8877,9556,8947,9626,9016,9556,8947,9486xe" filled="true" fillcolor="#92a9cf" stroked="false">
              <v:path arrowok="t"/>
              <v:fill type="solid"/>
            </v:shape>
            <v:shape style="position:absolute;left:8876;top:9486;width:140;height:140" coordorigin="8877,9486" coordsize="140,140" path="m8947,9486l9016,9556,8947,9626,8877,9556,8947,9486xe" filled="false" stroked="true" strokeweight=".75pt" strokecolor="#8ea4ca">
              <v:path arrowok="t"/>
              <v:stroke dashstyle="solid"/>
            </v:shape>
            <v:shape style="position:absolute;left:9191;top:9416;width:140;height:140" coordorigin="9191,9417" coordsize="140,140" path="m9261,9417l9191,9487,9261,9556,9330,9487,9261,9417xe" filled="true" fillcolor="#92a9cf" stroked="false">
              <v:path arrowok="t"/>
              <v:fill type="solid"/>
            </v:shape>
            <v:shape style="position:absolute;left:9191;top:9416;width:140;height:140" coordorigin="9191,9417" coordsize="140,140" path="m9261,9417l9330,9487,9261,9556,9191,9487,9261,9417xe" filled="false" stroked="true" strokeweight=".75pt" strokecolor="#8ea4ca">
              <v:path arrowok="t"/>
              <v:stroke dashstyle="solid"/>
            </v:shape>
            <v:shape style="position:absolute;left:9503;top:9205;width:140;height:140" coordorigin="9503,9206" coordsize="140,140" path="m9573,9206l9503,9276,9573,9345,9642,9276,9573,9206xe" filled="true" fillcolor="#92a9cf" stroked="false">
              <v:path arrowok="t"/>
              <v:fill type="solid"/>
            </v:shape>
            <v:shape style="position:absolute;left:9503;top:9205;width:140;height:140" coordorigin="9503,9206" coordsize="140,140" path="m9573,9206l9642,9276,9573,9345,9503,9276,9573,9206xe" filled="false" stroked="true" strokeweight=".75pt" strokecolor="#8ea4ca">
              <v:path arrowok="t"/>
              <v:stroke dashstyle="solid"/>
            </v:shape>
            <v:shape style="position:absolute;left:9817;top:8905;width:140;height:140" coordorigin="9818,8906" coordsize="140,140" path="m9888,8906l9818,8976,9888,9045,9957,8976,9888,8906xe" filled="true" fillcolor="#92a9cf" stroked="false">
              <v:path arrowok="t"/>
              <v:fill type="solid"/>
            </v:shape>
            <v:shape style="position:absolute;left:9817;top:8905;width:140;height:140" coordorigin="9818,8906" coordsize="140,140" path="m9888,8906l9957,8976,9888,9045,9818,8976,9888,8906xe" filled="false" stroked="true" strokeweight=".75pt" strokecolor="#8ea4ca">
              <v:path arrowok="t"/>
              <v:stroke dashstyle="solid"/>
            </v:shape>
            <v:shape style="position:absolute;left:10132;top:8648;width:140;height:140" coordorigin="10132,8649" coordsize="140,140" path="m10202,8649l10132,8719,10202,8788,10271,8719,10202,8649xe" filled="true" fillcolor="#92a9cf" stroked="false">
              <v:path arrowok="t"/>
              <v:fill type="solid"/>
            </v:shape>
            <v:shape style="position:absolute;left:10132;top:8648;width:140;height:140" coordorigin="10132,8649" coordsize="140,140" path="m10202,8649l10271,8719,10202,8788,10132,8719,10202,8649xe" filled="false" stroked="true" strokeweight=".75pt" strokecolor="#8ea4ca">
              <v:path arrowok="t"/>
              <v:stroke dashstyle="solid"/>
            </v:shape>
            <v:shape style="position:absolute;left:8929;top:9496;width:140;height:140" coordorigin="8930,9496" coordsize="140,140" path="m9000,9496l8930,9566,9000,9635,9069,9566,9000,9496xe" filled="true" fillcolor="#d19292" stroked="false">
              <v:path arrowok="t"/>
              <v:fill type="solid"/>
            </v:shape>
            <v:shape style="position:absolute;left:8929;top:9496;width:140;height:140" coordorigin="8930,9496" coordsize="140,140" path="m9000,9496l9069,9566,9000,9635,8930,9566,9000,9496xe" filled="false" stroked="true" strokeweight=".75pt" strokecolor="#ce8e8d">
              <v:path arrowok="t"/>
              <v:stroke dashstyle="solid"/>
            </v:shape>
            <v:shape style="position:absolute;left:9191;top:9491;width:140;height:140" coordorigin="9191,9491" coordsize="140,140" path="m9261,9491l9191,9561,9261,9630,9330,9561,9261,9491xe" filled="true" fillcolor="#d19292" stroked="false">
              <v:path arrowok="t"/>
              <v:fill type="solid"/>
            </v:shape>
            <v:shape style="position:absolute;left:9191;top:9491;width:140;height:140" coordorigin="9191,9491" coordsize="140,140" path="m9261,9491l9330,9561,9261,9630,9191,9561,9261,9491xe" filled="false" stroked="true" strokeweight=".75pt" strokecolor="#ce8e8d">
              <v:path arrowok="t"/>
              <v:stroke dashstyle="solid"/>
            </v:shape>
            <v:shape style="position:absolute;left:9503;top:9340;width:140;height:140" coordorigin="9503,9340" coordsize="140,140" path="m9573,9340l9503,9410,9573,9479,9642,9410,9573,9340xe" filled="true" fillcolor="#d19292" stroked="false">
              <v:path arrowok="t"/>
              <v:fill type="solid"/>
            </v:shape>
            <v:shape style="position:absolute;left:9503;top:9340;width:140;height:140" coordorigin="9503,9340" coordsize="140,140" path="m9573,9340l9642,9410,9573,9479,9503,9410,9573,9340xe" filled="false" stroked="true" strokeweight=".75pt" strokecolor="#ce8e8d">
              <v:path arrowok="t"/>
              <v:stroke dashstyle="solid"/>
            </v:shape>
            <v:shape style="position:absolute;left:9817;top:9049;width:140;height:140" coordorigin="9818,9050" coordsize="140,140" path="m9888,9050l9818,9120,9888,9189,9957,9120,9888,9050xe" filled="true" fillcolor="#d19292" stroked="false">
              <v:path arrowok="t"/>
              <v:fill type="solid"/>
            </v:shape>
            <v:shape style="position:absolute;left:9817;top:9049;width:140;height:140" coordorigin="9818,9050" coordsize="140,140" path="m9888,9050l9957,9120,9888,9189,9818,9120,9888,9050xe" filled="false" stroked="true" strokeweight=".75pt" strokecolor="#ce8e8d">
              <v:path arrowok="t"/>
              <v:stroke dashstyle="solid"/>
            </v:shape>
            <v:shape style="position:absolute;left:10132;top:8771;width:140;height:140" coordorigin="10132,8771" coordsize="140,140" path="m10202,8771l10132,8841,10202,8910,10271,8841,10202,8771xe" filled="true" fillcolor="#d19292" stroked="false">
              <v:path arrowok="t"/>
              <v:fill type="solid"/>
            </v:shape>
            <v:shape style="position:absolute;left:10132;top:8771;width:140;height:140" coordorigin="10132,8771" coordsize="140,140" path="m10202,8771l10271,8841,10202,8910,10132,8841,10202,8771xe" filled="false" stroked="true" strokeweight=".75pt" strokecolor="#ce8e8d">
              <v:path arrowok="t"/>
              <v:stroke dashstyle="solid"/>
            </v:shape>
            <v:shape style="position:absolute;left:10444;top:8526;width:140;height:140" coordorigin="10444,8526" coordsize="140,140" path="m10514,8526l10444,8596,10514,8666,10583,8596,10514,8526xe" filled="true" fillcolor="#d19292" stroked="false">
              <v:path arrowok="t"/>
              <v:fill type="solid"/>
            </v:shape>
            <v:shape style="position:absolute;left:10444;top:8526;width:140;height:140" coordorigin="10444,8526" coordsize="140,140" path="m10514,8526l10583,8596,10514,8666,10444,8596,10514,8526xe" filled="false" stroked="true" strokeweight=".75pt" strokecolor="#ce8e8d">
              <v:path arrowok="t"/>
              <v:stroke dashstyle="solid"/>
            </v:shape>
            <v:shape style="position:absolute;left:9244;top:9496;width:140;height:140" coordorigin="9244,9496" coordsize="140,140" path="m9314,9496l9244,9566,9314,9635,9383,9566,9314,9496xe" filled="true" fillcolor="#b8cd95" stroked="false">
              <v:path arrowok="t"/>
              <v:fill type="solid"/>
            </v:shape>
            <v:shape style="position:absolute;left:9244;top:9496;width:140;height:140" coordorigin="9244,9496" coordsize="140,140" path="m9314,9496l9383,9566,9314,9635,9244,9566,9314,9496xe" filled="false" stroked="true" strokeweight=".75pt" strokecolor="#b5c992">
              <v:path arrowok="t"/>
              <v:stroke dashstyle="solid"/>
            </v:shape>
            <v:shape style="position:absolute;left:9503;top:9452;width:140;height:140" coordorigin="9503,9453" coordsize="140,140" path="m9573,9453l9503,9523,9573,9592,9642,9523,9573,9453xe" filled="true" fillcolor="#b8cd95" stroked="false">
              <v:path arrowok="t"/>
              <v:fill type="solid"/>
            </v:shape>
            <v:shape style="position:absolute;left:9503;top:9452;width:140;height:140" coordorigin="9503,9453" coordsize="140,140" path="m9573,9453l9642,9523,9573,9592,9503,9523,9573,9453xe" filled="false" stroked="true" strokeweight=".75pt" strokecolor="#b5c992">
              <v:path arrowok="t"/>
              <v:stroke dashstyle="solid"/>
            </v:shape>
            <v:shape style="position:absolute;left:9817;top:9244;width:140;height:140" coordorigin="9818,9244" coordsize="140,140" path="m9888,9244l9818,9314,9888,9383,9957,9314,9888,9244xe" filled="true" fillcolor="#b8cd95" stroked="false">
              <v:path arrowok="t"/>
              <v:fill type="solid"/>
            </v:shape>
            <v:shape style="position:absolute;left:9817;top:9244;width:140;height:140" coordorigin="9818,9244" coordsize="140,140" path="m9888,9244l9957,9314,9888,9383,9818,9314,9888,9244xe" filled="false" stroked="true" strokeweight=".75pt" strokecolor="#b5c992">
              <v:path arrowok="t"/>
              <v:stroke dashstyle="solid"/>
            </v:shape>
            <v:shape style="position:absolute;left:10132;top:8948;width:140;height:140" coordorigin="10132,8949" coordsize="140,140" path="m10202,8949l10132,9019,10202,9088,10271,9019,10202,8949xe" filled="true" fillcolor="#b8cd95" stroked="false">
              <v:path arrowok="t"/>
              <v:fill type="solid"/>
            </v:shape>
            <v:shape style="position:absolute;left:10132;top:8948;width:140;height:140" coordorigin="10132,8949" coordsize="140,140" path="m10202,8949l10271,9019,10202,9088,10132,9019,10202,8949xe" filled="false" stroked="true" strokeweight=".75pt" strokecolor="#b5c992">
              <v:path arrowok="t"/>
              <v:stroke dashstyle="solid"/>
            </v:shape>
            <v:shape style="position:absolute;left:10444;top:8696;width:140;height:140" coordorigin="10444,8697" coordsize="140,140" path="m10514,8697l10444,8767,10514,8836,10583,8767,10514,8697xe" filled="true" fillcolor="#b8cd95" stroked="false">
              <v:path arrowok="t"/>
              <v:fill type="solid"/>
            </v:shape>
            <v:shape style="position:absolute;left:10444;top:8696;width:140;height:140" coordorigin="10444,8697" coordsize="140,140" path="m10514,8697l10583,8767,10514,8836,10444,8767,10514,8697xe" filled="false" stroked="true" strokeweight=".75pt" strokecolor="#b5c992">
              <v:path arrowok="t"/>
              <v:stroke dashstyle="solid"/>
            </v:shape>
            <v:shape style="position:absolute;left:10750;top:8562;width:155;height:155" type="#_x0000_t75" stroked="false">
              <v:imagedata r:id="rId51" o:title=""/>
            </v:shape>
            <v:shape style="position:absolute;left:9556;top:9496;width:140;height:140" coordorigin="9556,9496" coordsize="140,140" path="m9626,9496l9556,9566,9626,9635,9695,9566,9626,9496xe" filled="true" fillcolor="#a99bbc" stroked="false">
              <v:path arrowok="t"/>
              <v:fill type="solid"/>
            </v:shape>
            <v:shape style="position:absolute;left:9556;top:9496;width:140;height:140" coordorigin="9556,9496" coordsize="140,140" path="m9626,9496l9695,9566,9626,9635,9556,9566,9626,9496xe" filled="false" stroked="true" strokeweight=".75pt" strokecolor="#a496b8">
              <v:path arrowok="t"/>
              <v:stroke dashstyle="solid"/>
            </v:shape>
            <v:shape style="position:absolute;left:9817;top:9412;width:140;height:140" coordorigin="9818,9412" coordsize="140,140" path="m9888,9412l9818,9482,9888,9551,9957,9482,9888,9412xe" filled="true" fillcolor="#a99bbc" stroked="false">
              <v:path arrowok="t"/>
              <v:fill type="solid"/>
            </v:shape>
            <v:shape style="position:absolute;left:9817;top:9412;width:140;height:140" coordorigin="9818,9412" coordsize="140,140" path="m9888,9412l9957,9482,9888,9551,9818,9482,9888,9412xe" filled="false" stroked="true" strokeweight=".75pt" strokecolor="#a496b8">
              <v:path arrowok="t"/>
              <v:stroke dashstyle="solid"/>
            </v:shape>
            <v:shape style="position:absolute;left:10124;top:9193;width:155;height:155" type="#_x0000_t75" stroked="false">
              <v:imagedata r:id="rId52" o:title=""/>
            </v:shape>
            <v:shape style="position:absolute;left:10436;top:8982;width:155;height:155" type="#_x0000_t75" stroked="false">
              <v:imagedata r:id="rId53" o:title=""/>
            </v:shape>
            <v:shape style="position:absolute;left:10750;top:8814;width:155;height:155" type="#_x0000_t75" stroked="false">
              <v:imagedata r:id="rId54" o:title=""/>
            </v:shape>
            <v:line style="position:absolute" from="6398,6816" to="6782,6816" stroked="true" strokeweight="1.44pt" strokecolor="#416ea6">
              <v:stroke dashstyle="solid"/>
            </v:line>
            <v:shape style="position:absolute;left:7624;top:6776;width:80;height:80" coordorigin="7624,6776" coordsize="80,80" path="m7664,6776l7624,6816,7664,6856,7704,6816,7664,6776xe" filled="true" fillcolor="#aa4643" stroked="false">
              <v:path arrowok="t"/>
              <v:fill type="solid"/>
            </v:shape>
            <v:shape style="position:absolute;left:7624;top:6776;width:80;height:80" coordorigin="7624,6776" coordsize="80,80" path="m7664,6776l7704,6816,7664,6856,7624,6816,7664,6776e" filled="false" stroked="true" strokeweight=".72pt" strokecolor="#a8423e">
              <v:path arrowok="t"/>
              <v:stroke dashstyle="solid"/>
            </v:shape>
            <v:shape style="position:absolute;left:8698;top:6776;width:80;height:80" coordorigin="8699,6776" coordsize="80,80" path="m8739,6776l8699,6816,8739,6856,8779,6816,8739,6776xe" filled="true" fillcolor="#88a44e" stroked="false">
              <v:path arrowok="t"/>
              <v:fill type="solid"/>
            </v:shape>
            <v:shape style="position:absolute;left:8698;top:6776;width:80;height:80" coordorigin="8699,6776" coordsize="80,80" path="m8739,6776l8779,6816,8739,6856,8699,6816,8739,6776e" filled="false" stroked="true" strokeweight=".72pt" strokecolor="#85a349">
              <v:path arrowok="t"/>
              <v:stroke dashstyle="solid"/>
            </v:shape>
            <v:shape style="position:absolute;left:9773;top:6776;width:80;height:80" coordorigin="9773,6776" coordsize="80,80" path="m9813,6776l9773,6816,9813,6856,9853,6816,9813,6776xe" filled="true" fillcolor="#70578f" stroked="false">
              <v:path arrowok="t"/>
              <v:fill type="solid"/>
            </v:shape>
            <v:shape style="position:absolute;left:9773;top:6776;width:80;height:80" coordorigin="9773,6776" coordsize="80,80" path="m9813,6776l9853,6816,9813,6856,9773,6816,9813,6776e" filled="false" stroked="true" strokeweight=".72pt" strokecolor="#6d538d">
              <v:path arrowok="t"/>
              <v:stroke dashstyle="solid"/>
            </v:shape>
            <v:shape style="position:absolute;left:6549;top:6946;width:80;height:80" coordorigin="6549,6947" coordsize="80,80" path="m6589,6947l6549,6987,6589,7027,6629,6987,6589,6947xe" filled="true" fillcolor="#4197ae" stroked="false">
              <v:path arrowok="t"/>
              <v:fill type="solid"/>
            </v:shape>
            <v:shape style="position:absolute;left:6549;top:6946;width:80;height:80" coordorigin="6549,6947" coordsize="80,80" path="m6589,6947l6629,6987,6589,7027,6549,6987,6589,6947e" filled="false" stroked="true" strokeweight=".72pt" strokecolor="#3c95ad">
              <v:path arrowok="t"/>
              <v:stroke dashstyle="solid"/>
            </v:shape>
            <v:shape style="position:absolute;left:7624;top:6946;width:80;height:80" coordorigin="7624,6947" coordsize="80,80" path="m7664,6947l7624,6987,7664,7027,7704,6987,7664,6947xe" filled="true" fillcolor="#db843c" stroked="false">
              <v:path arrowok="t"/>
              <v:fill type="solid"/>
            </v:shape>
            <v:shape style="position:absolute;left:7624;top:6946;width:80;height:80" coordorigin="7624,6947" coordsize="80,80" path="m7664,6947l7704,6987,7664,7027,7624,6987,7664,6947e" filled="false" stroked="true" strokeweight=".72pt" strokecolor="#da8137">
              <v:path arrowok="t"/>
              <v:stroke dashstyle="solid"/>
            </v:shape>
            <v:shape style="position:absolute;left:8698;top:6946;width:80;height:80" coordorigin="8699,6947" coordsize="80,80" path="m8739,6947l8699,6987,8739,7027,8779,6987,8739,6947xe" filled="true" fillcolor="#92a9cf" stroked="false">
              <v:path arrowok="t"/>
              <v:fill type="solid"/>
            </v:shape>
            <v:shape style="position:absolute;left:8698;top:6946;width:80;height:80" coordorigin="8699,6947" coordsize="80,80" path="m8739,6947l8779,6987,8739,7027,8699,6987,8739,6947e" filled="false" stroked="true" strokeweight=".72pt" strokecolor="#8ea4ca">
              <v:path arrowok="t"/>
              <v:stroke dashstyle="solid"/>
            </v:shape>
            <v:shape style="position:absolute;left:9773;top:6946;width:80;height:80" coordorigin="9773,6947" coordsize="80,80" path="m9813,6947l9773,6987,9813,7027,9853,6987,9813,6947xe" filled="true" fillcolor="#d19292" stroked="false">
              <v:path arrowok="t"/>
              <v:fill type="solid"/>
            </v:shape>
            <v:shape style="position:absolute;left:9773;top:6946;width:80;height:80" coordorigin="9773,6947" coordsize="80,80" path="m9813,6947l9853,6987,9813,7027,9773,6987,9813,6947e" filled="false" stroked="true" strokeweight=".72pt" strokecolor="#ce8e8d">
              <v:path arrowok="t"/>
              <v:stroke dashstyle="solid"/>
            </v:shape>
            <v:shape style="position:absolute;left:6549;top:7117;width:80;height:80" coordorigin="6549,7118" coordsize="80,80" path="m6589,7118l6549,7158,6589,7198,6629,7158,6589,7118xe" filled="true" fillcolor="#b8cd95" stroked="false">
              <v:path arrowok="t"/>
              <v:fill type="solid"/>
            </v:shape>
            <v:shape style="position:absolute;left:6549;top:7117;width:80;height:80" coordorigin="6549,7118" coordsize="80,80" path="m6589,7118l6629,7158,6589,7198,6549,7158,6589,7118e" filled="false" stroked="true" strokeweight=".72pt" strokecolor="#b5c992">
              <v:path arrowok="t"/>
              <v:stroke dashstyle="solid"/>
            </v:shape>
            <v:shape style="position:absolute;left:7624;top:7117;width:80;height:80" coordorigin="7624,7118" coordsize="80,80" path="m7664,7118l7624,7158,7664,7198,7704,7158,7664,7118xe" filled="true" fillcolor="#a99bbc" stroked="false">
              <v:path arrowok="t"/>
              <v:fill type="solid"/>
            </v:shape>
            <v:shape style="position:absolute;left:7624;top:7117;width:80;height:80" coordorigin="7624,7118" coordsize="80,80" path="m7664,7118l7704,7158,7664,7198,7624,7158,7664,7118e" filled="false" stroked="true" strokeweight=".72pt" strokecolor="#a496b8">
              <v:path arrowok="t"/>
              <v:stroke dashstyle="solid"/>
            </v:shape>
            <w10:wrap type="none"/>
          </v:group>
        </w:pict>
      </w:r>
      <w:r>
        <w:rPr/>
        <w:pict>
          <v:group style="position:absolute;margin-left:42pt;margin-top:556.919983pt;width:235.1pt;height:147.25pt;mso-position-horizontal-relative:page;mso-position-vertical-relative:page;z-index:-255724544" coordorigin="840,11138" coordsize="4702,2945">
            <v:shape style="position:absolute;left:5476;top:11145;width:65;height:2931" coordorigin="5477,11146" coordsize="65,2931" path="m5477,14076l5477,11146m5477,14076l5542,14076m5477,13783l5542,13783m5477,13490l5542,13490m5477,13198l5542,13198m5477,12905l5542,12905m5477,12612l5542,12612m5477,12319l5542,12319m5477,12026l5542,12026m5477,11731l5542,11731m5477,11438l5542,11438m5477,11146l5542,11146e" filled="false" stroked="true" strokeweight=".72pt" strokecolor="#858585">
              <v:path arrowok="t"/>
              <v:stroke dashstyle="solid"/>
            </v:shape>
            <v:shape style="position:absolute;left:840;top:11508;width:4659;height:2333" type="#_x0000_t75" stroked="false">
              <v:imagedata r:id="rId55" o:title=""/>
            </v:shape>
            <w10:wrap type="none"/>
          </v:group>
        </w:pict>
      </w:r>
      <w:r>
        <w:rPr/>
        <w:pict>
          <v:group style="position:absolute;margin-left:321.239990pt;margin-top:556.919983pt;width:233.2pt;height:147.25pt;mso-position-horizontal-relative:page;mso-position-vertical-relative:page;z-index:-255723520" coordorigin="6425,11138" coordsize="4664,2945">
            <v:shape style="position:absolute;left:11023;top:11145;width:65;height:2931" coordorigin="11023,11146" coordsize="65,2931" path="m11023,14076l11023,11146m11023,14076l11088,14076m11023,13711l11088,13711m11023,13344l11088,13344m11023,12977l11088,12977m11023,12612l11088,12612m11023,12245l11088,12245m11023,11878l11088,11878m11023,11513l11088,11513m11023,11146l11088,11146e" filled="false" stroked="true" strokeweight=".72pt" strokecolor="#858585">
              <v:path arrowok="t"/>
              <v:stroke dashstyle="solid"/>
            </v:shape>
            <v:shape style="position:absolute;left:6424;top:11479;width:4620;height:2427" type="#_x0000_t75" stroked="false">
              <v:imagedata r:id="rId56" o:title=""/>
            </v:shape>
            <w10:wrap type="none"/>
          </v:group>
        </w:pict>
      </w:r>
    </w:p>
    <w:p>
      <w:pPr>
        <w:spacing w:after="0"/>
        <w:rPr>
          <w:sz w:val="2"/>
          <w:szCs w:val="2"/>
        </w:rPr>
        <w:sectPr>
          <w:footerReference w:type="default" r:id="rId32"/>
          <w:pgSz w:w="11910" w:h="16840"/>
          <w:pgMar w:footer="1334" w:header="0" w:top="1580" w:bottom="1520" w:left="260" w:right="240"/>
          <w:pgNumType w:start="21"/>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2170"/>
        <w:gridCol w:w="1425"/>
        <w:gridCol w:w="1507"/>
        <w:gridCol w:w="367"/>
        <w:gridCol w:w="1550"/>
        <w:gridCol w:w="748"/>
        <w:gridCol w:w="2925"/>
        <w:gridCol w:w="354"/>
      </w:tblGrid>
      <w:tr>
        <w:trPr>
          <w:trHeight w:val="614" w:hRule="atLeast"/>
        </w:trPr>
        <w:tc>
          <w:tcPr>
            <w:tcW w:w="5577" w:type="dxa"/>
            <w:gridSpan w:val="5"/>
          </w:tcPr>
          <w:p>
            <w:pPr>
              <w:pStyle w:val="TableParagraph"/>
              <w:spacing w:line="242" w:lineRule="auto" w:before="54"/>
              <w:ind w:left="107" w:right="237"/>
              <w:rPr>
                <w:sz w:val="20"/>
              </w:rPr>
            </w:pPr>
            <w:r>
              <w:rPr>
                <w:b/>
                <w:sz w:val="20"/>
              </w:rPr>
              <w:t>Figure 13: </w:t>
            </w:r>
            <w:r>
              <w:rPr>
                <w:sz w:val="20"/>
              </w:rPr>
              <w:t>Decomposition of UK 10 year nominal spot rate into expectations and term premia (5year and 5year,5year)</w:t>
            </w:r>
          </w:p>
        </w:tc>
        <w:tc>
          <w:tcPr>
            <w:tcW w:w="5577" w:type="dxa"/>
            <w:gridSpan w:val="4"/>
          </w:tcPr>
          <w:p>
            <w:pPr>
              <w:pStyle w:val="TableParagraph"/>
              <w:spacing w:line="242" w:lineRule="auto" w:before="54"/>
              <w:ind w:left="109" w:right="235"/>
              <w:rPr>
                <w:sz w:val="20"/>
              </w:rPr>
            </w:pPr>
            <w:r>
              <w:rPr>
                <w:b/>
                <w:sz w:val="20"/>
              </w:rPr>
              <w:t>Figure 14: </w:t>
            </w:r>
            <w:r>
              <w:rPr>
                <w:sz w:val="20"/>
              </w:rPr>
              <w:t>Decomposition of US 10 year nominal spot rate into expectations and term premia (5year and 5year,5year)</w:t>
            </w:r>
          </w:p>
        </w:tc>
      </w:tr>
      <w:tr>
        <w:trPr>
          <w:trHeight w:val="430" w:hRule="atLeast"/>
        </w:trPr>
        <w:tc>
          <w:tcPr>
            <w:tcW w:w="108" w:type="dxa"/>
            <w:vMerge w:val="restart"/>
            <w:tcBorders>
              <w:right w:val="nil"/>
            </w:tcBorders>
          </w:tcPr>
          <w:p>
            <w:pPr>
              <w:pStyle w:val="TableParagraph"/>
              <w:rPr>
                <w:rFonts w:ascii="Times New Roman"/>
                <w:sz w:val="18"/>
              </w:rPr>
            </w:pPr>
          </w:p>
        </w:tc>
        <w:tc>
          <w:tcPr>
            <w:tcW w:w="2170" w:type="dxa"/>
            <w:vMerge w:val="restart"/>
            <w:tcBorders>
              <w:left w:val="nil"/>
              <w:right w:val="nil"/>
            </w:tcBorders>
          </w:tcPr>
          <w:p>
            <w:pPr>
              <w:pStyle w:val="TableParagraph"/>
              <w:tabs>
                <w:tab w:pos="1122" w:val="left" w:leader="none"/>
              </w:tabs>
              <w:spacing w:before="42"/>
              <w:ind w:right="-15"/>
              <w:jc w:val="right"/>
              <w:rPr>
                <w:rFonts w:ascii="Calibri"/>
                <w:sz w:val="20"/>
              </w:rPr>
            </w:pPr>
            <w:r>
              <w:rPr>
                <w:rFonts w:ascii="Calibri"/>
                <w:sz w:val="20"/>
              </w:rPr>
              <w:t>5y</w:t>
            </w:r>
            <w:r>
              <w:rPr>
                <w:rFonts w:ascii="Calibri"/>
                <w:spacing w:val="-1"/>
                <w:sz w:val="20"/>
              </w:rPr>
              <w:t> </w:t>
            </w:r>
            <w:r>
              <w:rPr>
                <w:rFonts w:ascii="Calibri"/>
                <w:sz w:val="20"/>
              </w:rPr>
              <w:t>exp</w:t>
              <w:tab/>
              <w:t>5y</w:t>
            </w:r>
            <w:r>
              <w:rPr>
                <w:rFonts w:ascii="Calibri"/>
                <w:spacing w:val="-1"/>
                <w:sz w:val="20"/>
              </w:rPr>
              <w:t> </w:t>
            </w:r>
            <w:r>
              <w:rPr>
                <w:rFonts w:ascii="Calibri"/>
                <w:sz w:val="20"/>
              </w:rPr>
              <w:t>tp</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6"/>
              </w:rPr>
            </w:pPr>
          </w:p>
          <w:p>
            <w:pPr>
              <w:pStyle w:val="TableParagraph"/>
              <w:tabs>
                <w:tab w:pos="732" w:val="left" w:leader="none"/>
                <w:tab w:pos="1464" w:val="left" w:leader="none"/>
              </w:tabs>
              <w:ind w:right="50"/>
              <w:jc w:val="right"/>
              <w:rPr>
                <w:rFonts w:ascii="Calibri"/>
                <w:sz w:val="20"/>
              </w:rPr>
            </w:pPr>
            <w:r>
              <w:rPr>
                <w:rFonts w:ascii="Calibri"/>
                <w:sz w:val="20"/>
              </w:rPr>
              <w:t>Jan-72</w:t>
              <w:tab/>
              <w:t>Jan-79</w:t>
              <w:tab/>
            </w:r>
            <w:r>
              <w:rPr>
                <w:rFonts w:ascii="Calibri"/>
                <w:w w:val="95"/>
                <w:sz w:val="20"/>
              </w:rPr>
              <w:t>Jan-86</w:t>
            </w:r>
          </w:p>
        </w:tc>
        <w:tc>
          <w:tcPr>
            <w:tcW w:w="1425" w:type="dxa"/>
            <w:vMerge w:val="restart"/>
            <w:tcBorders>
              <w:left w:val="nil"/>
              <w:right w:val="nil"/>
            </w:tcBorders>
          </w:tcPr>
          <w:p>
            <w:pPr>
              <w:pStyle w:val="TableParagraph"/>
              <w:spacing w:before="42"/>
              <w:ind w:right="58"/>
              <w:jc w:val="right"/>
              <w:rPr>
                <w:rFonts w:ascii="Calibri"/>
                <w:sz w:val="20"/>
              </w:rPr>
            </w:pPr>
            <w:r>
              <w:rPr>
                <w:rFonts w:ascii="Calibri"/>
                <w:sz w:val="20"/>
              </w:rPr>
              <w:t>5y,5y exp</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6"/>
              </w:rPr>
            </w:pPr>
          </w:p>
          <w:p>
            <w:pPr>
              <w:pStyle w:val="TableParagraph"/>
              <w:tabs>
                <w:tab w:pos="732" w:val="left" w:leader="none"/>
              </w:tabs>
              <w:ind w:right="10"/>
              <w:jc w:val="right"/>
              <w:rPr>
                <w:rFonts w:ascii="Calibri"/>
                <w:sz w:val="20"/>
              </w:rPr>
            </w:pPr>
            <w:r>
              <w:rPr>
                <w:rFonts w:ascii="Calibri"/>
                <w:sz w:val="20"/>
              </w:rPr>
              <w:t>Jan-93</w:t>
              <w:tab/>
            </w:r>
            <w:r>
              <w:rPr>
                <w:rFonts w:ascii="Calibri"/>
                <w:w w:val="95"/>
                <w:sz w:val="20"/>
              </w:rPr>
              <w:t>Jan-00</w:t>
            </w:r>
          </w:p>
        </w:tc>
        <w:tc>
          <w:tcPr>
            <w:tcW w:w="1507" w:type="dxa"/>
            <w:vMerge w:val="restart"/>
            <w:tcBorders>
              <w:left w:val="nil"/>
              <w:right w:val="nil"/>
            </w:tcBorders>
          </w:tcPr>
          <w:p>
            <w:pPr>
              <w:pStyle w:val="TableParagraph"/>
              <w:spacing w:before="42"/>
              <w:ind w:left="211"/>
              <w:jc w:val="center"/>
              <w:rPr>
                <w:rFonts w:ascii="Calibri"/>
                <w:sz w:val="20"/>
              </w:rPr>
            </w:pPr>
            <w:r>
              <w:rPr>
                <w:rFonts w:ascii="Calibri"/>
                <w:sz w:val="20"/>
              </w:rPr>
              <w:t>5y,5y tp</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16"/>
              </w:rPr>
            </w:pPr>
          </w:p>
          <w:p>
            <w:pPr>
              <w:pStyle w:val="TableParagraph"/>
              <w:tabs>
                <w:tab w:pos="869" w:val="left" w:leader="none"/>
              </w:tabs>
              <w:ind w:left="136"/>
              <w:jc w:val="center"/>
              <w:rPr>
                <w:rFonts w:ascii="Calibri"/>
                <w:sz w:val="20"/>
              </w:rPr>
            </w:pPr>
            <w:r>
              <w:rPr>
                <w:rFonts w:ascii="Calibri"/>
                <w:sz w:val="20"/>
              </w:rPr>
              <w:t>Jan-07</w:t>
              <w:tab/>
              <w:t>Jan-14</w:t>
            </w:r>
          </w:p>
        </w:tc>
        <w:tc>
          <w:tcPr>
            <w:tcW w:w="367" w:type="dxa"/>
            <w:vMerge w:val="restart"/>
            <w:tcBorders>
              <w:left w:val="nil"/>
            </w:tcBorders>
          </w:tcPr>
          <w:p>
            <w:pPr>
              <w:pStyle w:val="TableParagraph"/>
              <w:spacing w:before="76"/>
              <w:ind w:left="67"/>
              <w:rPr>
                <w:rFonts w:ascii="Calibri"/>
                <w:sz w:val="20"/>
              </w:rPr>
            </w:pPr>
            <w:r>
              <w:rPr>
                <w:rFonts w:ascii="Calibri"/>
                <w:sz w:val="20"/>
              </w:rPr>
              <w:t>15</w:t>
            </w:r>
          </w:p>
          <w:p>
            <w:pPr>
              <w:pStyle w:val="TableParagraph"/>
              <w:rPr>
                <w:sz w:val="20"/>
              </w:rPr>
            </w:pPr>
          </w:p>
          <w:p>
            <w:pPr>
              <w:pStyle w:val="TableParagraph"/>
              <w:spacing w:before="8"/>
              <w:rPr>
                <w:sz w:val="21"/>
              </w:rPr>
            </w:pPr>
          </w:p>
          <w:p>
            <w:pPr>
              <w:pStyle w:val="TableParagraph"/>
              <w:ind w:left="67"/>
              <w:rPr>
                <w:rFonts w:ascii="Calibri"/>
                <w:sz w:val="20"/>
              </w:rPr>
            </w:pPr>
            <w:r>
              <w:rPr>
                <w:rFonts w:ascii="Calibri"/>
                <w:sz w:val="20"/>
              </w:rPr>
              <w:t>10</w:t>
            </w:r>
          </w:p>
          <w:p>
            <w:pPr>
              <w:pStyle w:val="TableParagraph"/>
              <w:rPr>
                <w:sz w:val="20"/>
              </w:rPr>
            </w:pPr>
          </w:p>
          <w:p>
            <w:pPr>
              <w:pStyle w:val="TableParagraph"/>
              <w:spacing w:before="8"/>
              <w:rPr>
                <w:sz w:val="21"/>
              </w:rPr>
            </w:pPr>
          </w:p>
          <w:p>
            <w:pPr>
              <w:pStyle w:val="TableParagraph"/>
              <w:ind w:left="67"/>
              <w:rPr>
                <w:rFonts w:ascii="Calibri"/>
                <w:sz w:val="20"/>
              </w:rPr>
            </w:pPr>
            <w:r>
              <w:rPr>
                <w:rFonts w:ascii="Calibri"/>
                <w:w w:val="99"/>
                <w:sz w:val="20"/>
              </w:rPr>
              <w:t>5</w:t>
            </w:r>
          </w:p>
          <w:p>
            <w:pPr>
              <w:pStyle w:val="TableParagraph"/>
              <w:rPr>
                <w:sz w:val="20"/>
              </w:rPr>
            </w:pPr>
          </w:p>
          <w:p>
            <w:pPr>
              <w:pStyle w:val="TableParagraph"/>
              <w:spacing w:before="8"/>
              <w:rPr>
                <w:sz w:val="21"/>
              </w:rPr>
            </w:pPr>
          </w:p>
          <w:p>
            <w:pPr>
              <w:pStyle w:val="TableParagraph"/>
              <w:ind w:left="67"/>
              <w:rPr>
                <w:rFonts w:ascii="Calibri"/>
                <w:sz w:val="20"/>
              </w:rPr>
            </w:pPr>
            <w:r>
              <w:rPr>
                <w:rFonts w:ascii="Calibri"/>
                <w:w w:val="99"/>
                <w:sz w:val="20"/>
              </w:rPr>
              <w:t>0</w:t>
            </w:r>
          </w:p>
          <w:p>
            <w:pPr>
              <w:pStyle w:val="TableParagraph"/>
              <w:rPr>
                <w:sz w:val="20"/>
              </w:rPr>
            </w:pPr>
          </w:p>
          <w:p>
            <w:pPr>
              <w:pStyle w:val="TableParagraph"/>
              <w:spacing w:before="8"/>
              <w:rPr>
                <w:sz w:val="21"/>
              </w:rPr>
            </w:pPr>
          </w:p>
          <w:p>
            <w:pPr>
              <w:pStyle w:val="TableParagraph"/>
              <w:ind w:left="67"/>
              <w:rPr>
                <w:rFonts w:ascii="Calibri"/>
                <w:sz w:val="20"/>
              </w:rPr>
            </w:pPr>
            <w:r>
              <w:rPr>
                <w:rFonts w:ascii="Calibri"/>
                <w:sz w:val="20"/>
              </w:rPr>
              <w:t>-5</w:t>
            </w:r>
          </w:p>
        </w:tc>
        <w:tc>
          <w:tcPr>
            <w:tcW w:w="1550" w:type="dxa"/>
            <w:tcBorders>
              <w:bottom w:val="nil"/>
              <w:right w:val="nil"/>
            </w:tcBorders>
          </w:tcPr>
          <w:p>
            <w:pPr>
              <w:pStyle w:val="TableParagraph"/>
              <w:spacing w:before="151"/>
              <w:ind w:left="739"/>
              <w:rPr>
                <w:rFonts w:ascii="Calibri"/>
                <w:sz w:val="20"/>
              </w:rPr>
            </w:pPr>
            <w:r>
              <w:rPr>
                <w:rFonts w:ascii="Calibri"/>
                <w:sz w:val="20"/>
              </w:rPr>
              <w:t>5y exp</w:t>
            </w:r>
          </w:p>
        </w:tc>
        <w:tc>
          <w:tcPr>
            <w:tcW w:w="748" w:type="dxa"/>
            <w:tcBorders>
              <w:left w:val="nil"/>
              <w:bottom w:val="nil"/>
              <w:right w:val="nil"/>
            </w:tcBorders>
          </w:tcPr>
          <w:p>
            <w:pPr>
              <w:pStyle w:val="TableParagraph"/>
              <w:spacing w:before="151"/>
              <w:ind w:right="15"/>
              <w:jc w:val="right"/>
              <w:rPr>
                <w:rFonts w:ascii="Calibri"/>
                <w:sz w:val="20"/>
              </w:rPr>
            </w:pPr>
            <w:r>
              <w:rPr>
                <w:rFonts w:ascii="Calibri"/>
                <w:sz w:val="20"/>
              </w:rPr>
              <w:t>5y tp</w:t>
            </w:r>
          </w:p>
        </w:tc>
        <w:tc>
          <w:tcPr>
            <w:tcW w:w="2925" w:type="dxa"/>
            <w:tcBorders>
              <w:left w:val="nil"/>
              <w:bottom w:val="nil"/>
              <w:right w:val="nil"/>
            </w:tcBorders>
          </w:tcPr>
          <w:p>
            <w:pPr>
              <w:pStyle w:val="TableParagraph"/>
              <w:tabs>
                <w:tab w:pos="1948" w:val="left" w:leader="none"/>
              </w:tabs>
              <w:spacing w:before="151"/>
              <w:ind w:left="580"/>
              <w:rPr>
                <w:rFonts w:ascii="Calibri"/>
                <w:sz w:val="20"/>
              </w:rPr>
            </w:pPr>
            <w:r>
              <w:rPr>
                <w:rFonts w:ascii="Calibri"/>
                <w:sz w:val="20"/>
              </w:rPr>
              <w:t>5y,5y</w:t>
            </w:r>
            <w:r>
              <w:rPr>
                <w:rFonts w:ascii="Calibri"/>
                <w:spacing w:val="-1"/>
                <w:sz w:val="20"/>
              </w:rPr>
              <w:t> </w:t>
            </w:r>
            <w:r>
              <w:rPr>
                <w:rFonts w:ascii="Calibri"/>
                <w:sz w:val="20"/>
              </w:rPr>
              <w:t>exp</w:t>
              <w:tab/>
              <w:t>5y,5y</w:t>
            </w:r>
            <w:r>
              <w:rPr>
                <w:rFonts w:ascii="Calibri"/>
                <w:spacing w:val="-1"/>
                <w:sz w:val="20"/>
              </w:rPr>
              <w:t> </w:t>
            </w:r>
            <w:r>
              <w:rPr>
                <w:rFonts w:ascii="Calibri"/>
                <w:sz w:val="20"/>
              </w:rPr>
              <w:t>tp</w:t>
            </w:r>
          </w:p>
        </w:tc>
        <w:tc>
          <w:tcPr>
            <w:tcW w:w="354" w:type="dxa"/>
            <w:tcBorders>
              <w:left w:val="nil"/>
              <w:bottom w:val="nil"/>
            </w:tcBorders>
          </w:tcPr>
          <w:p>
            <w:pPr>
              <w:pStyle w:val="TableParagraph"/>
              <w:spacing w:before="76"/>
              <w:ind w:left="69"/>
              <w:rPr>
                <w:rFonts w:ascii="Calibri"/>
                <w:sz w:val="20"/>
              </w:rPr>
            </w:pPr>
            <w:r>
              <w:rPr>
                <w:rFonts w:ascii="Calibri"/>
                <w:sz w:val="20"/>
              </w:rPr>
              <w:t>14</w:t>
            </w:r>
          </w:p>
        </w:tc>
      </w:tr>
      <w:tr>
        <w:trPr>
          <w:trHeight w:val="314"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line="242" w:lineRule="exact"/>
              <w:ind w:right="75"/>
              <w:jc w:val="right"/>
              <w:rPr>
                <w:rFonts w:ascii="Calibri"/>
                <w:sz w:val="20"/>
              </w:rPr>
            </w:pPr>
            <w:r>
              <w:rPr>
                <w:rFonts w:ascii="Calibri"/>
                <w:w w:val="95"/>
                <w:sz w:val="20"/>
              </w:rPr>
              <w:t>12</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75"/>
              <w:jc w:val="right"/>
              <w:rPr>
                <w:rFonts w:ascii="Calibri"/>
                <w:sz w:val="20"/>
              </w:rPr>
            </w:pPr>
            <w:r>
              <w:rPr>
                <w:rFonts w:ascii="Calibri"/>
                <w:w w:val="95"/>
                <w:sz w:val="20"/>
              </w:rPr>
              <w:t>10</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76"/>
              <w:jc w:val="right"/>
              <w:rPr>
                <w:rFonts w:ascii="Calibri"/>
                <w:sz w:val="20"/>
              </w:rPr>
            </w:pPr>
            <w:r>
              <w:rPr>
                <w:rFonts w:ascii="Calibri"/>
                <w:w w:val="99"/>
                <w:sz w:val="20"/>
              </w:rPr>
              <w:t>8</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76"/>
              <w:jc w:val="right"/>
              <w:rPr>
                <w:rFonts w:ascii="Calibri"/>
                <w:sz w:val="20"/>
              </w:rPr>
            </w:pPr>
            <w:r>
              <w:rPr>
                <w:rFonts w:ascii="Calibri"/>
                <w:w w:val="99"/>
                <w:sz w:val="20"/>
              </w:rPr>
              <w:t>6</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76"/>
              <w:jc w:val="right"/>
              <w:rPr>
                <w:rFonts w:ascii="Calibri"/>
                <w:sz w:val="20"/>
              </w:rPr>
            </w:pPr>
            <w:r>
              <w:rPr>
                <w:rFonts w:ascii="Calibri"/>
                <w:w w:val="99"/>
                <w:sz w:val="20"/>
              </w:rPr>
              <w:t>4</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76"/>
              <w:jc w:val="right"/>
              <w:rPr>
                <w:rFonts w:ascii="Calibri"/>
                <w:sz w:val="20"/>
              </w:rPr>
            </w:pPr>
            <w:r>
              <w:rPr>
                <w:rFonts w:ascii="Calibri"/>
                <w:w w:val="99"/>
                <w:sz w:val="20"/>
              </w:rPr>
              <w:t>2</w:t>
            </w:r>
          </w:p>
        </w:tc>
      </w:tr>
      <w:tr>
        <w:trPr>
          <w:trHeight w:val="351"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76"/>
              <w:jc w:val="right"/>
              <w:rPr>
                <w:rFonts w:ascii="Calibri"/>
                <w:sz w:val="20"/>
              </w:rPr>
            </w:pPr>
            <w:r>
              <w:rPr>
                <w:rFonts w:ascii="Calibri"/>
                <w:w w:val="99"/>
                <w:sz w:val="20"/>
              </w:rPr>
              <w:t>0</w:t>
            </w:r>
          </w:p>
        </w:tc>
      </w:tr>
      <w:tr>
        <w:trPr>
          <w:trHeight w:val="300"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5577" w:type="dxa"/>
            <w:gridSpan w:val="4"/>
            <w:tcBorders>
              <w:top w:val="nil"/>
              <w:bottom w:val="nil"/>
            </w:tcBorders>
          </w:tcPr>
          <w:p>
            <w:pPr>
              <w:pStyle w:val="TableParagraph"/>
              <w:spacing w:before="35"/>
              <w:ind w:right="112"/>
              <w:jc w:val="right"/>
              <w:rPr>
                <w:rFonts w:ascii="Calibri"/>
                <w:sz w:val="20"/>
              </w:rPr>
            </w:pPr>
            <w:r>
              <w:rPr>
                <w:rFonts w:ascii="Calibri"/>
                <w:sz w:val="20"/>
              </w:rPr>
              <w:t>-2</w:t>
            </w:r>
          </w:p>
        </w:tc>
      </w:tr>
      <w:tr>
        <w:trPr>
          <w:trHeight w:val="258" w:hRule="atLeast"/>
        </w:trPr>
        <w:tc>
          <w:tcPr>
            <w:tcW w:w="108" w:type="dxa"/>
            <w:vMerge/>
            <w:tcBorders>
              <w:top w:val="nil"/>
              <w:right w:val="nil"/>
            </w:tcBorders>
          </w:tcPr>
          <w:p>
            <w:pPr>
              <w:rPr>
                <w:sz w:val="2"/>
                <w:szCs w:val="2"/>
              </w:rPr>
            </w:pPr>
          </w:p>
        </w:tc>
        <w:tc>
          <w:tcPr>
            <w:tcW w:w="2170" w:type="dxa"/>
            <w:vMerge/>
            <w:tcBorders>
              <w:top w:val="nil"/>
              <w:left w:val="nil"/>
              <w:right w:val="nil"/>
            </w:tcBorders>
          </w:tcPr>
          <w:p>
            <w:pPr>
              <w:rPr>
                <w:sz w:val="2"/>
                <w:szCs w:val="2"/>
              </w:rPr>
            </w:pPr>
          </w:p>
        </w:tc>
        <w:tc>
          <w:tcPr>
            <w:tcW w:w="1425" w:type="dxa"/>
            <w:vMerge/>
            <w:tcBorders>
              <w:top w:val="nil"/>
              <w:left w:val="nil"/>
              <w:right w:val="nil"/>
            </w:tcBorders>
          </w:tcPr>
          <w:p>
            <w:pPr>
              <w:rPr>
                <w:sz w:val="2"/>
                <w:szCs w:val="2"/>
              </w:rPr>
            </w:pPr>
          </w:p>
        </w:tc>
        <w:tc>
          <w:tcPr>
            <w:tcW w:w="1507" w:type="dxa"/>
            <w:vMerge/>
            <w:tcBorders>
              <w:top w:val="nil"/>
              <w:left w:val="nil"/>
              <w:right w:val="nil"/>
            </w:tcBorders>
          </w:tcPr>
          <w:p>
            <w:pPr>
              <w:rPr>
                <w:sz w:val="2"/>
                <w:szCs w:val="2"/>
              </w:rPr>
            </w:pPr>
          </w:p>
        </w:tc>
        <w:tc>
          <w:tcPr>
            <w:tcW w:w="367" w:type="dxa"/>
            <w:vMerge/>
            <w:tcBorders>
              <w:top w:val="nil"/>
              <w:left w:val="nil"/>
            </w:tcBorders>
          </w:tcPr>
          <w:p>
            <w:pPr>
              <w:rPr>
                <w:sz w:val="2"/>
                <w:szCs w:val="2"/>
              </w:rPr>
            </w:pPr>
          </w:p>
        </w:tc>
        <w:tc>
          <w:tcPr>
            <w:tcW w:w="1550" w:type="dxa"/>
            <w:tcBorders>
              <w:top w:val="nil"/>
              <w:right w:val="nil"/>
            </w:tcBorders>
          </w:tcPr>
          <w:p>
            <w:pPr>
              <w:pStyle w:val="TableParagraph"/>
              <w:tabs>
                <w:tab w:pos="734" w:val="left" w:leader="none"/>
              </w:tabs>
              <w:spacing w:line="228" w:lineRule="exact"/>
              <w:ind w:right="50"/>
              <w:jc w:val="right"/>
              <w:rPr>
                <w:rFonts w:ascii="Calibri"/>
                <w:sz w:val="20"/>
              </w:rPr>
            </w:pPr>
            <w:r>
              <w:rPr>
                <w:rFonts w:ascii="Calibri"/>
                <w:sz w:val="20"/>
              </w:rPr>
              <w:t>Jan-72</w:t>
              <w:tab/>
            </w:r>
            <w:r>
              <w:rPr>
                <w:rFonts w:ascii="Calibri"/>
                <w:w w:val="95"/>
                <w:sz w:val="20"/>
              </w:rPr>
              <w:t>Jan-79</w:t>
            </w:r>
          </w:p>
        </w:tc>
        <w:tc>
          <w:tcPr>
            <w:tcW w:w="748" w:type="dxa"/>
            <w:tcBorders>
              <w:top w:val="nil"/>
              <w:left w:val="nil"/>
              <w:right w:val="nil"/>
            </w:tcBorders>
          </w:tcPr>
          <w:p>
            <w:pPr>
              <w:pStyle w:val="TableParagraph"/>
              <w:spacing w:line="228" w:lineRule="exact"/>
              <w:ind w:right="63"/>
              <w:jc w:val="right"/>
              <w:rPr>
                <w:rFonts w:ascii="Calibri"/>
                <w:sz w:val="20"/>
              </w:rPr>
            </w:pPr>
            <w:r>
              <w:rPr>
                <w:rFonts w:ascii="Calibri"/>
                <w:w w:val="95"/>
                <w:sz w:val="20"/>
              </w:rPr>
              <w:t>Jan-86</w:t>
            </w:r>
          </w:p>
        </w:tc>
        <w:tc>
          <w:tcPr>
            <w:tcW w:w="2925" w:type="dxa"/>
            <w:tcBorders>
              <w:top w:val="nil"/>
              <w:left w:val="nil"/>
              <w:right w:val="nil"/>
            </w:tcBorders>
          </w:tcPr>
          <w:p>
            <w:pPr>
              <w:pStyle w:val="TableParagraph"/>
              <w:tabs>
                <w:tab w:pos="874" w:val="left" w:leader="none"/>
                <w:tab w:pos="1609" w:val="left" w:leader="none"/>
                <w:tab w:pos="2343" w:val="left" w:leader="none"/>
              </w:tabs>
              <w:spacing w:line="228" w:lineRule="exact"/>
              <w:ind w:left="140"/>
              <w:rPr>
                <w:rFonts w:ascii="Calibri"/>
                <w:sz w:val="20"/>
              </w:rPr>
            </w:pPr>
            <w:r>
              <w:rPr>
                <w:rFonts w:ascii="Calibri"/>
                <w:sz w:val="20"/>
              </w:rPr>
              <w:t>Jan-93</w:t>
              <w:tab/>
              <w:t>Jan-00</w:t>
              <w:tab/>
              <w:t>Jan-07</w:t>
              <w:tab/>
              <w:t>Jan-14</w:t>
            </w:r>
          </w:p>
        </w:tc>
        <w:tc>
          <w:tcPr>
            <w:tcW w:w="354" w:type="dxa"/>
            <w:tcBorders>
              <w:top w:val="nil"/>
              <w:left w:val="nil"/>
            </w:tcBorders>
          </w:tcPr>
          <w:p>
            <w:pPr>
              <w:pStyle w:val="TableParagraph"/>
              <w:rPr>
                <w:rFonts w:ascii="Times New Roman"/>
                <w:sz w:val="18"/>
              </w:rPr>
            </w:pPr>
          </w:p>
        </w:tc>
      </w:tr>
      <w:tr>
        <w:trPr>
          <w:trHeight w:val="244" w:hRule="atLeast"/>
        </w:trPr>
        <w:tc>
          <w:tcPr>
            <w:tcW w:w="5577" w:type="dxa"/>
            <w:gridSpan w:val="5"/>
          </w:tcPr>
          <w:p>
            <w:pPr>
              <w:pStyle w:val="TableParagraph"/>
              <w:spacing w:before="27"/>
              <w:ind w:left="107"/>
              <w:rPr>
                <w:sz w:val="16"/>
              </w:rPr>
            </w:pPr>
            <w:r>
              <w:rPr>
                <w:sz w:val="16"/>
              </w:rPr>
              <w:t>Source: Guimarães &amp; Vlieghe (2016)</w:t>
            </w:r>
          </w:p>
        </w:tc>
        <w:tc>
          <w:tcPr>
            <w:tcW w:w="5577" w:type="dxa"/>
            <w:gridSpan w:val="4"/>
          </w:tcPr>
          <w:p>
            <w:pPr>
              <w:pStyle w:val="TableParagraph"/>
              <w:spacing w:before="27"/>
              <w:ind w:left="109"/>
              <w:rPr>
                <w:sz w:val="16"/>
              </w:rPr>
            </w:pPr>
            <w:r>
              <w:rPr>
                <w:sz w:val="16"/>
              </w:rPr>
              <w:t>Source: Guimarães &amp; Vlieghe (2016)</w:t>
            </w:r>
          </w:p>
        </w:tc>
      </w:tr>
      <w:tr>
        <w:trPr>
          <w:trHeight w:val="558" w:hRule="atLeast"/>
        </w:trPr>
        <w:tc>
          <w:tcPr>
            <w:tcW w:w="5577" w:type="dxa"/>
            <w:gridSpan w:val="5"/>
          </w:tcPr>
          <w:p>
            <w:pPr>
              <w:pStyle w:val="TableParagraph"/>
              <w:spacing w:before="57"/>
              <w:ind w:left="107"/>
              <w:rPr>
                <w:sz w:val="20"/>
              </w:rPr>
            </w:pPr>
            <w:r>
              <w:rPr>
                <w:b/>
                <w:sz w:val="20"/>
              </w:rPr>
              <w:t>Figure 15: </w:t>
            </w:r>
            <w:r>
              <w:rPr>
                <w:sz w:val="20"/>
              </w:rPr>
              <w:t>Share of change in yield curve from Jan 2007 to March 2016 due to change in expectations (by maturity)</w:t>
            </w:r>
          </w:p>
        </w:tc>
        <w:tc>
          <w:tcPr>
            <w:tcW w:w="5577" w:type="dxa"/>
            <w:gridSpan w:val="4"/>
          </w:tcPr>
          <w:p>
            <w:pPr>
              <w:pStyle w:val="TableParagraph"/>
              <w:spacing w:before="57"/>
              <w:ind w:left="109"/>
              <w:rPr>
                <w:sz w:val="20"/>
              </w:rPr>
            </w:pPr>
            <w:r>
              <w:rPr>
                <w:b/>
                <w:sz w:val="20"/>
              </w:rPr>
              <w:t>Figure 16: </w:t>
            </w:r>
            <w:r>
              <w:rPr>
                <w:sz w:val="20"/>
              </w:rPr>
              <w:t>Share of 1-day change in yield curve in response to QE announcements</w:t>
            </w:r>
          </w:p>
        </w:tc>
      </w:tr>
      <w:tr>
        <w:trPr>
          <w:trHeight w:val="235" w:hRule="atLeast"/>
        </w:trPr>
        <w:tc>
          <w:tcPr>
            <w:tcW w:w="5577" w:type="dxa"/>
            <w:gridSpan w:val="5"/>
            <w:tcBorders>
              <w:bottom w:val="nil"/>
            </w:tcBorders>
          </w:tcPr>
          <w:p>
            <w:pPr>
              <w:pStyle w:val="TableParagraph"/>
              <w:spacing w:line="192" w:lineRule="exact" w:before="23"/>
              <w:ind w:right="107"/>
              <w:jc w:val="right"/>
              <w:rPr>
                <w:rFonts w:ascii="Calibri"/>
                <w:sz w:val="20"/>
              </w:rPr>
            </w:pPr>
            <w:r>
              <w:rPr>
                <w:rFonts w:ascii="Calibri"/>
                <w:w w:val="95"/>
                <w:sz w:val="20"/>
              </w:rPr>
              <w:t>100%</w:t>
            </w:r>
          </w:p>
        </w:tc>
        <w:tc>
          <w:tcPr>
            <w:tcW w:w="5577" w:type="dxa"/>
            <w:gridSpan w:val="4"/>
            <w:tcBorders>
              <w:bottom w:val="nil"/>
            </w:tcBorders>
          </w:tcPr>
          <w:p>
            <w:pPr>
              <w:pStyle w:val="TableParagraph"/>
              <w:spacing w:line="189" w:lineRule="exact" w:before="26"/>
              <w:ind w:right="105"/>
              <w:jc w:val="right"/>
              <w:rPr>
                <w:rFonts w:ascii="Calibri"/>
                <w:sz w:val="20"/>
              </w:rPr>
            </w:pPr>
            <w:r>
              <w:rPr>
                <w:rFonts w:ascii="Calibri"/>
                <w:w w:val="95"/>
                <w:sz w:val="20"/>
              </w:rPr>
              <w:t>100%</w:t>
            </w:r>
          </w:p>
        </w:tc>
      </w:tr>
      <w:tr>
        <w:trPr>
          <w:trHeight w:val="183" w:hRule="atLeast"/>
        </w:trPr>
        <w:tc>
          <w:tcPr>
            <w:tcW w:w="5577" w:type="dxa"/>
            <w:gridSpan w:val="5"/>
            <w:tcBorders>
              <w:top w:val="nil"/>
              <w:bottom w:val="nil"/>
            </w:tcBorders>
          </w:tcPr>
          <w:p>
            <w:pPr>
              <w:pStyle w:val="TableParagraph"/>
              <w:tabs>
                <w:tab w:pos="1344" w:val="left" w:leader="none"/>
              </w:tabs>
              <w:spacing w:line="164" w:lineRule="exact"/>
              <w:ind w:left="549"/>
              <w:jc w:val="center"/>
              <w:rPr>
                <w:rFonts w:ascii="Calibri"/>
                <w:sz w:val="20"/>
              </w:rPr>
            </w:pPr>
            <w:r>
              <w:rPr>
                <w:rFonts w:ascii="Calibri"/>
                <w:sz w:val="20"/>
              </w:rPr>
              <w:t>US</w:t>
              <w:tab/>
              <w:t>UK</w:t>
            </w:r>
          </w:p>
        </w:tc>
        <w:tc>
          <w:tcPr>
            <w:tcW w:w="5577" w:type="dxa"/>
            <w:gridSpan w:val="4"/>
            <w:tcBorders>
              <w:top w:val="nil"/>
              <w:bottom w:val="nil"/>
            </w:tcBorders>
          </w:tcPr>
          <w:p>
            <w:pPr>
              <w:pStyle w:val="TableParagraph"/>
              <w:tabs>
                <w:tab w:pos="1348" w:val="left" w:leader="none"/>
              </w:tabs>
              <w:spacing w:line="164" w:lineRule="exact"/>
              <w:ind w:left="553"/>
              <w:jc w:val="center"/>
              <w:rPr>
                <w:rFonts w:ascii="Calibri"/>
                <w:sz w:val="20"/>
              </w:rPr>
            </w:pPr>
            <w:r>
              <w:rPr>
                <w:rFonts w:ascii="Calibri"/>
                <w:sz w:val="20"/>
              </w:rPr>
              <w:t>US</w:t>
              <w:tab/>
              <w:t>UK</w:t>
            </w:r>
          </w:p>
        </w:tc>
      </w:tr>
      <w:tr>
        <w:trPr>
          <w:trHeight w:val="364" w:hRule="atLeast"/>
        </w:trPr>
        <w:tc>
          <w:tcPr>
            <w:tcW w:w="5577" w:type="dxa"/>
            <w:gridSpan w:val="5"/>
            <w:tcBorders>
              <w:top w:val="nil"/>
              <w:bottom w:val="nil"/>
            </w:tcBorders>
          </w:tcPr>
          <w:p>
            <w:pPr>
              <w:pStyle w:val="TableParagraph"/>
              <w:spacing w:line="216" w:lineRule="exact"/>
              <w:ind w:right="208"/>
              <w:jc w:val="right"/>
              <w:rPr>
                <w:rFonts w:ascii="Calibri"/>
                <w:sz w:val="20"/>
              </w:rPr>
            </w:pPr>
            <w:r>
              <w:rPr>
                <w:rFonts w:ascii="Calibri"/>
                <w:w w:val="95"/>
                <w:sz w:val="20"/>
              </w:rPr>
              <w:t>95%</w:t>
            </w:r>
          </w:p>
        </w:tc>
        <w:tc>
          <w:tcPr>
            <w:tcW w:w="5577" w:type="dxa"/>
            <w:gridSpan w:val="4"/>
            <w:tcBorders>
              <w:top w:val="nil"/>
              <w:bottom w:val="nil"/>
            </w:tcBorders>
          </w:tcPr>
          <w:p>
            <w:pPr>
              <w:pStyle w:val="TableParagraph"/>
              <w:spacing w:line="237" w:lineRule="exact" w:before="107"/>
              <w:ind w:right="206"/>
              <w:jc w:val="right"/>
              <w:rPr>
                <w:rFonts w:ascii="Calibri"/>
                <w:sz w:val="20"/>
              </w:rPr>
            </w:pPr>
            <w:r>
              <w:rPr>
                <w:rFonts w:ascii="Calibri"/>
                <w:w w:val="95"/>
                <w:sz w:val="20"/>
              </w:rPr>
              <w:t>90%</w:t>
            </w:r>
          </w:p>
        </w:tc>
      </w:tr>
      <w:tr>
        <w:trPr>
          <w:trHeight w:val="250" w:hRule="atLeast"/>
        </w:trPr>
        <w:tc>
          <w:tcPr>
            <w:tcW w:w="5577" w:type="dxa"/>
            <w:gridSpan w:val="5"/>
            <w:tcBorders>
              <w:top w:val="nil"/>
              <w:bottom w:val="nil"/>
            </w:tcBorders>
          </w:tcPr>
          <w:p>
            <w:pPr>
              <w:pStyle w:val="TableParagraph"/>
              <w:spacing w:line="220" w:lineRule="exact"/>
              <w:ind w:right="208"/>
              <w:jc w:val="right"/>
              <w:rPr>
                <w:rFonts w:ascii="Calibri"/>
                <w:sz w:val="20"/>
              </w:rPr>
            </w:pPr>
            <w:r>
              <w:rPr>
                <w:rFonts w:ascii="Calibri"/>
                <w:w w:val="95"/>
                <w:sz w:val="20"/>
              </w:rPr>
              <w:t>90%</w:t>
            </w:r>
          </w:p>
        </w:tc>
        <w:tc>
          <w:tcPr>
            <w:tcW w:w="5577" w:type="dxa"/>
            <w:gridSpan w:val="4"/>
            <w:tcBorders>
              <w:top w:val="nil"/>
              <w:bottom w:val="nil"/>
            </w:tcBorders>
          </w:tcPr>
          <w:p>
            <w:pPr>
              <w:pStyle w:val="TableParagraph"/>
              <w:rPr>
                <w:rFonts w:ascii="Times New Roman"/>
                <w:sz w:val="18"/>
              </w:rPr>
            </w:pPr>
          </w:p>
        </w:tc>
      </w:tr>
      <w:tr>
        <w:trPr>
          <w:trHeight w:val="417" w:hRule="atLeast"/>
        </w:trPr>
        <w:tc>
          <w:tcPr>
            <w:tcW w:w="5577" w:type="dxa"/>
            <w:gridSpan w:val="5"/>
            <w:tcBorders>
              <w:top w:val="nil"/>
              <w:bottom w:val="nil"/>
            </w:tcBorders>
          </w:tcPr>
          <w:p>
            <w:pPr>
              <w:pStyle w:val="TableParagraph"/>
              <w:spacing w:before="93"/>
              <w:ind w:right="208"/>
              <w:jc w:val="right"/>
              <w:rPr>
                <w:rFonts w:ascii="Calibri"/>
                <w:sz w:val="20"/>
              </w:rPr>
            </w:pPr>
            <w:r>
              <w:rPr>
                <w:rFonts w:ascii="Calibri"/>
                <w:w w:val="95"/>
                <w:sz w:val="20"/>
              </w:rPr>
              <w:t>85%</w:t>
            </w:r>
          </w:p>
        </w:tc>
        <w:tc>
          <w:tcPr>
            <w:tcW w:w="5577" w:type="dxa"/>
            <w:gridSpan w:val="4"/>
            <w:tcBorders>
              <w:top w:val="nil"/>
              <w:bottom w:val="nil"/>
            </w:tcBorders>
          </w:tcPr>
          <w:p>
            <w:pPr>
              <w:pStyle w:val="TableParagraph"/>
              <w:spacing w:line="237" w:lineRule="exact"/>
              <w:ind w:right="206"/>
              <w:jc w:val="right"/>
              <w:rPr>
                <w:rFonts w:ascii="Calibri"/>
                <w:sz w:val="20"/>
              </w:rPr>
            </w:pPr>
            <w:r>
              <w:rPr>
                <w:rFonts w:ascii="Calibri"/>
                <w:w w:val="95"/>
                <w:sz w:val="20"/>
              </w:rPr>
              <w:t>80%</w:t>
            </w:r>
          </w:p>
        </w:tc>
      </w:tr>
      <w:tr>
        <w:trPr>
          <w:trHeight w:val="383" w:hRule="atLeast"/>
        </w:trPr>
        <w:tc>
          <w:tcPr>
            <w:tcW w:w="5577" w:type="dxa"/>
            <w:gridSpan w:val="5"/>
            <w:tcBorders>
              <w:top w:val="nil"/>
              <w:bottom w:val="nil"/>
            </w:tcBorders>
          </w:tcPr>
          <w:p>
            <w:pPr>
              <w:pStyle w:val="TableParagraph"/>
              <w:spacing w:before="43"/>
              <w:ind w:right="208"/>
              <w:jc w:val="right"/>
              <w:rPr>
                <w:rFonts w:ascii="Calibri"/>
                <w:sz w:val="20"/>
              </w:rPr>
            </w:pPr>
            <w:r>
              <w:rPr>
                <w:rFonts w:ascii="Calibri"/>
                <w:w w:val="95"/>
                <w:sz w:val="20"/>
              </w:rPr>
              <w:t>80%</w:t>
            </w:r>
          </w:p>
        </w:tc>
        <w:tc>
          <w:tcPr>
            <w:tcW w:w="5577" w:type="dxa"/>
            <w:gridSpan w:val="4"/>
            <w:tcBorders>
              <w:top w:val="nil"/>
              <w:bottom w:val="nil"/>
            </w:tcBorders>
          </w:tcPr>
          <w:p>
            <w:pPr>
              <w:pStyle w:val="TableParagraph"/>
              <w:spacing w:before="75"/>
              <w:ind w:right="206"/>
              <w:jc w:val="right"/>
              <w:rPr>
                <w:rFonts w:ascii="Calibri"/>
                <w:sz w:val="20"/>
              </w:rPr>
            </w:pPr>
            <w:r>
              <w:rPr>
                <w:rFonts w:ascii="Calibri"/>
                <w:w w:val="95"/>
                <w:sz w:val="20"/>
              </w:rPr>
              <w:t>70%</w:t>
            </w:r>
          </w:p>
        </w:tc>
      </w:tr>
      <w:tr>
        <w:trPr>
          <w:trHeight w:val="434" w:hRule="atLeast"/>
        </w:trPr>
        <w:tc>
          <w:tcPr>
            <w:tcW w:w="5577" w:type="dxa"/>
            <w:gridSpan w:val="5"/>
            <w:tcBorders>
              <w:top w:val="nil"/>
              <w:bottom w:val="nil"/>
            </w:tcBorders>
          </w:tcPr>
          <w:p>
            <w:pPr>
              <w:pStyle w:val="TableParagraph"/>
              <w:spacing w:before="27"/>
              <w:ind w:right="208"/>
              <w:jc w:val="right"/>
              <w:rPr>
                <w:rFonts w:ascii="Calibri"/>
                <w:sz w:val="20"/>
              </w:rPr>
            </w:pPr>
            <w:r>
              <w:rPr>
                <w:rFonts w:ascii="Calibri"/>
                <w:w w:val="95"/>
                <w:sz w:val="20"/>
              </w:rPr>
              <w:t>75%</w:t>
            </w:r>
          </w:p>
        </w:tc>
        <w:tc>
          <w:tcPr>
            <w:tcW w:w="5577" w:type="dxa"/>
            <w:gridSpan w:val="4"/>
            <w:tcBorders>
              <w:top w:val="nil"/>
              <w:bottom w:val="nil"/>
            </w:tcBorders>
          </w:tcPr>
          <w:p>
            <w:pPr>
              <w:pStyle w:val="TableParagraph"/>
              <w:spacing w:before="7"/>
              <w:rPr>
                <w:sz w:val="16"/>
              </w:rPr>
            </w:pPr>
          </w:p>
          <w:p>
            <w:pPr>
              <w:pStyle w:val="TableParagraph"/>
              <w:spacing w:line="223" w:lineRule="exact"/>
              <w:ind w:right="206"/>
              <w:jc w:val="right"/>
              <w:rPr>
                <w:rFonts w:ascii="Calibri"/>
                <w:sz w:val="20"/>
              </w:rPr>
            </w:pPr>
            <w:r>
              <w:rPr>
                <w:rFonts w:ascii="Calibri"/>
                <w:w w:val="95"/>
                <w:sz w:val="20"/>
              </w:rPr>
              <w:t>60%</w:t>
            </w:r>
          </w:p>
        </w:tc>
      </w:tr>
      <w:tr>
        <w:trPr>
          <w:trHeight w:val="250" w:hRule="atLeast"/>
        </w:trPr>
        <w:tc>
          <w:tcPr>
            <w:tcW w:w="5577" w:type="dxa"/>
            <w:gridSpan w:val="5"/>
            <w:tcBorders>
              <w:top w:val="nil"/>
              <w:bottom w:val="nil"/>
            </w:tcBorders>
          </w:tcPr>
          <w:p>
            <w:pPr>
              <w:pStyle w:val="TableParagraph"/>
              <w:spacing w:line="206" w:lineRule="exact"/>
              <w:ind w:right="208"/>
              <w:jc w:val="right"/>
              <w:rPr>
                <w:rFonts w:ascii="Calibri"/>
                <w:sz w:val="20"/>
              </w:rPr>
            </w:pPr>
            <w:r>
              <w:rPr>
                <w:rFonts w:ascii="Calibri"/>
                <w:w w:val="95"/>
                <w:sz w:val="20"/>
              </w:rPr>
              <w:t>70%</w:t>
            </w:r>
          </w:p>
        </w:tc>
        <w:tc>
          <w:tcPr>
            <w:tcW w:w="5577" w:type="dxa"/>
            <w:gridSpan w:val="4"/>
            <w:tcBorders>
              <w:top w:val="nil"/>
              <w:bottom w:val="nil"/>
            </w:tcBorders>
          </w:tcPr>
          <w:p>
            <w:pPr>
              <w:pStyle w:val="TableParagraph"/>
              <w:rPr>
                <w:rFonts w:ascii="Times New Roman"/>
                <w:sz w:val="18"/>
              </w:rPr>
            </w:pPr>
          </w:p>
        </w:tc>
      </w:tr>
      <w:tr>
        <w:trPr>
          <w:trHeight w:val="403" w:hRule="atLeast"/>
        </w:trPr>
        <w:tc>
          <w:tcPr>
            <w:tcW w:w="5577" w:type="dxa"/>
            <w:gridSpan w:val="5"/>
            <w:tcBorders>
              <w:top w:val="nil"/>
              <w:bottom w:val="nil"/>
            </w:tcBorders>
          </w:tcPr>
          <w:p>
            <w:pPr>
              <w:pStyle w:val="TableParagraph"/>
              <w:spacing w:before="79"/>
              <w:ind w:right="208"/>
              <w:jc w:val="right"/>
              <w:rPr>
                <w:rFonts w:ascii="Calibri"/>
                <w:sz w:val="20"/>
              </w:rPr>
            </w:pPr>
            <w:r>
              <w:rPr>
                <w:rFonts w:ascii="Calibri"/>
                <w:w w:val="95"/>
                <w:sz w:val="20"/>
              </w:rPr>
              <w:t>65%</w:t>
            </w:r>
          </w:p>
        </w:tc>
        <w:tc>
          <w:tcPr>
            <w:tcW w:w="5577" w:type="dxa"/>
            <w:gridSpan w:val="4"/>
            <w:tcBorders>
              <w:top w:val="nil"/>
              <w:bottom w:val="nil"/>
            </w:tcBorders>
          </w:tcPr>
          <w:p>
            <w:pPr>
              <w:pStyle w:val="TableParagraph"/>
              <w:spacing w:before="7"/>
              <w:ind w:right="206"/>
              <w:jc w:val="right"/>
              <w:rPr>
                <w:rFonts w:ascii="Calibri"/>
                <w:sz w:val="20"/>
              </w:rPr>
            </w:pPr>
            <w:r>
              <w:rPr>
                <w:rFonts w:ascii="Calibri"/>
                <w:w w:val="95"/>
                <w:sz w:val="20"/>
              </w:rPr>
              <w:t>50%</w:t>
            </w:r>
          </w:p>
        </w:tc>
      </w:tr>
      <w:tr>
        <w:trPr>
          <w:trHeight w:val="344" w:hRule="atLeast"/>
        </w:trPr>
        <w:tc>
          <w:tcPr>
            <w:tcW w:w="5577" w:type="dxa"/>
            <w:gridSpan w:val="5"/>
            <w:tcBorders>
              <w:top w:val="nil"/>
              <w:bottom w:val="nil"/>
            </w:tcBorders>
          </w:tcPr>
          <w:p>
            <w:pPr>
              <w:pStyle w:val="TableParagraph"/>
              <w:spacing w:before="43"/>
              <w:ind w:right="208"/>
              <w:jc w:val="right"/>
              <w:rPr>
                <w:rFonts w:ascii="Calibri"/>
                <w:sz w:val="20"/>
              </w:rPr>
            </w:pPr>
            <w:r>
              <w:rPr>
                <w:rFonts w:ascii="Calibri"/>
                <w:w w:val="95"/>
                <w:sz w:val="20"/>
              </w:rPr>
              <w:t>60%</w:t>
            </w:r>
          </w:p>
        </w:tc>
        <w:tc>
          <w:tcPr>
            <w:tcW w:w="5577" w:type="dxa"/>
            <w:gridSpan w:val="4"/>
            <w:tcBorders>
              <w:top w:val="nil"/>
              <w:bottom w:val="nil"/>
            </w:tcBorders>
          </w:tcPr>
          <w:p>
            <w:pPr>
              <w:pStyle w:val="TableParagraph"/>
              <w:spacing w:line="220" w:lineRule="exact" w:before="103"/>
              <w:ind w:right="206"/>
              <w:jc w:val="right"/>
              <w:rPr>
                <w:rFonts w:ascii="Calibri"/>
                <w:sz w:val="20"/>
              </w:rPr>
            </w:pPr>
            <w:r>
              <w:rPr>
                <w:rFonts w:ascii="Calibri"/>
                <w:w w:val="95"/>
                <w:sz w:val="20"/>
              </w:rPr>
              <w:t>40%</w:t>
            </w:r>
          </w:p>
        </w:tc>
      </w:tr>
      <w:tr>
        <w:trPr>
          <w:trHeight w:val="235" w:hRule="atLeast"/>
        </w:trPr>
        <w:tc>
          <w:tcPr>
            <w:tcW w:w="5577" w:type="dxa"/>
            <w:gridSpan w:val="5"/>
            <w:tcBorders>
              <w:top w:val="nil"/>
            </w:tcBorders>
          </w:tcPr>
          <w:p>
            <w:pPr>
              <w:pStyle w:val="TableParagraph"/>
              <w:tabs>
                <w:tab w:pos="1140" w:val="left" w:leader="none"/>
                <w:tab w:pos="2031" w:val="left" w:leader="none"/>
                <w:tab w:pos="2922" w:val="left" w:leader="none"/>
                <w:tab w:pos="3813" w:val="left" w:leader="none"/>
                <w:tab w:pos="4653" w:val="left" w:leader="none"/>
              </w:tabs>
              <w:spacing w:line="203" w:lineRule="exact"/>
              <w:ind w:left="299"/>
              <w:rPr>
                <w:rFonts w:ascii="Calibri"/>
                <w:sz w:val="20"/>
              </w:rPr>
            </w:pPr>
            <w:r>
              <w:rPr>
                <w:rFonts w:ascii="Calibri"/>
                <w:sz w:val="20"/>
              </w:rPr>
              <w:t>0</w:t>
              <w:tab/>
              <w:t>24</w:t>
              <w:tab/>
              <w:t>48</w:t>
              <w:tab/>
              <w:t>72</w:t>
              <w:tab/>
              <w:t>96</w:t>
              <w:tab/>
              <w:t>120</w:t>
            </w:r>
          </w:p>
        </w:tc>
        <w:tc>
          <w:tcPr>
            <w:tcW w:w="1550" w:type="dxa"/>
            <w:tcBorders>
              <w:top w:val="nil"/>
              <w:right w:val="nil"/>
            </w:tcBorders>
          </w:tcPr>
          <w:p>
            <w:pPr>
              <w:pStyle w:val="TableParagraph"/>
              <w:tabs>
                <w:tab w:pos="1142" w:val="left" w:leader="none"/>
              </w:tabs>
              <w:spacing w:line="196" w:lineRule="exact" w:before="19"/>
              <w:ind w:left="301"/>
              <w:rPr>
                <w:rFonts w:ascii="Calibri"/>
                <w:sz w:val="20"/>
              </w:rPr>
            </w:pPr>
            <w:r>
              <w:rPr>
                <w:rFonts w:ascii="Calibri"/>
                <w:sz w:val="20"/>
              </w:rPr>
              <w:t>0</w:t>
              <w:tab/>
              <w:t>24</w:t>
            </w:r>
          </w:p>
        </w:tc>
        <w:tc>
          <w:tcPr>
            <w:tcW w:w="748" w:type="dxa"/>
            <w:tcBorders>
              <w:top w:val="nil"/>
              <w:left w:val="nil"/>
              <w:right w:val="nil"/>
            </w:tcBorders>
          </w:tcPr>
          <w:p>
            <w:pPr>
              <w:pStyle w:val="TableParagraph"/>
              <w:spacing w:line="196" w:lineRule="exact" w:before="19"/>
              <w:ind w:right="55"/>
              <w:jc w:val="right"/>
              <w:rPr>
                <w:rFonts w:ascii="Calibri"/>
                <w:sz w:val="20"/>
              </w:rPr>
            </w:pPr>
            <w:r>
              <w:rPr>
                <w:rFonts w:ascii="Calibri"/>
                <w:w w:val="95"/>
                <w:sz w:val="20"/>
              </w:rPr>
              <w:t>48</w:t>
            </w:r>
          </w:p>
        </w:tc>
        <w:tc>
          <w:tcPr>
            <w:tcW w:w="2925" w:type="dxa"/>
            <w:tcBorders>
              <w:top w:val="nil"/>
              <w:left w:val="nil"/>
              <w:right w:val="nil"/>
            </w:tcBorders>
          </w:tcPr>
          <w:p>
            <w:pPr>
              <w:pStyle w:val="TableParagraph"/>
              <w:tabs>
                <w:tab w:pos="1522" w:val="left" w:leader="none"/>
                <w:tab w:pos="2362" w:val="left" w:leader="none"/>
              </w:tabs>
              <w:spacing w:line="196" w:lineRule="exact" w:before="19"/>
              <w:ind w:left="631"/>
              <w:rPr>
                <w:rFonts w:ascii="Calibri"/>
                <w:sz w:val="20"/>
              </w:rPr>
            </w:pPr>
            <w:r>
              <w:rPr>
                <w:rFonts w:ascii="Calibri"/>
                <w:sz w:val="20"/>
              </w:rPr>
              <w:t>72</w:t>
              <w:tab/>
              <w:t>96</w:t>
              <w:tab/>
              <w:t>120</w:t>
            </w:r>
          </w:p>
        </w:tc>
        <w:tc>
          <w:tcPr>
            <w:tcW w:w="354" w:type="dxa"/>
            <w:tcBorders>
              <w:top w:val="nil"/>
              <w:left w:val="nil"/>
            </w:tcBorders>
          </w:tcPr>
          <w:p>
            <w:pPr>
              <w:pStyle w:val="TableParagraph"/>
              <w:rPr>
                <w:rFonts w:ascii="Times New Roman"/>
                <w:sz w:val="16"/>
              </w:rPr>
            </w:pPr>
          </w:p>
        </w:tc>
      </w:tr>
      <w:tr>
        <w:trPr>
          <w:trHeight w:val="244" w:hRule="atLeast"/>
        </w:trPr>
        <w:tc>
          <w:tcPr>
            <w:tcW w:w="5577" w:type="dxa"/>
            <w:gridSpan w:val="5"/>
          </w:tcPr>
          <w:p>
            <w:pPr>
              <w:pStyle w:val="TableParagraph"/>
              <w:spacing w:before="27"/>
              <w:ind w:left="107"/>
              <w:rPr>
                <w:sz w:val="16"/>
              </w:rPr>
            </w:pPr>
            <w:r>
              <w:rPr>
                <w:sz w:val="16"/>
              </w:rPr>
              <w:t>Source: Guimarães &amp; Vlieghe (2016)</w:t>
            </w:r>
          </w:p>
        </w:tc>
        <w:tc>
          <w:tcPr>
            <w:tcW w:w="5577" w:type="dxa"/>
            <w:gridSpan w:val="4"/>
          </w:tcPr>
          <w:p>
            <w:pPr>
              <w:pStyle w:val="TableParagraph"/>
              <w:spacing w:before="27"/>
              <w:ind w:left="109"/>
              <w:rPr>
                <w:sz w:val="16"/>
              </w:rPr>
            </w:pPr>
            <w:r>
              <w:rPr>
                <w:sz w:val="16"/>
              </w:rPr>
              <w:t>Source: Guimarães &amp; Vlieghe (2016)</w:t>
            </w:r>
          </w:p>
        </w:tc>
      </w:tr>
      <w:tr>
        <w:trPr>
          <w:trHeight w:val="558" w:hRule="atLeast"/>
        </w:trPr>
        <w:tc>
          <w:tcPr>
            <w:tcW w:w="5577" w:type="dxa"/>
            <w:gridSpan w:val="5"/>
          </w:tcPr>
          <w:p>
            <w:pPr>
              <w:pStyle w:val="TableParagraph"/>
              <w:spacing w:before="57"/>
              <w:ind w:left="107" w:right="237"/>
              <w:rPr>
                <w:sz w:val="20"/>
              </w:rPr>
            </w:pPr>
            <w:r>
              <w:rPr>
                <w:b/>
                <w:sz w:val="20"/>
              </w:rPr>
              <w:t>Figure 17: </w:t>
            </w:r>
            <w:r>
              <w:rPr>
                <w:sz w:val="20"/>
              </w:rPr>
              <w:t>Change in 10 year spot term premia relative to 2007 H1 average</w:t>
            </w:r>
          </w:p>
        </w:tc>
        <w:tc>
          <w:tcPr>
            <w:tcW w:w="5577" w:type="dxa"/>
            <w:gridSpan w:val="4"/>
          </w:tcPr>
          <w:p>
            <w:pPr>
              <w:pStyle w:val="TableParagraph"/>
              <w:spacing w:before="57"/>
              <w:ind w:left="109" w:right="237"/>
              <w:rPr>
                <w:sz w:val="20"/>
              </w:rPr>
            </w:pPr>
            <w:r>
              <w:rPr>
                <w:b/>
                <w:sz w:val="20"/>
              </w:rPr>
              <w:t>Figure 18: </w:t>
            </w:r>
            <w:r>
              <w:rPr>
                <w:sz w:val="20"/>
              </w:rPr>
              <w:t>Change in 10 year spot expected short rate relative to 2007 H1 average</w:t>
            </w:r>
          </w:p>
        </w:tc>
      </w:tr>
      <w:tr>
        <w:trPr>
          <w:trHeight w:val="278" w:hRule="atLeast"/>
        </w:trPr>
        <w:tc>
          <w:tcPr>
            <w:tcW w:w="108" w:type="dxa"/>
            <w:vMerge w:val="restart"/>
            <w:tcBorders>
              <w:right w:val="single" w:sz="6" w:space="0" w:color="858585"/>
            </w:tcBorders>
          </w:tcPr>
          <w:p>
            <w:pPr>
              <w:pStyle w:val="TableParagraph"/>
              <w:rPr>
                <w:rFonts w:ascii="Times New Roman"/>
                <w:sz w:val="18"/>
              </w:rPr>
            </w:pPr>
          </w:p>
        </w:tc>
        <w:tc>
          <w:tcPr>
            <w:tcW w:w="2170" w:type="dxa"/>
            <w:tcBorders>
              <w:left w:val="single" w:sz="6" w:space="0" w:color="858585"/>
              <w:bottom w:val="nil"/>
              <w:right w:val="nil"/>
            </w:tcBorders>
          </w:tcPr>
          <w:p>
            <w:pPr>
              <w:pStyle w:val="TableParagraph"/>
              <w:spacing w:before="29"/>
              <w:ind w:left="1293"/>
              <w:rPr>
                <w:rFonts w:ascii="Calibri"/>
                <w:sz w:val="18"/>
              </w:rPr>
            </w:pPr>
            <w:r>
              <w:rPr>
                <w:rFonts w:ascii="Calibri"/>
                <w:sz w:val="18"/>
              </w:rPr>
              <w:t>AUS</w:t>
            </w:r>
          </w:p>
        </w:tc>
        <w:tc>
          <w:tcPr>
            <w:tcW w:w="1425" w:type="dxa"/>
            <w:tcBorders>
              <w:left w:val="nil"/>
              <w:bottom w:val="nil"/>
              <w:right w:val="nil"/>
            </w:tcBorders>
          </w:tcPr>
          <w:p>
            <w:pPr>
              <w:pStyle w:val="TableParagraph"/>
              <w:tabs>
                <w:tab w:pos="888" w:val="left" w:leader="none"/>
              </w:tabs>
              <w:spacing w:before="29"/>
              <w:ind w:left="9"/>
              <w:rPr>
                <w:rFonts w:ascii="Calibri"/>
                <w:sz w:val="18"/>
              </w:rPr>
            </w:pPr>
            <w:r>
              <w:rPr>
                <w:rFonts w:ascii="Calibri"/>
                <w:sz w:val="18"/>
              </w:rPr>
              <w:t>CAN</w:t>
              <w:tab/>
              <w:t>FRA</w:t>
            </w:r>
          </w:p>
        </w:tc>
        <w:tc>
          <w:tcPr>
            <w:tcW w:w="1507" w:type="dxa"/>
            <w:tcBorders>
              <w:left w:val="nil"/>
              <w:bottom w:val="nil"/>
              <w:right w:val="nil"/>
            </w:tcBorders>
          </w:tcPr>
          <w:p>
            <w:pPr>
              <w:pStyle w:val="TableParagraph"/>
              <w:spacing w:before="29"/>
              <w:ind w:left="342"/>
              <w:rPr>
                <w:rFonts w:ascii="Calibri"/>
                <w:sz w:val="18"/>
              </w:rPr>
            </w:pPr>
            <w:r>
              <w:rPr>
                <w:rFonts w:ascii="Calibri"/>
                <w:sz w:val="18"/>
              </w:rPr>
              <w:t>GER</w:t>
            </w:r>
          </w:p>
        </w:tc>
        <w:tc>
          <w:tcPr>
            <w:tcW w:w="367" w:type="dxa"/>
            <w:tcBorders>
              <w:left w:val="nil"/>
              <w:bottom w:val="nil"/>
              <w:right w:val="single" w:sz="4" w:space="0" w:color="858585"/>
            </w:tcBorders>
          </w:tcPr>
          <w:p>
            <w:pPr>
              <w:pStyle w:val="TableParagraph"/>
              <w:spacing w:line="232" w:lineRule="exact"/>
              <w:ind w:left="111"/>
              <w:rPr>
                <w:rFonts w:ascii="Calibri"/>
                <w:sz w:val="20"/>
              </w:rPr>
            </w:pPr>
            <w:r>
              <w:rPr>
                <w:rFonts w:ascii="Calibri"/>
                <w:w w:val="99"/>
                <w:sz w:val="20"/>
              </w:rPr>
              <w:t>6</w:t>
            </w:r>
          </w:p>
        </w:tc>
        <w:tc>
          <w:tcPr>
            <w:tcW w:w="1550" w:type="dxa"/>
            <w:tcBorders>
              <w:left w:val="single" w:sz="4" w:space="0" w:color="858585"/>
              <w:bottom w:val="nil"/>
              <w:right w:val="nil"/>
            </w:tcBorders>
          </w:tcPr>
          <w:p>
            <w:pPr>
              <w:pStyle w:val="TableParagraph"/>
              <w:rPr>
                <w:rFonts w:ascii="Times New Roman"/>
                <w:sz w:val="18"/>
              </w:rPr>
            </w:pPr>
          </w:p>
        </w:tc>
        <w:tc>
          <w:tcPr>
            <w:tcW w:w="748" w:type="dxa"/>
            <w:tcBorders>
              <w:left w:val="nil"/>
              <w:bottom w:val="nil"/>
              <w:right w:val="nil"/>
            </w:tcBorders>
          </w:tcPr>
          <w:p>
            <w:pPr>
              <w:pStyle w:val="TableParagraph"/>
              <w:spacing w:line="213" w:lineRule="exact" w:before="45"/>
              <w:ind w:left="67"/>
              <w:rPr>
                <w:rFonts w:ascii="Calibri"/>
                <w:sz w:val="18"/>
              </w:rPr>
            </w:pPr>
            <w:r>
              <w:rPr>
                <w:rFonts w:ascii="Calibri"/>
                <w:sz w:val="18"/>
              </w:rPr>
              <w:t>AUS</w:t>
            </w:r>
          </w:p>
        </w:tc>
        <w:tc>
          <w:tcPr>
            <w:tcW w:w="2925" w:type="dxa"/>
            <w:tcBorders>
              <w:left w:val="nil"/>
              <w:bottom w:val="nil"/>
              <w:right w:val="nil"/>
            </w:tcBorders>
          </w:tcPr>
          <w:p>
            <w:pPr>
              <w:pStyle w:val="TableParagraph"/>
              <w:tabs>
                <w:tab w:pos="1103" w:val="left" w:leader="none"/>
                <w:tab w:pos="1996" w:val="left" w:leader="none"/>
              </w:tabs>
              <w:spacing w:line="213" w:lineRule="exact" w:before="45"/>
              <w:ind w:left="211"/>
              <w:rPr>
                <w:rFonts w:ascii="Calibri"/>
                <w:sz w:val="18"/>
              </w:rPr>
            </w:pPr>
            <w:r>
              <w:rPr>
                <w:rFonts w:ascii="Calibri"/>
                <w:sz w:val="18"/>
              </w:rPr>
              <w:t>CAN</w:t>
              <w:tab/>
              <w:t>FRA</w:t>
              <w:tab/>
              <w:t>GER</w:t>
            </w:r>
          </w:p>
        </w:tc>
        <w:tc>
          <w:tcPr>
            <w:tcW w:w="354" w:type="dxa"/>
            <w:tcBorders>
              <w:left w:val="nil"/>
              <w:bottom w:val="nil"/>
            </w:tcBorders>
          </w:tcPr>
          <w:p>
            <w:pPr>
              <w:pStyle w:val="TableParagraph"/>
              <w:spacing w:line="232" w:lineRule="exact"/>
              <w:ind w:left="100"/>
              <w:rPr>
                <w:rFonts w:ascii="Calibri"/>
                <w:sz w:val="20"/>
              </w:rPr>
            </w:pPr>
            <w:r>
              <w:rPr>
                <w:rFonts w:ascii="Calibri"/>
                <w:w w:val="99"/>
                <w:sz w:val="20"/>
              </w:rPr>
              <w:t>4</w:t>
            </w:r>
          </w:p>
        </w:tc>
      </w:tr>
      <w:tr>
        <w:trPr>
          <w:trHeight w:val="228"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tabs>
                <w:tab w:pos="2172" w:val="left" w:leader="none"/>
                <w:tab w:pos="3051" w:val="left" w:leader="none"/>
                <w:tab w:pos="3929" w:val="left" w:leader="none"/>
              </w:tabs>
              <w:spacing w:line="200" w:lineRule="exact"/>
              <w:ind w:left="1293"/>
              <w:rPr>
                <w:rFonts w:ascii="Calibri"/>
                <w:sz w:val="18"/>
              </w:rPr>
            </w:pPr>
            <w:r>
              <w:rPr>
                <w:rFonts w:ascii="Calibri"/>
                <w:sz w:val="18"/>
              </w:rPr>
              <w:t>NET</w:t>
              <w:tab/>
              <w:t>NZD</w:t>
              <w:tab/>
              <w:t>NOR</w:t>
              <w:tab/>
              <w:t>SWE</w:t>
            </w:r>
          </w:p>
        </w:tc>
        <w:tc>
          <w:tcPr>
            <w:tcW w:w="1550" w:type="dxa"/>
            <w:tcBorders>
              <w:top w:val="nil"/>
              <w:left w:val="single" w:sz="4" w:space="0" w:color="858585"/>
              <w:bottom w:val="nil"/>
              <w:right w:val="nil"/>
            </w:tcBorders>
          </w:tcPr>
          <w:p>
            <w:pPr>
              <w:pStyle w:val="TableParagraph"/>
              <w:rPr>
                <w:rFonts w:ascii="Times New Roman"/>
                <w:sz w:val="16"/>
              </w:rPr>
            </w:pPr>
          </w:p>
        </w:tc>
        <w:tc>
          <w:tcPr>
            <w:tcW w:w="748" w:type="dxa"/>
            <w:tcBorders>
              <w:top w:val="nil"/>
              <w:left w:val="nil"/>
              <w:bottom w:val="nil"/>
              <w:right w:val="nil"/>
            </w:tcBorders>
          </w:tcPr>
          <w:p>
            <w:pPr>
              <w:pStyle w:val="TableParagraph"/>
              <w:spacing w:line="209" w:lineRule="exact"/>
              <w:ind w:left="67"/>
              <w:rPr>
                <w:rFonts w:ascii="Calibri"/>
                <w:sz w:val="18"/>
              </w:rPr>
            </w:pPr>
            <w:r>
              <w:rPr>
                <w:rFonts w:ascii="Calibri"/>
                <w:sz w:val="18"/>
              </w:rPr>
              <w:t>NET</w:t>
            </w:r>
          </w:p>
        </w:tc>
        <w:tc>
          <w:tcPr>
            <w:tcW w:w="2925" w:type="dxa"/>
            <w:tcBorders>
              <w:top w:val="nil"/>
              <w:left w:val="nil"/>
              <w:bottom w:val="nil"/>
              <w:right w:val="nil"/>
            </w:tcBorders>
          </w:tcPr>
          <w:p>
            <w:pPr>
              <w:pStyle w:val="TableParagraph"/>
              <w:tabs>
                <w:tab w:pos="1103" w:val="left" w:leader="none"/>
                <w:tab w:pos="1996" w:val="left" w:leader="none"/>
              </w:tabs>
              <w:spacing w:line="209" w:lineRule="exact"/>
              <w:ind w:left="211"/>
              <w:rPr>
                <w:rFonts w:ascii="Calibri"/>
                <w:sz w:val="18"/>
              </w:rPr>
            </w:pPr>
            <w:r>
              <w:rPr>
                <w:rFonts w:ascii="Calibri"/>
                <w:sz w:val="18"/>
              </w:rPr>
              <w:t>NZD</w:t>
              <w:tab/>
              <w:t>NOR</w:t>
              <w:tab/>
              <w:t>SWE</w:t>
            </w:r>
          </w:p>
        </w:tc>
        <w:tc>
          <w:tcPr>
            <w:tcW w:w="354" w:type="dxa"/>
            <w:tcBorders>
              <w:top w:val="nil"/>
              <w:left w:val="nil"/>
              <w:bottom w:val="nil"/>
            </w:tcBorders>
          </w:tcPr>
          <w:p>
            <w:pPr>
              <w:pStyle w:val="TableParagraph"/>
              <w:rPr>
                <w:rFonts w:ascii="Times New Roman"/>
                <w:sz w:val="16"/>
              </w:rPr>
            </w:pPr>
          </w:p>
        </w:tc>
      </w:tr>
      <w:tr>
        <w:trPr>
          <w:trHeight w:val="228"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tabs>
                <w:tab w:pos="2172" w:val="left" w:leader="none"/>
                <w:tab w:pos="3051" w:val="left" w:leader="none"/>
              </w:tabs>
              <w:spacing w:line="200" w:lineRule="exact"/>
              <w:ind w:left="1293"/>
              <w:rPr>
                <w:rFonts w:ascii="Calibri"/>
                <w:sz w:val="18"/>
              </w:rPr>
            </w:pPr>
            <w:r>
              <w:rPr>
                <w:rFonts w:ascii="Calibri"/>
                <w:sz w:val="18"/>
              </w:rPr>
              <w:t>SWI</w:t>
              <w:tab/>
              <w:t>UK</w:t>
              <w:tab/>
              <w:t>US</w:t>
            </w:r>
          </w:p>
        </w:tc>
        <w:tc>
          <w:tcPr>
            <w:tcW w:w="1550" w:type="dxa"/>
            <w:tcBorders>
              <w:top w:val="nil"/>
              <w:left w:val="single" w:sz="4" w:space="0" w:color="858585"/>
              <w:bottom w:val="nil"/>
              <w:right w:val="nil"/>
            </w:tcBorders>
          </w:tcPr>
          <w:p>
            <w:pPr>
              <w:pStyle w:val="TableParagraph"/>
              <w:rPr>
                <w:rFonts w:ascii="Times New Roman"/>
                <w:sz w:val="16"/>
              </w:rPr>
            </w:pPr>
          </w:p>
        </w:tc>
        <w:tc>
          <w:tcPr>
            <w:tcW w:w="748" w:type="dxa"/>
            <w:tcBorders>
              <w:top w:val="nil"/>
              <w:left w:val="nil"/>
              <w:bottom w:val="nil"/>
              <w:right w:val="nil"/>
            </w:tcBorders>
          </w:tcPr>
          <w:p>
            <w:pPr>
              <w:pStyle w:val="TableParagraph"/>
              <w:spacing w:line="208" w:lineRule="exact"/>
              <w:ind w:left="67"/>
              <w:rPr>
                <w:rFonts w:ascii="Calibri"/>
                <w:sz w:val="18"/>
              </w:rPr>
            </w:pPr>
            <w:r>
              <w:rPr>
                <w:rFonts w:ascii="Calibri"/>
                <w:sz w:val="18"/>
              </w:rPr>
              <w:t>SWI</w:t>
            </w:r>
          </w:p>
        </w:tc>
        <w:tc>
          <w:tcPr>
            <w:tcW w:w="2925" w:type="dxa"/>
            <w:tcBorders>
              <w:top w:val="nil"/>
              <w:left w:val="nil"/>
              <w:bottom w:val="nil"/>
              <w:right w:val="nil"/>
            </w:tcBorders>
          </w:tcPr>
          <w:p>
            <w:pPr>
              <w:pStyle w:val="TableParagraph"/>
              <w:tabs>
                <w:tab w:pos="1103" w:val="left" w:leader="none"/>
              </w:tabs>
              <w:spacing w:line="208" w:lineRule="exact"/>
              <w:ind w:left="211"/>
              <w:rPr>
                <w:rFonts w:ascii="Calibri"/>
                <w:sz w:val="18"/>
              </w:rPr>
            </w:pPr>
            <w:r>
              <w:rPr>
                <w:rFonts w:ascii="Calibri"/>
                <w:sz w:val="18"/>
              </w:rPr>
              <w:t>UK</w:t>
              <w:tab/>
              <w:t>US</w:t>
            </w:r>
          </w:p>
        </w:tc>
        <w:tc>
          <w:tcPr>
            <w:tcW w:w="354" w:type="dxa"/>
            <w:tcBorders>
              <w:top w:val="nil"/>
              <w:left w:val="nil"/>
              <w:bottom w:val="nil"/>
            </w:tcBorders>
          </w:tcPr>
          <w:p>
            <w:pPr>
              <w:pStyle w:val="TableParagraph"/>
              <w:rPr>
                <w:rFonts w:ascii="Times New Roman"/>
                <w:sz w:val="16"/>
              </w:rPr>
            </w:pPr>
          </w:p>
        </w:tc>
      </w:tr>
      <w:tr>
        <w:trPr>
          <w:trHeight w:val="487"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spacing w:line="220" w:lineRule="exact"/>
              <w:ind w:right="147"/>
              <w:jc w:val="right"/>
              <w:rPr>
                <w:rFonts w:ascii="Calibri"/>
                <w:sz w:val="20"/>
              </w:rPr>
            </w:pPr>
            <w:r>
              <w:rPr>
                <w:rFonts w:ascii="Calibri"/>
                <w:w w:val="99"/>
                <w:sz w:val="20"/>
              </w:rPr>
              <w:t>4</w:t>
            </w:r>
          </w:p>
        </w:tc>
        <w:tc>
          <w:tcPr>
            <w:tcW w:w="5577" w:type="dxa"/>
            <w:gridSpan w:val="4"/>
            <w:tcBorders>
              <w:top w:val="nil"/>
              <w:left w:val="single" w:sz="4" w:space="0" w:color="858585"/>
              <w:bottom w:val="nil"/>
            </w:tcBorders>
          </w:tcPr>
          <w:p>
            <w:pPr>
              <w:pStyle w:val="TableParagraph"/>
              <w:spacing w:line="220" w:lineRule="exact"/>
              <w:ind w:right="145"/>
              <w:jc w:val="right"/>
              <w:rPr>
                <w:rFonts w:ascii="Calibri"/>
                <w:sz w:val="20"/>
              </w:rPr>
            </w:pPr>
            <w:r>
              <w:rPr>
                <w:rFonts w:ascii="Calibri"/>
                <w:w w:val="99"/>
                <w:sz w:val="20"/>
              </w:rPr>
              <w:t>2</w:t>
            </w:r>
          </w:p>
        </w:tc>
      </w:tr>
      <w:tr>
        <w:trPr>
          <w:trHeight w:val="742"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rPr>
                <w:sz w:val="20"/>
              </w:rPr>
            </w:pPr>
          </w:p>
          <w:p>
            <w:pPr>
              <w:pStyle w:val="TableParagraph"/>
              <w:ind w:right="147"/>
              <w:jc w:val="right"/>
              <w:rPr>
                <w:rFonts w:ascii="Calibri"/>
                <w:sz w:val="20"/>
              </w:rPr>
            </w:pPr>
            <w:r>
              <w:rPr>
                <w:rFonts w:ascii="Calibri"/>
                <w:w w:val="99"/>
                <w:sz w:val="20"/>
              </w:rPr>
              <w:t>2</w:t>
            </w:r>
          </w:p>
        </w:tc>
        <w:tc>
          <w:tcPr>
            <w:tcW w:w="5577" w:type="dxa"/>
            <w:gridSpan w:val="4"/>
            <w:tcBorders>
              <w:top w:val="nil"/>
              <w:left w:val="single" w:sz="4" w:space="0" w:color="858585"/>
              <w:bottom w:val="nil"/>
            </w:tcBorders>
          </w:tcPr>
          <w:p>
            <w:pPr>
              <w:pStyle w:val="TableParagraph"/>
              <w:rPr>
                <w:sz w:val="20"/>
              </w:rPr>
            </w:pPr>
          </w:p>
          <w:p>
            <w:pPr>
              <w:pStyle w:val="TableParagraph"/>
              <w:ind w:right="145"/>
              <w:jc w:val="right"/>
              <w:rPr>
                <w:rFonts w:ascii="Calibri"/>
                <w:sz w:val="20"/>
              </w:rPr>
            </w:pPr>
            <w:r>
              <w:rPr>
                <w:rFonts w:ascii="Calibri"/>
                <w:w w:val="99"/>
                <w:sz w:val="20"/>
              </w:rPr>
              <w:t>0</w:t>
            </w:r>
          </w:p>
        </w:tc>
      </w:tr>
      <w:tr>
        <w:trPr>
          <w:trHeight w:val="742"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rPr>
                <w:sz w:val="20"/>
              </w:rPr>
            </w:pPr>
          </w:p>
          <w:p>
            <w:pPr>
              <w:pStyle w:val="TableParagraph"/>
              <w:ind w:right="147"/>
              <w:jc w:val="right"/>
              <w:rPr>
                <w:rFonts w:ascii="Calibri"/>
                <w:sz w:val="20"/>
              </w:rPr>
            </w:pPr>
            <w:r>
              <w:rPr>
                <w:rFonts w:ascii="Calibri"/>
                <w:w w:val="99"/>
                <w:sz w:val="20"/>
              </w:rPr>
              <w:t>0</w:t>
            </w:r>
          </w:p>
        </w:tc>
        <w:tc>
          <w:tcPr>
            <w:tcW w:w="5577" w:type="dxa"/>
            <w:gridSpan w:val="4"/>
            <w:tcBorders>
              <w:top w:val="nil"/>
              <w:left w:val="single" w:sz="4" w:space="0" w:color="858585"/>
              <w:bottom w:val="nil"/>
            </w:tcBorders>
          </w:tcPr>
          <w:p>
            <w:pPr>
              <w:pStyle w:val="TableParagraph"/>
              <w:rPr>
                <w:sz w:val="20"/>
              </w:rPr>
            </w:pPr>
          </w:p>
          <w:p>
            <w:pPr>
              <w:pStyle w:val="TableParagraph"/>
              <w:ind w:right="81"/>
              <w:jc w:val="right"/>
              <w:rPr>
                <w:rFonts w:ascii="Calibri"/>
                <w:sz w:val="20"/>
              </w:rPr>
            </w:pPr>
            <w:r>
              <w:rPr>
                <w:rFonts w:ascii="Calibri"/>
                <w:sz w:val="20"/>
              </w:rPr>
              <w:t>-2</w:t>
            </w:r>
          </w:p>
        </w:tc>
      </w:tr>
      <w:tr>
        <w:trPr>
          <w:trHeight w:val="496"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bottom w:val="nil"/>
              <w:right w:val="single" w:sz="4" w:space="0" w:color="858585"/>
            </w:tcBorders>
          </w:tcPr>
          <w:p>
            <w:pPr>
              <w:pStyle w:val="TableParagraph"/>
              <w:rPr>
                <w:sz w:val="20"/>
              </w:rPr>
            </w:pPr>
          </w:p>
          <w:p>
            <w:pPr>
              <w:pStyle w:val="TableParagraph"/>
              <w:ind w:right="83"/>
              <w:jc w:val="right"/>
              <w:rPr>
                <w:rFonts w:ascii="Calibri"/>
                <w:sz w:val="20"/>
              </w:rPr>
            </w:pPr>
            <w:r>
              <w:rPr>
                <w:rFonts w:ascii="Calibri"/>
                <w:sz w:val="20"/>
              </w:rPr>
              <w:t>-2</w:t>
            </w:r>
          </w:p>
        </w:tc>
        <w:tc>
          <w:tcPr>
            <w:tcW w:w="5577" w:type="dxa"/>
            <w:gridSpan w:val="4"/>
            <w:tcBorders>
              <w:top w:val="nil"/>
              <w:left w:val="single" w:sz="4" w:space="0" w:color="858585"/>
              <w:bottom w:val="nil"/>
            </w:tcBorders>
          </w:tcPr>
          <w:p>
            <w:pPr>
              <w:pStyle w:val="TableParagraph"/>
              <w:rPr>
                <w:sz w:val="20"/>
              </w:rPr>
            </w:pPr>
          </w:p>
          <w:p>
            <w:pPr>
              <w:pStyle w:val="TableParagraph"/>
              <w:ind w:right="81"/>
              <w:jc w:val="right"/>
              <w:rPr>
                <w:rFonts w:ascii="Calibri"/>
                <w:sz w:val="20"/>
              </w:rPr>
            </w:pPr>
            <w:r>
              <w:rPr>
                <w:rFonts w:ascii="Calibri"/>
                <w:sz w:val="20"/>
              </w:rPr>
              <w:t>-4</w:t>
            </w:r>
          </w:p>
        </w:tc>
      </w:tr>
      <w:tr>
        <w:trPr>
          <w:trHeight w:val="231" w:hRule="atLeast"/>
        </w:trPr>
        <w:tc>
          <w:tcPr>
            <w:tcW w:w="108" w:type="dxa"/>
            <w:vMerge/>
            <w:tcBorders>
              <w:top w:val="nil"/>
              <w:right w:val="single" w:sz="6" w:space="0" w:color="858585"/>
            </w:tcBorders>
          </w:tcPr>
          <w:p>
            <w:pPr>
              <w:rPr>
                <w:sz w:val="2"/>
                <w:szCs w:val="2"/>
              </w:rPr>
            </w:pPr>
          </w:p>
        </w:tc>
        <w:tc>
          <w:tcPr>
            <w:tcW w:w="5469" w:type="dxa"/>
            <w:gridSpan w:val="4"/>
            <w:tcBorders>
              <w:top w:val="nil"/>
              <w:left w:val="single" w:sz="6" w:space="0" w:color="858585"/>
              <w:right w:val="single" w:sz="4" w:space="0" w:color="858585"/>
            </w:tcBorders>
          </w:tcPr>
          <w:p>
            <w:pPr>
              <w:pStyle w:val="TableParagraph"/>
              <w:spacing w:line="211" w:lineRule="exact"/>
              <w:ind w:left="117"/>
              <w:rPr>
                <w:rFonts w:ascii="Calibri"/>
                <w:sz w:val="20"/>
              </w:rPr>
            </w:pPr>
            <w:r>
              <w:rPr>
                <w:rFonts w:ascii="Calibri"/>
                <w:sz w:val="20"/>
              </w:rPr>
              <w:t>Jan-95 Jan-98 Jan-01 Jan-04 Jan-07 Jan-10 Jan-13</w:t>
            </w:r>
          </w:p>
        </w:tc>
        <w:tc>
          <w:tcPr>
            <w:tcW w:w="1550" w:type="dxa"/>
            <w:tcBorders>
              <w:top w:val="nil"/>
              <w:left w:val="single" w:sz="4" w:space="0" w:color="858585"/>
              <w:right w:val="nil"/>
            </w:tcBorders>
          </w:tcPr>
          <w:p>
            <w:pPr>
              <w:pStyle w:val="TableParagraph"/>
              <w:spacing w:line="211" w:lineRule="exact"/>
              <w:ind w:right="85"/>
              <w:jc w:val="right"/>
              <w:rPr>
                <w:rFonts w:ascii="Calibri"/>
                <w:sz w:val="20"/>
              </w:rPr>
            </w:pPr>
            <w:r>
              <w:rPr>
                <w:rFonts w:ascii="Calibri"/>
                <w:sz w:val="20"/>
              </w:rPr>
              <w:t>Jan-95 Jan-98</w:t>
            </w:r>
          </w:p>
        </w:tc>
        <w:tc>
          <w:tcPr>
            <w:tcW w:w="748" w:type="dxa"/>
            <w:tcBorders>
              <w:top w:val="nil"/>
              <w:left w:val="nil"/>
              <w:right w:val="nil"/>
            </w:tcBorders>
          </w:tcPr>
          <w:p>
            <w:pPr>
              <w:pStyle w:val="TableParagraph"/>
              <w:spacing w:line="211" w:lineRule="exact"/>
              <w:ind w:left="82"/>
              <w:rPr>
                <w:rFonts w:ascii="Calibri"/>
                <w:sz w:val="20"/>
              </w:rPr>
            </w:pPr>
            <w:r>
              <w:rPr>
                <w:rFonts w:ascii="Calibri"/>
                <w:sz w:val="20"/>
              </w:rPr>
              <w:t>Jan-01</w:t>
            </w:r>
          </w:p>
        </w:tc>
        <w:tc>
          <w:tcPr>
            <w:tcW w:w="2925" w:type="dxa"/>
            <w:tcBorders>
              <w:top w:val="nil"/>
              <w:left w:val="nil"/>
              <w:right w:val="nil"/>
            </w:tcBorders>
          </w:tcPr>
          <w:p>
            <w:pPr>
              <w:pStyle w:val="TableParagraph"/>
              <w:spacing w:line="211" w:lineRule="exact"/>
              <w:ind w:left="33"/>
              <w:rPr>
                <w:rFonts w:ascii="Calibri"/>
                <w:sz w:val="20"/>
              </w:rPr>
            </w:pPr>
            <w:r>
              <w:rPr>
                <w:rFonts w:ascii="Calibri"/>
                <w:sz w:val="20"/>
              </w:rPr>
              <w:t>Jan-04 Jan-07 Jan-10 Jan-13</w:t>
            </w:r>
          </w:p>
        </w:tc>
        <w:tc>
          <w:tcPr>
            <w:tcW w:w="354" w:type="dxa"/>
            <w:tcBorders>
              <w:top w:val="nil"/>
              <w:left w:val="nil"/>
            </w:tcBorders>
          </w:tcPr>
          <w:p>
            <w:pPr>
              <w:pStyle w:val="TableParagraph"/>
              <w:rPr>
                <w:rFonts w:ascii="Times New Roman"/>
                <w:sz w:val="16"/>
              </w:rPr>
            </w:pPr>
          </w:p>
        </w:tc>
      </w:tr>
      <w:tr>
        <w:trPr>
          <w:trHeight w:val="246" w:hRule="atLeast"/>
        </w:trPr>
        <w:tc>
          <w:tcPr>
            <w:tcW w:w="5577" w:type="dxa"/>
            <w:gridSpan w:val="5"/>
          </w:tcPr>
          <w:p>
            <w:pPr>
              <w:pStyle w:val="TableParagraph"/>
              <w:spacing w:before="37"/>
              <w:ind w:left="107"/>
              <w:rPr>
                <w:sz w:val="16"/>
              </w:rPr>
            </w:pPr>
            <w:r>
              <w:rPr>
                <w:sz w:val="16"/>
              </w:rPr>
              <w:t>Source: Guimarães &amp; Vlieghe (2016)</w:t>
            </w:r>
          </w:p>
        </w:tc>
        <w:tc>
          <w:tcPr>
            <w:tcW w:w="5577" w:type="dxa"/>
            <w:gridSpan w:val="4"/>
          </w:tcPr>
          <w:p>
            <w:pPr>
              <w:pStyle w:val="TableParagraph"/>
              <w:spacing w:before="37"/>
              <w:ind w:left="109"/>
              <w:rPr>
                <w:sz w:val="16"/>
              </w:rPr>
            </w:pPr>
            <w:r>
              <w:rPr>
                <w:sz w:val="16"/>
              </w:rPr>
              <w:t>Source: Guimarães &amp; Vlieghe (2016)</w:t>
            </w:r>
          </w:p>
        </w:tc>
      </w:tr>
    </w:tbl>
    <w:p>
      <w:pPr>
        <w:rPr>
          <w:sz w:val="2"/>
          <w:szCs w:val="2"/>
        </w:rPr>
      </w:pPr>
      <w:r>
        <w:rPr/>
        <w:pict>
          <v:group style="position:absolute;margin-left:34.439999pt;margin-top:120.47998pt;width:241.45pt;height:147.85pt;mso-position-horizontal-relative:page;mso-position-vertical-relative:page;z-index:-255722496" coordorigin="689,2410" coordsize="4829,2957">
            <v:shape style="position:absolute;left:5455;top:2464;width:63;height:2895" coordorigin="5455,2465" coordsize="63,2895" path="m5455,5359l5455,2465m5455,5359l5518,5359m5455,4634l5518,4634m5455,3912l5518,3912m5455,3187l5518,3187m5455,2465l5518,2465e" filled="false" stroked="true" strokeweight=".72pt" strokecolor="#858585">
              <v:path arrowok="t"/>
              <v:stroke dashstyle="solid"/>
            </v:shape>
            <v:shape style="position:absolute;left:840;top:2601;width:4637;height:2252" type="#_x0000_t75" stroked="false">
              <v:imagedata r:id="rId58" o:title=""/>
            </v:shape>
            <v:line style="position:absolute" from="689,2431" to="1073,2431" stroked="true" strokeweight="2.16pt" strokecolor="#a8423e">
              <v:stroke dashstyle="solid"/>
            </v:line>
            <v:line style="position:absolute" from="1810,2431" to="2194,2431" stroked="true" strokeweight="2.16pt" strokecolor="#85a349">
              <v:stroke dashstyle="solid"/>
            </v:line>
            <v:line style="position:absolute" from="2813,2431" to="3197,2431" stroked="true" strokeweight="2.16pt" strokecolor="#3c95ad">
              <v:stroke dashstyle="solid"/>
            </v:line>
            <v:line style="position:absolute" from="4176,2431" to="4560,2431" stroked="true" strokeweight="2.16pt" strokecolor="#da8137">
              <v:stroke dashstyle="solid"/>
            </v:line>
            <w10:wrap type="none"/>
          </v:group>
        </w:pict>
      </w:r>
      <w:r>
        <w:rPr/>
        <w:pict>
          <v:group style="position:absolute;margin-left:312.959991pt;margin-top:122.879982pt;width:242.55pt;height:145.450pt;mso-position-horizontal-relative:page;mso-position-vertical-relative:page;z-index:-255721472" coordorigin="6259,2458" coordsize="4851,2909">
            <v:shape style="position:absolute;left:6439;top:2464;width:4671;height:2895" coordorigin="6439,2465" coordsize="4671,2895" path="m11045,5359l11045,2465m11045,5359l11110,5359m11045,4997l11110,4997m11045,4634l11110,4634m11045,4274l11110,4274m11045,3912l11110,3912m11045,3550l11110,3550m11045,3187l11110,3187m11045,2827l11110,2827m11045,2465l11110,2465m6439,4997l11045,4997m6439,4997l6439,5059m7174,4997l7174,5059m7908,4997l7908,5059e" filled="false" stroked="true" strokeweight=".72pt" strokecolor="#858585">
              <v:path arrowok="t"/>
              <v:stroke dashstyle="solid"/>
            </v:shape>
            <v:shape style="position:absolute;left:6417;top:2863;width:4649;height:2266" type="#_x0000_t75" stroked="false">
              <v:imagedata r:id="rId59" o:title=""/>
            </v:shape>
            <v:line style="position:absolute" from="6259,2539" to="6643,2539" stroked="true" strokeweight="2.16pt" strokecolor="#a8423e">
              <v:stroke dashstyle="solid"/>
            </v:line>
            <v:line style="position:absolute" from="7385,2539" to="7769,2539" stroked="true" strokeweight="2.16pt" strokecolor="#85a349">
              <v:stroke dashstyle="solid"/>
            </v:line>
            <v:line style="position:absolute" from="8393,2539" to="8777,2539" stroked="true" strokeweight="2.16pt" strokecolor="#3c95ad">
              <v:stroke dashstyle="solid"/>
            </v:line>
            <v:line style="position:absolute" from="9761,2539" to="10145,2539" stroked="true" strokeweight="2.16pt" strokecolor="#da8137">
              <v:stroke dashstyle="solid"/>
            </v:line>
            <w10:wrap type="none"/>
          </v:group>
        </w:pict>
      </w:r>
      <w:r>
        <w:rPr/>
        <w:pict>
          <v:group style="position:absolute;margin-left:34.68pt;margin-top:336.359985pt;width:228.15pt;height:151.450pt;mso-position-horizontal-relative:page;mso-position-vertical-relative:page;z-index:-255720448" coordorigin="694,6727" coordsize="4563,3029">
            <v:shape style="position:absolute;left:700;top:6748;width:4556;height:3008" coordorigin="701,6749" coordsize="4556,3008" path="m5194,9691l5194,6749m5194,9691l5256,9691m5194,9324l5256,9324m5194,8957l5256,8957m5194,8587l5256,8587m5194,8220l5256,8220m5194,7853l5256,7853m5194,7486l5256,7486m5194,7116l5256,7116m5194,6749l5256,6749m701,9691l5194,9691m701,9691l701,9756m1147,9691l1147,9756m1591,9691l1591,9756m2038,9691l2038,9756m2484,9691l2484,9756m2928,9691l2928,9756m3374,9691l3374,9756m3818,9691l3818,9756m4265,9691l4265,9756m4711,9691l4711,9756m5155,9691l5155,9756e" filled="false" stroked="true" strokeweight=".72pt" strokecolor="#858585">
              <v:path arrowok="t"/>
              <v:stroke dashstyle="solid"/>
            </v:shape>
            <v:shape style="position:absolute;left:720;top:6748;width:4455;height:2436" coordorigin="720,6749" coordsize="4455,2436" path="m720,6749l756,6749,794,6852,830,6948,869,7037,905,7121,943,7195,979,7258,1018,7318,1054,7370,1092,7421,1128,7469,1164,7507,1202,7543,1238,7577,1277,7610,1313,7644,1351,7673,1387,7692,1426,7706,1462,7723,1500,7735,1536,7747,1574,7759,1610,7769,1649,7778,1685,7786,1723,7793,1759,7805,1795,7822,1834,7836,1870,7843,1908,7848,1944,7853,1982,7858,2018,7862,2057,7867,2093,7872,2131,7877,2167,7882,2206,7889,2242,7894,2280,7901,2316,7906,2352,7913,2390,7920,2426,7927,2465,7934,2501,7942,2539,7951,2575,7958,2614,7968,2650,7978,2688,7987,2724,7997,2762,8009,2798,8018,2837,8030,2873,8040,2909,8050,2947,8062,2983,8074,3022,8086,3058,8102,3096,8122,3132,8138,3170,8158,3206,8174,3245,8194,3281,8213,3319,8232,3355,8249,3394,8268,3430,8287,3466,8306,3504,8326,3540,8345,3578,8362,3614,8381,3653,8400,3689,8419,3727,8436,3763,8453,3802,8470,3838,8489,3876,8506,3912,8522,3950,8542,3986,8558,4022,8578,4061,8594,4097,8611,4135,8630,4171,8650,4210,8666,4246,8686,4284,8702,4320,8722,4358,8738,4394,8758,4433,8777,4469,8794,4507,8813,4543,8832,4582,8849,4618,8870,4654,8892,4692,8914,4728,8935,4766,8957,4802,8981,4841,9000,4877,9019,4915,9041,4951,9060,4990,9082,5026,9103,5064,9122,5100,9144,5138,9166,5174,9185e" filled="false" stroked="true" strokeweight="2.16pt" strokecolor="#497dba">
              <v:path arrowok="t"/>
              <v:stroke dashstyle="solid"/>
            </v:shape>
            <v:shape style="position:absolute;left:720;top:6748;width:4455;height:1124" coordorigin="720,6749" coordsize="4455,1124" path="m720,6749l756,6749,794,6763,830,6778,869,6797,905,6814,943,6830,979,6845,1018,6862,1054,6876,1092,6893,1128,6907,1164,6924,1202,6938,1238,6955,1277,6970,1313,6986,1351,7003,1387,7018,1426,7034,1462,7049,1500,7066,1536,7080,1574,7097,1610,7114,1649,7133,1685,7150,1723,7162,1759,7176,1795,7193,1834,7210,1908,7253,1982,7286,2057,7308,2093,7320,2131,7332,2167,7346,2206,7361,2242,7378,2280,7392,2316,7406,2352,7418,2390,7433,2426,7442,2465,7454,2501,7466,2539,7478,2575,7488,2614,7500,2650,7510,2688,7519,2724,7531,2762,7541,2798,7550,2837,7560,2873,7570,2909,7579,2947,7586,2983,7589,3022,7594,3058,7603,3096,7613,3132,7622,3170,7627,3206,7632,3245,7637,3281,7644,3319,7654,3355,7661,3394,7670,3430,7680,3466,7687,3504,7697,3540,7704,3578,7714,3614,7721,3653,7728,3689,7738,3727,7745,3763,7752,3802,7762,3838,7769,3876,7774,3912,7778,3950,7786,3986,7790,4022,7795,4061,7800,4097,7805,4135,7810,4171,7817,4210,7822,4246,7826,4284,7831,4320,7836,4358,7838,4394,7841,4433,7843,4469,7848,4507,7850,4543,7853,4582,7855,4618,7858,4654,7860,4692,7862,4728,7865,4766,7865,4802,7867,4841,7867,4877,7867,4915,7870,4951,7870,4990,7870,5026,7870,5064,7872,5100,7872,5138,7872,5174,7872e" filled="false" stroked="true" strokeweight="2.16pt" strokecolor="#bd4a47">
              <v:path arrowok="t"/>
              <v:stroke dashstyle="solid"/>
            </v:shape>
            <v:line style="position:absolute" from="2491,6890" to="2875,6890" stroked="true" strokeweight="2.16pt" strokecolor="#497dba">
              <v:stroke dashstyle="solid"/>
            </v:line>
            <v:line style="position:absolute" from="3286,6890" to="3670,6890" stroked="true" strokeweight="2.16pt" strokecolor="#bd4a47">
              <v:stroke dashstyle="solid"/>
            </v:line>
            <w10:wrap type="none"/>
          </v:group>
        </w:pict>
      </w:r>
      <w:r>
        <w:rPr/>
        <w:pict>
          <v:group style="position:absolute;margin-left:313.559998pt;margin-top:336.47998pt;width:228.15pt;height:154.35pt;mso-position-horizontal-relative:page;mso-position-vertical-relative:page;z-index:-255719424" coordorigin="6271,6730" coordsize="4563,3087">
            <v:shape style="position:absolute;left:6278;top:6751;width:4556;height:3065" coordorigin="6278,6751" coordsize="4556,3065" path="m10771,9754l10771,6751m10771,9754l10834,9754m10771,9252l10834,9252m10771,8753l10834,8753m10771,8251l10834,8251m10771,7752l10834,7752m10771,7253l10834,7253m10771,6751l10834,6751m6278,9754l10771,9754m6278,9754l6278,9816m6725,9754l6725,9816m7169,9754l7169,9816m7615,9754l7615,9816m8062,9754l8062,9816m8506,9754l8506,9816m8952,9754l8952,9816m9396,9754l9396,9816m9842,9754l9842,9816m10289,9754l10289,9816m10733,9754l10733,9816e" filled="false" stroked="true" strokeweight=".72pt" strokecolor="#858585">
              <v:path arrowok="t"/>
              <v:stroke dashstyle="solid"/>
            </v:shape>
            <v:shape style="position:absolute;left:6297;top:6751;width:4455;height:2789" coordorigin="6298,6751" coordsize="4455,2789" path="m6298,6751l6334,6751,6372,6821,6408,6902,6446,6979,6482,7054,6521,7123,6557,7193,6595,7262,6631,7327,6670,7390,6706,7450,6742,7502,6780,7553,6816,7582,6854,7627,6890,7675,6929,7733,6965,7771,7003,7819,7039,7865,7078,7913,7114,7961,7152,8006,7188,8052,7226,8107,7262,8165,7301,8222,7337,8275,7373,8323,7447,8398,7522,8467,7596,8532,7634,8561,7670,8590,7709,8618,7745,8645,7783,8669,7819,8695,7858,8717,7894,8738,7930,8760,7968,8782,8004,8801,8042,8820,8078,8837,8117,8856,8153,8873,8191,8890,8227,8904,8266,8921,8302,8935,8340,8950,8376,8962,8414,8976,8450,8988,8486,9000,8525,9012,8561,9024,8599,9036,8635,9048,8674,9060,8710,9072,8748,9084,8784,9096,8822,9108,8858,9120,8897,9130,8933,9142,8971,9151,9007,9161,9043,9170,9082,9180,9118,9194,9156,9209,9192,9223,9230,9235,9266,9250,9305,9264,9341,9276,9379,9286,9415,9295,9454,9307,9490,9317,9528,9326,9564,9336,9600,9346,9638,9358,9674,9367,9713,9377,9749,9386,9787,9396,9823,9406,9862,9415,9898,9422,9936,9427,9972,9432,10010,9437,10046,9444,10085,9449,10121,9454,10159,9458,10195,9463,10231,9470,10270,9475,10306,9480,10344,9485,10380,9490,10418,9494,10454,9499,10493,9506,10529,9511,10567,9516,10603,9521,10642,9526,10678,9530,10716,9535,10752,9540e" filled="false" stroked="true" strokeweight="2.16pt" strokecolor="#497dba">
              <v:path arrowok="t"/>
              <v:stroke dashstyle="solid"/>
            </v:shape>
            <v:shape style="position:absolute;left:6297;top:6751;width:4455;height:2064" coordorigin="6298,6751" coordsize="4455,2064" path="m6298,6751l6334,6751,6372,6828,6408,6888,6446,6958,6482,7027,6521,7085,6557,7140,6595,7193,6631,7248,6670,7306,6706,7363,6742,7421,6780,7483,6816,7546,6854,7601,6890,7649,6929,7694,6965,7738,7003,7778,7039,7819,7078,7858,7114,7894,7152,7927,7188,7968,7226,8009,7262,8045,7301,8081,7337,8117,7373,8148,7411,8174,7447,8194,7486,8210,7522,8230,7560,8244,7596,8261,7634,8275,7670,8292,7709,8309,7745,8326,7783,8342,7819,8359,7858,8376,7894,8390,7930,8407,7968,8419,8004,8431,8042,8443,8078,8455,8117,8462,8153,8470,8191,8477,8227,8484,8266,8491,8302,8498,8340,8506,8376,8513,8414,8522,8450,8530,8486,8537,8525,8544,8561,8551,8599,8558,8635,8566,8674,8573,8710,8580,8748,8585,8784,8590,8822,8594,8858,8599,8897,8602,8933,8599,8971,8599,9007,8602,9043,8606,9082,8611,9118,8616,9156,8618,9192,8623,9230,8628,9266,8633,9305,8638,9341,8642,9379,8645,9415,8647,9454,8652,9490,8654,9528,8657,9564,8659,9862,8659,9898,8662,9936,8662,9972,8662,10010,8664,10046,8669,10085,8676,10121,8683,10159,8688,10195,8695,10231,8702,10270,8707,10306,8714,10344,8722,10380,8729,10418,8736,10454,8746,10493,8755,10529,8767,10567,8777,10603,8789,10642,8796,10678,8803,10716,8810,10752,8815e" filled="false" stroked="true" strokeweight="2.16pt" strokecolor="#bd4a47">
              <v:path arrowok="t"/>
              <v:stroke dashstyle="solid"/>
            </v:shape>
            <v:line style="position:absolute" from="8069,6890" to="8453,6890" stroked="true" strokeweight="2.16pt" strokecolor="#497dba">
              <v:stroke dashstyle="solid"/>
            </v:line>
            <v:line style="position:absolute" from="8863,6890" to="9247,6890" stroked="true" strokeweight="2.16pt" strokecolor="#bd4a47">
              <v:stroke dashstyle="solid"/>
            </v:line>
            <w10:wrap type="none"/>
          </v:group>
        </w:pict>
      </w:r>
      <w:r>
        <w:rPr/>
        <w:pict>
          <v:group style="position:absolute;margin-left:42pt;margin-top:552.119995pt;width:236.2pt;height:151.2pt;mso-position-horizontal-relative:page;mso-position-vertical-relative:page;z-index:-255718400" coordorigin="840,11042" coordsize="4724,3024">
            <v:shape style="position:absolute;left:5498;top:11049;width:65;height:3010" coordorigin="5498,11050" coordsize="65,3010" path="m5498,14059l5498,11050m5498,14059l5563,14059m5498,13306l5563,13306m5498,12554l5563,12554m5498,11801l5563,11801m5498,11050l5563,11050e" filled="false" stroked="true" strokeweight=".72pt" strokecolor="#858585">
              <v:path arrowok="t"/>
              <v:stroke dashstyle="solid"/>
            </v:shape>
            <v:shape style="position:absolute;left:840;top:11496;width:4680;height:2350" type="#_x0000_t75" stroked="false">
              <v:imagedata r:id="rId60" o:title=""/>
            </v:shape>
            <v:line style="position:absolute" from="1349,11078" to="1733,11078" stroked="true" strokeweight="2.16pt" strokecolor="#3b679a">
              <v:stroke dashstyle="solid"/>
            </v:line>
            <v:line style="position:absolute" from="2227,11078" to="2611,11078" stroked="true" strokeweight="2.16pt" strokecolor="#9d3c39">
              <v:stroke dashstyle="solid"/>
            </v:line>
            <v:line style="position:absolute" from="3106,11078" to="3490,11078" stroked="true" strokeweight="2.16pt" strokecolor="#7c9744">
              <v:stroke dashstyle="solid"/>
            </v:line>
            <v:line style="position:absolute" from="3984,11078" to="4368,11078" stroked="true" strokeweight="2.16pt" strokecolor="#664e83">
              <v:stroke dashstyle="solid"/>
            </v:line>
            <v:line style="position:absolute" from="1349,11316" to="1733,11316" stroked="true" strokeweight="2.16pt" strokecolor="#497dba">
              <v:stroke dashstyle="solid"/>
            </v:line>
            <v:line style="position:absolute" from="2227,11316" to="2611,11316" stroked="true" strokeweight="2.16pt" strokecolor="#bd4a47">
              <v:stroke dashstyle="solid"/>
            </v:line>
            <v:line style="position:absolute" from="3106,11316" to="3490,11316" stroked="true" strokeweight="2.16pt" strokecolor="#97b853">
              <v:stroke dashstyle="solid"/>
            </v:line>
            <v:line style="position:absolute" from="3984,11316" to="4368,11316" stroked="true" strokeweight="2.16pt" strokecolor="#46aac5">
              <v:stroke dashstyle="solid"/>
            </v:line>
            <w10:wrap type="none"/>
          </v:group>
        </w:pict>
      </w:r>
      <w:r>
        <w:rPr/>
        <w:pict>
          <v:group style="position:absolute;margin-left:320.880005pt;margin-top:552.119995pt;width:236.2pt;height:151.2pt;mso-position-horizontal-relative:page;mso-position-vertical-relative:page;z-index:-255717376" coordorigin="6418,11042" coordsize="4724,3024">
            <v:shape style="position:absolute;left:6439;top:11049;width:4702;height:3010" coordorigin="6439,11050" coordsize="4702,3010" path="m11076,14059l11076,11050m11076,14059l11141,14059m11076,13306l11141,13306m11076,12554l11141,12554m11076,11801l11141,11801m11076,11050l11141,11050m6439,12554l11076,12554m10630,12554l10630,12617e" filled="false" stroked="true" strokeweight=".72pt" strokecolor="#858585">
              <v:path arrowok="t"/>
              <v:stroke dashstyle="solid"/>
            </v:shape>
            <v:shape style="position:absolute;left:6417;top:11400;width:4680;height:2381" type="#_x0000_t75" stroked="false">
              <v:imagedata r:id="rId61" o:title=""/>
            </v:shape>
            <v:line style="position:absolute" from="7133,11093" to="7517,11093" stroked="true" strokeweight="2.16pt" strokecolor="#3b679a">
              <v:stroke dashstyle="solid"/>
            </v:line>
            <v:line style="position:absolute" from="8023,11093" to="8407,11093" stroked="true" strokeweight="2.16pt" strokecolor="#9d3c39">
              <v:stroke dashstyle="solid"/>
            </v:line>
            <v:line style="position:absolute" from="8916,11093" to="9300,11093" stroked="true" strokeweight="2.16pt" strokecolor="#7c9744">
              <v:stroke dashstyle="solid"/>
            </v:line>
            <v:line style="position:absolute" from="9809,11093" to="10193,11093" stroked="true" strokeweight="2.16pt" strokecolor="#664e83">
              <v:stroke dashstyle="solid"/>
            </v:line>
            <v:line style="position:absolute" from="7133,11333" to="7517,11333" stroked="true" strokeweight="2.16pt" strokecolor="#497dba">
              <v:stroke dashstyle="solid"/>
            </v:line>
            <v:line style="position:absolute" from="8023,11333" to="8407,11333" stroked="true" strokeweight="2.16pt" strokecolor="#bd4a47">
              <v:stroke dashstyle="solid"/>
            </v:line>
            <v:line style="position:absolute" from="8916,11333" to="9300,11333" stroked="true" strokeweight="2.16pt" strokecolor="#97b853">
              <v:stroke dashstyle="solid"/>
            </v:line>
            <v:line style="position:absolute" from="9809,11333" to="10193,11333" stroked="true" strokeweight="2.16pt" strokecolor="#46aac5">
              <v:stroke dashstyle="solid"/>
            </v:line>
            <w10:wrap type="none"/>
          </v:group>
        </w:pict>
      </w:r>
    </w:p>
    <w:sectPr>
      <w:footerReference w:type="default" r:id="rId57"/>
      <w:pgSz w:w="11910" w:h="16840"/>
      <w:pgMar w:footer="1334" w:header="0" w:top="1580" w:bottom="1520" w:left="260" w:right="240"/>
      <w:pgNumType w:start="2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49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574809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5747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13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712256" type="#_x0000_t202" filled="false" stroked="false">
          <v:textbox inset="0,0,0,0">
            <w:txbxContent>
              <w:p>
                <w:pPr>
                  <w:pStyle w:val="BodyText"/>
                  <w:rPr>
                    <w:sz w:val="2"/>
                  </w:rPr>
                </w:pPr>
              </w:p>
              <w:p>
                <w:pPr>
                  <w:spacing w:before="0"/>
                  <w:ind w:left="0" w:right="0" w:firstLine="0"/>
                  <w:jc w:val="center"/>
                  <w:rPr>
                    <w:sz w:val="2"/>
                  </w:rPr>
                </w:pPr>
                <w:r>
                  <w:rPr>
                    <w:sz w:val="2"/>
                  </w:rPr>
                  <w:t>10</w:t>
                </w:r>
              </w:p>
            </w:txbxContent>
          </v:textbox>
          <w10:wrap type="none"/>
        </v:shape>
      </w:pict>
    </w:r>
    <w:r>
      <w:rPr/>
      <w:pict>
        <v:shape style="position:absolute;margin-left:43.400002pt;margin-top:771.999451pt;width:466.9pt;height:13.15pt;mso-position-horizontal-relative:page;mso-position-vertical-relative:page;z-index:-2557112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710208"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091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708160" type="#_x0000_t202" filled="false" stroked="false">
          <v:textbox inset="0,0,0,0">
            <w:txbxContent>
              <w:p>
                <w:pPr>
                  <w:pStyle w:val="BodyText"/>
                  <w:rPr>
                    <w:sz w:val="2"/>
                  </w:rPr>
                </w:pPr>
              </w:p>
              <w:p>
                <w:pPr>
                  <w:spacing w:before="0"/>
                  <w:ind w:left="0" w:right="0" w:firstLine="0"/>
                  <w:jc w:val="center"/>
                  <w:rPr>
                    <w:sz w:val="2"/>
                  </w:rPr>
                </w:pPr>
                <w:r>
                  <w:rPr>
                    <w:sz w:val="2"/>
                  </w:rPr>
                  <w:t>11</w:t>
                </w:r>
              </w:p>
            </w:txbxContent>
          </v:textbox>
          <w10:wrap type="none"/>
        </v:shape>
      </w:pict>
    </w:r>
    <w:r>
      <w:rPr/>
      <w:pict>
        <v:shape style="position:absolute;margin-left:43.400002pt;margin-top:771.999451pt;width:466.9pt;height:13.15pt;mso-position-horizontal-relative:page;mso-position-vertical-relative:page;z-index:-25570713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706112"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050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3pt;height:3.1pt;mso-position-horizontal-relative:page;mso-position-vertical-relative:page;z-index:-255704064" type="#_x0000_t202" filled="false" stroked="false">
          <v:textbox inset="0,0,0,0">
            <w:txbxContent>
              <w:p>
                <w:pPr>
                  <w:pStyle w:val="BodyText"/>
                  <w:rPr>
                    <w:sz w:val="2"/>
                  </w:rPr>
                </w:pPr>
              </w:p>
              <w:p>
                <w:pPr>
                  <w:spacing w:before="0"/>
                  <w:ind w:left="0" w:right="0" w:firstLine="0"/>
                  <w:jc w:val="center"/>
                  <w:rPr>
                    <w:sz w:val="2"/>
                  </w:rPr>
                </w:pPr>
                <w:r>
                  <w:rPr>
                    <w:sz w:val="2"/>
                  </w:rPr>
                  <w:t>12</w:t>
                </w:r>
              </w:p>
            </w:txbxContent>
          </v:textbox>
          <w10:wrap type="none"/>
        </v:shape>
      </w:pict>
    </w:r>
    <w:r>
      <w:rPr/>
      <w:pict>
        <v:shape style="position:absolute;margin-left:43.400002pt;margin-top:771.999451pt;width:466.9pt;height:13.15pt;mso-position-horizontal-relative:page;mso-position-vertical-relative:page;z-index:-25570304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702016" type="#_x0000_t202" filled="false" stroked="false">
          <v:textbox inset="0,0,0,0">
            <w:txbxContent>
              <w:p>
                <w:pPr>
                  <w:pStyle w:val="BodyText"/>
                  <w:spacing w:before="12"/>
                  <w:ind w:left="20"/>
                </w:pPr>
                <w:r>
                  <w:rPr/>
                  <w:t>12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009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69996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466.9pt;height:13.15pt;mso-position-horizontal-relative:page;mso-position-vertical-relative:page;z-index:-25569894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697920" type="#_x0000_t202" filled="false" stroked="false">
          <v:textbox inset="0,0,0,0">
            <w:txbxContent>
              <w:p>
                <w:pPr>
                  <w:pStyle w:val="BodyText"/>
                  <w:spacing w:before="12"/>
                  <w:ind w:left="20"/>
                </w:pPr>
                <w:r>
                  <w:rPr/>
                  <w:t>13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69689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69587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466.9pt;height:13.15pt;mso-position-horizontal-relative:page;mso-position-vertical-relative:page;z-index:-25569484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693824" type="#_x0000_t202" filled="false" stroked="false">
          <v:textbox inset="0,0,0,0">
            <w:txbxContent>
              <w:p>
                <w:pPr>
                  <w:pStyle w:val="BodyText"/>
                  <w:spacing w:before="12"/>
                  <w:ind w:left="20"/>
                </w:pPr>
                <w:r>
                  <w:rPr/>
                  <w:t>20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6928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69177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43.400002pt;margin-top:771.999451pt;width:466.9pt;height:13.15pt;mso-position-horizontal-relative:page;mso-position-vertical-relative:page;z-index:-2556907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689728" type="#_x0000_t202" filled="false" stroked="false">
          <v:textbox inset="0,0,0,0">
            <w:txbxContent>
              <w:p>
                <w:pPr>
                  <w:pStyle w:val="BodyText"/>
                  <w:spacing w:before="12"/>
                  <w:ind w:left="20"/>
                </w:pPr>
                <w:r>
                  <w:rPr/>
                  <w:t>21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6887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568768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22</w:t>
                </w:r>
                <w:r>
                  <w:rPr/>
                  <w:fldChar w:fldCharType="end"/>
                </w:r>
              </w:p>
            </w:txbxContent>
          </v:textbox>
          <w10:wrap type="none"/>
        </v:shape>
      </w:pict>
    </w:r>
    <w:r>
      <w:rPr/>
      <w:pict>
        <v:shape style="position:absolute;margin-left:43.400002pt;margin-top:771.999451pt;width:466.9pt;height:13.15pt;mso-position-horizontal-relative:page;mso-position-vertical-relative:page;z-index:-25568665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5685632" type="#_x0000_t202" filled="false" stroked="false">
          <v:textbox inset="0,0,0,0">
            <w:txbxContent>
              <w:p>
                <w:pPr>
                  <w:pStyle w:val="BodyText"/>
                  <w:spacing w:before="12"/>
                  <w:ind w:left="20"/>
                </w:pPr>
                <w:r>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460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4502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57440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4297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419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40928"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466.9pt;height:13.15pt;mso-position-horizontal-relative:page;mso-position-vertical-relative:page;z-index:-2557399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3888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378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36832"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466.9pt;height:13.15pt;mso-position-horizontal-relative:page;mso-position-vertical-relative:page;z-index:-2557358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3478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337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32736"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466.9pt;height:13.15pt;mso-position-horizontal-relative:page;mso-position-vertical-relative:page;z-index:-2557317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30688"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29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28640"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466.9pt;height:13.15pt;mso-position-horizontal-relative:page;mso-position-vertical-relative:page;z-index:-2557276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26592"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25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24544"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466.9pt;height:13.15pt;mso-position-horizontal-relative:page;mso-position-vertical-relative:page;z-index:-25572352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22496"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21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20448"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466.9pt;height:13.15pt;mso-position-horizontal-relative:page;mso-position-vertical-relative:page;z-index:-25571942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18400"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5717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5716352"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43.400002pt;margin-top:771.999451pt;width:466.9pt;height:13.15pt;mso-position-horizontal-relative:page;mso-position-vertical-relative:page;z-index:-25571532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5714304"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16"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508" w:hanging="360"/>
      </w:pPr>
      <w:rPr>
        <w:rFonts w:hint="default"/>
        <w:lang w:val="en-gb" w:eastAsia="en-gb" w:bidi="en-gb"/>
      </w:rPr>
    </w:lvl>
    <w:lvl w:ilvl="2">
      <w:start w:val="0"/>
      <w:numFmt w:val="bullet"/>
      <w:lvlText w:val="•"/>
      <w:lvlJc w:val="left"/>
      <w:pPr>
        <w:ind w:left="3497" w:hanging="360"/>
      </w:pPr>
      <w:rPr>
        <w:rFonts w:hint="default"/>
        <w:lang w:val="en-gb" w:eastAsia="en-gb" w:bidi="en-gb"/>
      </w:rPr>
    </w:lvl>
    <w:lvl w:ilvl="3">
      <w:start w:val="0"/>
      <w:numFmt w:val="bullet"/>
      <w:lvlText w:val="•"/>
      <w:lvlJc w:val="left"/>
      <w:pPr>
        <w:ind w:left="4485" w:hanging="360"/>
      </w:pPr>
      <w:rPr>
        <w:rFonts w:hint="default"/>
        <w:lang w:val="en-gb" w:eastAsia="en-gb" w:bidi="en-gb"/>
      </w:rPr>
    </w:lvl>
    <w:lvl w:ilvl="4">
      <w:start w:val="0"/>
      <w:numFmt w:val="bullet"/>
      <w:lvlText w:val="•"/>
      <w:lvlJc w:val="left"/>
      <w:pPr>
        <w:ind w:left="5474" w:hanging="360"/>
      </w:pPr>
      <w:rPr>
        <w:rFonts w:hint="default"/>
        <w:lang w:val="en-gb" w:eastAsia="en-gb" w:bidi="en-gb"/>
      </w:rPr>
    </w:lvl>
    <w:lvl w:ilvl="5">
      <w:start w:val="0"/>
      <w:numFmt w:val="bullet"/>
      <w:lvlText w:val="•"/>
      <w:lvlJc w:val="left"/>
      <w:pPr>
        <w:ind w:left="6463" w:hanging="360"/>
      </w:pPr>
      <w:rPr>
        <w:rFonts w:hint="default"/>
        <w:lang w:val="en-gb" w:eastAsia="en-gb" w:bidi="en-gb"/>
      </w:rPr>
    </w:lvl>
    <w:lvl w:ilvl="6">
      <w:start w:val="0"/>
      <w:numFmt w:val="bullet"/>
      <w:lvlText w:val="•"/>
      <w:lvlJc w:val="left"/>
      <w:pPr>
        <w:ind w:left="7451" w:hanging="360"/>
      </w:pPr>
      <w:rPr>
        <w:rFonts w:hint="default"/>
        <w:lang w:val="en-gb" w:eastAsia="en-gb" w:bidi="en-gb"/>
      </w:rPr>
    </w:lvl>
    <w:lvl w:ilvl="7">
      <w:start w:val="0"/>
      <w:numFmt w:val="bullet"/>
      <w:lvlText w:val="•"/>
      <w:lvlJc w:val="left"/>
      <w:pPr>
        <w:ind w:left="8440" w:hanging="360"/>
      </w:pPr>
      <w:rPr>
        <w:rFonts w:hint="default"/>
        <w:lang w:val="en-gb" w:eastAsia="en-gb" w:bidi="en-gb"/>
      </w:rPr>
    </w:lvl>
    <w:lvl w:ilvl="8">
      <w:start w:val="0"/>
      <w:numFmt w:val="bullet"/>
      <w:lvlText w:val="•"/>
      <w:lvlJc w:val="left"/>
      <w:pPr>
        <w:ind w:left="9429"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ind w:left="1516" w:hanging="361"/>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hyperlink" Target="http://www.bankofengland.co.uk/education/Documents/resources/postcards/qecomp.pdf" TargetMode="Externa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hyperlink" Target="http://www.federalreserve.gov/boarddocs/speeches/2003/20030531/" TargetMode="External"/><Relationship Id="rId22" Type="http://schemas.openxmlformats.org/officeDocument/2006/relationships/hyperlink" Target="http://www.federalreserve.gov/boarddocs/speeches/2004/20040415/default.htm" TargetMode="External"/><Relationship Id="rId23" Type="http://schemas.openxmlformats.org/officeDocument/2006/relationships/hyperlink" Target="http://www.bankofengland.co.uk/publications/Documents/speeches/2014/speech770.pdf" TargetMode="External"/><Relationship Id="rId24" Type="http://schemas.openxmlformats.org/officeDocument/2006/relationships/hyperlink" Target="https://bankunderground.co.uk/2015/08/11/an-estimate-of-the-uks-natural-rate-of-interest/" TargetMode="External"/><Relationship Id="rId25" Type="http://schemas.openxmlformats.org/officeDocument/2006/relationships/hyperlink" Target="http://www.bankofengland.co.uk/archive/Documents/historicpubs/speeches/2009/speech394.pdf" TargetMode="External"/><Relationship Id="rId26" Type="http://schemas.openxmlformats.org/officeDocument/2006/relationships/hyperlink" Target="http://www.bankofengland.co.uk/publications/Documents/speeches/2015/speech818.pdf" TargetMode="External"/><Relationship Id="rId27" Type="http://schemas.openxmlformats.org/officeDocument/2006/relationships/hyperlink" Target="http://www.bankofengland.co.uk/publications/Documents/speeches/2016/speech872.pdf" TargetMode="External"/><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footer" Target="footer15.xml"/><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footer" Target="footer16.xml"/><Relationship Id="rId58" Type="http://schemas.openxmlformats.org/officeDocument/2006/relationships/image" Target="media/image30.png"/><Relationship Id="rId59" Type="http://schemas.openxmlformats.org/officeDocument/2006/relationships/image" Target="media/image31.png"/><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Gertjan Vlieghe at the London Business School, London, Thursday 19 May 2016</dc:title>
  <dcterms:created xsi:type="dcterms:W3CDTF">2020-06-02T17:59:48Z</dcterms:created>
  <dcterms:modified xsi:type="dcterms:W3CDTF">2020-06-02T17:59:48Z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2016-05-20T00:00:00Z</vt:filetime>
  </property>
  <property fmtid="{D5CDD505-2E9C-101B-9397-08002B2CF9AE}" pid="3" name="LastSaved">
    <vt:filetime>2020-06-02T00:00:00Z</vt:filetime>
  </property>
</Properties>
</file>