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Money and Credit: Banking and the Macroeconomy</w:t>
      </w:r>
    </w:p>
    <w:p>
      <w:pPr>
        <w:pStyle w:val="BodyText"/>
        <w:spacing w:before="281"/>
        <w:ind w:left="352"/>
        <w:rPr>
          <w:rFonts w:ascii="Arial"/>
        </w:rPr>
      </w:pPr>
      <w:r>
        <w:rPr>
          <w:rFonts w:ascii="Arial"/>
        </w:rPr>
        <w:t>Speech given by</w:t>
      </w:r>
    </w:p>
    <w:p>
      <w:pPr>
        <w:pStyle w:val="BodyText"/>
        <w:spacing w:line="360" w:lineRule="auto" w:before="136"/>
        <w:ind w:left="352" w:right="1094"/>
        <w:rPr>
          <w:rFonts w:ascii="Arial"/>
        </w:rPr>
      </w:pPr>
      <w:r>
        <w:rPr>
          <w:rFonts w:ascii="Arial"/>
        </w:rPr>
        <w:t>Paul Tucker, Executive Director, Markets and a Member of the Monetary Policy Committee, Bank of England</w:t>
      </w:r>
    </w:p>
    <w:p>
      <w:pPr>
        <w:pStyle w:val="BodyText"/>
        <w:spacing w:before="2"/>
        <w:rPr>
          <w:rFonts w:ascii="Arial"/>
          <w:sz w:val="36"/>
        </w:rPr>
      </w:pPr>
    </w:p>
    <w:p>
      <w:pPr>
        <w:pStyle w:val="BodyText"/>
        <w:spacing w:line="360" w:lineRule="auto"/>
        <w:ind w:left="352" w:right="3067"/>
        <w:rPr>
          <w:rFonts w:ascii="Arial"/>
        </w:rPr>
      </w:pPr>
      <w:r>
        <w:rPr>
          <w:rFonts w:ascii="Arial"/>
        </w:rPr>
        <w:t>At the Monetary Policy and the Markets Conference, London 13 December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0"/>
        </w:rPr>
      </w:pPr>
    </w:p>
    <w:p>
      <w:pPr>
        <w:spacing w:before="94"/>
        <w:ind w:left="352" w:right="554" w:firstLine="0"/>
        <w:jc w:val="left"/>
        <w:rPr>
          <w:rFonts w:ascii="Arial"/>
          <w:sz w:val="18"/>
        </w:rPr>
      </w:pPr>
      <w:r>
        <w:rPr>
          <w:rFonts w:ascii="Arial"/>
          <w:sz w:val="18"/>
        </w:rPr>
        <w:t>My thanks for comments and/or for background work to Peter Andrews, Charlie Bean, Tim Besley, Roger Clews, Andy Haldane, Colin Miles, James Proudman and Iain de Weymarn. Special thanks to Jing Yang and Alex Haberis. For comments and background work to Damien Lynch. And for secretarial support to Sandra Bannister and Cheryl Feeney.</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line="717" w:lineRule="auto" w:before="84"/>
        <w:ind w:left="112" w:right="1997"/>
      </w:pPr>
      <w:r>
        <w:rPr/>
        <w:t>MONETARY POLICY AND THE MARKETS CONFERENCE MONEY AND CREDIT: BANKING AND THE MACROECONOMY</w:t>
      </w:r>
    </w:p>
    <w:p>
      <w:pPr>
        <w:pStyle w:val="BodyText"/>
        <w:spacing w:line="360" w:lineRule="auto" w:before="1"/>
        <w:ind w:left="112" w:right="152"/>
      </w:pPr>
      <w:r>
        <w:rPr/>
        <w:t>Each month the MPC sets a policy rate, Bank Rate, that will prevail until our </w:t>
      </w:r>
      <w:r>
        <w:rPr>
          <w:spacing w:val="-3"/>
        </w:rPr>
        <w:t>next </w:t>
      </w:r>
      <w:r>
        <w:rPr/>
        <w:t>policy meeting. But </w:t>
      </w:r>
      <w:r>
        <w:rPr>
          <w:spacing w:val="-3"/>
        </w:rPr>
        <w:t>no </w:t>
      </w:r>
      <w:r>
        <w:rPr/>
        <w:t>one – here today, </w:t>
      </w:r>
      <w:r>
        <w:rPr>
          <w:spacing w:val="-3"/>
        </w:rPr>
        <w:t>in </w:t>
      </w:r>
      <w:r>
        <w:rPr/>
        <w:t>the market, or on the Committee – thinks that setting the overnight money market rate for the coming 30 days can </w:t>
      </w:r>
      <w:r>
        <w:rPr>
          <w:spacing w:val="-3"/>
        </w:rPr>
        <w:t>be </w:t>
      </w:r>
      <w:r>
        <w:rPr/>
        <w:t>enough to steer demand conditions and maintain stable inflation. Rather, policy works on the basis of expectations of the path of the Bank Rate </w:t>
      </w:r>
      <w:r>
        <w:rPr>
          <w:spacing w:val="-3"/>
        </w:rPr>
        <w:t>in </w:t>
      </w:r>
      <w:r>
        <w:rPr/>
        <w:t>the future, and of how our policy settings will vary according to economic conditions: the so­called ‘reaction</w:t>
      </w:r>
      <w:r>
        <w:rPr>
          <w:spacing w:val="6"/>
        </w:rPr>
        <w:t> </w:t>
      </w:r>
      <w:r>
        <w:rPr/>
        <w:t>function’.</w:t>
      </w:r>
    </w:p>
    <w:p>
      <w:pPr>
        <w:pStyle w:val="BodyText"/>
        <w:spacing w:before="1"/>
        <w:rPr>
          <w:sz w:val="36"/>
        </w:rPr>
      </w:pPr>
    </w:p>
    <w:p>
      <w:pPr>
        <w:pStyle w:val="BodyText"/>
        <w:spacing w:line="360" w:lineRule="auto" w:before="1"/>
        <w:ind w:left="112" w:right="186"/>
      </w:pPr>
      <w:r>
        <w:rPr/>
        <w:t>Perceptions of the reaction function therefore matter a lot and a great deal of effort goes into being transparent about the three inputs: the Committee’s objective; the MPC’s views on the shocks to demand and supply affecting the economy; and our views on how the economy works and how our policy settings affect it. This conference is focused on one important element of this: the role of financial markets in the setting and transmission of monetary policy. That is covered in the Bank’s publications on how the economy works, including the Committee’s 1999 paper on the Monetary Transmission Mechanism (MTM), and books describing the models used in forecasting.</w:t>
      </w:r>
      <w:r>
        <w:rPr>
          <w:vertAlign w:val="superscript"/>
        </w:rPr>
        <w:t>1</w:t>
      </w:r>
      <w:r>
        <w:rPr>
          <w:vertAlign w:val="baseline"/>
        </w:rPr>
        <w:t> But those high­level descriptions miss out an awful lot about how the real and financial parts of the economy connect. Financial variables are limited to the short­term interest rate, the exchange rate, and equities. Nothing on the role of long­maturity interest rates, or on credit spreads and risk premia – which misses out a whole universe of financial asset prices.</w:t>
      </w:r>
    </w:p>
    <w:p>
      <w:pPr>
        <w:pStyle w:val="BodyText"/>
        <w:spacing w:line="362" w:lineRule="auto"/>
        <w:ind w:left="112" w:right="152"/>
      </w:pPr>
      <w:r>
        <w:rPr/>
        <w:t>Very little on credit more generally. Next to nothing on money. And nothing at all on the role of bank intermediation.</w:t>
      </w:r>
    </w:p>
    <w:p>
      <w:pPr>
        <w:pStyle w:val="BodyText"/>
        <w:spacing w:before="3"/>
        <w:rPr>
          <w:sz w:val="35"/>
        </w:rPr>
      </w:pPr>
    </w:p>
    <w:p>
      <w:pPr>
        <w:pStyle w:val="BodyText"/>
        <w:spacing w:line="360" w:lineRule="auto" w:before="1"/>
        <w:ind w:left="112" w:right="116"/>
      </w:pPr>
      <w:r>
        <w:rPr/>
        <w:t>These gaps were perhaps underlined by a degree of confusion amongst commentators about the way in which Money and Credit featured somewhat more prominently in the Committee’s discussions during the backend of 2006 and into this year (Chart 1). With both having been strong for a while, some asked whether this marked some kind of change in the reaction function, implying a greater stress on nominal variables.</w:t>
      </w:r>
    </w:p>
    <w:p>
      <w:pPr>
        <w:pStyle w:val="BodyText"/>
        <w:spacing w:before="2"/>
        <w:rPr>
          <w:sz w:val="36"/>
        </w:rPr>
      </w:pPr>
    </w:p>
    <w:p>
      <w:pPr>
        <w:pStyle w:val="BodyText"/>
        <w:spacing w:line="360" w:lineRule="auto"/>
        <w:ind w:left="112" w:right="234"/>
      </w:pPr>
      <w:r>
        <w:rPr/>
        <w:t>Given the near identity of deposits and bank lending, Money and Credit are often used almost inseparably, even interchangeably, with wider measures of non­bank credit looked at only when assessing the health of corporate and household sector balance sheets. But in some</w:t>
      </w:r>
    </w:p>
    <w:p>
      <w:pPr>
        <w:spacing w:after="0" w:line="360" w:lineRule="auto"/>
        <w:sectPr>
          <w:headerReference w:type="default" r:id="rId7"/>
          <w:pgSz w:w="11910" w:h="16840"/>
          <w:pgMar w:header="713" w:footer="0" w:top="1340" w:bottom="280" w:left="1140" w:right="1180"/>
          <w:pgNumType w:start="2"/>
        </w:sectPr>
      </w:pPr>
    </w:p>
    <w:p>
      <w:pPr>
        <w:pStyle w:val="BodyText"/>
        <w:spacing w:line="360" w:lineRule="auto" w:before="80"/>
        <w:ind w:left="112" w:right="159"/>
      </w:pPr>
      <w:r>
        <w:rPr/>
        <w:t>circumstances one can do better to approach things the other way round, starting with general credit conditions, examining the interactions of non­bank and bank lending, and then broad money as a (partial) counterpart to M4L.  My remarks today will follow that structure, which will provide a framework for </w:t>
      </w:r>
      <w:r>
        <w:rPr>
          <w:spacing w:val="-4"/>
        </w:rPr>
        <w:t>some </w:t>
      </w:r>
      <w:r>
        <w:rPr/>
        <w:t>observations about the current tightening </w:t>
      </w:r>
      <w:r>
        <w:rPr>
          <w:spacing w:val="-3"/>
        </w:rPr>
        <w:t>in </w:t>
      </w:r>
      <w:r>
        <w:rPr/>
        <w:t>credit conditions, as well as about the preceding</w:t>
      </w:r>
      <w:r>
        <w:rPr>
          <w:spacing w:val="-5"/>
        </w:rPr>
        <w:t> </w:t>
      </w:r>
      <w:r>
        <w:rPr/>
        <w:t>expansion.</w:t>
      </w:r>
    </w:p>
    <w:p>
      <w:pPr>
        <w:pStyle w:val="BodyText"/>
        <w:spacing w:before="2"/>
        <w:rPr>
          <w:sz w:val="36"/>
        </w:rPr>
      </w:pPr>
    </w:p>
    <w:p>
      <w:pPr>
        <w:pStyle w:val="Heading1"/>
        <w:ind w:left="112"/>
      </w:pPr>
      <w:r>
        <w:rPr/>
        <w:t>Credit</w:t>
      </w:r>
    </w:p>
    <w:p>
      <w:pPr>
        <w:pStyle w:val="BodyText"/>
        <w:rPr>
          <w:b/>
          <w:sz w:val="26"/>
        </w:rPr>
      </w:pPr>
    </w:p>
    <w:p>
      <w:pPr>
        <w:pStyle w:val="BodyText"/>
        <w:spacing w:before="9"/>
        <w:rPr>
          <w:b/>
          <w:sz w:val="21"/>
        </w:rPr>
      </w:pPr>
    </w:p>
    <w:p>
      <w:pPr>
        <w:pStyle w:val="BodyText"/>
        <w:spacing w:line="360" w:lineRule="auto"/>
        <w:ind w:left="112" w:right="107"/>
      </w:pPr>
      <w:r>
        <w:rPr/>
        <w:t>Credit is, of course, vital to any economy, enabling households and firms to make choices about whether to bring forward or defer spending from income. There are conditions in which it would play no active role, passively reflecting cyclical fluctuations in output, employment and inflation. In a world of more or less complete transparency between borrowers and lenders, very low transactions costs, and very low risk aversion, access to credit would not be rationed; and ex ante yields on financial assets, including loans and bonds, would not embody risk premia. So if households and firms wanted to bring forward spending in the face of shocks to the economy, they would be able to do so restricted only by their need to remain solvent.</w:t>
      </w:r>
    </w:p>
    <w:p>
      <w:pPr>
        <w:pStyle w:val="BodyText"/>
        <w:spacing w:before="11"/>
        <w:rPr>
          <w:sz w:val="35"/>
        </w:rPr>
      </w:pPr>
    </w:p>
    <w:p>
      <w:pPr>
        <w:pStyle w:val="BodyText"/>
        <w:spacing w:line="360" w:lineRule="auto"/>
        <w:ind w:left="112" w:right="152"/>
      </w:pPr>
      <w:r>
        <w:rPr/>
        <w:t>But nobody believes that that is a description of the real world in which households and companies manage their affairs. Both are, to a greater or lesser degree, rationed in their access to credit, given that borrowers know a great deal more about their conditions and prospects than do risk­averse lenders, and that lenders face obstacles in ensuring that borrowers honour their contracts.</w:t>
      </w:r>
      <w:r>
        <w:rPr>
          <w:vertAlign w:val="superscript"/>
        </w:rPr>
        <w:t>2</w:t>
      </w:r>
      <w:r>
        <w:rPr>
          <w:vertAlign w:val="baseline"/>
        </w:rPr>
        <w:t> The availability, price and terms of credit– whether unsecured or secured – will be sensitive to a range of factors, including assessments of the idiosyncratic risks of a particular borrower, and the risks common across borrowers. Variations in these factors give rise to the possibility of a credit cycle.</w:t>
      </w:r>
    </w:p>
    <w:p>
      <w:pPr>
        <w:pStyle w:val="BodyText"/>
        <w:spacing w:before="10"/>
        <w:rPr>
          <w:sz w:val="35"/>
        </w:rPr>
      </w:pPr>
    </w:p>
    <w:p>
      <w:pPr>
        <w:pStyle w:val="BodyText"/>
        <w:spacing w:line="360" w:lineRule="auto" w:before="1"/>
        <w:ind w:left="112" w:right="100"/>
      </w:pPr>
      <w:r>
        <w:rPr/>
        <w:t>A borrower’s ability to pledge collateral can help to overcome the problems of ‘asymmetric information’ and enforceability, by evidencing its net worth and giving it a continuing stake in its contract with the lender. This can give rise to the so­called ‘financial accelerator’ channel of the Monetary Transmission Mechanism (MTM), in which monetary policy works partly by affecting lending terms through its effect on asset values and so the net worth of borrowers.</w:t>
      </w:r>
      <w:r>
        <w:rPr>
          <w:vertAlign w:val="superscript"/>
        </w:rPr>
        <w:t>3</w:t>
      </w:r>
    </w:p>
    <w:p>
      <w:pPr>
        <w:spacing w:after="0" w:line="360" w:lineRule="auto"/>
        <w:sectPr>
          <w:pgSz w:w="11910" w:h="16840"/>
          <w:pgMar w:header="713" w:footer="0" w:top="1340" w:bottom="280" w:left="1140" w:right="1180"/>
        </w:sectPr>
      </w:pPr>
    </w:p>
    <w:p>
      <w:pPr>
        <w:pStyle w:val="BodyText"/>
        <w:spacing w:line="360" w:lineRule="auto" w:before="80"/>
        <w:ind w:left="112" w:right="221"/>
      </w:pPr>
      <w:r>
        <w:rPr/>
        <w:t>But credit conditions also depend on the access to credit of the </w:t>
      </w:r>
      <w:r>
        <w:rPr>
          <w:i/>
        </w:rPr>
        <w:t>lenders </w:t>
      </w:r>
      <w:r>
        <w:rPr/>
        <w:t>themselves. There is an important distinction here between intermediation across bank balance sheets and via the capital markets, although as I shall describe it turns out to be blurred.</w:t>
      </w:r>
    </w:p>
    <w:p>
      <w:pPr>
        <w:pStyle w:val="BodyText"/>
        <w:spacing w:before="4"/>
        <w:rPr>
          <w:sz w:val="36"/>
        </w:rPr>
      </w:pPr>
    </w:p>
    <w:p>
      <w:pPr>
        <w:pStyle w:val="Heading1"/>
        <w:ind w:left="112"/>
      </w:pPr>
      <w:r>
        <w:rPr/>
        <w:t>Total credit: capital markets and securitisation</w:t>
      </w:r>
    </w:p>
    <w:p>
      <w:pPr>
        <w:pStyle w:val="BodyText"/>
        <w:rPr>
          <w:b/>
          <w:sz w:val="26"/>
        </w:rPr>
      </w:pPr>
    </w:p>
    <w:p>
      <w:pPr>
        <w:pStyle w:val="BodyText"/>
        <w:spacing w:before="5"/>
        <w:rPr>
          <w:b/>
          <w:sz w:val="21"/>
        </w:rPr>
      </w:pPr>
    </w:p>
    <w:p>
      <w:pPr>
        <w:pStyle w:val="BodyText"/>
        <w:spacing w:line="360" w:lineRule="auto"/>
        <w:ind w:left="112" w:right="234"/>
      </w:pPr>
      <w:r>
        <w:rPr/>
        <w:t>For the moment, I shall put that distinction to one side in order to focus on total credit. A series of environmental changes over the past decade or so have affected the quantity and price of credit generally. Greater macroeconomic stability, and perceptions that it will persist more or less uninterrupted, probably increased the supply of credit; and by reducing risk premia, may have increased demand too (Diagram A)</w:t>
      </w:r>
    </w:p>
    <w:p>
      <w:pPr>
        <w:pStyle w:val="BodyText"/>
        <w:rPr>
          <w:sz w:val="26"/>
        </w:rPr>
      </w:pPr>
    </w:p>
    <w:p>
      <w:pPr>
        <w:pStyle w:val="BodyText"/>
        <w:spacing w:before="1"/>
        <w:rPr>
          <w:sz w:val="31"/>
        </w:rPr>
      </w:pPr>
    </w:p>
    <w:p>
      <w:pPr>
        <w:pStyle w:val="BodyText"/>
        <w:spacing w:line="360" w:lineRule="auto"/>
        <w:ind w:left="112" w:right="114"/>
      </w:pPr>
      <w:r>
        <w:rPr/>
        <w:t>Other developments are more likely to </w:t>
      </w:r>
      <w:r>
        <w:rPr>
          <w:spacing w:val="-3"/>
        </w:rPr>
        <w:t>have </w:t>
      </w:r>
      <w:r>
        <w:rPr/>
        <w:t>worked purely through credit supply. The </w:t>
      </w:r>
      <w:r>
        <w:rPr>
          <w:spacing w:val="-3"/>
        </w:rPr>
        <w:t>most </w:t>
      </w:r>
      <w:r>
        <w:rPr/>
        <w:t>obvious </w:t>
      </w:r>
      <w:r>
        <w:rPr>
          <w:spacing w:val="-3"/>
        </w:rPr>
        <w:t>is </w:t>
      </w:r>
      <w:r>
        <w:rPr/>
        <w:t>the growth of instruments such as credit derivatives and securitisation, associated with an increased role for rating agencies </w:t>
      </w:r>
      <w:r>
        <w:rPr>
          <w:spacing w:val="-3"/>
        </w:rPr>
        <w:t>in </w:t>
      </w:r>
      <w:r>
        <w:rPr/>
        <w:t>monitoring credit </w:t>
      </w:r>
      <w:r>
        <w:rPr>
          <w:spacing w:val="-3"/>
        </w:rPr>
        <w:t>risk. </w:t>
      </w:r>
      <w:r>
        <w:rPr/>
        <w:t>This was </w:t>
      </w:r>
      <w:r>
        <w:rPr>
          <w:spacing w:val="-3"/>
        </w:rPr>
        <w:t>in </w:t>
      </w:r>
      <w:r>
        <w:rPr/>
        <w:t>effect a shock to technology, making portfolios transferable. By offering the prospect of better meeting desired risk profiles and by separating origination from investment, </w:t>
      </w:r>
      <w:r>
        <w:rPr>
          <w:spacing w:val="-5"/>
        </w:rPr>
        <w:t>it </w:t>
      </w:r>
      <w:r>
        <w:rPr/>
        <w:t>has brought more non­bank financial institutions, and so more capital resources, into the credit markets, increasing the supply of credit (Diagram</w:t>
      </w:r>
      <w:r>
        <w:rPr>
          <w:spacing w:val="-2"/>
        </w:rPr>
        <w:t> </w:t>
      </w:r>
      <w:r>
        <w:rPr/>
        <w:t>B).</w:t>
      </w:r>
    </w:p>
    <w:p>
      <w:pPr>
        <w:pStyle w:val="BodyText"/>
        <w:rPr>
          <w:sz w:val="36"/>
        </w:rPr>
      </w:pPr>
    </w:p>
    <w:p>
      <w:pPr>
        <w:pStyle w:val="BodyText"/>
        <w:spacing w:line="360" w:lineRule="auto"/>
        <w:ind w:left="112" w:right="160"/>
      </w:pPr>
      <w:r>
        <w:rPr/>
        <w:t>This seems to have been borne out in the significant shift in actual credit quantities and prices up to the middle of this year.</w:t>
      </w:r>
    </w:p>
    <w:p>
      <w:pPr>
        <w:pStyle w:val="BodyText"/>
        <w:spacing w:before="1"/>
        <w:rPr>
          <w:sz w:val="36"/>
        </w:rPr>
      </w:pPr>
    </w:p>
    <w:p>
      <w:pPr>
        <w:pStyle w:val="BodyText"/>
        <w:spacing w:line="360" w:lineRule="auto" w:before="1"/>
        <w:ind w:left="112" w:right="254"/>
      </w:pPr>
      <w:r>
        <w:rPr/>
        <w:t>In the United Kingdom, non­bank lenders have accounted for a greater share of credit extension to both the household and corporate sectors (Charts 2­4).</w:t>
      </w:r>
    </w:p>
    <w:p>
      <w:pPr>
        <w:pStyle w:val="BodyText"/>
        <w:spacing w:before="7"/>
        <w:rPr>
          <w:sz w:val="35"/>
        </w:rPr>
      </w:pPr>
    </w:p>
    <w:p>
      <w:pPr>
        <w:pStyle w:val="BodyText"/>
        <w:spacing w:line="360" w:lineRule="auto" w:before="1"/>
        <w:ind w:left="112" w:right="152"/>
      </w:pPr>
      <w:r>
        <w:rPr/>
        <w:t>A lot of that has been securitised (Chart 5). For the household sector, spreads on securitised portfolios of both secured and unsecured credit fell between 2003 and 2005 (Chart 6). That will have contributed to the fall in effective rates on the underlying mortgages and personal loans (Chart 7).</w:t>
      </w:r>
    </w:p>
    <w:p>
      <w:pPr>
        <w:pStyle w:val="BodyText"/>
        <w:spacing w:before="3"/>
        <w:rPr>
          <w:sz w:val="36"/>
        </w:rPr>
      </w:pPr>
    </w:p>
    <w:p>
      <w:pPr>
        <w:pStyle w:val="BodyText"/>
        <w:spacing w:line="360" w:lineRule="auto"/>
        <w:ind w:left="112" w:right="333"/>
      </w:pPr>
      <w:r>
        <w:rPr/>
        <w:t>The same broad picture holds for the corporate sector (Chart 8). An illustrative decomposition suggests that, especially for sub­investment grade borrowers, the compression of spreads could</w:t>
      </w:r>
    </w:p>
    <w:p>
      <w:pPr>
        <w:spacing w:after="0" w:line="360" w:lineRule="auto"/>
        <w:sectPr>
          <w:pgSz w:w="11910" w:h="16840"/>
          <w:pgMar w:header="713" w:footer="0" w:top="1340" w:bottom="280" w:left="1140" w:right="1180"/>
        </w:sectPr>
      </w:pPr>
    </w:p>
    <w:p>
      <w:pPr>
        <w:pStyle w:val="BodyText"/>
        <w:spacing w:line="360" w:lineRule="auto" w:before="80"/>
        <w:ind w:left="112" w:right="793"/>
      </w:pPr>
      <w:r>
        <w:rPr/>
        <w:t>not be explained solely by reduced compensation for default risk, with the excess possibly reflecting lower liquidity premia (Chart 9).</w:t>
      </w:r>
      <w:r>
        <w:rPr>
          <w:vertAlign w:val="superscript"/>
        </w:rPr>
        <w:t>4</w:t>
      </w:r>
    </w:p>
    <w:p>
      <w:pPr>
        <w:pStyle w:val="BodyText"/>
        <w:spacing w:before="1"/>
        <w:rPr>
          <w:sz w:val="36"/>
        </w:rPr>
      </w:pPr>
    </w:p>
    <w:p>
      <w:pPr>
        <w:pStyle w:val="BodyText"/>
        <w:spacing w:line="360" w:lineRule="auto"/>
        <w:ind w:left="112" w:right="152"/>
      </w:pPr>
      <w:r>
        <w:rPr/>
        <w:t>These falls in spreads were material relative to the changes in the MPC’s Bank Rate and to the risk­free yield curve. For example, in the latest ‘policy cycle’, we increased Bank Rate by 125bp over 11 months from August 2006. During that period, effective rates on new mortgages rose by closer to 50bp. In other words, from around 2003, monetary policy needed to take account of a progressive loosening of credit conditions.</w:t>
      </w:r>
    </w:p>
    <w:p>
      <w:pPr>
        <w:pStyle w:val="BodyText"/>
        <w:spacing w:before="9"/>
        <w:rPr>
          <w:sz w:val="35"/>
        </w:rPr>
      </w:pPr>
    </w:p>
    <w:p>
      <w:pPr>
        <w:pStyle w:val="BodyText"/>
        <w:spacing w:line="360" w:lineRule="auto"/>
        <w:ind w:left="112" w:right="129"/>
      </w:pPr>
      <w:r>
        <w:rPr/>
        <w:t>The tables have now turned. Spreads have risen; the issuance of securitised portfolios </w:t>
      </w:r>
      <w:r>
        <w:rPr>
          <w:spacing w:val="4"/>
        </w:rPr>
        <w:t>of </w:t>
      </w:r>
      <w:r>
        <w:rPr/>
        <w:t>household loans has collapsed; corporate bond issuance has fallen (Charts 10­11). It </w:t>
      </w:r>
      <w:r>
        <w:rPr>
          <w:spacing w:val="-5"/>
        </w:rPr>
        <w:t>is </w:t>
      </w:r>
      <w:r>
        <w:rPr/>
        <w:t>pretty clear that, for the time being, there has been an adverse </w:t>
      </w:r>
      <w:r>
        <w:rPr>
          <w:spacing w:val="-3"/>
        </w:rPr>
        <w:t>shift in </w:t>
      </w:r>
      <w:r>
        <w:rPr/>
        <w:t>the supply </w:t>
      </w:r>
      <w:r>
        <w:rPr>
          <w:spacing w:val="4"/>
        </w:rPr>
        <w:t>of </w:t>
      </w:r>
      <w:r>
        <w:rPr/>
        <w:t>credit from the non­ banking sector. In part, that seems to </w:t>
      </w:r>
      <w:r>
        <w:rPr>
          <w:spacing w:val="-3"/>
        </w:rPr>
        <w:t>be </w:t>
      </w:r>
      <w:r>
        <w:rPr/>
        <w:t>due to investors becoming less confident that they can base decisions about exposures to complex credit portfolios on rating agency ratings; this </w:t>
      </w:r>
      <w:r>
        <w:rPr>
          <w:spacing w:val="-3"/>
        </w:rPr>
        <w:t>is </w:t>
      </w:r>
      <w:r>
        <w:rPr/>
        <w:t>akin to lenders deciding that their monitoring of risk was </w:t>
      </w:r>
      <w:r>
        <w:rPr>
          <w:spacing w:val="-3"/>
        </w:rPr>
        <w:t>less </w:t>
      </w:r>
      <w:r>
        <w:rPr/>
        <w:t>good than they thought.   In part, </w:t>
      </w:r>
      <w:r>
        <w:rPr>
          <w:spacing w:val="-5"/>
        </w:rPr>
        <w:t>it is </w:t>
      </w:r>
      <w:r>
        <w:rPr/>
        <w:t>due to various types of </w:t>
      </w:r>
      <w:r>
        <w:rPr>
          <w:u w:val="single"/>
        </w:rPr>
        <w:t>non­bank</w:t>
      </w:r>
      <w:r>
        <w:rPr/>
        <w:t> investor </w:t>
      </w:r>
      <w:r>
        <w:rPr>
          <w:spacing w:val="-3"/>
        </w:rPr>
        <w:t>in </w:t>
      </w:r>
      <w:r>
        <w:rPr/>
        <w:t>credit finding themselves </w:t>
      </w:r>
      <w:r>
        <w:rPr>
          <w:spacing w:val="-2"/>
        </w:rPr>
        <w:t>facing </w:t>
      </w:r>
      <w:r>
        <w:rPr/>
        <w:t>actual or incipient liquidity pressures. Both as cause and effect, liquidity </w:t>
      </w:r>
      <w:r>
        <w:rPr>
          <w:spacing w:val="-3"/>
        </w:rPr>
        <w:t>in </w:t>
      </w:r>
      <w:r>
        <w:rPr/>
        <w:t>the capital markets </w:t>
      </w:r>
      <w:r>
        <w:rPr>
          <w:spacing w:val="-5"/>
        </w:rPr>
        <w:t>is </w:t>
      </w:r>
      <w:r>
        <w:rPr/>
        <w:t>impaired. This </w:t>
      </w:r>
      <w:r>
        <w:rPr>
          <w:spacing w:val="-5"/>
        </w:rPr>
        <w:t>is </w:t>
      </w:r>
      <w:r>
        <w:rPr/>
        <w:t>apparent </w:t>
      </w:r>
      <w:r>
        <w:rPr>
          <w:spacing w:val="-3"/>
        </w:rPr>
        <w:t>in </w:t>
      </w:r>
      <w:r>
        <w:rPr/>
        <w:t>the opening up of a so­called ‘negative basis’ between the spreads on corporate bond and on equivalent credit­default swaps, which unbundle the transfer of credit risk from the provision of funds and so are </w:t>
      </w:r>
      <w:r>
        <w:rPr>
          <w:spacing w:val="-3"/>
        </w:rPr>
        <w:t>less </w:t>
      </w:r>
      <w:r>
        <w:rPr/>
        <w:t>affected by liquidity hoarding (Chart</w:t>
      </w:r>
      <w:r>
        <w:rPr>
          <w:spacing w:val="4"/>
        </w:rPr>
        <w:t> </w:t>
      </w:r>
      <w:r>
        <w:rPr/>
        <w:t>12).</w:t>
      </w:r>
    </w:p>
    <w:p>
      <w:pPr>
        <w:pStyle w:val="BodyText"/>
        <w:rPr>
          <w:sz w:val="36"/>
        </w:rPr>
      </w:pPr>
    </w:p>
    <w:p>
      <w:pPr>
        <w:spacing w:before="1"/>
        <w:ind w:left="112" w:right="0" w:firstLine="0"/>
        <w:jc w:val="left"/>
        <w:rPr>
          <w:i/>
          <w:sz w:val="24"/>
        </w:rPr>
      </w:pPr>
      <w:r>
        <w:rPr>
          <w:i/>
          <w:sz w:val="24"/>
        </w:rPr>
        <w:t>A twin­engine financial system?</w:t>
      </w:r>
    </w:p>
    <w:p>
      <w:pPr>
        <w:pStyle w:val="BodyText"/>
        <w:rPr>
          <w:i/>
          <w:sz w:val="26"/>
        </w:rPr>
      </w:pPr>
    </w:p>
    <w:p>
      <w:pPr>
        <w:pStyle w:val="BodyText"/>
        <w:spacing w:before="2"/>
        <w:rPr>
          <w:i/>
          <w:sz w:val="22"/>
        </w:rPr>
      </w:pPr>
    </w:p>
    <w:p>
      <w:pPr>
        <w:pStyle w:val="BodyText"/>
        <w:spacing w:line="360" w:lineRule="auto"/>
        <w:ind w:left="112" w:right="186"/>
      </w:pPr>
      <w:r>
        <w:rPr/>
        <w:t>At various times over the past decade or so, it had been argued</w:t>
      </w:r>
      <w:r>
        <w:rPr>
          <w:vertAlign w:val="superscript"/>
        </w:rPr>
        <w:t>5</w:t>
      </w:r>
      <w:r>
        <w:rPr>
          <w:vertAlign w:val="baseline"/>
        </w:rPr>
        <w:t> that the macroeconomy as a whole should be more resilient to shocks to a financial system with ‘twin engines’ – combining capital markets with banking system intermediation of savings and credit. The argument is that when the capital markets are impaired, banking can take more of the burden, and vice versa. I have a good deal of sympathy for this view – but not for all circumstances. It rather overstates the independence of capital markets and banking, as recent developments graphically demonstrate.</w:t>
      </w:r>
    </w:p>
    <w:p>
      <w:pPr>
        <w:pStyle w:val="BodyText"/>
        <w:rPr>
          <w:sz w:val="36"/>
        </w:rPr>
      </w:pPr>
    </w:p>
    <w:p>
      <w:pPr>
        <w:pStyle w:val="BodyText"/>
        <w:spacing w:line="360" w:lineRule="auto"/>
        <w:ind w:left="112" w:right="152"/>
      </w:pPr>
      <w:r>
        <w:rPr/>
        <w:t>First, whether through financing the purchase of credit assets by leveraged funds or warehousing portfolios prior to sale or providing ‘liquidity lines’ to conduits and other investment vehicles, the banking system puts its capital and liquidity behind the distribution of credit risk to the wider</w:t>
      </w:r>
    </w:p>
    <w:p>
      <w:pPr>
        <w:spacing w:after="0" w:line="360" w:lineRule="auto"/>
        <w:sectPr>
          <w:pgSz w:w="11910" w:h="16840"/>
          <w:pgMar w:header="713" w:footer="0" w:top="1340" w:bottom="280" w:left="1140" w:right="1180"/>
        </w:sectPr>
      </w:pPr>
    </w:p>
    <w:p>
      <w:pPr>
        <w:pStyle w:val="BodyText"/>
        <w:spacing w:line="360" w:lineRule="auto" w:before="80"/>
        <w:ind w:left="112" w:right="152"/>
      </w:pPr>
      <w:r>
        <w:rPr/>
        <w:t>asset­manager universe. As the official sector stressed over recent years, it is important to be clear about the circumstances in which risk can flow back to the banking system.</w:t>
      </w:r>
      <w:r>
        <w:rPr>
          <w:vertAlign w:val="superscript"/>
        </w:rPr>
        <w:t>6</w:t>
      </w:r>
    </w:p>
    <w:p>
      <w:pPr>
        <w:pStyle w:val="BodyText"/>
        <w:spacing w:before="1"/>
        <w:rPr>
          <w:sz w:val="36"/>
        </w:rPr>
      </w:pPr>
    </w:p>
    <w:p>
      <w:pPr>
        <w:pStyle w:val="BodyText"/>
        <w:spacing w:line="360" w:lineRule="auto"/>
        <w:ind w:left="112" w:right="134"/>
      </w:pPr>
      <w:r>
        <w:rPr/>
        <w:t>Second, the ‘twin engines’ view draws too absolute a </w:t>
      </w:r>
      <w:r>
        <w:rPr>
          <w:spacing w:val="-3"/>
        </w:rPr>
        <w:t>line </w:t>
      </w:r>
      <w:r>
        <w:rPr/>
        <w:t>between banks and non­bank financial intermediaries.  Alongside other asset managers, banks have been material investors </w:t>
      </w:r>
      <w:r>
        <w:rPr>
          <w:spacing w:val="-3"/>
        </w:rPr>
        <w:t>in </w:t>
      </w:r>
      <w:r>
        <w:rPr/>
        <w:t>securitised credit. In </w:t>
      </w:r>
      <w:r>
        <w:rPr>
          <w:spacing w:val="-3"/>
        </w:rPr>
        <w:t>some </w:t>
      </w:r>
      <w:r>
        <w:rPr/>
        <w:t>respects, </w:t>
      </w:r>
      <w:r>
        <w:rPr>
          <w:spacing w:val="-5"/>
        </w:rPr>
        <w:t>it </w:t>
      </w:r>
      <w:r>
        <w:rPr/>
        <w:t>may </w:t>
      </w:r>
      <w:r>
        <w:rPr>
          <w:spacing w:val="-3"/>
        </w:rPr>
        <w:t>be </w:t>
      </w:r>
      <w:r>
        <w:rPr/>
        <w:t>more useful </w:t>
      </w:r>
      <w:r>
        <w:rPr>
          <w:spacing w:val="2"/>
        </w:rPr>
        <w:t>to </w:t>
      </w:r>
      <w:r>
        <w:rPr/>
        <w:t>distinguish between intermediaries on the basis of whether they undertake </w:t>
      </w:r>
      <w:r>
        <w:rPr>
          <w:spacing w:val="-3"/>
        </w:rPr>
        <w:t>some </w:t>
      </w:r>
      <w:r>
        <w:rPr/>
        <w:t>combination of maturity transformation, leveraging their balance sheets, and mark­to­market valuations. Banks are not alone </w:t>
      </w:r>
      <w:r>
        <w:rPr>
          <w:spacing w:val="-3"/>
        </w:rPr>
        <w:t>in </w:t>
      </w:r>
      <w:r>
        <w:rPr/>
        <w:t>having these characteristics, and so there can </w:t>
      </w:r>
      <w:r>
        <w:rPr>
          <w:spacing w:val="-3"/>
        </w:rPr>
        <w:t>be </w:t>
      </w:r>
      <w:r>
        <w:rPr/>
        <w:t>common shocks to bank and non­bank investors. In a recent series of papers,</w:t>
      </w:r>
      <w:r>
        <w:rPr>
          <w:vertAlign w:val="superscript"/>
        </w:rPr>
        <w:t>7</w:t>
      </w:r>
      <w:r>
        <w:rPr>
          <w:vertAlign w:val="baseline"/>
        </w:rPr>
        <w:t> Hyun Shin has argued that balance sheet management of this kind amplifies the credit cycle.  That sounds </w:t>
      </w:r>
      <w:r>
        <w:rPr>
          <w:spacing w:val="-3"/>
          <w:vertAlign w:val="baseline"/>
        </w:rPr>
        <w:t>like </w:t>
      </w:r>
      <w:r>
        <w:rPr>
          <w:vertAlign w:val="baseline"/>
        </w:rPr>
        <w:t>the ‘financial accelerator’ </w:t>
      </w:r>
      <w:r>
        <w:rPr>
          <w:spacing w:val="-3"/>
          <w:vertAlign w:val="baseline"/>
        </w:rPr>
        <w:t>model, </w:t>
      </w:r>
      <w:r>
        <w:rPr>
          <w:vertAlign w:val="baseline"/>
        </w:rPr>
        <w:t>except that Shin’s position </w:t>
      </w:r>
      <w:r>
        <w:rPr>
          <w:spacing w:val="-3"/>
          <w:vertAlign w:val="baseline"/>
        </w:rPr>
        <w:t>is  </w:t>
      </w:r>
      <w:r>
        <w:rPr>
          <w:vertAlign w:val="baseline"/>
        </w:rPr>
        <w:t>that the outcomes can exceed those warranted by fundamentals. His argument </w:t>
      </w:r>
      <w:r>
        <w:rPr>
          <w:spacing w:val="-3"/>
          <w:vertAlign w:val="baseline"/>
        </w:rPr>
        <w:t>is </w:t>
      </w:r>
      <w:r>
        <w:rPr>
          <w:vertAlign w:val="baseline"/>
        </w:rPr>
        <w:t>that </w:t>
      </w:r>
      <w:r>
        <w:rPr>
          <w:spacing w:val="-3"/>
          <w:vertAlign w:val="baseline"/>
        </w:rPr>
        <w:t>in </w:t>
      </w:r>
      <w:r>
        <w:rPr>
          <w:vertAlign w:val="baseline"/>
        </w:rPr>
        <w:t>the upswing </w:t>
      </w:r>
      <w:r>
        <w:rPr>
          <w:spacing w:val="4"/>
          <w:vertAlign w:val="baseline"/>
        </w:rPr>
        <w:t>of </w:t>
      </w:r>
      <w:r>
        <w:rPr>
          <w:vertAlign w:val="baseline"/>
        </w:rPr>
        <w:t>a business cycle, the rise </w:t>
      </w:r>
      <w:r>
        <w:rPr>
          <w:spacing w:val="-3"/>
          <w:vertAlign w:val="baseline"/>
        </w:rPr>
        <w:t>in </w:t>
      </w:r>
      <w:r>
        <w:rPr>
          <w:vertAlign w:val="baseline"/>
        </w:rPr>
        <w:t>asset values increases the accounting net worth of banks and other intermediaries, enabling them </w:t>
      </w:r>
      <w:r>
        <w:rPr>
          <w:spacing w:val="2"/>
          <w:vertAlign w:val="baseline"/>
        </w:rPr>
        <w:t>to </w:t>
      </w:r>
      <w:r>
        <w:rPr>
          <w:vertAlign w:val="baseline"/>
        </w:rPr>
        <w:t>leverage up their balance sheets. This expands credit; and increases the liquidity </w:t>
      </w:r>
      <w:r>
        <w:rPr>
          <w:spacing w:val="-3"/>
          <w:vertAlign w:val="baseline"/>
        </w:rPr>
        <w:t>in </w:t>
      </w:r>
      <w:r>
        <w:rPr>
          <w:vertAlign w:val="baseline"/>
        </w:rPr>
        <w:t>capital markets, reducing liquidity premia embodied </w:t>
      </w:r>
      <w:r>
        <w:rPr>
          <w:spacing w:val="-3"/>
          <w:vertAlign w:val="baseline"/>
        </w:rPr>
        <w:t>in </w:t>
      </w:r>
      <w:r>
        <w:rPr>
          <w:vertAlign w:val="baseline"/>
        </w:rPr>
        <w:t>asset prices; and so on. </w:t>
      </w:r>
      <w:r>
        <w:rPr>
          <w:spacing w:val="-4"/>
          <w:vertAlign w:val="baseline"/>
        </w:rPr>
        <w:t>And </w:t>
      </w:r>
      <w:r>
        <w:rPr>
          <w:vertAlign w:val="baseline"/>
        </w:rPr>
        <w:t>when the </w:t>
      </w:r>
      <w:r>
        <w:rPr>
          <w:spacing w:val="-3"/>
          <w:vertAlign w:val="baseline"/>
        </w:rPr>
        <w:t>music </w:t>
      </w:r>
      <w:r>
        <w:rPr>
          <w:vertAlign w:val="baseline"/>
        </w:rPr>
        <w:t>stops, the process can </w:t>
      </w:r>
      <w:r>
        <w:rPr>
          <w:spacing w:val="-3"/>
          <w:vertAlign w:val="baseline"/>
        </w:rPr>
        <w:t>be </w:t>
      </w:r>
      <w:r>
        <w:rPr>
          <w:vertAlign w:val="baseline"/>
        </w:rPr>
        <w:t>reversed as falls </w:t>
      </w:r>
      <w:r>
        <w:rPr>
          <w:spacing w:val="-3"/>
          <w:vertAlign w:val="baseline"/>
        </w:rPr>
        <w:t>in </w:t>
      </w:r>
      <w:r>
        <w:rPr>
          <w:vertAlign w:val="baseline"/>
        </w:rPr>
        <w:t>asset values, leverage and liquidity feed on each other. (For </w:t>
      </w:r>
      <w:r>
        <w:rPr>
          <w:spacing w:val="-3"/>
          <w:vertAlign w:val="baseline"/>
        </w:rPr>
        <w:t>Shin, </w:t>
      </w:r>
      <w:r>
        <w:rPr>
          <w:vertAlign w:val="baseline"/>
        </w:rPr>
        <w:t>the villain </w:t>
      </w:r>
      <w:r>
        <w:rPr>
          <w:spacing w:val="-3"/>
          <w:vertAlign w:val="baseline"/>
        </w:rPr>
        <w:t>is </w:t>
      </w:r>
      <w:r>
        <w:rPr>
          <w:vertAlign w:val="baseline"/>
        </w:rPr>
        <w:t>mark­to­market accounting, although I would not want its virtues </w:t>
      </w:r>
      <w:r>
        <w:rPr>
          <w:spacing w:val="-3"/>
          <w:vertAlign w:val="baseline"/>
        </w:rPr>
        <w:t>in </w:t>
      </w:r>
      <w:r>
        <w:rPr>
          <w:vertAlign w:val="baseline"/>
        </w:rPr>
        <w:t>reducing forbearance </w:t>
      </w:r>
      <w:r>
        <w:rPr>
          <w:spacing w:val="2"/>
          <w:vertAlign w:val="baseline"/>
        </w:rPr>
        <w:t>to </w:t>
      </w:r>
      <w:r>
        <w:rPr>
          <w:spacing w:val="-3"/>
          <w:vertAlign w:val="baseline"/>
        </w:rPr>
        <w:t>be</w:t>
      </w:r>
      <w:r>
        <w:rPr>
          <w:spacing w:val="11"/>
          <w:vertAlign w:val="baseline"/>
        </w:rPr>
        <w:t> </w:t>
      </w:r>
      <w:r>
        <w:rPr>
          <w:vertAlign w:val="baseline"/>
        </w:rPr>
        <w:t>overlooked.)</w:t>
      </w:r>
    </w:p>
    <w:p>
      <w:pPr>
        <w:pStyle w:val="BodyText"/>
        <w:rPr>
          <w:sz w:val="36"/>
        </w:rPr>
      </w:pPr>
    </w:p>
    <w:p>
      <w:pPr>
        <w:pStyle w:val="BodyText"/>
        <w:spacing w:line="360" w:lineRule="auto"/>
        <w:ind w:left="112" w:right="206"/>
      </w:pPr>
      <w:r>
        <w:rPr/>
        <w:t>Thirdly, the ‘twin engines’ view may place insufficient weight on banks having remained the principal originators of credit, given that small firms and households cannot issue bonds directly into the capital markets. It has been argued that the growth of markets for securitising loan portfolios made banks less relevant to overall credit conditions, and so to the business cycle, because a bank’s ability to originate credit becomes less intimately bound up with its own financial strength.</w:t>
      </w:r>
      <w:r>
        <w:rPr>
          <w:vertAlign w:val="superscript"/>
        </w:rPr>
        <w:t>8</w:t>
      </w:r>
      <w:r>
        <w:rPr>
          <w:vertAlign w:val="baseline"/>
        </w:rPr>
        <w:t> But if, as currently, the capital markets’ appetite for securitised credit diminishes, a larger proportion of loans will after all remain on the balance sheets of banks.</w:t>
      </w:r>
    </w:p>
    <w:p>
      <w:pPr>
        <w:pStyle w:val="BodyText"/>
        <w:rPr>
          <w:sz w:val="36"/>
        </w:rPr>
      </w:pPr>
    </w:p>
    <w:p>
      <w:pPr>
        <w:pStyle w:val="BodyText"/>
        <w:spacing w:before="1"/>
        <w:ind w:left="112"/>
      </w:pPr>
      <w:r>
        <w:rPr/>
        <w:t>All this brings back into focus the potential macroeconomic relevance of bank lending.</w:t>
      </w:r>
    </w:p>
    <w:p>
      <w:pPr>
        <w:pStyle w:val="BodyText"/>
        <w:rPr>
          <w:sz w:val="26"/>
        </w:rPr>
      </w:pPr>
    </w:p>
    <w:p>
      <w:pPr>
        <w:pStyle w:val="BodyText"/>
        <w:spacing w:before="2"/>
        <w:rPr>
          <w:sz w:val="22"/>
        </w:rPr>
      </w:pPr>
    </w:p>
    <w:p>
      <w:pPr>
        <w:pStyle w:val="Heading1"/>
        <w:ind w:left="112"/>
      </w:pPr>
      <w:r>
        <w:rPr/>
        <w:t>Bank lending</w:t>
      </w:r>
    </w:p>
    <w:p>
      <w:pPr>
        <w:pStyle w:val="BodyText"/>
        <w:rPr>
          <w:b/>
          <w:sz w:val="26"/>
        </w:rPr>
      </w:pPr>
    </w:p>
    <w:p>
      <w:pPr>
        <w:pStyle w:val="BodyText"/>
        <w:spacing w:before="9"/>
        <w:rPr>
          <w:b/>
          <w:sz w:val="21"/>
        </w:rPr>
      </w:pPr>
    </w:p>
    <w:p>
      <w:pPr>
        <w:pStyle w:val="BodyText"/>
        <w:spacing w:line="360" w:lineRule="auto"/>
        <w:ind w:left="112" w:right="100"/>
      </w:pPr>
      <w:r>
        <w:rPr/>
        <w:t>The economic literature on the ‘bank lending’ channel of the Monetary Transmission Mechanism explores the conditions under which a tightening of monetary policy causes the terms on bank lending to tighten over and above the increase in risk­free short­term real rates. The literature</w:t>
      </w:r>
    </w:p>
    <w:p>
      <w:pPr>
        <w:spacing w:after="0" w:line="360" w:lineRule="auto"/>
        <w:sectPr>
          <w:pgSz w:w="11910" w:h="16840"/>
          <w:pgMar w:header="713" w:footer="0" w:top="1340" w:bottom="280" w:left="1140" w:right="1180"/>
        </w:sectPr>
      </w:pPr>
    </w:p>
    <w:p>
      <w:pPr>
        <w:pStyle w:val="BodyText"/>
        <w:spacing w:line="360" w:lineRule="auto" w:before="80"/>
        <w:ind w:left="112" w:right="203"/>
      </w:pPr>
      <w:r>
        <w:rPr/>
        <w:t>has typically assumed (i) that a monetary policy tightening </w:t>
      </w:r>
      <w:r>
        <w:rPr>
          <w:spacing w:val="-3"/>
        </w:rPr>
        <w:t>is </w:t>
      </w:r>
      <w:r>
        <w:rPr/>
        <w:t>effected by the central bank withdrawing reserves from the system (or </w:t>
      </w:r>
      <w:r>
        <w:rPr>
          <w:spacing w:val="-3"/>
        </w:rPr>
        <w:t>slowing </w:t>
      </w:r>
      <w:r>
        <w:rPr/>
        <w:t>the pace of reserves injection); </w:t>
      </w:r>
      <w:r>
        <w:rPr>
          <w:spacing w:val="-3"/>
        </w:rPr>
        <w:t>(ii) </w:t>
      </w:r>
      <w:r>
        <w:rPr/>
        <w:t>that banks are required to </w:t>
      </w:r>
      <w:r>
        <w:rPr>
          <w:spacing w:val="-3"/>
        </w:rPr>
        <w:t>hold </w:t>
      </w:r>
      <w:r>
        <w:rPr/>
        <w:t>a proportion of transactions deposits </w:t>
      </w:r>
      <w:r>
        <w:rPr>
          <w:spacing w:val="-3"/>
        </w:rPr>
        <w:t>in </w:t>
      </w:r>
      <w:r>
        <w:rPr/>
        <w:t>reserves, so that reduced reserves provision entails slower deposit growth; and (iii) that they do not </w:t>
      </w:r>
      <w:r>
        <w:rPr>
          <w:spacing w:val="-3"/>
        </w:rPr>
        <w:t>have </w:t>
      </w:r>
      <w:r>
        <w:rPr/>
        <w:t>unrestricted access to liabilities that are not subject to reserves requirements, and so cannot </w:t>
      </w:r>
      <w:r>
        <w:rPr>
          <w:spacing w:val="-3"/>
        </w:rPr>
        <w:t>fill </w:t>
      </w:r>
      <w:r>
        <w:rPr/>
        <w:t>the gap </w:t>
      </w:r>
      <w:r>
        <w:rPr>
          <w:spacing w:val="-4"/>
        </w:rPr>
        <w:t>left </w:t>
      </w:r>
      <w:r>
        <w:rPr/>
        <w:t>by slower deposit growth and must, instead, slow loan growth, which they do by tightening credit conditions.</w:t>
      </w:r>
      <w:r>
        <w:rPr>
          <w:vertAlign w:val="superscript"/>
        </w:rPr>
        <w:t>9</w:t>
      </w:r>
      <w:r>
        <w:rPr>
          <w:vertAlign w:val="baseline"/>
        </w:rPr>
        <w:t>  The </w:t>
      </w:r>
      <w:r>
        <w:rPr>
          <w:spacing w:val="-3"/>
          <w:vertAlign w:val="baseline"/>
        </w:rPr>
        <w:t>first </w:t>
      </w:r>
      <w:r>
        <w:rPr>
          <w:vertAlign w:val="baseline"/>
        </w:rPr>
        <w:t>two steps seem archaic.  </w:t>
      </w:r>
      <w:r>
        <w:rPr>
          <w:spacing w:val="-3"/>
          <w:vertAlign w:val="baseline"/>
        </w:rPr>
        <w:t>We </w:t>
      </w:r>
      <w:r>
        <w:rPr>
          <w:vertAlign w:val="baseline"/>
        </w:rPr>
        <w:t>effect monetary policy changes by controlling the price not the quantity of central bank money </w:t>
      </w:r>
      <w:r>
        <w:rPr>
          <w:spacing w:val="-3"/>
          <w:vertAlign w:val="baseline"/>
        </w:rPr>
        <w:t>in </w:t>
      </w:r>
      <w:r>
        <w:rPr>
          <w:vertAlign w:val="baseline"/>
        </w:rPr>
        <w:t>the system; and, </w:t>
      </w:r>
      <w:r>
        <w:rPr>
          <w:spacing w:val="-3"/>
          <w:vertAlign w:val="baseline"/>
        </w:rPr>
        <w:t>in </w:t>
      </w:r>
      <w:r>
        <w:rPr>
          <w:vertAlign w:val="baseline"/>
        </w:rPr>
        <w:t>the UK, banks choose their own reserves targets rather than having them determined by a balance sheet ratio of some kind.</w:t>
      </w:r>
    </w:p>
    <w:p>
      <w:pPr>
        <w:pStyle w:val="BodyText"/>
        <w:spacing w:before="1"/>
        <w:rPr>
          <w:sz w:val="36"/>
        </w:rPr>
      </w:pPr>
    </w:p>
    <w:p>
      <w:pPr>
        <w:pStyle w:val="BodyText"/>
        <w:spacing w:line="360" w:lineRule="auto"/>
        <w:ind w:left="112" w:right="200"/>
      </w:pPr>
      <w:r>
        <w:rPr/>
        <w:t>But the third plank in these models – restricted access to non­deposit liabilities, whether capital­like or not – plainly is still relevant today. In a world of asymmetric information, banks do not have unrestricted access to resources, and we do not believe that a bank’s lending behaviour is invariant to its capital gearing or to the composition of its liabilities.</w:t>
      </w:r>
      <w:r>
        <w:rPr>
          <w:vertAlign w:val="superscript"/>
        </w:rPr>
        <w:t>10</w:t>
      </w:r>
      <w:r>
        <w:rPr>
          <w:vertAlign w:val="baseline"/>
        </w:rPr>
        <w:t> We do, therefore, face questions about the extent to which a shock to banks’ liquidity or capital resources can bring about a shift in credit conditions with macroeconomic effects that, other things being equal, monetary policy should seek to offset in order to maintain aggregate demand in line with aggregate supply.</w:t>
      </w:r>
    </w:p>
    <w:p>
      <w:pPr>
        <w:pStyle w:val="BodyText"/>
        <w:spacing w:before="11"/>
        <w:rPr>
          <w:sz w:val="35"/>
        </w:rPr>
      </w:pPr>
    </w:p>
    <w:p>
      <w:pPr>
        <w:pStyle w:val="BodyText"/>
        <w:spacing w:line="360" w:lineRule="auto"/>
        <w:ind w:left="112" w:right="165"/>
      </w:pPr>
      <w:r>
        <w:rPr/>
        <w:t>Over the past 15 years or so, when banks have seemed anything but restricted, easier access to liquidity or capital may have brought about a progressive relaxation of bank lending conditions. That this featured in commentary on monetary policy rather less than the recent manifest tightening may say no more than that sharp contractions attract more attention than gradual expansions. In a similar vein, on the whole, research does better at identifying these ‘credit channel’ mechanisms in the context of particular stressed episodes than in longer­run averages.</w:t>
      </w:r>
      <w:r>
        <w:rPr>
          <w:vertAlign w:val="superscript"/>
        </w:rPr>
        <w:t>11</w:t>
      </w:r>
    </w:p>
    <w:p>
      <w:pPr>
        <w:pStyle w:val="BodyText"/>
        <w:spacing w:before="1"/>
        <w:rPr>
          <w:sz w:val="36"/>
        </w:rPr>
      </w:pPr>
    </w:p>
    <w:p>
      <w:pPr>
        <w:pStyle w:val="BodyText"/>
        <w:spacing w:line="360" w:lineRule="auto"/>
        <w:ind w:left="112" w:right="307"/>
      </w:pPr>
      <w:r>
        <w:rPr/>
        <w:t>Be that as it may, it is beyond doubt that there has recently been an adverse shock to bank balance sheets – involving capital, liquidity, and a potent ‘asymmetric’ information mechanism affecting a wide range of banks. I will pick out four elements in the story, involving liquidity, counterparty­credit risk and capital.</w:t>
      </w:r>
    </w:p>
    <w:p>
      <w:pPr>
        <w:pStyle w:val="BodyText"/>
        <w:spacing w:before="10"/>
        <w:rPr>
          <w:sz w:val="35"/>
        </w:rPr>
      </w:pPr>
    </w:p>
    <w:p>
      <w:pPr>
        <w:pStyle w:val="BodyText"/>
        <w:spacing w:line="360" w:lineRule="auto" w:before="1"/>
        <w:ind w:left="112" w:right="161"/>
      </w:pPr>
      <w:r>
        <w:rPr/>
        <w:t>First, near closure of the capital markets for leveraged loans, conduit and SIV commercial paper, and RMBS has left banks whose business model is ‘originate and distribute’ unexpectedly</w:t>
      </w:r>
    </w:p>
    <w:p>
      <w:pPr>
        <w:spacing w:after="0" w:line="360" w:lineRule="auto"/>
        <w:sectPr>
          <w:pgSz w:w="11910" w:h="16840"/>
          <w:pgMar w:header="713" w:footer="0" w:top="1340" w:bottom="280" w:left="1140" w:right="1180"/>
        </w:sectPr>
      </w:pPr>
    </w:p>
    <w:p>
      <w:pPr>
        <w:pStyle w:val="BodyText"/>
        <w:spacing w:line="360" w:lineRule="auto" w:before="80"/>
        <w:ind w:left="112" w:right="264"/>
      </w:pPr>
      <w:r>
        <w:rPr/>
        <w:t>holding on to loans and, </w:t>
      </w:r>
      <w:r>
        <w:rPr>
          <w:spacing w:val="-3"/>
        </w:rPr>
        <w:t>in </w:t>
      </w:r>
      <w:r>
        <w:rPr/>
        <w:t>addition, </w:t>
      </w:r>
      <w:r>
        <w:rPr>
          <w:spacing w:val="-2"/>
        </w:rPr>
        <w:t>facing </w:t>
      </w:r>
      <w:r>
        <w:rPr/>
        <w:t>the prospect of having </w:t>
      </w:r>
      <w:r>
        <w:rPr>
          <w:spacing w:val="2"/>
        </w:rPr>
        <w:t>to </w:t>
      </w:r>
      <w:r>
        <w:rPr/>
        <w:t>take assets back on to their balance sheets. The consequent reintermediation </w:t>
      </w:r>
      <w:r>
        <w:rPr>
          <w:spacing w:val="-3"/>
        </w:rPr>
        <w:t>is </w:t>
      </w:r>
      <w:r>
        <w:rPr/>
        <w:t>a </w:t>
      </w:r>
      <w:r>
        <w:rPr>
          <w:spacing w:val="-4"/>
        </w:rPr>
        <w:t>hit </w:t>
      </w:r>
      <w:r>
        <w:rPr/>
        <w:t>to both capital ratios and liquidity, as the banks have bigger books to fund. For these reasons alone, big picture, banks responded from August onwards by tightening loan terms and hoarding</w:t>
      </w:r>
      <w:r>
        <w:rPr>
          <w:spacing w:val="6"/>
        </w:rPr>
        <w:t> </w:t>
      </w:r>
      <w:r>
        <w:rPr/>
        <w:t>liquidity.</w:t>
      </w:r>
    </w:p>
    <w:p>
      <w:pPr>
        <w:pStyle w:val="BodyText"/>
        <w:spacing w:before="10"/>
        <w:rPr>
          <w:sz w:val="35"/>
        </w:rPr>
      </w:pPr>
    </w:p>
    <w:p>
      <w:pPr>
        <w:pStyle w:val="BodyText"/>
        <w:spacing w:line="360" w:lineRule="auto"/>
        <w:ind w:left="112" w:right="152"/>
      </w:pPr>
      <w:r>
        <w:rPr/>
        <w:t>But the story does not end there. The second element is that access to resources (uninsured deposits) from outside the banking sector has become more restricted since the summer. While the new risk­transfer instruments have plainly dispersed risks, lack of </w:t>
      </w:r>
      <w:r>
        <w:rPr>
          <w:i/>
        </w:rPr>
        <w:t>ex ante </w:t>
      </w:r>
      <w:r>
        <w:rPr/>
        <w:t>disclosure left market participants highly uncertain about the scale and distribution of losses across the banking sector itself. On top of that, open­ended investment vehicles that have (or may have) themselves invested in structured­finance paper have felt compelled to preserve liquidity, to guard against redemption risk. And one significant source of demand for bank hybrid­capital instruments over the past half­decade or so, the SIVs, has been turned off due to their own funding problems.</w:t>
      </w:r>
    </w:p>
    <w:p>
      <w:pPr>
        <w:pStyle w:val="BodyText"/>
        <w:spacing w:line="360" w:lineRule="auto"/>
        <w:ind w:left="112" w:right="266"/>
      </w:pPr>
      <w:r>
        <w:rPr/>
        <w:t>Taken together, the upshot for the banking system has been a shortening in the maturity of wholesale deposits, and an intermittent tightening of access to hybrid capital instruments (Chart 13).</w:t>
      </w:r>
    </w:p>
    <w:p>
      <w:pPr>
        <w:pStyle w:val="BodyText"/>
        <w:rPr>
          <w:sz w:val="36"/>
        </w:rPr>
      </w:pPr>
    </w:p>
    <w:p>
      <w:pPr>
        <w:pStyle w:val="BodyText"/>
        <w:spacing w:line="360" w:lineRule="auto"/>
        <w:ind w:left="112" w:right="152"/>
      </w:pPr>
      <w:r>
        <w:rPr/>
        <w:t>Coming on top of an involuntary increase in risk­weighted assets and reduced access to term liquidity, the third component of the shock, apparent since late autumn, has been some actual impairment of capital resources. Large banks especially have progressively written down the values of structured­finance assets, reflecting deterioration in the underlying position of the US household sector and in the values of a wide range of leveraged instruments. But the adjustment is drawn out, partly due to uncertainty about appropriate mark­to­market valuations given the impaired liquidity in ABS markets. To avoid this process amplifying the credit cycle,</w:t>
      </w:r>
      <w:r>
        <w:rPr>
          <w:vertAlign w:val="superscript"/>
        </w:rPr>
        <w:t>12</w:t>
      </w:r>
      <w:r>
        <w:rPr>
          <w:vertAlign w:val="baseline"/>
        </w:rPr>
        <w:t> some replenishment of common equity may be needed, and has already begun.</w:t>
      </w:r>
    </w:p>
    <w:p>
      <w:pPr>
        <w:pStyle w:val="BodyText"/>
        <w:spacing w:before="11"/>
        <w:rPr>
          <w:sz w:val="35"/>
        </w:rPr>
      </w:pPr>
    </w:p>
    <w:p>
      <w:pPr>
        <w:pStyle w:val="BodyText"/>
        <w:spacing w:line="360" w:lineRule="auto"/>
        <w:ind w:left="112" w:right="186"/>
      </w:pPr>
      <w:r>
        <w:rPr/>
        <w:t>The fourth element </w:t>
      </w:r>
      <w:r>
        <w:rPr>
          <w:spacing w:val="-3"/>
        </w:rPr>
        <w:t>in </w:t>
      </w:r>
      <w:r>
        <w:rPr/>
        <w:t>the story, underway since August, has been distributional.  Banks relatively reliant on wholesale funding have bid up for funds. But </w:t>
      </w:r>
      <w:r>
        <w:rPr>
          <w:spacing w:val="-4"/>
        </w:rPr>
        <w:t>doing </w:t>
      </w:r>
      <w:r>
        <w:rPr/>
        <w:t>so has been taken as an adverse signal, prompting further rationing </w:t>
      </w:r>
      <w:r>
        <w:rPr>
          <w:spacing w:val="4"/>
        </w:rPr>
        <w:t>of </w:t>
      </w:r>
      <w:r>
        <w:rPr/>
        <w:t>wholesale money market lending at term maturities and potentially deterring the strong from entering the market; this </w:t>
      </w:r>
      <w:r>
        <w:rPr>
          <w:spacing w:val="-3"/>
        </w:rPr>
        <w:t>is </w:t>
      </w:r>
      <w:r>
        <w:rPr/>
        <w:t>what </w:t>
      </w:r>
      <w:r>
        <w:rPr>
          <w:spacing w:val="-3"/>
        </w:rPr>
        <w:t>is </w:t>
      </w:r>
      <w:r>
        <w:rPr/>
        <w:t>known as a ‘Lemons’ problem</w:t>
      </w:r>
      <w:r>
        <w:rPr>
          <w:vertAlign w:val="superscript"/>
        </w:rPr>
        <w:t>13</w:t>
      </w:r>
      <w:r>
        <w:rPr>
          <w:vertAlign w:val="baseline"/>
        </w:rPr>
        <w:t>. In the United Kingdom, since August, mortgage approvals and secured lending have declined by more at the medium­sized mortgage </w:t>
      </w:r>
      <w:r>
        <w:rPr>
          <w:spacing w:val="-3"/>
          <w:vertAlign w:val="baseline"/>
        </w:rPr>
        <w:t>banks </w:t>
      </w:r>
      <w:r>
        <w:rPr>
          <w:vertAlign w:val="baseline"/>
        </w:rPr>
        <w:t>and specialist lenders than  at the largest UK banks, partly due to Northern Rock (Charts 14­15). This was symmetric. Their mortgage portfolios grew faster over the previous years. All told, this looks </w:t>
      </w:r>
      <w:r>
        <w:rPr>
          <w:spacing w:val="-3"/>
          <w:vertAlign w:val="baseline"/>
        </w:rPr>
        <w:t>like </w:t>
      </w:r>
      <w:r>
        <w:rPr>
          <w:vertAlign w:val="baseline"/>
        </w:rPr>
        <w:t>a</w:t>
      </w:r>
      <w:r>
        <w:rPr>
          <w:spacing w:val="-17"/>
          <w:vertAlign w:val="baseline"/>
        </w:rPr>
        <w:t> </w:t>
      </w:r>
      <w:r>
        <w:rPr>
          <w:vertAlign w:val="baseline"/>
        </w:rPr>
        <w:t>manifestation</w:t>
      </w:r>
    </w:p>
    <w:p>
      <w:pPr>
        <w:spacing w:after="0" w:line="360" w:lineRule="auto"/>
        <w:sectPr>
          <w:pgSz w:w="11910" w:h="16840"/>
          <w:pgMar w:header="713" w:footer="0" w:top="1340" w:bottom="280" w:left="1140" w:right="1180"/>
        </w:sectPr>
      </w:pPr>
    </w:p>
    <w:p>
      <w:pPr>
        <w:pStyle w:val="BodyText"/>
        <w:spacing w:line="360" w:lineRule="auto" w:before="80"/>
        <w:ind w:left="112" w:right="331"/>
      </w:pPr>
      <w:r>
        <w:rPr/>
        <w:t>of the Kashyap and Stein finding, in various non­UK settings, that lending is more cyclically variable at banks that start off with weaker balance sheets;</w:t>
      </w:r>
      <w:r>
        <w:rPr>
          <w:vertAlign w:val="superscript"/>
        </w:rPr>
        <w:t>14</w:t>
      </w:r>
      <w:r>
        <w:rPr>
          <w:vertAlign w:val="baseline"/>
        </w:rPr>
        <w:t> or, as I would prefer to put it, with concentrated income streams and/or funding sources.</w:t>
      </w:r>
    </w:p>
    <w:p>
      <w:pPr>
        <w:pStyle w:val="BodyText"/>
        <w:spacing w:before="11"/>
        <w:rPr>
          <w:sz w:val="35"/>
        </w:rPr>
      </w:pPr>
    </w:p>
    <w:p>
      <w:pPr>
        <w:pStyle w:val="BodyText"/>
        <w:spacing w:line="360" w:lineRule="auto"/>
        <w:ind w:left="112" w:right="301"/>
      </w:pPr>
      <w:r>
        <w:rPr/>
        <w:t>Won’t the macroeconomic effect of this be dampened by the bigger and more diversified banks picking up the slack? It is important to distinguish the longer term from the near term.</w:t>
      </w:r>
    </w:p>
    <w:p>
      <w:pPr>
        <w:pStyle w:val="BodyText"/>
        <w:spacing w:before="1"/>
        <w:rPr>
          <w:sz w:val="36"/>
        </w:rPr>
      </w:pPr>
    </w:p>
    <w:p>
      <w:pPr>
        <w:pStyle w:val="BodyText"/>
        <w:spacing w:line="360" w:lineRule="auto"/>
        <w:ind w:left="112" w:right="254"/>
      </w:pPr>
      <w:r>
        <w:rPr/>
        <w:t>The longer­term impact will depend on whether the structure of the industry shifts. The securitisation boom seems to have altered the terms of trade in UK banking for a while. By reducing reliance on retail deposits, it reduced barriers to entry. Lenders’ margins fell (Chart 16), and credit conditions in the UK mortgage market eased. Conversely, the painful reminder that undiversified funding and income sources may leave a bank unusually vulnerable will probably bring about another shock to the structure of the market. The persistent tightening in mortgage credit that that would bring was a factor in the MPC’s November projections.</w:t>
      </w:r>
    </w:p>
    <w:p>
      <w:pPr>
        <w:pStyle w:val="BodyText"/>
        <w:spacing w:before="1"/>
        <w:rPr>
          <w:sz w:val="36"/>
        </w:rPr>
      </w:pPr>
    </w:p>
    <w:p>
      <w:pPr>
        <w:pStyle w:val="BodyText"/>
        <w:spacing w:line="360" w:lineRule="auto"/>
        <w:ind w:left="112" w:right="154"/>
      </w:pPr>
      <w:r>
        <w:rPr/>
        <w:t>In the near term, the extent to which the big or more diversified banks fill the gap will depend on the extent to which they too preserve capital and liquidity in the face of the harsh environment I have described.</w:t>
      </w:r>
    </w:p>
    <w:p>
      <w:pPr>
        <w:pStyle w:val="BodyText"/>
        <w:spacing w:before="4"/>
        <w:rPr>
          <w:sz w:val="36"/>
        </w:rPr>
      </w:pPr>
    </w:p>
    <w:p>
      <w:pPr>
        <w:pStyle w:val="Heading1"/>
        <w:spacing w:before="1"/>
        <w:ind w:left="112"/>
      </w:pPr>
      <w:r>
        <w:rPr/>
        <w:t>Money, or bank intermediation</w:t>
      </w:r>
    </w:p>
    <w:p>
      <w:pPr>
        <w:pStyle w:val="BodyText"/>
        <w:rPr>
          <w:b/>
          <w:sz w:val="26"/>
        </w:rPr>
      </w:pPr>
    </w:p>
    <w:p>
      <w:pPr>
        <w:pStyle w:val="BodyText"/>
        <w:spacing w:before="4"/>
        <w:rPr>
          <w:b/>
          <w:sz w:val="21"/>
        </w:rPr>
      </w:pPr>
    </w:p>
    <w:p>
      <w:pPr>
        <w:pStyle w:val="BodyText"/>
        <w:spacing w:line="360" w:lineRule="auto"/>
        <w:ind w:left="112" w:right="152"/>
      </w:pPr>
      <w:r>
        <w:rPr/>
        <w:t>So far I have focused entirely on credit. Where does this leave money (or Money), the starting point for much traditional monetary analysis?</w:t>
      </w:r>
    </w:p>
    <w:p>
      <w:pPr>
        <w:pStyle w:val="BodyText"/>
        <w:spacing w:before="1"/>
        <w:rPr>
          <w:sz w:val="36"/>
        </w:rPr>
      </w:pPr>
    </w:p>
    <w:p>
      <w:pPr>
        <w:pStyle w:val="BodyText"/>
        <w:spacing w:line="360" w:lineRule="auto"/>
        <w:ind w:left="112" w:right="193"/>
      </w:pPr>
      <w:r>
        <w:rPr/>
        <w:t>Well, much that I have said about banks – their capacity, in the short run, to lever up their balance sheets and expand credit at will; their role in providing liquidity insurance to investment vehicles and corporates – turns precisely on their liabilities being money. And for this reason, banks are after all decisively different from other intermediaries.</w:t>
      </w:r>
    </w:p>
    <w:p>
      <w:pPr>
        <w:pStyle w:val="BodyText"/>
        <w:spacing w:before="11"/>
        <w:rPr>
          <w:sz w:val="35"/>
        </w:rPr>
      </w:pPr>
    </w:p>
    <w:p>
      <w:pPr>
        <w:pStyle w:val="BodyText"/>
        <w:spacing w:line="360" w:lineRule="auto"/>
        <w:ind w:left="112" w:right="152"/>
      </w:pPr>
      <w:r>
        <w:rPr/>
        <w:t>As transactions balances and so the means of exchange </w:t>
      </w:r>
      <w:r>
        <w:rPr>
          <w:spacing w:val="-3"/>
        </w:rPr>
        <w:t>in </w:t>
      </w:r>
      <w:r>
        <w:rPr/>
        <w:t>our payments system, the moneyness of bank deposits lies at the core of credit intermediation. Subject only but crucially</w:t>
      </w:r>
      <w:r>
        <w:rPr>
          <w:spacing w:val="-45"/>
        </w:rPr>
        <w:t> </w:t>
      </w:r>
      <w:r>
        <w:rPr>
          <w:spacing w:val="2"/>
        </w:rPr>
        <w:t>to </w:t>
      </w:r>
      <w:r>
        <w:rPr/>
        <w:t>confidence </w:t>
      </w:r>
      <w:r>
        <w:rPr>
          <w:spacing w:val="-3"/>
        </w:rPr>
        <w:t>in </w:t>
      </w:r>
      <w:r>
        <w:rPr/>
        <w:t>their soundness, banks extend credit by simply increasing the borrowing customer’s current account, which can </w:t>
      </w:r>
      <w:r>
        <w:rPr>
          <w:spacing w:val="-3"/>
        </w:rPr>
        <w:t>be </w:t>
      </w:r>
      <w:r>
        <w:rPr/>
        <w:t>paid away </w:t>
      </w:r>
      <w:r>
        <w:rPr>
          <w:spacing w:val="2"/>
        </w:rPr>
        <w:t>to </w:t>
      </w:r>
      <w:r>
        <w:rPr/>
        <w:t>wherever the borrower wants by the bank ‘writing a cheque on itself’. That </w:t>
      </w:r>
      <w:r>
        <w:rPr>
          <w:spacing w:val="-5"/>
        </w:rPr>
        <w:t>is, </w:t>
      </w:r>
      <w:r>
        <w:rPr/>
        <w:t>banks extend credit by creating money. This ‘money creation’ process</w:t>
      </w:r>
      <w:r>
        <w:rPr>
          <w:spacing w:val="7"/>
        </w:rPr>
        <w:t> </w:t>
      </w:r>
      <w:r>
        <w:rPr>
          <w:spacing w:val="-5"/>
        </w:rPr>
        <w:t>is</w:t>
      </w:r>
    </w:p>
    <w:p>
      <w:pPr>
        <w:spacing w:after="0" w:line="360" w:lineRule="auto"/>
        <w:sectPr>
          <w:pgSz w:w="11910" w:h="16840"/>
          <w:pgMar w:header="713" w:footer="0" w:top="1340" w:bottom="280" w:left="1140" w:right="1180"/>
        </w:sectPr>
      </w:pPr>
    </w:p>
    <w:p>
      <w:pPr>
        <w:pStyle w:val="BodyText"/>
        <w:spacing w:line="360" w:lineRule="auto" w:before="80"/>
        <w:ind w:left="112" w:right="206"/>
      </w:pPr>
      <w:r>
        <w:rPr/>
        <w:t>constrained: by their need to manage the liquidity risk – from the withdrawal of deposits and the draw­down of back­up lines – to which it exposes them.</w:t>
      </w:r>
      <w:r>
        <w:rPr>
          <w:vertAlign w:val="superscript"/>
        </w:rPr>
        <w:t>15</w:t>
      </w:r>
      <w:r>
        <w:rPr>
          <w:vertAlign w:val="baseline"/>
        </w:rPr>
        <w:t> Adequate capital and liquidity, including for stressed circumstances, are the essential ingredients for maintaining confidence.</w:t>
      </w:r>
      <w:r>
        <w:rPr>
          <w:vertAlign w:val="superscript"/>
        </w:rPr>
        <w:t>16</w:t>
      </w:r>
    </w:p>
    <w:p>
      <w:pPr>
        <w:pStyle w:val="BodyText"/>
        <w:spacing w:before="11"/>
        <w:rPr>
          <w:sz w:val="35"/>
        </w:rPr>
      </w:pPr>
    </w:p>
    <w:p>
      <w:pPr>
        <w:pStyle w:val="BodyText"/>
        <w:spacing w:line="360" w:lineRule="auto"/>
        <w:ind w:left="112" w:right="247"/>
      </w:pPr>
      <w:r>
        <w:rPr/>
        <w:t>If that excursion into the realm of financial stability appears to have drifted away from the immediate issue of Money, it is because the health of bank balance sheets is relevant to both the demand for money and its supply, even if this is apparent only occasionally.</w:t>
      </w:r>
    </w:p>
    <w:p>
      <w:pPr>
        <w:pStyle w:val="BodyText"/>
        <w:rPr>
          <w:sz w:val="36"/>
        </w:rPr>
      </w:pPr>
    </w:p>
    <w:p>
      <w:pPr>
        <w:pStyle w:val="BodyText"/>
        <w:tabs>
          <w:tab w:pos="5042" w:val="left" w:leader="none"/>
        </w:tabs>
        <w:spacing w:line="360" w:lineRule="auto"/>
        <w:ind w:left="112" w:right="215"/>
      </w:pPr>
      <w:r>
        <w:rPr/>
        <w:t>Charles Goodhart has already, and very usefully, stressed the importance of recovering the notion of shocks to the supply of</w:t>
      </w:r>
      <w:r>
        <w:rPr>
          <w:spacing w:val="-20"/>
        </w:rPr>
        <w:t> </w:t>
      </w:r>
      <w:r>
        <w:rPr>
          <w:u w:val="single"/>
        </w:rPr>
        <w:t>broad</w:t>
      </w:r>
      <w:r>
        <w:rPr>
          <w:spacing w:val="1"/>
        </w:rPr>
        <w:t> </w:t>
      </w:r>
      <w:r>
        <w:rPr/>
        <w:t>money.</w:t>
      </w:r>
      <w:r>
        <w:rPr>
          <w:vertAlign w:val="superscript"/>
        </w:rPr>
        <w:t>17</w:t>
      </w:r>
      <w:r>
        <w:rPr>
          <w:vertAlign w:val="baseline"/>
        </w:rPr>
        <w:tab/>
        <w:t>In the </w:t>
      </w:r>
      <w:r>
        <w:rPr>
          <w:spacing w:val="-3"/>
          <w:vertAlign w:val="baseline"/>
        </w:rPr>
        <w:t>main, </w:t>
      </w:r>
      <w:r>
        <w:rPr>
          <w:vertAlign w:val="baseline"/>
        </w:rPr>
        <w:t>however, </w:t>
      </w:r>
      <w:r>
        <w:rPr>
          <w:spacing w:val="-3"/>
          <w:vertAlign w:val="baseline"/>
        </w:rPr>
        <w:t>in </w:t>
      </w:r>
      <w:r>
        <w:rPr>
          <w:vertAlign w:val="baseline"/>
        </w:rPr>
        <w:t>terms of the underlying drivers, we are talking here of </w:t>
      </w:r>
      <w:r>
        <w:rPr>
          <w:i/>
          <w:vertAlign w:val="baseline"/>
        </w:rPr>
        <w:t>shifts </w:t>
      </w:r>
      <w:r>
        <w:rPr>
          <w:spacing w:val="-3"/>
          <w:vertAlign w:val="baseline"/>
        </w:rPr>
        <w:t>in </w:t>
      </w:r>
      <w:r>
        <w:rPr>
          <w:vertAlign w:val="baseline"/>
        </w:rPr>
        <w:t>the supply </w:t>
      </w:r>
      <w:r>
        <w:rPr>
          <w:spacing w:val="4"/>
          <w:vertAlign w:val="baseline"/>
        </w:rPr>
        <w:t>of </w:t>
      </w:r>
      <w:r>
        <w:rPr>
          <w:vertAlign w:val="baseline"/>
        </w:rPr>
        <w:t>broad money caused by </w:t>
      </w:r>
      <w:r>
        <w:rPr>
          <w:i/>
          <w:vertAlign w:val="baseline"/>
        </w:rPr>
        <w:t>shocks </w:t>
      </w:r>
      <w:r>
        <w:rPr>
          <w:vertAlign w:val="baseline"/>
        </w:rPr>
        <w:t>to the supply of bank lending: banks create money by extending credit (Diagram C). </w:t>
      </w:r>
      <w:r>
        <w:rPr>
          <w:spacing w:val="-3"/>
          <w:vertAlign w:val="baseline"/>
        </w:rPr>
        <w:t>And </w:t>
      </w:r>
      <w:r>
        <w:rPr>
          <w:vertAlign w:val="baseline"/>
        </w:rPr>
        <w:t>as discussed earlier, key drivers </w:t>
      </w:r>
      <w:r>
        <w:rPr>
          <w:spacing w:val="-3"/>
          <w:vertAlign w:val="baseline"/>
        </w:rPr>
        <w:t>in </w:t>
      </w:r>
      <w:r>
        <w:rPr>
          <w:vertAlign w:val="baseline"/>
        </w:rPr>
        <w:t>terms of bank balance sheet growth include the variables that underpin bankers’ confidence </w:t>
      </w:r>
      <w:r>
        <w:rPr>
          <w:spacing w:val="-3"/>
          <w:vertAlign w:val="baseline"/>
        </w:rPr>
        <w:t>in </w:t>
      </w:r>
      <w:r>
        <w:rPr>
          <w:vertAlign w:val="baseline"/>
        </w:rPr>
        <w:t>borrowers; and, conversely, confidence </w:t>
      </w:r>
      <w:r>
        <w:rPr>
          <w:spacing w:val="-3"/>
          <w:vertAlign w:val="baseline"/>
        </w:rPr>
        <w:t>in </w:t>
      </w:r>
      <w:r>
        <w:rPr>
          <w:vertAlign w:val="baseline"/>
        </w:rPr>
        <w:t>banks themselves. It should come as </w:t>
      </w:r>
      <w:r>
        <w:rPr>
          <w:spacing w:val="-3"/>
          <w:vertAlign w:val="baseline"/>
        </w:rPr>
        <w:t>no </w:t>
      </w:r>
      <w:r>
        <w:rPr>
          <w:vertAlign w:val="baseline"/>
        </w:rPr>
        <w:t>surprise that the ‘credit channel’ macroeconomic literature converged with bankers </w:t>
      </w:r>
      <w:r>
        <w:rPr>
          <w:spacing w:val="-3"/>
          <w:vertAlign w:val="baseline"/>
        </w:rPr>
        <w:t>in </w:t>
      </w:r>
      <w:r>
        <w:rPr>
          <w:vertAlign w:val="baseline"/>
        </w:rPr>
        <w:t>focusing on the tangible collateral available from borrowers, and on their own capital and liquidity (which includes the ex ante and ex post terms on which they have access to central bank</w:t>
      </w:r>
      <w:r>
        <w:rPr>
          <w:spacing w:val="1"/>
          <w:vertAlign w:val="baseline"/>
        </w:rPr>
        <w:t> </w:t>
      </w:r>
      <w:r>
        <w:rPr>
          <w:vertAlign w:val="baseline"/>
        </w:rPr>
        <w:t>reserves).</w:t>
      </w:r>
    </w:p>
    <w:p>
      <w:pPr>
        <w:pStyle w:val="BodyText"/>
        <w:spacing w:before="2"/>
        <w:rPr>
          <w:sz w:val="36"/>
        </w:rPr>
      </w:pPr>
    </w:p>
    <w:p>
      <w:pPr>
        <w:pStyle w:val="BodyText"/>
        <w:ind w:left="112"/>
      </w:pPr>
      <w:r>
        <w:rPr/>
        <w:t>Some important things can be said about this account of shifts in the supply of broad money.</w:t>
      </w:r>
    </w:p>
    <w:p>
      <w:pPr>
        <w:pStyle w:val="BodyText"/>
        <w:rPr>
          <w:sz w:val="26"/>
        </w:rPr>
      </w:pPr>
    </w:p>
    <w:p>
      <w:pPr>
        <w:pStyle w:val="BodyText"/>
        <w:spacing w:before="9"/>
        <w:rPr>
          <w:sz w:val="21"/>
        </w:rPr>
      </w:pPr>
    </w:p>
    <w:p>
      <w:pPr>
        <w:pStyle w:val="BodyText"/>
        <w:spacing w:line="360" w:lineRule="auto"/>
        <w:ind w:left="112" w:right="187"/>
      </w:pPr>
      <w:r>
        <w:rPr/>
        <w:t>First, in contrast to the textbook account of shocks to the Money supply via the proverbial helicopter drop of </w:t>
      </w:r>
      <w:r>
        <w:rPr>
          <w:u w:val="single"/>
        </w:rPr>
        <w:t>base</w:t>
      </w:r>
      <w:r>
        <w:rPr/>
        <w:t> money (pound notes), firms and households are not caught in a bind where, in aggregate, they are forced to hold the increased supply of broad money, even if it exceeds demand. Following a shock to the supply of credit, in which some people or companies become less credit constrained, it will be open to others to reduce their existing borrowing as the extra money circulates around the economy via the purchase of goods, services and financial assets.</w:t>
      </w:r>
    </w:p>
    <w:p>
      <w:pPr>
        <w:pStyle w:val="BodyText"/>
        <w:rPr>
          <w:sz w:val="36"/>
        </w:rPr>
      </w:pPr>
    </w:p>
    <w:p>
      <w:pPr>
        <w:pStyle w:val="BodyText"/>
        <w:spacing w:line="360" w:lineRule="auto"/>
        <w:ind w:left="112" w:right="100"/>
      </w:pPr>
      <w:r>
        <w:rPr/>
        <w:t>Second, and more important, the shocks to credit supply are, in themselves, real not nominal shocks. And like other real shocks, causing changes in the balance of Aggregate Demand and Aggregate Supply, there is a </w:t>
      </w:r>
      <w:r>
        <w:rPr>
          <w:i/>
        </w:rPr>
        <w:t>nominal </w:t>
      </w:r>
      <w:r>
        <w:rPr/>
        <w:t>effect only if monetary policy does not respond via alterations to the path of short­term interest rates to keep the economy on a stable path and in line with the inflation target.</w:t>
      </w:r>
    </w:p>
    <w:p>
      <w:pPr>
        <w:spacing w:after="0" w:line="360" w:lineRule="auto"/>
        <w:sectPr>
          <w:pgSz w:w="11910" w:h="16840"/>
          <w:pgMar w:header="713" w:footer="0" w:top="1340" w:bottom="280" w:left="1140" w:right="1180"/>
        </w:sectPr>
      </w:pPr>
    </w:p>
    <w:p>
      <w:pPr>
        <w:pStyle w:val="BodyText"/>
        <w:rPr>
          <w:sz w:val="20"/>
        </w:rPr>
      </w:pPr>
    </w:p>
    <w:p>
      <w:pPr>
        <w:pStyle w:val="BodyText"/>
        <w:spacing w:line="360" w:lineRule="auto" w:before="262"/>
        <w:ind w:left="112" w:right="162"/>
      </w:pPr>
      <w:r>
        <w:rPr>
          <w:i/>
        </w:rPr>
        <w:t>Absent </w:t>
      </w:r>
      <w:r>
        <w:rPr/>
        <w:t>an appropriate policy response, the easing </w:t>
      </w:r>
      <w:r>
        <w:rPr>
          <w:spacing w:val="-3"/>
        </w:rPr>
        <w:t>in </w:t>
      </w:r>
      <w:r>
        <w:rPr/>
        <w:t>monetary conditions would </w:t>
      </w:r>
      <w:r>
        <w:rPr>
          <w:spacing w:val="-3"/>
        </w:rPr>
        <w:t>in </w:t>
      </w:r>
      <w:r>
        <w:rPr/>
        <w:t>time feed into inflation through an expansion of nominal spending. In the </w:t>
      </w:r>
      <w:r>
        <w:rPr>
          <w:spacing w:val="-3"/>
        </w:rPr>
        <w:t>first </w:t>
      </w:r>
      <w:r>
        <w:rPr/>
        <w:t>instance, the expansion of ‘liquidity’ represented by faster money growth </w:t>
      </w:r>
      <w:r>
        <w:rPr>
          <w:spacing w:val="-3"/>
        </w:rPr>
        <w:t>may </w:t>
      </w:r>
      <w:r>
        <w:rPr/>
        <w:t>sometimes work through asset </w:t>
      </w:r>
      <w:r>
        <w:rPr>
          <w:spacing w:val="-3"/>
        </w:rPr>
        <w:t>prices.  </w:t>
      </w:r>
      <w:r>
        <w:rPr/>
        <w:t>That </w:t>
      </w:r>
      <w:r>
        <w:rPr>
          <w:spacing w:val="-3"/>
        </w:rPr>
        <w:t>is </w:t>
      </w:r>
      <w:r>
        <w:rPr/>
        <w:t>because with imperfect substitution between different kinds of financial assets, relative risk premia </w:t>
      </w:r>
      <w:r>
        <w:rPr>
          <w:spacing w:val="-3"/>
        </w:rPr>
        <w:t>may be </w:t>
      </w:r>
      <w:r>
        <w:rPr/>
        <w:t>altered, which </w:t>
      </w:r>
      <w:r>
        <w:rPr>
          <w:spacing w:val="-3"/>
        </w:rPr>
        <w:t>in </w:t>
      </w:r>
      <w:r>
        <w:rPr/>
        <w:t>turn may affect borrowing conditions </w:t>
      </w:r>
      <w:r>
        <w:rPr>
          <w:spacing w:val="-3"/>
        </w:rPr>
        <w:t>in </w:t>
      </w:r>
      <w:r>
        <w:rPr/>
        <w:t>capital</w:t>
      </w:r>
      <w:r>
        <w:rPr>
          <w:spacing w:val="7"/>
        </w:rPr>
        <w:t> </w:t>
      </w:r>
      <w:r>
        <w:rPr/>
        <w:t>markets.</w:t>
      </w:r>
      <w:r>
        <w:rPr>
          <w:vertAlign w:val="superscript"/>
        </w:rPr>
        <w:t>18</w:t>
      </w:r>
    </w:p>
    <w:p>
      <w:pPr>
        <w:pStyle w:val="BodyText"/>
        <w:spacing w:before="3"/>
        <w:rPr>
          <w:sz w:val="36"/>
        </w:rPr>
      </w:pPr>
    </w:p>
    <w:p>
      <w:pPr>
        <w:pStyle w:val="BodyText"/>
        <w:spacing w:line="360" w:lineRule="auto"/>
        <w:ind w:left="112" w:right="118"/>
      </w:pPr>
      <w:r>
        <w:rPr>
          <w:i/>
        </w:rPr>
        <w:t>With </w:t>
      </w:r>
      <w:r>
        <w:rPr/>
        <w:t>an appropriate policy response, what should we expect to see </w:t>
      </w:r>
      <w:r>
        <w:rPr>
          <w:spacing w:val="-3"/>
        </w:rPr>
        <w:t>in </w:t>
      </w:r>
      <w:r>
        <w:rPr/>
        <w:t>bank balance sheets, </w:t>
      </w:r>
      <w:r>
        <w:rPr>
          <w:spacing w:val="-3"/>
        </w:rPr>
        <w:t>in </w:t>
      </w:r>
      <w:r>
        <w:rPr/>
        <w:t>broad money growth, following a credit­supply shock? It </w:t>
      </w:r>
      <w:r>
        <w:rPr>
          <w:spacing w:val="-3"/>
        </w:rPr>
        <w:t>might be </w:t>
      </w:r>
      <w:r>
        <w:rPr/>
        <w:t>that the path for broad money should </w:t>
      </w:r>
      <w:r>
        <w:rPr>
          <w:spacing w:val="-3"/>
        </w:rPr>
        <w:t>be </w:t>
      </w:r>
      <w:r>
        <w:rPr/>
        <w:t>unaltered </w:t>
      </w:r>
      <w:r>
        <w:rPr>
          <w:spacing w:val="-3"/>
        </w:rPr>
        <w:t>in </w:t>
      </w:r>
      <w:r>
        <w:rPr/>
        <w:t>the medium term. In other words, a persistent acceleration (or deceleration) of M4 would </w:t>
      </w:r>
      <w:r>
        <w:rPr>
          <w:spacing w:val="-3"/>
        </w:rPr>
        <w:t>be </w:t>
      </w:r>
      <w:r>
        <w:rPr/>
        <w:t>indicative </w:t>
      </w:r>
      <w:r>
        <w:rPr>
          <w:spacing w:val="3"/>
        </w:rPr>
        <w:t>of </w:t>
      </w:r>
      <w:r>
        <w:rPr/>
        <w:t>a nominal shock, jeopardising achievement of the inflation target.  The world </w:t>
      </w:r>
      <w:r>
        <w:rPr>
          <w:spacing w:val="-3"/>
        </w:rPr>
        <w:t>is </w:t>
      </w:r>
      <w:r>
        <w:rPr/>
        <w:t>not </w:t>
      </w:r>
      <w:r>
        <w:rPr>
          <w:spacing w:val="-4"/>
        </w:rPr>
        <w:t>so </w:t>
      </w:r>
      <w:r>
        <w:rPr/>
        <w:t>simple, however.  The underlying drivers </w:t>
      </w:r>
      <w:r>
        <w:rPr>
          <w:spacing w:val="5"/>
        </w:rPr>
        <w:t>of </w:t>
      </w:r>
      <w:r>
        <w:rPr/>
        <w:t>the change </w:t>
      </w:r>
      <w:r>
        <w:rPr>
          <w:spacing w:val="-3"/>
        </w:rPr>
        <w:t>in </w:t>
      </w:r>
      <w:r>
        <w:rPr/>
        <w:t>the supply </w:t>
      </w:r>
      <w:r>
        <w:rPr>
          <w:spacing w:val="4"/>
        </w:rPr>
        <w:t>of </w:t>
      </w:r>
      <w:r>
        <w:rPr/>
        <w:t>bank lending, and so </w:t>
      </w:r>
      <w:r>
        <w:rPr>
          <w:spacing w:val="-3"/>
        </w:rPr>
        <w:t>in </w:t>
      </w:r>
      <w:r>
        <w:rPr/>
        <w:t>broad money, </w:t>
      </w:r>
      <w:r>
        <w:rPr>
          <w:spacing w:val="-3"/>
        </w:rPr>
        <w:t>may </w:t>
      </w:r>
      <w:r>
        <w:rPr/>
        <w:t>also bring about shifts </w:t>
      </w:r>
      <w:r>
        <w:rPr>
          <w:spacing w:val="-3"/>
        </w:rPr>
        <w:t>in </w:t>
      </w:r>
      <w:r>
        <w:rPr/>
        <w:t>the </w:t>
      </w:r>
      <w:r>
        <w:rPr>
          <w:i/>
        </w:rPr>
        <w:t>demand </w:t>
      </w:r>
      <w:r>
        <w:rPr/>
        <w:t>for money, validating a different level for real money balances – perhaps </w:t>
      </w:r>
      <w:r>
        <w:rPr>
          <w:spacing w:val="-3"/>
        </w:rPr>
        <w:t>most </w:t>
      </w:r>
      <w:r>
        <w:rPr/>
        <w:t>obviously, if investment and so the economy’s productive capacity were</w:t>
      </w:r>
      <w:r>
        <w:rPr>
          <w:spacing w:val="1"/>
        </w:rPr>
        <w:t> </w:t>
      </w:r>
      <w:r>
        <w:rPr/>
        <w:t>affected.</w:t>
      </w:r>
    </w:p>
    <w:p>
      <w:pPr>
        <w:pStyle w:val="BodyText"/>
        <w:spacing w:before="10"/>
        <w:rPr>
          <w:sz w:val="35"/>
        </w:rPr>
      </w:pPr>
    </w:p>
    <w:p>
      <w:pPr>
        <w:pStyle w:val="BodyText"/>
        <w:spacing w:line="360" w:lineRule="auto" w:before="1"/>
        <w:ind w:left="112" w:right="152"/>
      </w:pPr>
      <w:r>
        <w:rPr/>
        <w:t>For some underlying shocks, it is probably better to think about the effects on </w:t>
      </w:r>
      <w:r>
        <w:rPr>
          <w:i/>
        </w:rPr>
        <w:t>banking </w:t>
      </w:r>
      <w:r>
        <w:rPr>
          <w:i/>
        </w:rPr>
        <w:t>intermediatio</w:t>
      </w:r>
      <w:r>
        <w:rPr/>
        <w:t>n rather than simply on bank lending. Faced with a change in their costs and opportunities, bankers might sometimes be able to adjust the terms on either their assets or their liabilities (or both). Currently, banks have incurred an adverse shock to their wholesale funding (Chart 17). The evidence so far suggests that, as well as tightening terms for borrowers, they are improving rates offered on retail deposits.</w:t>
      </w:r>
    </w:p>
    <w:p>
      <w:pPr>
        <w:pStyle w:val="BodyText"/>
        <w:spacing w:before="1"/>
        <w:rPr>
          <w:sz w:val="36"/>
        </w:rPr>
      </w:pPr>
    </w:p>
    <w:p>
      <w:pPr>
        <w:pStyle w:val="BodyText"/>
        <w:spacing w:line="360" w:lineRule="auto"/>
        <w:ind w:left="112" w:right="347"/>
      </w:pPr>
      <w:r>
        <w:rPr/>
        <w:t>Where does that leave us on Money? It </w:t>
      </w:r>
      <w:r>
        <w:rPr>
          <w:spacing w:val="-5"/>
        </w:rPr>
        <w:t>is </w:t>
      </w:r>
      <w:r>
        <w:rPr/>
        <w:t>clear enough from the long­run relationship between money growth and inflation that prolonged shifts in money growth can </w:t>
      </w:r>
      <w:r>
        <w:rPr>
          <w:spacing w:val="-3"/>
        </w:rPr>
        <w:t>be </w:t>
      </w:r>
      <w:r>
        <w:rPr>
          <w:spacing w:val="2"/>
        </w:rPr>
        <w:t>an </w:t>
      </w:r>
      <w:r>
        <w:rPr/>
        <w:t>amber </w:t>
      </w:r>
      <w:r>
        <w:rPr>
          <w:spacing w:val="-3"/>
        </w:rPr>
        <w:t>light </w:t>
      </w:r>
      <w:r>
        <w:rPr/>
        <w:t>(Chart 18). </w:t>
      </w:r>
      <w:r>
        <w:rPr>
          <w:spacing w:val="-4"/>
        </w:rPr>
        <w:t>And </w:t>
      </w:r>
      <w:r>
        <w:rPr/>
        <w:t>possible liquidity effects mean that, through </w:t>
      </w:r>
      <w:r>
        <w:rPr>
          <w:spacing w:val="-3"/>
        </w:rPr>
        <w:t>risk </w:t>
      </w:r>
      <w:r>
        <w:rPr/>
        <w:t>premia, shifts </w:t>
      </w:r>
      <w:r>
        <w:rPr>
          <w:spacing w:val="-3"/>
        </w:rPr>
        <w:t>in </w:t>
      </w:r>
      <w:r>
        <w:rPr/>
        <w:t>the quantity of money may feed back into financial asset markets and so into broader credit conditions. But there are </w:t>
      </w:r>
      <w:r>
        <w:rPr>
          <w:spacing w:val="-3"/>
        </w:rPr>
        <w:t>no </w:t>
      </w:r>
      <w:r>
        <w:rPr/>
        <w:t>‘easy wins’ when </w:t>
      </w:r>
      <w:r>
        <w:rPr>
          <w:spacing w:val="-5"/>
        </w:rPr>
        <w:t>it </w:t>
      </w:r>
      <w:r>
        <w:rPr/>
        <w:t>comes to analysing Money demand and</w:t>
      </w:r>
      <w:r>
        <w:rPr>
          <w:spacing w:val="12"/>
        </w:rPr>
        <w:t> </w:t>
      </w:r>
      <w:r>
        <w:rPr/>
        <w:t>supply.</w:t>
      </w:r>
      <w:r>
        <w:rPr>
          <w:vertAlign w:val="superscript"/>
        </w:rPr>
        <w:t>19</w:t>
      </w:r>
    </w:p>
    <w:p>
      <w:pPr>
        <w:pStyle w:val="BodyText"/>
        <w:spacing w:before="2"/>
        <w:rPr>
          <w:sz w:val="36"/>
        </w:rPr>
      </w:pPr>
    </w:p>
    <w:p>
      <w:pPr>
        <w:pStyle w:val="Heading1"/>
        <w:spacing w:before="1"/>
        <w:ind w:left="112"/>
      </w:pPr>
      <w:r>
        <w:rPr/>
        <w:t>Money and credit in the current conjuncture</w:t>
      </w:r>
    </w:p>
    <w:p>
      <w:pPr>
        <w:pStyle w:val="BodyText"/>
        <w:rPr>
          <w:b/>
          <w:sz w:val="26"/>
        </w:rPr>
      </w:pPr>
    </w:p>
    <w:p>
      <w:pPr>
        <w:pStyle w:val="BodyText"/>
        <w:spacing w:before="9"/>
        <w:rPr>
          <w:b/>
          <w:sz w:val="21"/>
        </w:rPr>
      </w:pPr>
    </w:p>
    <w:p>
      <w:pPr>
        <w:pStyle w:val="BodyText"/>
        <w:spacing w:line="360" w:lineRule="auto"/>
        <w:ind w:left="112" w:right="152"/>
      </w:pPr>
      <w:r>
        <w:rPr/>
        <w:t>Those challenges are certainly apparent right now. Judging from a combination of market intelligence, surveys and prices, there is no doubt that credit conditions for both households and firms have tightened materially. The Bank’s new Credit Conditions Survey, published for the</w:t>
      </w:r>
    </w:p>
    <w:p>
      <w:pPr>
        <w:spacing w:after="0" w:line="360" w:lineRule="auto"/>
        <w:sectPr>
          <w:pgSz w:w="11910" w:h="16840"/>
          <w:pgMar w:header="713" w:footer="0" w:top="1340" w:bottom="280" w:left="1140" w:right="1180"/>
        </w:sectPr>
      </w:pPr>
    </w:p>
    <w:p>
      <w:pPr>
        <w:pStyle w:val="BodyText"/>
        <w:spacing w:line="360" w:lineRule="auto" w:before="80"/>
        <w:ind w:left="112" w:right="180"/>
      </w:pPr>
      <w:r>
        <w:rPr/>
        <w:t>first time </w:t>
      </w:r>
      <w:r>
        <w:rPr>
          <w:spacing w:val="-3"/>
        </w:rPr>
        <w:t>in </w:t>
      </w:r>
      <w:r>
        <w:rPr/>
        <w:t>September, recorded a </w:t>
      </w:r>
      <w:r>
        <w:rPr>
          <w:spacing w:val="-3"/>
        </w:rPr>
        <w:t>clear </w:t>
      </w:r>
      <w:r>
        <w:rPr/>
        <w:t>tightening </w:t>
      </w:r>
      <w:r>
        <w:rPr>
          <w:spacing w:val="-3"/>
        </w:rPr>
        <w:t>in </w:t>
      </w:r>
      <w:r>
        <w:rPr/>
        <w:t>availability </w:t>
      </w:r>
      <w:r>
        <w:rPr>
          <w:spacing w:val="4"/>
        </w:rPr>
        <w:t>of </w:t>
      </w:r>
      <w:r>
        <w:rPr/>
        <w:t>credit to corporates over the previous quarter. A month later, a mini­survey unsurprisingly revealed tighter conditions for households too.</w:t>
      </w:r>
      <w:r>
        <w:rPr>
          <w:vertAlign w:val="superscript"/>
        </w:rPr>
        <w:t>20</w:t>
      </w:r>
      <w:r>
        <w:rPr>
          <w:vertAlign w:val="baseline"/>
        </w:rPr>
        <w:t>  Spreads on corporate and household credit are already higher across the board; and for risky borrowers, financing costs </w:t>
      </w:r>
      <w:r>
        <w:rPr>
          <w:spacing w:val="-3"/>
          <w:vertAlign w:val="baseline"/>
        </w:rPr>
        <w:t>have </w:t>
      </w:r>
      <w:r>
        <w:rPr>
          <w:vertAlign w:val="baseline"/>
        </w:rPr>
        <w:t>risen notwithstanding the fall </w:t>
      </w:r>
      <w:r>
        <w:rPr>
          <w:spacing w:val="-3"/>
          <w:vertAlign w:val="baseline"/>
        </w:rPr>
        <w:t>in </w:t>
      </w:r>
      <w:r>
        <w:rPr>
          <w:vertAlign w:val="baseline"/>
        </w:rPr>
        <w:t>risk­free yields.</w:t>
      </w:r>
    </w:p>
    <w:p>
      <w:pPr>
        <w:pStyle w:val="BodyText"/>
        <w:spacing w:before="9"/>
        <w:rPr>
          <w:sz w:val="35"/>
        </w:rPr>
      </w:pPr>
    </w:p>
    <w:p>
      <w:pPr>
        <w:pStyle w:val="BodyText"/>
        <w:spacing w:line="360" w:lineRule="auto"/>
        <w:ind w:left="112" w:right="132"/>
      </w:pPr>
      <w:r>
        <w:rPr/>
        <w:t>Since August, the MPC has stressed, however, that </w:t>
      </w:r>
      <w:r>
        <w:rPr>
          <w:spacing w:val="-5"/>
        </w:rPr>
        <w:t>it </w:t>
      </w:r>
      <w:r>
        <w:rPr/>
        <w:t>will not </w:t>
      </w:r>
      <w:r>
        <w:rPr>
          <w:spacing w:val="-3"/>
        </w:rPr>
        <w:t>be </w:t>
      </w:r>
      <w:r>
        <w:rPr/>
        <w:t>sufficient </w:t>
      </w:r>
      <w:r>
        <w:rPr>
          <w:spacing w:val="-3"/>
        </w:rPr>
        <w:t>in </w:t>
      </w:r>
      <w:r>
        <w:rPr/>
        <w:t>these circumstances to look solely at the price of credit, as there could </w:t>
      </w:r>
      <w:r>
        <w:rPr>
          <w:spacing w:val="-3"/>
        </w:rPr>
        <w:t>be </w:t>
      </w:r>
      <w:r>
        <w:rPr/>
        <w:t>increased quantity rationing. The standard view </w:t>
      </w:r>
      <w:r>
        <w:rPr>
          <w:spacing w:val="-3"/>
        </w:rPr>
        <w:t>is </w:t>
      </w:r>
      <w:r>
        <w:rPr/>
        <w:t>that households and small firms are more likely to </w:t>
      </w:r>
      <w:r>
        <w:rPr>
          <w:spacing w:val="-3"/>
        </w:rPr>
        <w:t>be </w:t>
      </w:r>
      <w:r>
        <w:rPr/>
        <w:t>adversely affected </w:t>
      </w:r>
      <w:r>
        <w:rPr>
          <w:spacing w:val="-3"/>
        </w:rPr>
        <w:t>in </w:t>
      </w:r>
      <w:r>
        <w:rPr/>
        <w:t>such circumstances than large firms, which typically have greater access to capital markets.  </w:t>
      </w:r>
      <w:r>
        <w:rPr>
          <w:spacing w:val="-3"/>
        </w:rPr>
        <w:t>But </w:t>
      </w:r>
      <w:r>
        <w:rPr/>
        <w:t>as this disturbance affected the wholesale loan markets, we will need to monitor conditions for corporate bond and loan issuance. Indeed, we will need to look </w:t>
      </w:r>
      <w:r>
        <w:rPr>
          <w:spacing w:val="-3"/>
        </w:rPr>
        <w:t>at </w:t>
      </w:r>
      <w:r>
        <w:rPr>
          <w:i/>
        </w:rPr>
        <w:t>total </w:t>
      </w:r>
      <w:r>
        <w:rPr/>
        <w:t>credit, and carefully across different sectors to track the </w:t>
      </w:r>
      <w:r>
        <w:rPr>
          <w:spacing w:val="-3"/>
        </w:rPr>
        <w:t>impact </w:t>
      </w:r>
      <w:r>
        <w:rPr/>
        <w:t>of the tightening. But timely and rich data are available on </w:t>
      </w:r>
      <w:r>
        <w:rPr>
          <w:spacing w:val="-3"/>
        </w:rPr>
        <w:t>just bank </w:t>
      </w:r>
      <w:r>
        <w:rPr/>
        <w:t>lending. </w:t>
      </w:r>
      <w:r>
        <w:rPr>
          <w:spacing w:val="-4"/>
        </w:rPr>
        <w:t>And </w:t>
      </w:r>
      <w:r>
        <w:rPr/>
        <w:t>interpreting them </w:t>
      </w:r>
      <w:r>
        <w:rPr>
          <w:spacing w:val="-3"/>
        </w:rPr>
        <w:t>is </w:t>
      </w:r>
      <w:r>
        <w:rPr/>
        <w:t>not straightforward given the nature of the shock to the system. If reintermediation </w:t>
      </w:r>
      <w:r>
        <w:rPr>
          <w:spacing w:val="-3"/>
        </w:rPr>
        <w:t>is </w:t>
      </w:r>
      <w:r>
        <w:rPr/>
        <w:t>significant, </w:t>
      </w:r>
      <w:r>
        <w:rPr>
          <w:spacing w:val="-3"/>
        </w:rPr>
        <w:t>banks </w:t>
      </w:r>
      <w:r>
        <w:rPr/>
        <w:t>will </w:t>
      </w:r>
      <w:r>
        <w:rPr>
          <w:spacing w:val="-3"/>
        </w:rPr>
        <w:t>be </w:t>
      </w:r>
      <w:r>
        <w:rPr/>
        <w:t>taking back on to their balance sheets conduit and investment vehicle paper or </w:t>
      </w:r>
      <w:r>
        <w:rPr>
          <w:spacing w:val="-3"/>
        </w:rPr>
        <w:t>just </w:t>
      </w:r>
      <w:r>
        <w:rPr/>
        <w:t>holding onto </w:t>
      </w:r>
      <w:r>
        <w:rPr>
          <w:spacing w:val="-3"/>
        </w:rPr>
        <w:t>loans </w:t>
      </w:r>
      <w:r>
        <w:rPr/>
        <w:t>for longer than usual before they can </w:t>
      </w:r>
      <w:r>
        <w:rPr>
          <w:spacing w:val="-3"/>
        </w:rPr>
        <w:t>be </w:t>
      </w:r>
      <w:r>
        <w:rPr/>
        <w:t>sold onto the capital markets.  It cannot </w:t>
      </w:r>
      <w:r>
        <w:rPr>
          <w:spacing w:val="-3"/>
        </w:rPr>
        <w:t>be </w:t>
      </w:r>
      <w:r>
        <w:rPr/>
        <w:t>ruled out that, for a while,  the M4L growth rate may deceive as to the underlying pace </w:t>
      </w:r>
      <w:r>
        <w:rPr>
          <w:spacing w:val="3"/>
        </w:rPr>
        <w:t>of </w:t>
      </w:r>
      <w:r>
        <w:rPr/>
        <w:t>credit expansion </w:t>
      </w:r>
      <w:r>
        <w:rPr>
          <w:spacing w:val="-3"/>
        </w:rPr>
        <w:t>in </w:t>
      </w:r>
      <w:r>
        <w:rPr/>
        <w:t>the</w:t>
      </w:r>
      <w:r>
        <w:rPr>
          <w:spacing w:val="-33"/>
        </w:rPr>
        <w:t> </w:t>
      </w:r>
      <w:r>
        <w:rPr/>
        <w:t>economy.</w:t>
      </w:r>
    </w:p>
    <w:p>
      <w:pPr>
        <w:pStyle w:val="BodyText"/>
        <w:spacing w:before="4"/>
        <w:rPr>
          <w:sz w:val="36"/>
        </w:rPr>
      </w:pPr>
    </w:p>
    <w:p>
      <w:pPr>
        <w:pStyle w:val="BodyText"/>
        <w:spacing w:line="360" w:lineRule="auto"/>
        <w:ind w:left="112" w:right="165"/>
      </w:pPr>
      <w:r>
        <w:rPr/>
        <w:t>That </w:t>
      </w:r>
      <w:r>
        <w:rPr>
          <w:spacing w:val="-5"/>
        </w:rPr>
        <w:t>is </w:t>
      </w:r>
      <w:r>
        <w:rPr/>
        <w:t>important because, </w:t>
      </w:r>
      <w:r>
        <w:rPr>
          <w:spacing w:val="-3"/>
        </w:rPr>
        <w:t>in </w:t>
      </w:r>
      <w:r>
        <w:rPr/>
        <w:t>a nutshell, the turmoil </w:t>
      </w:r>
      <w:r>
        <w:rPr>
          <w:spacing w:val="-3"/>
        </w:rPr>
        <w:t>in </w:t>
      </w:r>
      <w:r>
        <w:rPr/>
        <w:t>financial markets </w:t>
      </w:r>
      <w:r>
        <w:rPr>
          <w:spacing w:val="-5"/>
        </w:rPr>
        <w:t>is </w:t>
      </w:r>
      <w:r>
        <w:rPr/>
        <w:t>not </w:t>
      </w:r>
      <w:r>
        <w:rPr>
          <w:spacing w:val="-4"/>
        </w:rPr>
        <w:t>just </w:t>
      </w:r>
      <w:r>
        <w:rPr/>
        <w:t>a ‘City’ event. How potent </w:t>
      </w:r>
      <w:r>
        <w:rPr>
          <w:spacing w:val="-5"/>
        </w:rPr>
        <w:t>it </w:t>
      </w:r>
      <w:r>
        <w:rPr/>
        <w:t>will </w:t>
      </w:r>
      <w:r>
        <w:rPr>
          <w:spacing w:val="-3"/>
        </w:rPr>
        <w:t>be </w:t>
      </w:r>
      <w:r>
        <w:rPr/>
        <w:t>macroeconomically will depend on how </w:t>
      </w:r>
      <w:r>
        <w:rPr>
          <w:spacing w:val="-3"/>
        </w:rPr>
        <w:t>long </w:t>
      </w:r>
      <w:r>
        <w:rPr/>
        <w:t>current conditions persist, and the feedback loop between the financial economy and the real</w:t>
      </w:r>
      <w:r>
        <w:rPr>
          <w:spacing w:val="-4"/>
        </w:rPr>
        <w:t> </w:t>
      </w:r>
      <w:r>
        <w:rPr/>
        <w:t>economy.</w:t>
      </w:r>
    </w:p>
    <w:p>
      <w:pPr>
        <w:pStyle w:val="BodyText"/>
        <w:rPr>
          <w:sz w:val="36"/>
        </w:rPr>
      </w:pPr>
    </w:p>
    <w:p>
      <w:pPr>
        <w:pStyle w:val="BodyText"/>
        <w:spacing w:line="360" w:lineRule="auto"/>
        <w:ind w:left="112" w:right="152"/>
      </w:pPr>
      <w:r>
        <w:rPr/>
        <w:t>As to its persistence, necessary conditions for an alleviation of the current strains in credit markets are probably at least twofold. First, that the US housing and household debt markets stabilise. Second, that banks and other financial intermediaries recognise impairments to asset values, so that uncertainties about counterparty credit risks begin to reduce.</w:t>
      </w:r>
    </w:p>
    <w:p>
      <w:pPr>
        <w:pStyle w:val="BodyText"/>
        <w:spacing w:before="10"/>
        <w:rPr>
          <w:sz w:val="35"/>
        </w:rPr>
      </w:pPr>
    </w:p>
    <w:p>
      <w:pPr>
        <w:pStyle w:val="BodyText"/>
        <w:spacing w:line="360" w:lineRule="auto"/>
        <w:ind w:left="112" w:right="213"/>
      </w:pPr>
      <w:r>
        <w:rPr/>
        <w:t>On the financial­real economy interaction, we must try to avoid a vicious circle in which tighter liquidity conditions, lower asset values, impaired capital resources, reduced credit supply, and slower aggregate demand feed back on each other. A variety of policy responses are possible. The announcement yesterday by central banks of co­ordinated action via term auctions to alleviate pressure in financing markets is directed at that. Second, regulatory authorities around the world are monitoring banks’ liquidity and capital positions, including in the context of Basel</w:t>
      </w:r>
    </w:p>
    <w:p>
      <w:pPr>
        <w:spacing w:after="0" w:line="360" w:lineRule="auto"/>
        <w:sectPr>
          <w:pgSz w:w="11910" w:h="16840"/>
          <w:pgMar w:header="713" w:footer="0" w:top="1340" w:bottom="280" w:left="1140" w:right="1180"/>
        </w:sectPr>
      </w:pPr>
    </w:p>
    <w:p>
      <w:pPr>
        <w:pStyle w:val="BodyText"/>
        <w:spacing w:line="360" w:lineRule="auto" w:before="80"/>
        <w:ind w:left="112" w:right="152"/>
      </w:pPr>
      <w:r>
        <w:rPr/>
        <w:t>II. And, thirdly, monetary policy also can in principle play a role, through what is effectively a ‘financial accelerator’ working through bank balance sheets, where that is consistent with maintaining stable inflation in the medium term.</w:t>
      </w:r>
    </w:p>
    <w:p>
      <w:pPr>
        <w:pStyle w:val="BodyText"/>
        <w:spacing w:before="11"/>
        <w:rPr>
          <w:sz w:val="35"/>
        </w:rPr>
      </w:pPr>
    </w:p>
    <w:p>
      <w:pPr>
        <w:pStyle w:val="BodyText"/>
        <w:spacing w:line="360" w:lineRule="auto"/>
        <w:ind w:left="112" w:right="215"/>
      </w:pPr>
      <w:r>
        <w:rPr/>
        <w:t>In the UK, the starting point has been robust domestic demand; the leveraged­buyout sector aside, generally healthy corporate balance sheets; somewhat more vulnerable household balance sheets;</w:t>
      </w:r>
      <w:r>
        <w:rPr>
          <w:vertAlign w:val="superscript"/>
        </w:rPr>
        <w:t>21</w:t>
      </w:r>
      <w:r>
        <w:rPr>
          <w:vertAlign w:val="baseline"/>
        </w:rPr>
        <w:t> and potentially stretched commercial and residential property prices.</w:t>
      </w:r>
    </w:p>
    <w:p>
      <w:pPr>
        <w:pStyle w:val="BodyText"/>
        <w:rPr>
          <w:sz w:val="36"/>
        </w:rPr>
      </w:pPr>
    </w:p>
    <w:p>
      <w:pPr>
        <w:pStyle w:val="BodyText"/>
        <w:spacing w:line="360" w:lineRule="auto"/>
        <w:ind w:left="112" w:right="193"/>
      </w:pPr>
      <w:r>
        <w:rPr>
          <w:spacing w:val="-3"/>
        </w:rPr>
        <w:t>At </w:t>
      </w:r>
      <w:r>
        <w:rPr/>
        <w:t>the Committee’s November meeting, I explored the case for an ‘insurance cut’ addressed to the downside risks from tightening credit conditions. The case for such a cut was strengthened by Bank Rate, </w:t>
      </w:r>
      <w:r>
        <w:rPr>
          <w:spacing w:val="-3"/>
        </w:rPr>
        <w:t>at </w:t>
      </w:r>
      <w:r>
        <w:rPr/>
        <w:t>5¾%, standing at a level that was </w:t>
      </w:r>
      <w:r>
        <w:rPr>
          <w:spacing w:val="-3"/>
        </w:rPr>
        <w:t>most </w:t>
      </w:r>
      <w:r>
        <w:rPr/>
        <w:t>probably mildly restrictive.  But that had </w:t>
      </w:r>
      <w:r>
        <w:rPr>
          <w:spacing w:val="3"/>
        </w:rPr>
        <w:t>to </w:t>
      </w:r>
      <w:r>
        <w:rPr>
          <w:spacing w:val="-3"/>
        </w:rPr>
        <w:t>be </w:t>
      </w:r>
      <w:r>
        <w:rPr/>
        <w:t>weighed against the upward pressures on inflation stemming largely from the rise </w:t>
      </w:r>
      <w:r>
        <w:rPr>
          <w:spacing w:val="-3"/>
        </w:rPr>
        <w:t>in </w:t>
      </w:r>
      <w:r>
        <w:rPr/>
        <w:t>energy and other commodity prices. Our November projections seemed to </w:t>
      </w:r>
      <w:r>
        <w:rPr>
          <w:spacing w:val="-5"/>
        </w:rPr>
        <w:t>me </w:t>
      </w:r>
      <w:r>
        <w:rPr/>
        <w:t>likely </w:t>
      </w:r>
      <w:r>
        <w:rPr>
          <w:spacing w:val="2"/>
        </w:rPr>
        <w:t>to </w:t>
      </w:r>
      <w:r>
        <w:rPr/>
        <w:t>validate the expectation already embodied </w:t>
      </w:r>
      <w:r>
        <w:rPr>
          <w:spacing w:val="-3"/>
        </w:rPr>
        <w:t>in </w:t>
      </w:r>
      <w:r>
        <w:rPr/>
        <w:t>the money market curve that Bank Rate </w:t>
      </w:r>
      <w:r>
        <w:rPr>
          <w:spacing w:val="-3"/>
        </w:rPr>
        <w:t>would </w:t>
      </w:r>
      <w:r>
        <w:rPr/>
        <w:t>over time be lowered, representing some offset to the tightening </w:t>
      </w:r>
      <w:r>
        <w:rPr>
          <w:spacing w:val="-3"/>
        </w:rPr>
        <w:t>in </w:t>
      </w:r>
      <w:r>
        <w:rPr/>
        <w:t>liquidity and credit premia. That </w:t>
      </w:r>
      <w:r>
        <w:rPr>
          <w:spacing w:val="-3"/>
        </w:rPr>
        <w:t>being </w:t>
      </w:r>
      <w:r>
        <w:rPr/>
        <w:t>so, on balance, I concluded that an immediate cut was not necessary; and that </w:t>
      </w:r>
      <w:r>
        <w:rPr>
          <w:spacing w:val="-3"/>
        </w:rPr>
        <w:t>‘no </w:t>
      </w:r>
      <w:r>
        <w:rPr/>
        <w:t>change’ would give the Committee a valuable opportunity to explain </w:t>
      </w:r>
      <w:r>
        <w:rPr>
          <w:spacing w:val="-3"/>
        </w:rPr>
        <w:t>in </w:t>
      </w:r>
      <w:r>
        <w:rPr/>
        <w:t>the Inflation Report the implications </w:t>
      </w:r>
      <w:r>
        <w:rPr>
          <w:spacing w:val="4"/>
        </w:rPr>
        <w:t>of </w:t>
      </w:r>
      <w:r>
        <w:rPr>
          <w:i/>
        </w:rPr>
        <w:t>both </w:t>
      </w:r>
      <w:r>
        <w:rPr/>
        <w:t>the credit and commodity shocks, underlining that the Committee remains focused </w:t>
      </w:r>
      <w:r>
        <w:rPr>
          <w:spacing w:val="3"/>
        </w:rPr>
        <w:t>on </w:t>
      </w:r>
      <w:r>
        <w:rPr/>
        <w:t>anchoring inflation expectations and so achieving the inflation target over the medium</w:t>
      </w:r>
      <w:r>
        <w:rPr>
          <w:spacing w:val="-16"/>
        </w:rPr>
        <w:t> </w:t>
      </w:r>
      <w:r>
        <w:rPr/>
        <w:t>term.</w:t>
      </w:r>
    </w:p>
    <w:p>
      <w:pPr>
        <w:pStyle w:val="BodyText"/>
        <w:spacing w:before="1"/>
        <w:rPr>
          <w:sz w:val="36"/>
        </w:rPr>
      </w:pPr>
    </w:p>
    <w:p>
      <w:pPr>
        <w:pStyle w:val="BodyText"/>
        <w:spacing w:line="360" w:lineRule="auto"/>
        <w:ind w:left="112" w:right="247"/>
      </w:pPr>
      <w:r>
        <w:rPr/>
        <w:t>Looking ahead, I noted the importance of distinguishing between, on the one hand, the passing through into the macroeconomy of the shocks that had already occurred to credit conditions and to commodity prices; and, on the other hand, the possibility of new shocks on either or both fronts.</w:t>
      </w:r>
    </w:p>
    <w:p>
      <w:pPr>
        <w:pStyle w:val="BodyText"/>
        <w:spacing w:before="10"/>
        <w:rPr>
          <w:sz w:val="35"/>
        </w:rPr>
      </w:pPr>
    </w:p>
    <w:p>
      <w:pPr>
        <w:pStyle w:val="BodyText"/>
        <w:spacing w:line="360" w:lineRule="auto"/>
        <w:ind w:left="112" w:right="433"/>
      </w:pPr>
      <w:r>
        <w:rPr/>
        <w:t>That was my starting point for our December meeting, the minutes of which will be published next week.</w:t>
      </w:r>
    </w:p>
    <w:p>
      <w:pPr>
        <w:pStyle w:val="BodyText"/>
        <w:spacing w:before="6"/>
        <w:rPr>
          <w:sz w:val="36"/>
        </w:rPr>
      </w:pPr>
    </w:p>
    <w:p>
      <w:pPr>
        <w:pStyle w:val="Heading1"/>
        <w:ind w:left="112"/>
      </w:pPr>
      <w:r>
        <w:rPr/>
        <w:t>Summary and conclusions</w:t>
      </w:r>
    </w:p>
    <w:p>
      <w:pPr>
        <w:pStyle w:val="BodyText"/>
        <w:rPr>
          <w:b/>
          <w:sz w:val="26"/>
        </w:rPr>
      </w:pPr>
    </w:p>
    <w:p>
      <w:pPr>
        <w:pStyle w:val="BodyText"/>
        <w:spacing w:before="4"/>
        <w:rPr>
          <w:b/>
          <w:sz w:val="21"/>
        </w:rPr>
      </w:pPr>
    </w:p>
    <w:p>
      <w:pPr>
        <w:pStyle w:val="BodyText"/>
        <w:spacing w:before="1"/>
        <w:ind w:left="112"/>
      </w:pPr>
      <w:r>
        <w:rPr/>
        <w:t>Let me try to pull together some of my central themes.</w:t>
      </w:r>
    </w:p>
    <w:p>
      <w:pPr>
        <w:spacing w:after="0"/>
        <w:sectPr>
          <w:pgSz w:w="11910" w:h="16840"/>
          <w:pgMar w:header="713" w:footer="0" w:top="1340" w:bottom="280" w:left="1140" w:right="1180"/>
        </w:sectPr>
      </w:pPr>
    </w:p>
    <w:p>
      <w:pPr>
        <w:pStyle w:val="BodyText"/>
        <w:spacing w:line="360" w:lineRule="auto" w:before="80"/>
        <w:ind w:left="112" w:right="152"/>
      </w:pPr>
      <w:r>
        <w:rPr/>
        <w:t>I have stressed that we should take care to avoid talking about money when we mean credit. In a similar spirit, we should be clear when we mean total credit and when bank lending, but without assuming the two are divorced.</w:t>
      </w:r>
    </w:p>
    <w:p>
      <w:pPr>
        <w:pStyle w:val="BodyText"/>
        <w:spacing w:before="11"/>
        <w:rPr>
          <w:sz w:val="35"/>
        </w:rPr>
      </w:pPr>
    </w:p>
    <w:p>
      <w:pPr>
        <w:pStyle w:val="BodyText"/>
        <w:spacing w:line="360" w:lineRule="auto"/>
        <w:ind w:left="112" w:right="160"/>
      </w:pPr>
      <w:r>
        <w:rPr/>
        <w:t>I have also stressed the need for attention to the underlying drivers </w:t>
      </w:r>
      <w:r>
        <w:rPr>
          <w:spacing w:val="2"/>
        </w:rPr>
        <w:t>of </w:t>
      </w:r>
      <w:r>
        <w:rPr/>
        <w:t>credit conditions throughout the economic cycle. In today’s financial system, we </w:t>
      </w:r>
      <w:r>
        <w:rPr>
          <w:spacing w:val="-3"/>
        </w:rPr>
        <w:t>may </w:t>
      </w:r>
      <w:r>
        <w:rPr/>
        <w:t>well need richer data on credit quantities and flows outside the banking sector, perhaps along the lines of the US Flow of Funds statistics. The Bank’s new Credit Conditions Survey </w:t>
      </w:r>
      <w:r>
        <w:rPr>
          <w:spacing w:val="-3"/>
        </w:rPr>
        <w:t>is </w:t>
      </w:r>
      <w:r>
        <w:rPr/>
        <w:t>also designed to </w:t>
      </w:r>
      <w:r>
        <w:rPr>
          <w:spacing w:val="-3"/>
        </w:rPr>
        <w:t>give </w:t>
      </w:r>
      <w:r>
        <w:rPr/>
        <w:t>us better qualitative information to put alongside the quantity and price data.   Even so, as with asset prices more generally, we will sometimes </w:t>
      </w:r>
      <w:r>
        <w:rPr>
          <w:spacing w:val="-3"/>
        </w:rPr>
        <w:t>find </w:t>
      </w:r>
      <w:r>
        <w:rPr>
          <w:spacing w:val="-5"/>
        </w:rPr>
        <w:t>it </w:t>
      </w:r>
      <w:r>
        <w:rPr/>
        <w:t>hard to distinguish between changes </w:t>
      </w:r>
      <w:r>
        <w:rPr>
          <w:spacing w:val="-3"/>
        </w:rPr>
        <w:t>in </w:t>
      </w:r>
      <w:r>
        <w:rPr/>
        <w:t>credit conditions warranted by fundamentals and those that are not. Failure to recognise fundamentally warranted and sustainable shifts would deplete welfare. </w:t>
      </w:r>
      <w:r>
        <w:rPr>
          <w:spacing w:val="-3"/>
        </w:rPr>
        <w:t>But </w:t>
      </w:r>
      <w:r>
        <w:rPr>
          <w:spacing w:val="-5"/>
        </w:rPr>
        <w:t>it </w:t>
      </w:r>
      <w:r>
        <w:rPr>
          <w:spacing w:val="-3"/>
        </w:rPr>
        <w:t>is </w:t>
      </w:r>
      <w:r>
        <w:rPr/>
        <w:t>distinctly uncomfortable for the world’s central banks </w:t>
      </w:r>
      <w:r>
        <w:rPr>
          <w:spacing w:val="2"/>
        </w:rPr>
        <w:t>to </w:t>
      </w:r>
      <w:r>
        <w:rPr/>
        <w:t>rely entirely on mopping up after a bubble bursts: one imbalance can lead </w:t>
      </w:r>
      <w:r>
        <w:rPr>
          <w:spacing w:val="2"/>
        </w:rPr>
        <w:t>to </w:t>
      </w:r>
      <w:r>
        <w:rPr/>
        <w:t>another.</w:t>
      </w:r>
      <w:r>
        <w:rPr>
          <w:vertAlign w:val="superscript"/>
        </w:rPr>
        <w:t>22</w:t>
      </w:r>
      <w:r>
        <w:rPr>
          <w:vertAlign w:val="baseline"/>
        </w:rPr>
        <w:t> The central banking community does not </w:t>
      </w:r>
      <w:r>
        <w:rPr>
          <w:spacing w:val="-4"/>
          <w:vertAlign w:val="baseline"/>
        </w:rPr>
        <w:t>yet </w:t>
      </w:r>
      <w:r>
        <w:rPr>
          <w:spacing w:val="-3"/>
          <w:vertAlign w:val="baseline"/>
        </w:rPr>
        <w:t>have </w:t>
      </w:r>
      <w:r>
        <w:rPr>
          <w:vertAlign w:val="baseline"/>
        </w:rPr>
        <w:t>a satisfactory way through this</w:t>
      </w:r>
      <w:r>
        <w:rPr>
          <w:spacing w:val="-1"/>
          <w:vertAlign w:val="baseline"/>
        </w:rPr>
        <w:t> </w:t>
      </w:r>
      <w:r>
        <w:rPr>
          <w:vertAlign w:val="baseline"/>
        </w:rPr>
        <w:t>dilemma.</w:t>
      </w:r>
    </w:p>
    <w:p>
      <w:pPr>
        <w:pStyle w:val="BodyText"/>
        <w:rPr>
          <w:sz w:val="36"/>
        </w:rPr>
      </w:pPr>
    </w:p>
    <w:p>
      <w:pPr>
        <w:pStyle w:val="BodyText"/>
        <w:tabs>
          <w:tab w:pos="4615" w:val="left" w:leader="none"/>
        </w:tabs>
        <w:spacing w:line="360" w:lineRule="auto" w:before="1"/>
        <w:ind w:left="112" w:right="289"/>
      </w:pPr>
      <w:r>
        <w:rPr>
          <w:spacing w:val="-3"/>
        </w:rPr>
        <w:t>And </w:t>
      </w:r>
      <w:r>
        <w:rPr/>
        <w:t>Money? It occupies one end of the liquidity spectrum, and so changes </w:t>
      </w:r>
      <w:r>
        <w:rPr>
          <w:spacing w:val="-3"/>
        </w:rPr>
        <w:t>in </w:t>
      </w:r>
      <w:r>
        <w:rPr/>
        <w:t>the quantity of money </w:t>
      </w:r>
      <w:r>
        <w:rPr>
          <w:spacing w:val="-3"/>
        </w:rPr>
        <w:t>might </w:t>
      </w:r>
      <w:r>
        <w:rPr/>
        <w:t>potentially affect </w:t>
      </w:r>
      <w:r>
        <w:rPr>
          <w:spacing w:val="-3"/>
        </w:rPr>
        <w:t>risk </w:t>
      </w:r>
      <w:r>
        <w:rPr/>
        <w:t>premia, and so credit conditions more generally. Gauging that </w:t>
      </w:r>
      <w:r>
        <w:rPr>
          <w:spacing w:val="-3"/>
        </w:rPr>
        <w:t>is </w:t>
      </w:r>
      <w:r>
        <w:rPr/>
        <w:t>a formidable challenge. </w:t>
      </w:r>
      <w:r>
        <w:rPr>
          <w:spacing w:val="-3"/>
        </w:rPr>
        <w:t>As </w:t>
      </w:r>
      <w:r>
        <w:rPr/>
        <w:t>an input to </w:t>
      </w:r>
      <w:r>
        <w:rPr>
          <w:spacing w:val="-3"/>
        </w:rPr>
        <w:t>policy, </w:t>
      </w:r>
      <w:r>
        <w:rPr/>
        <w:t>there </w:t>
      </w:r>
      <w:r>
        <w:rPr>
          <w:spacing w:val="-3"/>
        </w:rPr>
        <w:t>is just no </w:t>
      </w:r>
      <w:r>
        <w:rPr/>
        <w:t>alternative </w:t>
      </w:r>
      <w:r>
        <w:rPr>
          <w:spacing w:val="2"/>
        </w:rPr>
        <w:t>to </w:t>
      </w:r>
      <w:r>
        <w:rPr/>
        <w:t>getting one’s hands dirty </w:t>
      </w:r>
      <w:r>
        <w:rPr>
          <w:spacing w:val="-3"/>
        </w:rPr>
        <w:t>in </w:t>
      </w:r>
      <w:r>
        <w:rPr/>
        <w:t>analysing the</w:t>
      </w:r>
      <w:r>
        <w:rPr>
          <w:spacing w:val="3"/>
        </w:rPr>
        <w:t> </w:t>
      </w:r>
      <w:r>
        <w:rPr/>
        <w:t>monetary</w:t>
      </w:r>
      <w:r>
        <w:rPr>
          <w:spacing w:val="-8"/>
        </w:rPr>
        <w:t> </w:t>
      </w:r>
      <w:r>
        <w:rPr/>
        <w:t>data.</w:t>
        <w:tab/>
        <w:t>With an institutional rather than functional definition </w:t>
      </w:r>
      <w:r>
        <w:rPr>
          <w:spacing w:val="4"/>
        </w:rPr>
        <w:t>of </w:t>
      </w:r>
      <w:r>
        <w:rPr/>
        <w:t>broad money, special care </w:t>
      </w:r>
      <w:r>
        <w:rPr>
          <w:spacing w:val="-3"/>
        </w:rPr>
        <w:t>is </w:t>
      </w:r>
      <w:r>
        <w:rPr/>
        <w:t>needed not to </w:t>
      </w:r>
      <w:r>
        <w:rPr>
          <w:spacing w:val="-3"/>
        </w:rPr>
        <w:t>be </w:t>
      </w:r>
      <w:r>
        <w:rPr/>
        <w:t>misled by shifts </w:t>
      </w:r>
      <w:r>
        <w:rPr>
          <w:spacing w:val="-3"/>
        </w:rPr>
        <w:t>in </w:t>
      </w:r>
      <w:r>
        <w:rPr/>
        <w:t>the demand for money from the plethora of non­bank financial institutions. This </w:t>
      </w:r>
      <w:r>
        <w:rPr>
          <w:spacing w:val="-3"/>
        </w:rPr>
        <w:t>is </w:t>
      </w:r>
      <w:r>
        <w:rPr/>
        <w:t>important </w:t>
      </w:r>
      <w:r>
        <w:rPr>
          <w:spacing w:val="-3"/>
        </w:rPr>
        <w:t>if </w:t>
      </w:r>
      <w:r>
        <w:rPr/>
        <w:t>we are to use money as an indicator of nominal trends alongside survey and financial­market­based measures of inflation</w:t>
      </w:r>
      <w:r>
        <w:rPr>
          <w:spacing w:val="-5"/>
        </w:rPr>
        <w:t> </w:t>
      </w:r>
      <w:r>
        <w:rPr/>
        <w:t>expectations.</w:t>
      </w:r>
    </w:p>
    <w:p>
      <w:pPr>
        <w:pStyle w:val="BodyText"/>
        <w:spacing w:before="10"/>
        <w:rPr>
          <w:sz w:val="35"/>
        </w:rPr>
      </w:pPr>
    </w:p>
    <w:p>
      <w:pPr>
        <w:pStyle w:val="BodyText"/>
        <w:spacing w:line="360" w:lineRule="auto"/>
        <w:ind w:left="112" w:right="167"/>
      </w:pPr>
      <w:r>
        <w:rPr/>
        <w:t>That brings </w:t>
      </w:r>
      <w:r>
        <w:rPr>
          <w:spacing w:val="-3"/>
        </w:rPr>
        <w:t>me </w:t>
      </w:r>
      <w:r>
        <w:rPr/>
        <w:t>back to where I began: with our policy reaction function. Occasionally the markets will </w:t>
      </w:r>
      <w:r>
        <w:rPr>
          <w:spacing w:val="-3"/>
        </w:rPr>
        <w:t>be </w:t>
      </w:r>
      <w:r>
        <w:rPr/>
        <w:t>surprised by our policy decisions.  But we </w:t>
      </w:r>
      <w:r>
        <w:rPr>
          <w:spacing w:val="-3"/>
        </w:rPr>
        <w:t>should </w:t>
      </w:r>
      <w:r>
        <w:rPr/>
        <w:t>do all we can </w:t>
      </w:r>
      <w:r>
        <w:rPr>
          <w:spacing w:val="2"/>
        </w:rPr>
        <w:t>to </w:t>
      </w:r>
      <w:r>
        <w:rPr>
          <w:spacing w:val="-3"/>
        </w:rPr>
        <w:t>avoid </w:t>
      </w:r>
      <w:r>
        <w:rPr/>
        <w:t>confusion about how we think about the economy and about monetary policy strategy. In the spring, </w:t>
      </w:r>
      <w:r>
        <w:rPr>
          <w:spacing w:val="-3"/>
        </w:rPr>
        <w:t>my </w:t>
      </w:r>
      <w:r>
        <w:rPr/>
        <w:t>own view of the signals from broad money had not altered materially.  So today I have tried </w:t>
      </w:r>
      <w:r>
        <w:rPr>
          <w:spacing w:val="2"/>
        </w:rPr>
        <w:t>to </w:t>
      </w:r>
      <w:r>
        <w:rPr/>
        <w:t>explain how I think about </w:t>
      </w:r>
      <w:r>
        <w:rPr>
          <w:spacing w:val="-3"/>
        </w:rPr>
        <w:t>money, </w:t>
      </w:r>
      <w:r>
        <w:rPr/>
        <w:t>credit and the connections between them. That has provided a framework for </w:t>
      </w:r>
      <w:r>
        <w:rPr>
          <w:spacing w:val="-4"/>
        </w:rPr>
        <w:t>some </w:t>
      </w:r>
      <w:r>
        <w:rPr/>
        <w:t>observations on the current conjuncture, underlining the  need for careful attention to conditions </w:t>
      </w:r>
      <w:r>
        <w:rPr>
          <w:spacing w:val="-3"/>
        </w:rPr>
        <w:t>in </w:t>
      </w:r>
      <w:r>
        <w:rPr/>
        <w:t>the banking system. Central banks should be, and need to be, well placed to undertake that </w:t>
      </w:r>
      <w:r>
        <w:rPr>
          <w:spacing w:val="-3"/>
        </w:rPr>
        <w:t>analysis, </w:t>
      </w:r>
      <w:r>
        <w:rPr/>
        <w:t>which has rarely been more important than</w:t>
      </w:r>
      <w:r>
        <w:rPr>
          <w:spacing w:val="2"/>
        </w:rPr>
        <w:t> </w:t>
      </w:r>
      <w:r>
        <w:rPr/>
        <w:t>now.</w:t>
      </w:r>
    </w:p>
    <w:p>
      <w:pPr>
        <w:spacing w:after="0" w:line="360" w:lineRule="auto"/>
        <w:sectPr>
          <w:pgSz w:w="11910" w:h="16840"/>
          <w:pgMar w:header="713" w:footer="0" w:top="1340" w:bottom="280" w:left="1140" w:right="1180"/>
        </w:sectPr>
      </w:pPr>
    </w:p>
    <w:p>
      <w:pPr>
        <w:pStyle w:val="BodyText"/>
        <w:spacing w:before="4"/>
        <w:rPr>
          <w:sz w:val="17"/>
        </w:rPr>
      </w:pPr>
    </w:p>
    <w:p>
      <w:pPr>
        <w:spacing w:after="0"/>
        <w:rPr>
          <w:sz w:val="17"/>
        </w:rPr>
        <w:sectPr>
          <w:pgSz w:w="11910" w:h="16840"/>
          <w:pgMar w:header="713" w:footer="0" w:top="1340" w:bottom="280" w:left="1140" w:right="1180"/>
        </w:sectPr>
      </w:pPr>
    </w:p>
    <w:p>
      <w:pPr>
        <w:pStyle w:val="Heading1"/>
        <w:spacing w:before="84"/>
        <w:ind w:left="112"/>
      </w:pPr>
      <w:r>
        <w:rPr/>
        <w:t>ANNEX</w:t>
      </w:r>
    </w:p>
    <w:p>
      <w:pPr>
        <w:pStyle w:val="BodyText"/>
        <w:spacing w:before="2"/>
        <w:rPr>
          <w:b/>
        </w:rPr>
      </w:pPr>
    </w:p>
    <w:p>
      <w:pPr>
        <w:spacing w:line="237" w:lineRule="auto" w:before="1"/>
        <w:ind w:left="655" w:right="26" w:firstLine="0"/>
        <w:jc w:val="left"/>
        <w:rPr>
          <w:b/>
          <w:sz w:val="24"/>
        </w:rPr>
      </w:pPr>
      <w:r>
        <w:rPr>
          <w:b/>
          <w:sz w:val="24"/>
        </w:rPr>
        <w:t>Chart 1: Money mentions</w:t>
      </w:r>
      <w:r>
        <w:rPr>
          <w:b/>
          <w:sz w:val="24"/>
          <w:vertAlign w:val="superscript"/>
        </w:rPr>
        <w:t>(a)</w:t>
      </w:r>
      <w:r>
        <w:rPr>
          <w:b/>
          <w:sz w:val="24"/>
          <w:vertAlign w:val="baseline"/>
        </w:rPr>
        <w:t> in MPC minutes and money growth</w:t>
      </w:r>
    </w:p>
    <w:p>
      <w:pPr>
        <w:pStyle w:val="BodyText"/>
        <w:rPr>
          <w:b/>
          <w:sz w:val="26"/>
        </w:rPr>
      </w:pPr>
      <w:r>
        <w:rPr/>
        <w:br w:type="column"/>
      </w:r>
      <w:r>
        <w:rPr>
          <w:b/>
          <w:sz w:val="26"/>
        </w:rPr>
      </w:r>
    </w:p>
    <w:p>
      <w:pPr>
        <w:pStyle w:val="BodyText"/>
        <w:spacing w:before="6"/>
        <w:rPr>
          <w:b/>
          <w:sz w:val="29"/>
        </w:rPr>
      </w:pPr>
    </w:p>
    <w:p>
      <w:pPr>
        <w:spacing w:line="237" w:lineRule="auto" w:before="0"/>
        <w:ind w:left="112" w:right="907" w:firstLine="0"/>
        <w:jc w:val="left"/>
        <w:rPr>
          <w:b/>
          <w:sz w:val="24"/>
        </w:rPr>
      </w:pPr>
      <w:r>
        <w:rPr>
          <w:b/>
          <w:sz w:val="24"/>
        </w:rPr>
        <w:t>Diagram A: Shifts in both supply of credit (</w:t>
      </w:r>
      <w:r>
        <w:rPr>
          <w:sz w:val="20"/>
        </w:rPr>
        <w:t>C</w:t>
      </w:r>
      <w:r>
        <w:rPr>
          <w:sz w:val="20"/>
          <w:vertAlign w:val="superscript"/>
        </w:rPr>
        <w:t>S(1)</w:t>
      </w:r>
      <w:r>
        <w:rPr>
          <w:rFonts w:ascii="Arial" w:hAnsi="Arial"/>
          <w:b/>
          <w:sz w:val="24"/>
          <w:vertAlign w:val="baseline"/>
        </w:rPr>
        <w:t>→ </w:t>
      </w:r>
      <w:r>
        <w:rPr>
          <w:sz w:val="20"/>
          <w:vertAlign w:val="baseline"/>
        </w:rPr>
        <w:t>C</w:t>
      </w:r>
      <w:r>
        <w:rPr>
          <w:sz w:val="20"/>
          <w:vertAlign w:val="superscript"/>
        </w:rPr>
        <w:t>S(2)</w:t>
      </w:r>
      <w:r>
        <w:rPr>
          <w:b/>
          <w:sz w:val="24"/>
          <w:vertAlign w:val="baseline"/>
        </w:rPr>
        <w:t>) and demand for credit (</w:t>
      </w:r>
      <w:r>
        <w:rPr>
          <w:sz w:val="20"/>
          <w:vertAlign w:val="baseline"/>
        </w:rPr>
        <w:t>C</w:t>
      </w:r>
      <w:r>
        <w:rPr>
          <w:position w:val="9"/>
          <w:sz w:val="13"/>
          <w:vertAlign w:val="baseline"/>
        </w:rPr>
        <w:t>D(1)</w:t>
      </w:r>
      <w:r>
        <w:rPr>
          <w:rFonts w:ascii="Arial" w:hAnsi="Arial"/>
          <w:b/>
          <w:sz w:val="24"/>
          <w:vertAlign w:val="baseline"/>
        </w:rPr>
        <w:t>→ </w:t>
      </w:r>
      <w:r>
        <w:rPr>
          <w:sz w:val="20"/>
          <w:vertAlign w:val="baseline"/>
        </w:rPr>
        <w:t>C</w:t>
      </w:r>
      <w:r>
        <w:rPr>
          <w:position w:val="9"/>
          <w:sz w:val="13"/>
          <w:vertAlign w:val="baseline"/>
        </w:rPr>
        <w:t>D(2)</w:t>
      </w:r>
      <w:r>
        <w:rPr>
          <w:b/>
          <w:sz w:val="24"/>
          <w:vertAlign w:val="baseline"/>
        </w:rPr>
        <w:t>/ </w:t>
      </w:r>
      <w:r>
        <w:rPr>
          <w:sz w:val="20"/>
          <w:vertAlign w:val="baseline"/>
        </w:rPr>
        <w:t>C</w:t>
      </w:r>
      <w:r>
        <w:rPr>
          <w:position w:val="9"/>
          <w:sz w:val="13"/>
          <w:vertAlign w:val="baseline"/>
        </w:rPr>
        <w:t>D(3)</w:t>
      </w:r>
      <w:r>
        <w:rPr>
          <w:b/>
          <w:sz w:val="24"/>
          <w:vertAlign w:val="baseline"/>
        </w:rPr>
        <w:t>)</w:t>
      </w:r>
    </w:p>
    <w:p>
      <w:pPr>
        <w:spacing w:after="0" w:line="237" w:lineRule="auto"/>
        <w:jc w:val="left"/>
        <w:rPr>
          <w:sz w:val="24"/>
        </w:rPr>
        <w:sectPr>
          <w:pgSz w:w="11910" w:h="16840"/>
          <w:pgMar w:header="713" w:footer="0" w:top="1340" w:bottom="280" w:left="1140" w:right="1180"/>
          <w:cols w:num="2" w:equalWidth="0">
            <w:col w:w="4383" w:space="513"/>
            <w:col w:w="4694"/>
          </w:cols>
        </w:sectPr>
      </w:pPr>
    </w:p>
    <w:p>
      <w:pPr>
        <w:tabs>
          <w:tab w:pos="1882" w:val="left" w:leader="none"/>
        </w:tabs>
        <w:spacing w:line="157" w:lineRule="exact" w:before="103"/>
        <w:ind w:left="756" w:right="0" w:firstLine="0"/>
        <w:jc w:val="left"/>
        <w:rPr>
          <w:sz w:val="14"/>
        </w:rPr>
      </w:pPr>
      <w:r>
        <w:rPr>
          <w:w w:val="95"/>
          <w:sz w:val="14"/>
        </w:rPr>
        <w:t>M</w:t>
      </w:r>
      <w:r>
        <w:rPr>
          <w:spacing w:val="-4"/>
          <w:w w:val="95"/>
          <w:sz w:val="14"/>
        </w:rPr>
        <w:t> </w:t>
      </w:r>
      <w:r>
        <w:rPr>
          <w:spacing w:val="5"/>
          <w:w w:val="95"/>
          <w:sz w:val="14"/>
        </w:rPr>
        <w:t>entions</w:t>
      </w:r>
      <w:r>
        <w:rPr>
          <w:spacing w:val="5"/>
          <w:sz w:val="14"/>
        </w:rPr>
        <w:t>    </w:t>
      </w:r>
      <w:r>
        <w:rPr>
          <w:spacing w:val="17"/>
          <w:sz w:val="14"/>
        </w:rPr>
        <w:t> </w:t>
      </w:r>
      <w:r>
        <w:rPr>
          <w:w w:val="96"/>
          <w:sz w:val="14"/>
          <w:u w:val="single" w:color="0E0080"/>
        </w:rPr>
        <w:t> </w:t>
      </w:r>
      <w:r>
        <w:rPr>
          <w:sz w:val="14"/>
          <w:u w:val="single" w:color="0E0080"/>
        </w:rPr>
        <w:tab/>
      </w:r>
    </w:p>
    <w:p>
      <w:pPr>
        <w:tabs>
          <w:tab w:pos="1888" w:val="left" w:leader="none"/>
        </w:tabs>
        <w:spacing w:line="181" w:lineRule="exact" w:before="0"/>
        <w:ind w:left="866" w:right="0" w:firstLine="0"/>
        <w:jc w:val="left"/>
        <w:rPr>
          <w:sz w:val="14"/>
        </w:rPr>
      </w:pPr>
      <w:r>
        <w:rPr/>
        <w:pict>
          <v:group style="position:absolute;margin-left:107.759995pt;margin-top:2.603899pt;width:164.8pt;height:122.4pt;mso-position-horizontal-relative:page;mso-position-vertical-relative:paragraph;z-index:-253099008" coordorigin="2155,52" coordsize="3296,2448">
            <v:shape style="position:absolute;left:8980;top:-43180;width:13500;height:9860" coordorigin="8980,-43179" coordsize="13500,9860" path="m2203,95l2203,2462m2155,2462l2203,2462m2155,2226l2203,2226m2155,1991l2203,1991m2155,1746l2203,1746m2155,1511l2203,1511m2155,1276l2203,1276m2155,1046l2203,1046m2155,810l2203,810m2155,561l2203,561m2155,330l2203,330m2155,95l2203,95m2203,2462l5395,2462m2203,2462l2203,2409m2842,2462l2842,2409m3475,2462l3475,2409m4114,2462l4114,2409m4757,2462l4757,2409m5386,2462l5386,2409e" filled="false" stroked="true" strokeweight=".24pt" strokecolor="#000000">
              <v:path arrowok="t"/>
              <v:stroke dashstyle="solid"/>
            </v:shape>
            <v:shape style="position:absolute;left:2203;top:292;width:3192;height:2170" coordorigin="2203,292" coordsize="3192,2170" path="m2203,1079l2362,1670,2525,2265,2683,2462,2842,1670,3005,2265,3163,2462,3326,1473,3485,2265,3648,2265,3806,2265,3955,2462,4114,2462,4277,2462,4435,1670,4594,2265,4757,2068,4915,2068,5078,292,5237,882,5395,2226e" filled="false" stroked="true" strokeweight=".48pt" strokecolor="#0e0080">
              <v:path arrowok="t"/>
              <v:stroke dashstyle="solid"/>
            </v:shape>
            <v:shape style="position:absolute;left:2164;top:1045;width:77;height:72" coordorigin="2165,1046" coordsize="77,72" path="m2203,1046l2165,1079,2203,1118,2242,1079,2203,1046xe" filled="true" fillcolor="#0e0080" stroked="false">
              <v:path arrowok="t"/>
              <v:fill type="solid"/>
            </v:shape>
            <v:shape style="position:absolute;left:2164;top:1045;width:77;height:72" coordorigin="2165,1046" coordsize="77,72" path="m2203,1046l2242,1079,2203,1118,2165,1079,2203,1046e" filled="false" stroked="true" strokeweight=".48pt" strokecolor="#0e0080">
              <v:path arrowok="t"/>
              <v:stroke dashstyle="solid"/>
            </v:shape>
            <v:shape style="position:absolute;left:2328;top:1636;width:72;height:72" coordorigin="2328,1636" coordsize="72,72" path="m2362,1636l2328,1670,2362,1708,2400,1670,2362,1636xe" filled="true" fillcolor="#0e0080" stroked="false">
              <v:path arrowok="t"/>
              <v:fill type="solid"/>
            </v:shape>
            <v:shape style="position:absolute;left:2328;top:1636;width:72;height:72" coordorigin="2328,1636" coordsize="72,72" path="m2362,1636l2400,1670,2362,1708,2328,1670,2362,1636e" filled="false" stroked="true" strokeweight=".48pt" strokecolor="#0e0080">
              <v:path arrowok="t"/>
              <v:stroke dashstyle="solid"/>
            </v:shape>
            <v:shape style="position:absolute;left:2486;top:2226;width:72;height:72" coordorigin="2486,2226" coordsize="72,72" path="m2525,2226l2486,2265,2525,2298,2558,2265,2525,2226xe" filled="true" fillcolor="#0e0080" stroked="false">
              <v:path arrowok="t"/>
              <v:fill type="solid"/>
            </v:shape>
            <v:shape style="position:absolute;left:2486;top:2226;width:72;height:72" coordorigin="2486,2226" coordsize="72,72" path="m2525,2226l2558,2265,2525,2298,2486,2265,2525,2226e" filled="false" stroked="true" strokeweight=".48pt" strokecolor="#0e0080">
              <v:path arrowok="t"/>
              <v:stroke dashstyle="solid"/>
            </v:shape>
            <v:shape style="position:absolute;left:2644;top:2423;width:77;height:72" coordorigin="2645,2423" coordsize="77,72" path="m2683,2423l2645,2462,2683,2495,2722,2462,2683,2423xe" filled="true" fillcolor="#0e0080" stroked="false">
              <v:path arrowok="t"/>
              <v:fill type="solid"/>
            </v:shape>
            <v:shape style="position:absolute;left:2644;top:2423;width:77;height:72" coordorigin="2645,2423" coordsize="77,72" path="m2683,2423l2722,2462,2683,2495,2645,2462,2683,2423e" filled="false" stroked="true" strokeweight=".48pt" strokecolor="#0e0080">
              <v:path arrowok="t"/>
              <v:stroke dashstyle="solid"/>
            </v:shape>
            <v:shape style="position:absolute;left:2808;top:1636;width:72;height:72" coordorigin="2808,1636" coordsize="72,72" path="m2842,1636l2808,1670,2842,1708,2880,1670,2842,1636xe" filled="true" fillcolor="#0e0080" stroked="false">
              <v:path arrowok="t"/>
              <v:fill type="solid"/>
            </v:shape>
            <v:shape style="position:absolute;left:2808;top:1636;width:72;height:72" coordorigin="2808,1636" coordsize="72,72" path="m2842,1636l2880,1670,2842,1708,2808,1670,2842,1636e" filled="false" stroked="true" strokeweight=".48pt" strokecolor="#0e0080">
              <v:path arrowok="t"/>
              <v:stroke dashstyle="solid"/>
            </v:shape>
            <v:shape style="position:absolute;left:2966;top:2226;width:77;height:72" coordorigin="2966,2226" coordsize="77,72" path="m3005,2226l2966,2265,3005,2298,3043,2265,3005,2226xe" filled="true" fillcolor="#0e0080" stroked="false">
              <v:path arrowok="t"/>
              <v:fill type="solid"/>
            </v:shape>
            <v:shape style="position:absolute;left:2966;top:2226;width:77;height:72" coordorigin="2966,2226" coordsize="77,72" path="m3005,2226l3043,2265,3005,2298,2966,2265,3005,2226e" filled="false" stroked="true" strokeweight=".48pt" strokecolor="#0e0080">
              <v:path arrowok="t"/>
              <v:stroke dashstyle="solid"/>
            </v:shape>
            <v:shape style="position:absolute;left:3129;top:2423;width:72;height:72" coordorigin="3130,2423" coordsize="72,72" path="m3163,2423l3130,2462,3163,2495,3202,2462,3163,2423xe" filled="true" fillcolor="#0e0080" stroked="false">
              <v:path arrowok="t"/>
              <v:fill type="solid"/>
            </v:shape>
            <v:shape style="position:absolute;left:3129;top:2423;width:72;height:72" coordorigin="3130,2423" coordsize="72,72" path="m3163,2423l3202,2462,3163,2495,3130,2462,3163,2423e" filled="false" stroked="true" strokeweight=".48pt" strokecolor="#0e0080">
              <v:path arrowok="t"/>
              <v:stroke dashstyle="solid"/>
            </v:shape>
            <v:shape style="position:absolute;left:3288;top:1439;width:72;height:72" coordorigin="3288,1439" coordsize="72,72" path="m3326,1439l3288,1473,3326,1511,3360,1473,3326,1439xe" filled="true" fillcolor="#0e0080" stroked="false">
              <v:path arrowok="t"/>
              <v:fill type="solid"/>
            </v:shape>
            <v:shape style="position:absolute;left:3288;top:1439;width:72;height:72" coordorigin="3288,1439" coordsize="72,72" path="m3326,1439l3360,1473,3326,1511,3288,1473,3326,1439e" filled="false" stroked="true" strokeweight=".48pt" strokecolor="#0e0080">
              <v:path arrowok="t"/>
              <v:stroke dashstyle="solid"/>
            </v:shape>
            <v:shape style="position:absolute;left:3446;top:2226;width:77;height:72" coordorigin="3446,2226" coordsize="77,72" path="m3485,2226l3446,2265,3485,2298,3523,2265,3485,2226xe" filled="true" fillcolor="#0e0080" stroked="false">
              <v:path arrowok="t"/>
              <v:fill type="solid"/>
            </v:shape>
            <v:shape style="position:absolute;left:3446;top:2226;width:77;height:72" coordorigin="3446,2226" coordsize="77,72" path="m3485,2226l3523,2265,3485,2298,3446,2265,3485,2226e" filled="false" stroked="true" strokeweight=".48pt" strokecolor="#0e0080">
              <v:path arrowok="t"/>
              <v:stroke dashstyle="solid"/>
            </v:shape>
            <v:shape style="position:absolute;left:3609;top:2226;width:72;height:72" coordorigin="3610,2226" coordsize="72,72" path="m3648,2226l3610,2265,3648,2298,3682,2265,3648,2226xe" filled="true" fillcolor="#0e0080" stroked="false">
              <v:path arrowok="t"/>
              <v:fill type="solid"/>
            </v:shape>
            <v:shape style="position:absolute;left:3609;top:2226;width:72;height:72" coordorigin="3610,2226" coordsize="72,72" path="m3648,2226l3682,2265,3648,2298,3610,2265,3648,2226e" filled="false" stroked="true" strokeweight=".48pt" strokecolor="#0e0080">
              <v:path arrowok="t"/>
              <v:stroke dashstyle="solid"/>
            </v:shape>
            <v:shape style="position:absolute;left:3768;top:2226;width:77;height:72" coordorigin="3768,2226" coordsize="77,72" path="m3806,2226l3768,2265,3806,2298,3845,2265,3806,2226xe" filled="true" fillcolor="#0e0080" stroked="false">
              <v:path arrowok="t"/>
              <v:fill type="solid"/>
            </v:shape>
            <v:shape style="position:absolute;left:3768;top:2226;width:77;height:72" coordorigin="3768,2226" coordsize="77,72" path="m3806,2226l3845,2265,3806,2298,3768,2265,3806,2226e" filled="false" stroked="true" strokeweight=".48pt" strokecolor="#0e0080">
              <v:path arrowok="t"/>
              <v:stroke dashstyle="solid"/>
            </v:shape>
            <v:shape style="position:absolute;left:3916;top:2423;width:77;height:72" coordorigin="3917,2423" coordsize="77,72" path="m3955,2423l3917,2462,3955,2495,3994,2462,3955,2423xe" filled="true" fillcolor="#0e0080" stroked="false">
              <v:path arrowok="t"/>
              <v:fill type="solid"/>
            </v:shape>
            <v:shape style="position:absolute;left:3916;top:2423;width:77;height:72" coordorigin="3917,2423" coordsize="77,72" path="m3955,2423l3994,2462,3955,2495,3917,2462,3955,2423e" filled="false" stroked="true" strokeweight=".48pt" strokecolor="#0e0080">
              <v:path arrowok="t"/>
              <v:stroke dashstyle="solid"/>
            </v:shape>
            <v:shape style="position:absolute;left:4075;top:2423;width:77;height:72" coordorigin="4075,2423" coordsize="77,72" path="m4114,2423l4075,2462,4114,2495,4152,2462,4114,2423xe" filled="true" fillcolor="#0e0080" stroked="false">
              <v:path arrowok="t"/>
              <v:fill type="solid"/>
            </v:shape>
            <v:shape style="position:absolute;left:4075;top:2423;width:77;height:72" coordorigin="4075,2423" coordsize="77,72" path="m4114,2423l4152,2462,4114,2495,4075,2462,4114,2423e" filled="false" stroked="true" strokeweight=".48pt" strokecolor="#0e0080">
              <v:path arrowok="t"/>
              <v:stroke dashstyle="solid"/>
            </v:shape>
            <v:shape style="position:absolute;left:4238;top:2423;width:72;height:72" coordorigin="4238,2423" coordsize="72,72" path="m4277,2423l4238,2462,4277,2495,4310,2462,4277,2423xe" filled="true" fillcolor="#0e0080" stroked="false">
              <v:path arrowok="t"/>
              <v:fill type="solid"/>
            </v:shape>
            <v:shape style="position:absolute;left:4238;top:2423;width:72;height:72" coordorigin="4238,2423" coordsize="72,72" path="m4277,2423l4310,2462,4277,2495,4238,2462,4277,2423e" filled="false" stroked="true" strokeweight=".48pt" strokecolor="#0e0080">
              <v:path arrowok="t"/>
              <v:stroke dashstyle="solid"/>
            </v:shape>
            <v:shape style="position:absolute;left:4396;top:1636;width:77;height:72" coordorigin="4397,1636" coordsize="77,72" path="m4435,1636l4397,1670,4435,1708,4474,1670,4435,1636xe" filled="true" fillcolor="#0e0080" stroked="false">
              <v:path arrowok="t"/>
              <v:fill type="solid"/>
            </v:shape>
            <v:shape style="position:absolute;left:4396;top:1636;width:77;height:72" coordorigin="4397,1636" coordsize="77,72" path="m4435,1636l4474,1670,4435,1708,4397,1670,4435,1636e" filled="false" stroked="true" strokeweight=".48pt" strokecolor="#0e0080">
              <v:path arrowok="t"/>
              <v:stroke dashstyle="solid"/>
            </v:shape>
            <v:shape style="position:absolute;left:4560;top:2226;width:72;height:72" coordorigin="4560,2226" coordsize="72,72" path="m4594,2226l4560,2265,4594,2298,4632,2265,4594,2226xe" filled="true" fillcolor="#0e0080" stroked="false">
              <v:path arrowok="t"/>
              <v:fill type="solid"/>
            </v:shape>
            <v:shape style="position:absolute;left:4560;top:2226;width:72;height:72" coordorigin="4560,2226" coordsize="72,72" path="m4594,2226l4632,2265,4594,2298,4560,2265,4594,2226e" filled="false" stroked="true" strokeweight=".48pt" strokecolor="#0e0080">
              <v:path arrowok="t"/>
              <v:stroke dashstyle="solid"/>
            </v:shape>
            <v:shape style="position:absolute;left:4718;top:2029;width:77;height:72" coordorigin="4718,2030" coordsize="77,72" path="m4757,2030l4718,2068,4757,2102,4795,2068,4757,2030xe" filled="true" fillcolor="#0e0080" stroked="false">
              <v:path arrowok="t"/>
              <v:fill type="solid"/>
            </v:shape>
            <v:shape style="position:absolute;left:4718;top:2029;width:77;height:72" coordorigin="4718,2030" coordsize="77,72" path="m4757,2030l4795,2068,4757,2102,4718,2068,4757,2030e" filled="false" stroked="true" strokeweight=".48pt" strokecolor="#0e0080">
              <v:path arrowok="t"/>
              <v:stroke dashstyle="solid"/>
            </v:shape>
            <v:shape style="position:absolute;left:4881;top:2029;width:72;height:72" coordorigin="4882,2030" coordsize="72,72" path="m4915,2030l4882,2068,4915,2102,4954,2068,4915,2030xe" filled="true" fillcolor="#0e0080" stroked="false">
              <v:path arrowok="t"/>
              <v:fill type="solid"/>
            </v:shape>
            <v:shape style="position:absolute;left:4881;top:2029;width:72;height:72" coordorigin="4882,2030" coordsize="72,72" path="m4915,2030l4954,2068,4915,2102,4882,2068,4915,2030e" filled="false" stroked="true" strokeweight=".48pt" strokecolor="#0e0080">
              <v:path arrowok="t"/>
              <v:stroke dashstyle="solid"/>
            </v:shape>
            <v:shape style="position:absolute;left:5040;top:253;width:72;height:77" coordorigin="5040,254" coordsize="72,77" path="m5078,254l5040,292,5078,330,5112,292,5078,254xe" filled="true" fillcolor="#0e0080" stroked="false">
              <v:path arrowok="t"/>
              <v:fill type="solid"/>
            </v:shape>
            <v:shape style="position:absolute;left:5040;top:253;width:72;height:77" coordorigin="5040,254" coordsize="72,77" path="m5078,254l5112,292,5078,330,5040,292,5078,254e" filled="false" stroked="true" strokeweight=".48pt" strokecolor="#0e0080">
              <v:path arrowok="t"/>
              <v:stroke dashstyle="solid"/>
            </v:shape>
            <v:shape style="position:absolute;left:5198;top:844;width:77;height:77" coordorigin="5198,844" coordsize="77,77" path="m5237,844l5198,882,5237,921,5275,882,5237,844xe" filled="true" fillcolor="#0e0080" stroked="false">
              <v:path arrowok="t"/>
              <v:fill type="solid"/>
            </v:shape>
            <v:shape style="position:absolute;left:5198;top:844;width:77;height:77" coordorigin="5198,844" coordsize="77,77" path="m5237,844l5275,882,5237,921,5198,882,5237,844e" filled="false" stroked="true" strokeweight=".48pt" strokecolor="#0e0080">
              <v:path arrowok="t"/>
              <v:stroke dashstyle="solid"/>
            </v:shape>
            <v:shape style="position:absolute;left:5361;top:2188;width:72;height:77" coordorigin="5362,2188" coordsize="72,77" path="m5395,2188l5362,2226,5395,2265,5434,2226,5395,2188xe" filled="true" fillcolor="#0e0080" stroked="false">
              <v:path arrowok="t"/>
              <v:fill type="solid"/>
            </v:shape>
            <v:shape style="position:absolute;left:5361;top:2188;width:72;height:77" coordorigin="5362,2188" coordsize="72,77" path="m5395,2188l5434,2226,5395,2265,5362,2226,5395,2188e" filled="false" stroked="true" strokeweight=".48pt" strokecolor="#0e0080">
              <v:path arrowok="t"/>
              <v:stroke dashstyle="solid"/>
            </v:shape>
            <v:shape style="position:absolute;left:22480;top:-43180;width:220;height:9860" coordorigin="22480,-43179" coordsize="220,9860" path="m5395,95l5395,2462,5448,2462m5395,2126l5448,2126m5395,1780l5448,1780m5395,1449l5448,1449m5395,1103l5448,1103m5395,772l5448,772m5395,426l5448,426m5395,95l5448,95e" filled="false" stroked="true" strokeweight=".24pt" strokecolor="#000000">
              <v:path arrowok="t"/>
              <v:stroke dashstyle="solid"/>
            </v:shape>
            <v:shape style="position:absolute;left:2203;top:229;width:3192;height:1872" coordorigin="2203,230" coordsize="3192,1872" path="m2203,551l2362,897,2525,921,2683,1559,2842,2102,3005,1156,3163,930,3326,1166,3485,1127,3648,1756,3806,1046,3955,1338,4114,1290,4277,882,4435,906,4594,513,4757,489,4915,268,5078,230,5237,330,5395,647e" filled="false" stroked="true" strokeweight=".48pt" strokecolor="#ff00ff">
              <v:path arrowok="t"/>
              <v:stroke dashstyle="solid"/>
            </v:shape>
            <v:shape style="position:absolute;left:2164;top:191;width:3260;height:1940" coordorigin="2165,191" coordsize="3260,1940" path="m2227,513l2165,513,2165,575,2227,575,2227,513m2390,858l2328,858,2328,921,2390,921,2390,858m2549,882l2486,882,2486,945,2549,945,2549,882m2707,1526l2645,1526,2645,1588,2707,1588,2707,1526m2870,2068l2808,2068,2808,2130,2870,2130,2870,2068m3029,1118l2966,1118,2966,1180,3029,1180,3029,1118m3192,897l3130,897,3130,959,3192,959,3192,897m3350,1127l3288,1127,3288,1190,3350,1190,3350,1127m3509,1094l3446,1094,3446,1156,3509,1156,3509,1094m3672,1722l3610,1722,3610,1785,3672,1785,3672,1722m3830,1007l3768,1007,3768,1070,3830,1070,3830,1007m3979,1300l3917,1300,3917,1362,3979,1362,3979,1300m4138,1252l4075,1252,4075,1314,4138,1314,4138,1252m4301,844l4238,844,4238,906,4301,906,4301,844m4459,873l4397,873,4397,935,4459,935,4459,873m4622,474l4560,474,4560,537,4622,537,4622,474m4781,450l4718,450,4718,513,4781,513,4781,450m4944,230l4882,230,4882,292,4944,292,4944,230m5102,191l5040,191,5040,254,5102,254,5102,191m5261,292l5198,292,5198,354,5261,354,5261,292m5424,614l5362,614,5362,676,5424,676,5424,614e" filled="true" fillcolor="#ff00ff" stroked="false">
              <v:path arrowok="t"/>
              <v:fill type="solid"/>
            </v:shape>
            <v:shape style="position:absolute;left:2784;top:56;width:72;height:77" coordorigin="2784,57" coordsize="72,77" path="m2818,57l2784,95,2818,134,2856,95,2818,57xe" filled="true" fillcolor="#0e0080" stroked="false">
              <v:path arrowok="t"/>
              <v:fill type="solid"/>
            </v:shape>
            <v:shape style="position:absolute;left:2784;top:56;width:72;height:77" coordorigin="2784,57" coordsize="72,77" path="m2818,57l2856,95,2818,134,2784,95,2818,57e" filled="false" stroked="true" strokeweight=".48pt" strokecolor="#0e0080">
              <v:path arrowok="t"/>
              <v:stroke dashstyle="solid"/>
            </v:shape>
            <w10:wrap type="none"/>
          </v:group>
        </w:pict>
      </w:r>
      <w:r>
        <w:rPr>
          <w:sz w:val="16"/>
        </w:rPr>
        <w:t>2</w:t>
        <w:tab/>
      </w:r>
      <w:r>
        <w:rPr>
          <w:position w:val="2"/>
          <w:sz w:val="14"/>
        </w:rPr>
        <w:t>M </w:t>
      </w:r>
      <w:r>
        <w:rPr>
          <w:spacing w:val="3"/>
          <w:position w:val="2"/>
          <w:sz w:val="14"/>
        </w:rPr>
        <w:t>oney</w:t>
      </w:r>
      <w:r>
        <w:rPr>
          <w:spacing w:val="-10"/>
          <w:position w:val="2"/>
          <w:sz w:val="14"/>
        </w:rPr>
        <w:t> </w:t>
      </w:r>
      <w:r>
        <w:rPr>
          <w:spacing w:val="2"/>
          <w:position w:val="2"/>
          <w:sz w:val="14"/>
        </w:rPr>
        <w:t>mentions</w:t>
      </w:r>
    </w:p>
    <w:p>
      <w:pPr>
        <w:tabs>
          <w:tab w:pos="1519" w:val="left" w:leader="none"/>
          <w:tab w:pos="1886" w:val="left" w:leader="none"/>
        </w:tabs>
        <w:spacing w:before="51"/>
        <w:ind w:left="756" w:right="0" w:firstLine="0"/>
        <w:jc w:val="left"/>
        <w:rPr>
          <w:sz w:val="14"/>
        </w:rPr>
      </w:pPr>
      <w:r>
        <w:rPr>
          <w:position w:val="2"/>
          <w:sz w:val="16"/>
        </w:rPr>
        <w:t>1.8</w:t>
        <w:tab/>
      </w:r>
      <w:r>
        <w:rPr>
          <w:position w:val="2"/>
          <w:sz w:val="16"/>
          <w:u w:val="single" w:color="FF00FF"/>
        </w:rPr>
        <w:t> </w:t>
        <w:tab/>
      </w:r>
      <w:r>
        <w:rPr>
          <w:sz w:val="14"/>
        </w:rPr>
        <w:t>M 4</w:t>
      </w:r>
      <w:r>
        <w:rPr>
          <w:spacing w:val="-3"/>
          <w:sz w:val="14"/>
        </w:rPr>
        <w:t> </w:t>
      </w:r>
      <w:r>
        <w:rPr>
          <w:spacing w:val="5"/>
          <w:sz w:val="14"/>
        </w:rPr>
        <w:t>growth</w:t>
      </w:r>
    </w:p>
    <w:p>
      <w:pPr>
        <w:spacing w:before="31"/>
        <w:ind w:left="0" w:right="1959" w:firstLine="0"/>
        <w:jc w:val="right"/>
        <w:rPr>
          <w:sz w:val="16"/>
        </w:rPr>
      </w:pPr>
      <w:r>
        <w:rPr>
          <w:spacing w:val="-1"/>
          <w:w w:val="90"/>
          <w:sz w:val="16"/>
        </w:rPr>
        <w:t>1.6</w:t>
      </w:r>
    </w:p>
    <w:p>
      <w:pPr>
        <w:spacing w:before="66"/>
        <w:ind w:left="0" w:right="1959" w:firstLine="0"/>
        <w:jc w:val="right"/>
        <w:rPr>
          <w:sz w:val="16"/>
        </w:rPr>
      </w:pPr>
      <w:r>
        <w:rPr>
          <w:spacing w:val="-1"/>
          <w:w w:val="90"/>
          <w:sz w:val="16"/>
        </w:rPr>
        <w:t>1.4</w:t>
      </w:r>
    </w:p>
    <w:p>
      <w:pPr>
        <w:spacing w:before="51"/>
        <w:ind w:left="0" w:right="1959" w:firstLine="0"/>
        <w:jc w:val="right"/>
        <w:rPr>
          <w:sz w:val="16"/>
        </w:rPr>
      </w:pPr>
      <w:r>
        <w:rPr>
          <w:spacing w:val="-1"/>
          <w:w w:val="90"/>
          <w:sz w:val="16"/>
        </w:rPr>
        <w:t>1.2</w:t>
      </w:r>
    </w:p>
    <w:p>
      <w:pPr>
        <w:spacing w:before="46"/>
        <w:ind w:left="0" w:right="1958" w:firstLine="0"/>
        <w:jc w:val="right"/>
        <w:rPr>
          <w:sz w:val="16"/>
        </w:rPr>
      </w:pPr>
      <w:r>
        <w:rPr>
          <w:w w:val="93"/>
          <w:sz w:val="16"/>
        </w:rPr>
        <w:t>1</w:t>
      </w:r>
    </w:p>
    <w:p>
      <w:pPr>
        <w:spacing w:before="52"/>
        <w:ind w:left="0" w:right="1959" w:firstLine="0"/>
        <w:jc w:val="right"/>
        <w:rPr>
          <w:sz w:val="16"/>
        </w:rPr>
      </w:pPr>
      <w:r>
        <w:rPr>
          <w:spacing w:val="-1"/>
          <w:w w:val="90"/>
          <w:sz w:val="16"/>
        </w:rPr>
        <w:t>0.8</w:t>
      </w:r>
    </w:p>
    <w:p>
      <w:pPr>
        <w:spacing w:before="51"/>
        <w:ind w:left="0" w:right="1959" w:firstLine="0"/>
        <w:jc w:val="right"/>
        <w:rPr>
          <w:sz w:val="16"/>
        </w:rPr>
      </w:pPr>
      <w:r>
        <w:rPr>
          <w:spacing w:val="-1"/>
          <w:w w:val="90"/>
          <w:sz w:val="16"/>
        </w:rPr>
        <w:t>0.6</w:t>
      </w:r>
    </w:p>
    <w:p>
      <w:pPr>
        <w:spacing w:before="61"/>
        <w:ind w:left="0" w:right="1959" w:firstLine="0"/>
        <w:jc w:val="right"/>
        <w:rPr>
          <w:sz w:val="16"/>
        </w:rPr>
      </w:pPr>
      <w:r>
        <w:rPr>
          <w:spacing w:val="-1"/>
          <w:w w:val="90"/>
          <w:sz w:val="16"/>
        </w:rPr>
        <w:t>0.4</w:t>
      </w:r>
    </w:p>
    <w:p>
      <w:pPr>
        <w:spacing w:before="51"/>
        <w:ind w:left="0" w:right="1959" w:firstLine="0"/>
        <w:jc w:val="right"/>
        <w:rPr>
          <w:sz w:val="16"/>
        </w:rPr>
      </w:pPr>
      <w:r>
        <w:rPr>
          <w:spacing w:val="-1"/>
          <w:w w:val="90"/>
          <w:sz w:val="16"/>
        </w:rPr>
        <w:t>0.2</w:t>
      </w:r>
    </w:p>
    <w:p>
      <w:pPr>
        <w:spacing w:before="51"/>
        <w:ind w:left="0" w:right="1958" w:firstLine="0"/>
        <w:jc w:val="right"/>
        <w:rPr>
          <w:sz w:val="16"/>
        </w:rPr>
      </w:pPr>
      <w:r>
        <w:rPr>
          <w:w w:val="93"/>
          <w:sz w:val="16"/>
        </w:rPr>
        <w:t>0</w:t>
      </w:r>
    </w:p>
    <w:p>
      <w:pPr>
        <w:spacing w:line="160" w:lineRule="exact" w:before="98"/>
        <w:ind w:left="0" w:right="18" w:firstLine="0"/>
        <w:jc w:val="right"/>
        <w:rPr>
          <w:sz w:val="14"/>
        </w:rPr>
      </w:pPr>
      <w:r>
        <w:rPr/>
        <w:br w:type="column"/>
      </w:r>
      <w:r>
        <w:rPr>
          <w:spacing w:val="4"/>
          <w:sz w:val="14"/>
        </w:rPr>
        <w:t>6m­o­6m</w:t>
      </w:r>
      <w:r>
        <w:rPr>
          <w:spacing w:val="-16"/>
          <w:sz w:val="14"/>
        </w:rPr>
        <w:t> </w:t>
      </w:r>
      <w:r>
        <w:rPr>
          <w:spacing w:val="3"/>
          <w:sz w:val="14"/>
        </w:rPr>
        <w:t>(ann)</w:t>
      </w:r>
    </w:p>
    <w:p>
      <w:pPr>
        <w:spacing w:line="183" w:lineRule="exact" w:before="0"/>
        <w:ind w:left="0" w:right="0" w:firstLine="0"/>
        <w:jc w:val="right"/>
        <w:rPr>
          <w:sz w:val="16"/>
        </w:rPr>
      </w:pPr>
      <w:r>
        <w:rPr>
          <w:w w:val="90"/>
          <w:sz w:val="16"/>
        </w:rPr>
        <w:t>14</w:t>
      </w:r>
    </w:p>
    <w:p>
      <w:pPr>
        <w:spacing w:before="148"/>
        <w:ind w:left="0" w:right="0" w:firstLine="0"/>
        <w:jc w:val="right"/>
        <w:rPr>
          <w:sz w:val="16"/>
        </w:rPr>
      </w:pPr>
      <w:r>
        <w:rPr>
          <w:w w:val="90"/>
          <w:sz w:val="16"/>
        </w:rPr>
        <w:t>12</w:t>
      </w:r>
    </w:p>
    <w:p>
      <w:pPr>
        <w:pStyle w:val="BodyText"/>
        <w:spacing w:before="5"/>
        <w:rPr>
          <w:sz w:val="14"/>
        </w:rPr>
      </w:pPr>
    </w:p>
    <w:p>
      <w:pPr>
        <w:spacing w:before="0"/>
        <w:ind w:left="0" w:right="0" w:firstLine="0"/>
        <w:jc w:val="right"/>
        <w:rPr>
          <w:sz w:val="16"/>
        </w:rPr>
      </w:pPr>
      <w:r>
        <w:rPr>
          <w:w w:val="90"/>
          <w:sz w:val="16"/>
        </w:rPr>
        <w:t>10</w:t>
      </w:r>
    </w:p>
    <w:p>
      <w:pPr>
        <w:spacing w:before="142"/>
        <w:ind w:left="0" w:right="74" w:firstLine="0"/>
        <w:jc w:val="right"/>
        <w:rPr>
          <w:sz w:val="16"/>
        </w:rPr>
      </w:pPr>
      <w:r>
        <w:rPr>
          <w:w w:val="93"/>
          <w:sz w:val="16"/>
        </w:rPr>
        <w:t>8</w:t>
      </w:r>
    </w:p>
    <w:p>
      <w:pPr>
        <w:pStyle w:val="BodyText"/>
        <w:spacing w:before="1"/>
        <w:rPr>
          <w:sz w:val="14"/>
        </w:rPr>
      </w:pPr>
    </w:p>
    <w:p>
      <w:pPr>
        <w:spacing w:before="0"/>
        <w:ind w:left="0" w:right="74" w:firstLine="0"/>
        <w:jc w:val="right"/>
        <w:rPr>
          <w:sz w:val="16"/>
        </w:rPr>
      </w:pPr>
      <w:r>
        <w:rPr>
          <w:w w:val="93"/>
          <w:sz w:val="16"/>
        </w:rPr>
        <w:t>6</w:t>
      </w:r>
    </w:p>
    <w:p>
      <w:pPr>
        <w:spacing w:before="157"/>
        <w:ind w:left="0" w:right="74" w:firstLine="0"/>
        <w:jc w:val="right"/>
        <w:rPr>
          <w:sz w:val="16"/>
        </w:rPr>
      </w:pPr>
      <w:r>
        <w:rPr>
          <w:w w:val="93"/>
          <w:sz w:val="16"/>
        </w:rPr>
        <w:t>4</w:t>
      </w:r>
    </w:p>
    <w:p>
      <w:pPr>
        <w:spacing w:before="152"/>
        <w:ind w:left="0" w:right="74" w:firstLine="0"/>
        <w:jc w:val="right"/>
        <w:rPr>
          <w:sz w:val="16"/>
        </w:rPr>
      </w:pPr>
      <w:r>
        <w:rPr>
          <w:w w:val="93"/>
          <w:sz w:val="16"/>
        </w:rPr>
        <w:t>2</w:t>
      </w:r>
    </w:p>
    <w:p>
      <w:pPr>
        <w:spacing w:before="152"/>
        <w:ind w:left="0" w:right="74" w:firstLine="0"/>
        <w:jc w:val="right"/>
        <w:rPr>
          <w:sz w:val="16"/>
        </w:rPr>
      </w:pPr>
      <w:r>
        <w:rPr>
          <w:w w:val="93"/>
          <w:sz w:val="16"/>
        </w:rPr>
        <w:t>0</w:t>
      </w:r>
    </w:p>
    <w:p>
      <w:pPr>
        <w:spacing w:before="119"/>
        <w:ind w:left="586" w:right="0" w:firstLine="0"/>
        <w:jc w:val="left"/>
        <w:rPr>
          <w:i/>
          <w:sz w:val="12"/>
        </w:rPr>
      </w:pPr>
      <w:r>
        <w:rPr/>
        <w:br w:type="column"/>
      </w:r>
      <w:r>
        <w:rPr>
          <w:i/>
          <w:position w:val="3"/>
          <w:sz w:val="18"/>
        </w:rPr>
        <w:t>i</w:t>
      </w:r>
      <w:r>
        <w:rPr>
          <w:i/>
          <w:sz w:val="12"/>
        </w:rPr>
        <w:t>loan</w:t>
      </w:r>
    </w:p>
    <w:p>
      <w:pPr>
        <w:pStyle w:val="BodyText"/>
        <w:rPr>
          <w:i/>
          <w:sz w:val="22"/>
        </w:rPr>
      </w:pPr>
    </w:p>
    <w:p>
      <w:pPr>
        <w:pStyle w:val="BodyText"/>
        <w:rPr>
          <w:i/>
          <w:sz w:val="22"/>
        </w:rPr>
      </w:pPr>
    </w:p>
    <w:p>
      <w:pPr>
        <w:pStyle w:val="BodyText"/>
        <w:spacing w:before="1"/>
        <w:rPr>
          <w:i/>
          <w:sz w:val="22"/>
        </w:rPr>
      </w:pPr>
    </w:p>
    <w:p>
      <w:pPr>
        <w:spacing w:before="0"/>
        <w:ind w:left="586" w:right="0" w:firstLine="0"/>
        <w:jc w:val="left"/>
        <w:rPr>
          <w:i/>
          <w:sz w:val="12"/>
        </w:rPr>
      </w:pPr>
      <w:r>
        <w:rPr/>
        <w:pict>
          <v:group style="position:absolute;margin-left:331.920013pt;margin-top:-43.497643pt;width:171pt;height:126.85pt;mso-position-horizontal-relative:page;mso-position-vertical-relative:paragraph;z-index:251687936" coordorigin="6638,-870" coordsize="3420,2537">
            <v:shape style="position:absolute;left:6638;top:-870;width:3293;height:2537" type="#_x0000_t75" stroked="false">
              <v:imagedata r:id="rId8" o:title=""/>
            </v:shape>
            <v:shape style="position:absolute;left:7377;top:-682;width:363;height:228" type="#_x0000_t202" filled="false" stroked="false">
              <v:textbox inset="0,0,0,0">
                <w:txbxContent>
                  <w:p>
                    <w:pPr>
                      <w:spacing w:line="151" w:lineRule="auto" w:before="26"/>
                      <w:ind w:left="0" w:right="0" w:firstLine="0"/>
                      <w:jc w:val="left"/>
                      <w:rPr>
                        <w:sz w:val="12"/>
                      </w:rPr>
                    </w:pPr>
                    <w:r>
                      <w:rPr>
                        <w:position w:val="-7"/>
                        <w:sz w:val="18"/>
                      </w:rPr>
                      <w:t>C</w:t>
                    </w:r>
                    <w:r>
                      <w:rPr>
                        <w:sz w:val="12"/>
                      </w:rPr>
                      <w:t>D(2)</w:t>
                    </w:r>
                  </w:p>
                </w:txbxContent>
              </v:textbox>
              <w10:wrap type="none"/>
            </v:shape>
            <v:shape style="position:absolute;left:8097;top:-865;width:363;height:228" type="#_x0000_t202" filled="false" stroked="false">
              <v:textbox inset="0,0,0,0">
                <w:txbxContent>
                  <w:p>
                    <w:pPr>
                      <w:spacing w:line="151" w:lineRule="auto" w:before="26"/>
                      <w:ind w:left="0" w:right="0" w:firstLine="0"/>
                      <w:jc w:val="left"/>
                      <w:rPr>
                        <w:sz w:val="12"/>
                      </w:rPr>
                    </w:pPr>
                    <w:r>
                      <w:rPr>
                        <w:position w:val="-7"/>
                        <w:sz w:val="18"/>
                      </w:rPr>
                      <w:t>C</w:t>
                    </w:r>
                    <w:r>
                      <w:rPr>
                        <w:sz w:val="12"/>
                      </w:rPr>
                      <w:t>D(3)</w:t>
                    </w:r>
                  </w:p>
                </w:txbxContent>
              </v:textbox>
              <w10:wrap type="none"/>
            </v:shape>
            <v:shape style="position:absolute;left:6835;top:-457;width:363;height:228" type="#_x0000_t202" filled="false" stroked="false">
              <v:textbox inset="0,0,0,0">
                <w:txbxContent>
                  <w:p>
                    <w:pPr>
                      <w:spacing w:line="151" w:lineRule="auto" w:before="26"/>
                      <w:ind w:left="0" w:right="0" w:firstLine="0"/>
                      <w:jc w:val="left"/>
                      <w:rPr>
                        <w:sz w:val="12"/>
                      </w:rPr>
                    </w:pPr>
                    <w:r>
                      <w:rPr>
                        <w:position w:val="-7"/>
                        <w:sz w:val="18"/>
                      </w:rPr>
                      <w:t>C</w:t>
                    </w:r>
                    <w:r>
                      <w:rPr>
                        <w:sz w:val="12"/>
                      </w:rPr>
                      <w:t>D(1)</w:t>
                    </w:r>
                  </w:p>
                </w:txbxContent>
              </v:textbox>
              <w10:wrap type="none"/>
            </v:shape>
            <v:shape style="position:absolute;left:9355;top:-505;width:344;height:228" type="#_x0000_t202" filled="false" stroked="false">
              <v:textbox inset="0,0,0,0">
                <w:txbxContent>
                  <w:p>
                    <w:pPr>
                      <w:spacing w:line="151" w:lineRule="auto" w:before="26"/>
                      <w:ind w:left="0" w:right="0" w:firstLine="0"/>
                      <w:jc w:val="left"/>
                      <w:rPr>
                        <w:sz w:val="12"/>
                      </w:rPr>
                    </w:pPr>
                    <w:r>
                      <w:rPr>
                        <w:position w:val="-7"/>
                        <w:sz w:val="18"/>
                      </w:rPr>
                      <w:t>C</w:t>
                    </w:r>
                    <w:r>
                      <w:rPr>
                        <w:sz w:val="12"/>
                      </w:rPr>
                      <w:t>S(1)</w:t>
                    </w:r>
                  </w:p>
                </w:txbxContent>
              </v:textbox>
              <w10:wrap type="none"/>
            </v:shape>
            <v:shape style="position:absolute;left:8088;top:165;width:152;height:202" type="#_x0000_t202" filled="false" stroked="false">
              <v:textbox inset="0,0,0,0">
                <w:txbxContent>
                  <w:p>
                    <w:pPr>
                      <w:spacing w:line="201" w:lineRule="exact" w:before="0"/>
                      <w:ind w:left="0" w:right="0" w:firstLine="0"/>
                      <w:jc w:val="left"/>
                      <w:rPr>
                        <w:sz w:val="18"/>
                      </w:rPr>
                    </w:pPr>
                    <w:r>
                      <w:rPr>
                        <w:w w:val="101"/>
                        <w:sz w:val="18"/>
                      </w:rPr>
                      <w:t>A</w:t>
                    </w:r>
                  </w:p>
                </w:txbxContent>
              </v:textbox>
              <w10:wrap type="none"/>
            </v:shape>
            <v:shape style="position:absolute;left:9715;top:-322;width:344;height:588" type="#_x0000_t202" filled="false" stroked="false">
              <v:textbox inset="0,0,0,0">
                <w:txbxContent>
                  <w:p>
                    <w:pPr>
                      <w:spacing w:line="151" w:lineRule="auto" w:before="26"/>
                      <w:ind w:left="0" w:right="0" w:firstLine="0"/>
                      <w:jc w:val="left"/>
                      <w:rPr>
                        <w:sz w:val="12"/>
                      </w:rPr>
                    </w:pPr>
                    <w:r>
                      <w:rPr>
                        <w:position w:val="-7"/>
                        <w:sz w:val="18"/>
                      </w:rPr>
                      <w:t>C</w:t>
                    </w:r>
                    <w:r>
                      <w:rPr>
                        <w:sz w:val="12"/>
                      </w:rPr>
                      <w:t>S(2)</w:t>
                    </w:r>
                  </w:p>
                  <w:p>
                    <w:pPr>
                      <w:spacing w:line="240" w:lineRule="auto" w:before="2"/>
                      <w:rPr>
                        <w:sz w:val="17"/>
                      </w:rPr>
                    </w:pPr>
                  </w:p>
                  <w:p>
                    <w:pPr>
                      <w:spacing w:before="0"/>
                      <w:ind w:left="0" w:right="0" w:firstLine="0"/>
                      <w:jc w:val="left"/>
                      <w:rPr>
                        <w:sz w:val="18"/>
                      </w:rPr>
                    </w:pPr>
                    <w:r>
                      <w:rPr>
                        <w:w w:val="101"/>
                        <w:sz w:val="18"/>
                      </w:rPr>
                      <w:t>F</w:t>
                    </w:r>
                  </w:p>
                </w:txbxContent>
              </v:textbox>
              <w10:wrap type="none"/>
            </v:shape>
            <v:shape style="position:absolute;left:8932;top:241;width:132;height:202" type="#_x0000_t202" filled="false" stroked="false">
              <v:textbox inset="0,0,0,0">
                <w:txbxContent>
                  <w:p>
                    <w:pPr>
                      <w:spacing w:line="201" w:lineRule="exact" w:before="0"/>
                      <w:ind w:left="0" w:right="0" w:firstLine="0"/>
                      <w:jc w:val="left"/>
                      <w:rPr>
                        <w:sz w:val="18"/>
                      </w:rPr>
                    </w:pPr>
                    <w:r>
                      <w:rPr>
                        <w:w w:val="101"/>
                        <w:sz w:val="18"/>
                      </w:rPr>
                      <w:t>E</w:t>
                    </w:r>
                  </w:p>
                </w:txbxContent>
              </v:textbox>
              <w10:wrap type="none"/>
            </v:shape>
            <w10:wrap type="none"/>
          </v:group>
        </w:pict>
      </w:r>
      <w:r>
        <w:rPr>
          <w:i/>
          <w:position w:val="3"/>
          <w:sz w:val="18"/>
        </w:rPr>
        <w:t>i</w:t>
      </w:r>
      <w:r>
        <w:rPr>
          <w:i/>
          <w:sz w:val="12"/>
        </w:rPr>
        <w:t>l(2)</w:t>
      </w:r>
    </w:p>
    <w:p>
      <w:pPr>
        <w:spacing w:before="6"/>
        <w:ind w:left="586" w:right="0" w:firstLine="0"/>
        <w:jc w:val="left"/>
        <w:rPr>
          <w:i/>
          <w:sz w:val="12"/>
        </w:rPr>
      </w:pPr>
      <w:r>
        <w:rPr>
          <w:i/>
          <w:position w:val="3"/>
          <w:sz w:val="18"/>
        </w:rPr>
        <w:t>i</w:t>
      </w:r>
      <w:r>
        <w:rPr>
          <w:i/>
          <w:sz w:val="12"/>
        </w:rPr>
        <w:t>l(1)</w:t>
      </w:r>
    </w:p>
    <w:p>
      <w:pPr>
        <w:spacing w:before="136"/>
        <w:ind w:left="586" w:right="0" w:firstLine="0"/>
        <w:jc w:val="left"/>
        <w:rPr>
          <w:i/>
          <w:sz w:val="12"/>
        </w:rPr>
      </w:pPr>
      <w:r>
        <w:rPr>
          <w:i/>
          <w:position w:val="3"/>
          <w:sz w:val="18"/>
        </w:rPr>
        <w:t>i</w:t>
      </w:r>
      <w:r>
        <w:rPr>
          <w:i/>
          <w:sz w:val="12"/>
        </w:rPr>
        <w:t>l(2)</w:t>
      </w:r>
    </w:p>
    <w:p>
      <w:pPr>
        <w:spacing w:after="0"/>
        <w:jc w:val="left"/>
        <w:rPr>
          <w:sz w:val="12"/>
        </w:rPr>
        <w:sectPr>
          <w:type w:val="continuous"/>
          <w:pgSz w:w="11910" w:h="16840"/>
          <w:pgMar w:top="1180" w:bottom="280" w:left="1140" w:right="1180"/>
          <w:cols w:num="3" w:equalWidth="0">
            <w:col w:w="2902" w:space="40"/>
            <w:col w:w="1591" w:space="39"/>
            <w:col w:w="5018"/>
          </w:cols>
        </w:sectPr>
      </w:pPr>
    </w:p>
    <w:p>
      <w:pPr>
        <w:tabs>
          <w:tab w:pos="1557" w:val="left" w:leader="none"/>
          <w:tab w:pos="2186" w:val="left" w:leader="none"/>
          <w:tab w:pos="2824" w:val="left" w:leader="none"/>
          <w:tab w:pos="3467" w:val="left" w:leader="none"/>
          <w:tab w:pos="4096" w:val="left" w:leader="none"/>
        </w:tabs>
        <w:spacing w:before="46"/>
        <w:ind w:left="914" w:right="0" w:firstLine="0"/>
        <w:jc w:val="left"/>
        <w:rPr>
          <w:sz w:val="16"/>
        </w:rPr>
      </w:pPr>
      <w:r>
        <w:rPr>
          <w:sz w:val="16"/>
        </w:rPr>
        <w:t>1997</w:t>
        <w:tab/>
        <w:t>1999</w:t>
        <w:tab/>
        <w:t>2001</w:t>
        <w:tab/>
        <w:t>2003</w:t>
        <w:tab/>
        <w:t>2005</w:t>
        <w:tab/>
        <w:t>2007</w:t>
      </w:r>
    </w:p>
    <w:p>
      <w:pPr>
        <w:spacing w:before="126"/>
        <w:ind w:left="655" w:right="26" w:firstLine="0"/>
        <w:jc w:val="left"/>
        <w:rPr>
          <w:i/>
          <w:sz w:val="18"/>
        </w:rPr>
      </w:pPr>
      <w:r>
        <w:rPr>
          <w:sz w:val="18"/>
        </w:rPr>
        <w:t>Note: (a) number of mentions on ‘money’ in ‘Immediate policy decision’ section of MPC </w:t>
      </w:r>
      <w:r>
        <w:rPr>
          <w:i/>
          <w:sz w:val="18"/>
        </w:rPr>
        <w:t>Minutes</w:t>
      </w:r>
    </w:p>
    <w:p>
      <w:pPr>
        <w:spacing w:line="206" w:lineRule="exact" w:before="0"/>
        <w:ind w:left="655" w:right="0" w:firstLine="0"/>
        <w:jc w:val="left"/>
        <w:rPr>
          <w:sz w:val="18"/>
        </w:rPr>
      </w:pPr>
      <w:r>
        <w:rPr>
          <w:sz w:val="18"/>
        </w:rPr>
        <w:t>Source: Bank of England</w:t>
      </w:r>
    </w:p>
    <w:p>
      <w:pPr>
        <w:tabs>
          <w:tab w:pos="1677" w:val="left" w:leader="none"/>
        </w:tabs>
        <w:spacing w:before="19"/>
        <w:ind w:left="655" w:right="0" w:firstLine="0"/>
        <w:jc w:val="left"/>
        <w:rPr>
          <w:sz w:val="18"/>
        </w:rPr>
      </w:pPr>
      <w:r>
        <w:rPr/>
        <w:br w:type="column"/>
      </w:r>
      <w:r>
        <w:rPr>
          <w:position w:val="1"/>
          <w:sz w:val="18"/>
        </w:rPr>
        <w:t>C</w:t>
      </w:r>
      <w:r>
        <w:rPr>
          <w:position w:val="1"/>
          <w:sz w:val="18"/>
          <w:vertAlign w:val="subscript"/>
        </w:rPr>
        <w:t>1</w:t>
      </w:r>
      <w:r>
        <w:rPr>
          <w:position w:val="1"/>
          <w:sz w:val="18"/>
          <w:vertAlign w:val="baseline"/>
        </w:rPr>
        <w:tab/>
      </w:r>
      <w:r>
        <w:rPr>
          <w:spacing w:val="-10"/>
          <w:sz w:val="18"/>
          <w:vertAlign w:val="baseline"/>
        </w:rPr>
        <w:t>C</w:t>
      </w:r>
      <w:r>
        <w:rPr>
          <w:spacing w:val="-10"/>
          <w:sz w:val="18"/>
          <w:vertAlign w:val="subscript"/>
        </w:rPr>
        <w:t>2</w:t>
      </w:r>
    </w:p>
    <w:p>
      <w:pPr>
        <w:spacing w:before="5"/>
        <w:ind w:left="322" w:right="0" w:firstLine="0"/>
        <w:jc w:val="left"/>
        <w:rPr>
          <w:sz w:val="16"/>
        </w:rPr>
      </w:pPr>
      <w:r>
        <w:rPr/>
        <w:br w:type="column"/>
      </w:r>
      <w:r>
        <w:rPr>
          <w:sz w:val="18"/>
        </w:rPr>
        <w:t>C</w:t>
      </w:r>
      <w:r>
        <w:rPr>
          <w:sz w:val="18"/>
          <w:vertAlign w:val="subscript"/>
        </w:rPr>
        <w:t>3</w:t>
      </w:r>
      <w:r>
        <w:rPr>
          <w:sz w:val="18"/>
          <w:vertAlign w:val="baseline"/>
        </w:rPr>
        <w:t> </w:t>
      </w:r>
      <w:r>
        <w:rPr>
          <w:position w:val="1"/>
          <w:sz w:val="16"/>
          <w:vertAlign w:val="baseline"/>
        </w:rPr>
        <w:t>Credit</w:t>
      </w:r>
    </w:p>
    <w:p>
      <w:pPr>
        <w:spacing w:after="0"/>
        <w:jc w:val="left"/>
        <w:rPr>
          <w:sz w:val="16"/>
        </w:rPr>
        <w:sectPr>
          <w:type w:val="continuous"/>
          <w:pgSz w:w="11910" w:h="16840"/>
          <w:pgMar w:top="1180" w:bottom="280" w:left="1140" w:right="1180"/>
          <w:cols w:num="3" w:equalWidth="0">
            <w:col w:w="4780" w:space="1398"/>
            <w:col w:w="1858" w:space="39"/>
            <w:col w:w="1515"/>
          </w:cols>
        </w:sectPr>
      </w:pPr>
    </w:p>
    <w:p>
      <w:pPr>
        <w:pStyle w:val="BodyText"/>
        <w:spacing w:before="2"/>
        <w:rPr>
          <w:sz w:val="10"/>
        </w:rPr>
      </w:pPr>
    </w:p>
    <w:p>
      <w:pPr>
        <w:spacing w:after="0"/>
        <w:rPr>
          <w:sz w:val="10"/>
        </w:rPr>
        <w:sectPr>
          <w:type w:val="continuous"/>
          <w:pgSz w:w="11910" w:h="16840"/>
          <w:pgMar w:top="1180" w:bottom="280" w:left="1140" w:right="1180"/>
        </w:sectPr>
      </w:pPr>
    </w:p>
    <w:p>
      <w:pPr>
        <w:pStyle w:val="Heading1"/>
        <w:spacing w:line="232" w:lineRule="auto" w:before="97"/>
        <w:ind w:right="-4"/>
      </w:pPr>
      <w:r>
        <w:rPr/>
        <w:t>Diagram B: Shift in supply of credit (</w:t>
      </w:r>
      <w:r>
        <w:rPr>
          <w:b w:val="0"/>
          <w:sz w:val="20"/>
        </w:rPr>
        <w:t>C</w:t>
      </w:r>
      <w:r>
        <w:rPr>
          <w:b w:val="0"/>
          <w:sz w:val="20"/>
          <w:vertAlign w:val="superscript"/>
        </w:rPr>
        <w:t>S(1)</w:t>
      </w:r>
      <w:r>
        <w:rPr>
          <w:rFonts w:ascii="Arial" w:hAnsi="Arial"/>
          <w:vertAlign w:val="baseline"/>
        </w:rPr>
        <w:t>→ </w:t>
      </w:r>
      <w:r>
        <w:rPr>
          <w:b w:val="0"/>
          <w:sz w:val="20"/>
          <w:vertAlign w:val="baseline"/>
        </w:rPr>
        <w:t>C</w:t>
      </w:r>
      <w:r>
        <w:rPr>
          <w:b w:val="0"/>
          <w:sz w:val="20"/>
          <w:vertAlign w:val="superscript"/>
        </w:rPr>
        <w:t>S(2)</w:t>
      </w:r>
      <w:r>
        <w:rPr>
          <w:vertAlign w:val="baseline"/>
        </w:rPr>
        <w:t>), unchanged demand</w:t>
      </w:r>
      <w:r>
        <w:rPr>
          <w:spacing w:val="-19"/>
          <w:vertAlign w:val="baseline"/>
        </w:rPr>
        <w:t> </w:t>
      </w:r>
      <w:r>
        <w:rPr>
          <w:vertAlign w:val="baseline"/>
        </w:rPr>
        <w:t>(</w:t>
      </w:r>
      <w:r>
        <w:rPr>
          <w:b w:val="0"/>
          <w:sz w:val="20"/>
          <w:vertAlign w:val="baseline"/>
        </w:rPr>
        <w:t>C</w:t>
      </w:r>
      <w:r>
        <w:rPr>
          <w:b w:val="0"/>
          <w:sz w:val="20"/>
          <w:vertAlign w:val="superscript"/>
        </w:rPr>
        <w:t>D</w:t>
      </w:r>
      <w:r>
        <w:rPr>
          <w:vertAlign w:val="baseline"/>
        </w:rPr>
        <w:t>)</w:t>
      </w:r>
    </w:p>
    <w:p>
      <w:pPr>
        <w:spacing w:before="78"/>
        <w:ind w:left="799" w:right="0" w:firstLine="0"/>
        <w:jc w:val="left"/>
        <w:rPr>
          <w:i/>
          <w:sz w:val="12"/>
        </w:rPr>
      </w:pPr>
      <w:r>
        <w:rPr/>
        <w:pict>
          <v:group style="position:absolute;margin-left:114pt;margin-top:18.842327pt;width:147.75pt;height:131.4pt;mso-position-horizontal-relative:page;mso-position-vertical-relative:paragraph;z-index:251679744" coordorigin="2280,377" coordsize="2955,2628">
            <v:shape style="position:absolute;left:2280;top:376;width:2938;height:2573" type="#_x0000_t75" stroked="false">
              <v:imagedata r:id="rId9" o:title=""/>
            </v:shape>
            <v:shape style="position:absolute;left:2659;top:601;width:227;height:228" type="#_x0000_t202" filled="false" stroked="false">
              <v:textbox inset="0,0,0,0">
                <w:txbxContent>
                  <w:p>
                    <w:pPr>
                      <w:spacing w:line="151" w:lineRule="auto" w:before="26"/>
                      <w:ind w:left="0" w:right="0" w:firstLine="0"/>
                      <w:jc w:val="left"/>
                      <w:rPr>
                        <w:sz w:val="12"/>
                      </w:rPr>
                    </w:pPr>
                    <w:r>
                      <w:rPr>
                        <w:position w:val="-7"/>
                        <w:sz w:val="18"/>
                      </w:rPr>
                      <w:t>C</w:t>
                    </w:r>
                    <w:r>
                      <w:rPr>
                        <w:sz w:val="12"/>
                      </w:rPr>
                      <w:t>D</w:t>
                    </w:r>
                  </w:p>
                </w:txbxContent>
              </v:textbox>
              <w10:wrap type="none"/>
            </v:shape>
            <v:shape style="position:absolute;left:4099;top:961;width:344;height:228" type="#_x0000_t202" filled="false" stroked="false">
              <v:textbox inset="0,0,0,0">
                <w:txbxContent>
                  <w:p>
                    <w:pPr>
                      <w:spacing w:line="151" w:lineRule="auto" w:before="26"/>
                      <w:ind w:left="0" w:right="0" w:firstLine="0"/>
                      <w:jc w:val="left"/>
                      <w:rPr>
                        <w:sz w:val="12"/>
                      </w:rPr>
                    </w:pPr>
                    <w:r>
                      <w:rPr>
                        <w:position w:val="-7"/>
                        <w:sz w:val="18"/>
                      </w:rPr>
                      <w:t>C</w:t>
                    </w:r>
                    <w:r>
                      <w:rPr>
                        <w:sz w:val="12"/>
                      </w:rPr>
                      <w:t>S(1)</w:t>
                    </w:r>
                  </w:p>
                </w:txbxContent>
              </v:textbox>
              <w10:wrap type="none"/>
            </v:shape>
            <v:shape style="position:absolute;left:3734;top:1227;width:152;height:202" type="#_x0000_t202" filled="false" stroked="false">
              <v:textbox inset="0,0,0,0">
                <w:txbxContent>
                  <w:p>
                    <w:pPr>
                      <w:spacing w:line="201" w:lineRule="exact" w:before="0"/>
                      <w:ind w:left="0" w:right="0" w:firstLine="0"/>
                      <w:jc w:val="left"/>
                      <w:rPr>
                        <w:sz w:val="18"/>
                      </w:rPr>
                    </w:pPr>
                    <w:r>
                      <w:rPr>
                        <w:w w:val="101"/>
                        <w:sz w:val="18"/>
                      </w:rPr>
                      <w:t>A</w:t>
                    </w:r>
                  </w:p>
                </w:txbxContent>
              </v:textbox>
              <w10:wrap type="none"/>
            </v:shape>
            <v:shape style="position:absolute;left:4099;top:1462;width:142;height:202" type="#_x0000_t202" filled="false" stroked="false">
              <v:textbox inset="0,0,0,0">
                <w:txbxContent>
                  <w:p>
                    <w:pPr>
                      <w:spacing w:line="201" w:lineRule="exact" w:before="0"/>
                      <w:ind w:left="0" w:right="0" w:firstLine="0"/>
                      <w:jc w:val="left"/>
                      <w:rPr>
                        <w:sz w:val="18"/>
                      </w:rPr>
                    </w:pPr>
                    <w:r>
                      <w:rPr>
                        <w:w w:val="101"/>
                        <w:sz w:val="18"/>
                      </w:rPr>
                      <w:t>B</w:t>
                    </w:r>
                  </w:p>
                </w:txbxContent>
              </v:textbox>
              <w10:wrap type="none"/>
            </v:shape>
            <v:shape style="position:absolute;left:4641;top:1503;width:344;height:228" type="#_x0000_t202" filled="false" stroked="false">
              <v:textbox inset="0,0,0,0">
                <w:txbxContent>
                  <w:p>
                    <w:pPr>
                      <w:spacing w:line="151" w:lineRule="auto" w:before="26"/>
                      <w:ind w:left="0" w:right="0" w:firstLine="0"/>
                      <w:jc w:val="left"/>
                      <w:rPr>
                        <w:sz w:val="12"/>
                      </w:rPr>
                    </w:pPr>
                    <w:r>
                      <w:rPr>
                        <w:position w:val="-7"/>
                        <w:sz w:val="18"/>
                      </w:rPr>
                      <w:t>C</w:t>
                    </w:r>
                    <w:r>
                      <w:rPr>
                        <w:sz w:val="12"/>
                      </w:rPr>
                      <w:t>S(2)</w:t>
                    </w:r>
                  </w:p>
                </w:txbxContent>
              </v:textbox>
              <w10:wrap type="none"/>
            </v:shape>
            <v:shape style="position:absolute;left:3619;top:2787;width:200;height:218" type="#_x0000_t202" filled="false" stroked="false">
              <v:textbox inset="0,0,0,0">
                <w:txbxContent>
                  <w:p>
                    <w:pPr>
                      <w:spacing w:line="201" w:lineRule="exact" w:before="0"/>
                      <w:ind w:left="0" w:right="0" w:firstLine="0"/>
                      <w:jc w:val="left"/>
                      <w:rPr>
                        <w:sz w:val="18"/>
                      </w:rPr>
                    </w:pPr>
                    <w:r>
                      <w:rPr>
                        <w:sz w:val="18"/>
                      </w:rPr>
                      <w:t>C</w:t>
                    </w:r>
                    <w:r>
                      <w:rPr>
                        <w:sz w:val="18"/>
                        <w:vertAlign w:val="subscript"/>
                      </w:rPr>
                      <w:t>1</w:t>
                    </w:r>
                  </w:p>
                </w:txbxContent>
              </v:textbox>
              <w10:wrap type="none"/>
            </v:shape>
            <v:shape style="position:absolute;left:4099;top:2787;width:200;height:218" type="#_x0000_t202" filled="false" stroked="false">
              <v:textbox inset="0,0,0,0">
                <w:txbxContent>
                  <w:p>
                    <w:pPr>
                      <w:spacing w:line="201" w:lineRule="exact" w:before="0"/>
                      <w:ind w:left="0" w:right="0" w:firstLine="0"/>
                      <w:jc w:val="left"/>
                      <w:rPr>
                        <w:sz w:val="18"/>
                      </w:rPr>
                    </w:pPr>
                    <w:r>
                      <w:rPr>
                        <w:sz w:val="18"/>
                      </w:rPr>
                      <w:t>C</w:t>
                    </w:r>
                    <w:r>
                      <w:rPr>
                        <w:sz w:val="18"/>
                        <w:vertAlign w:val="subscript"/>
                      </w:rPr>
                      <w:t>2</w:t>
                    </w:r>
                  </w:p>
                </w:txbxContent>
              </v:textbox>
              <w10:wrap type="none"/>
            </v:shape>
            <v:shape style="position:absolute;left:4819;top:2784;width:416;height:176" type="#_x0000_t202" filled="false" stroked="false">
              <v:textbox inset="0,0,0,0">
                <w:txbxContent>
                  <w:p>
                    <w:pPr>
                      <w:spacing w:line="175" w:lineRule="exact" w:before="0"/>
                      <w:ind w:left="0" w:right="0" w:firstLine="0"/>
                      <w:jc w:val="left"/>
                      <w:rPr>
                        <w:sz w:val="16"/>
                      </w:rPr>
                    </w:pPr>
                    <w:r>
                      <w:rPr>
                        <w:sz w:val="16"/>
                      </w:rPr>
                      <w:t>Credit</w:t>
                    </w:r>
                  </w:p>
                </w:txbxContent>
              </v:textbox>
              <w10:wrap type="none"/>
            </v:shape>
            <w10:wrap type="none"/>
          </v:group>
        </w:pict>
      </w:r>
      <w:r>
        <w:rPr>
          <w:i/>
          <w:position w:val="3"/>
          <w:sz w:val="18"/>
        </w:rPr>
        <w:t>i</w:t>
      </w:r>
      <w:r>
        <w:rPr>
          <w:i/>
          <w:sz w:val="12"/>
        </w:rPr>
        <w:t>loan</w:t>
      </w:r>
    </w:p>
    <w:p>
      <w:pPr>
        <w:pStyle w:val="BodyText"/>
        <w:rPr>
          <w:i/>
          <w:sz w:val="22"/>
        </w:rPr>
      </w:pPr>
    </w:p>
    <w:p>
      <w:pPr>
        <w:pStyle w:val="BodyText"/>
        <w:rPr>
          <w:i/>
          <w:sz w:val="22"/>
        </w:rPr>
      </w:pPr>
    </w:p>
    <w:p>
      <w:pPr>
        <w:pStyle w:val="BodyText"/>
        <w:rPr>
          <w:i/>
          <w:sz w:val="22"/>
        </w:rPr>
      </w:pPr>
    </w:p>
    <w:p>
      <w:pPr>
        <w:pStyle w:val="BodyText"/>
        <w:spacing w:before="5"/>
        <w:rPr>
          <w:i/>
          <w:sz w:val="18"/>
        </w:rPr>
      </w:pPr>
    </w:p>
    <w:p>
      <w:pPr>
        <w:spacing w:before="0"/>
        <w:ind w:left="799" w:right="0" w:firstLine="0"/>
        <w:jc w:val="left"/>
        <w:rPr>
          <w:i/>
          <w:sz w:val="12"/>
        </w:rPr>
      </w:pPr>
      <w:r>
        <w:rPr>
          <w:i/>
          <w:position w:val="3"/>
          <w:sz w:val="18"/>
        </w:rPr>
        <w:t>i</w:t>
      </w:r>
      <w:r>
        <w:rPr>
          <w:i/>
          <w:sz w:val="12"/>
        </w:rPr>
        <w:t>l(1)</w:t>
      </w:r>
    </w:p>
    <w:p>
      <w:pPr>
        <w:pStyle w:val="BodyText"/>
        <w:spacing w:before="8"/>
        <w:rPr>
          <w:i/>
          <w:sz w:val="5"/>
        </w:rPr>
      </w:pPr>
    </w:p>
    <w:p>
      <w:pPr>
        <w:pStyle w:val="BodyText"/>
        <w:spacing w:line="157" w:lineRule="exact"/>
        <w:ind w:left="760"/>
        <w:rPr>
          <w:sz w:val="15"/>
        </w:rPr>
      </w:pPr>
      <w:r>
        <w:rPr>
          <w:position w:val="-2"/>
          <w:sz w:val="15"/>
        </w:rPr>
        <w:drawing>
          <wp:inline distT="0" distB="0" distL="0" distR="0">
            <wp:extent cx="96981" cy="100012"/>
            <wp:effectExtent l="0" t="0" r="0" b="0"/>
            <wp:docPr id="3" name="image4.png"/>
            <wp:cNvGraphicFramePr>
              <a:graphicFrameLocks noChangeAspect="1"/>
            </wp:cNvGraphicFramePr>
            <a:graphic>
              <a:graphicData uri="http://schemas.openxmlformats.org/drawingml/2006/picture">
                <pic:pic>
                  <pic:nvPicPr>
                    <pic:cNvPr id="4" name="image4.png"/>
                    <pic:cNvPicPr/>
                  </pic:nvPicPr>
                  <pic:blipFill>
                    <a:blip r:embed="rId10" cstate="print"/>
                    <a:stretch>
                      <a:fillRect/>
                    </a:stretch>
                  </pic:blipFill>
                  <pic:spPr>
                    <a:xfrm>
                      <a:off x="0" y="0"/>
                      <a:ext cx="96981" cy="100012"/>
                    </a:xfrm>
                    <a:prstGeom prst="rect">
                      <a:avLst/>
                    </a:prstGeom>
                  </pic:spPr>
                </pic:pic>
              </a:graphicData>
            </a:graphic>
          </wp:inline>
        </w:drawing>
      </w:r>
      <w:r>
        <w:rPr>
          <w:position w:val="-2"/>
          <w:sz w:val="15"/>
        </w:rPr>
      </w:r>
    </w:p>
    <w:p>
      <w:pPr>
        <w:spacing w:before="106"/>
        <w:ind w:left="799" w:right="0" w:firstLine="0"/>
        <w:jc w:val="left"/>
        <w:rPr>
          <w:i/>
          <w:sz w:val="12"/>
        </w:rPr>
      </w:pPr>
      <w:r>
        <w:rPr>
          <w:i/>
          <w:position w:val="3"/>
          <w:sz w:val="18"/>
        </w:rPr>
        <w:t>i</w:t>
      </w:r>
      <w:r>
        <w:rPr>
          <w:i/>
          <w:sz w:val="12"/>
        </w:rPr>
        <w:t>l(2)</w:t>
      </w:r>
    </w:p>
    <w:p>
      <w:pPr>
        <w:pStyle w:val="Heading1"/>
        <w:spacing w:before="90"/>
        <w:ind w:left="561"/>
      </w:pPr>
      <w:r>
        <w:rPr>
          <w:b w:val="0"/>
        </w:rPr>
        <w:br w:type="column"/>
      </w:r>
      <w:r>
        <w:rPr/>
        <w:t>Chart 2: Total credit to UK households</w:t>
      </w:r>
    </w:p>
    <w:p>
      <w:pPr>
        <w:pStyle w:val="BodyText"/>
        <w:spacing w:before="6"/>
        <w:rPr>
          <w:b/>
          <w:sz w:val="31"/>
        </w:rPr>
      </w:pPr>
    </w:p>
    <w:p>
      <w:pPr>
        <w:spacing w:before="0"/>
        <w:ind w:left="0" w:right="845" w:firstLine="0"/>
        <w:jc w:val="right"/>
        <w:rPr>
          <w:sz w:val="15"/>
        </w:rPr>
      </w:pPr>
      <w:r>
        <w:rPr>
          <w:sz w:val="15"/>
        </w:rPr>
        <w:t>£</w:t>
      </w:r>
      <w:r>
        <w:rPr>
          <w:spacing w:val="3"/>
          <w:sz w:val="15"/>
        </w:rPr>
        <w:t> </w:t>
      </w:r>
      <w:r>
        <w:rPr>
          <w:sz w:val="15"/>
        </w:rPr>
        <w:t>billions</w:t>
      </w:r>
    </w:p>
    <w:p>
      <w:pPr>
        <w:spacing w:before="63"/>
        <w:ind w:left="0" w:right="814" w:firstLine="0"/>
        <w:jc w:val="right"/>
        <w:rPr>
          <w:sz w:val="15"/>
        </w:rPr>
      </w:pPr>
      <w:r>
        <w:rPr/>
        <w:pict>
          <v:group style="position:absolute;margin-left:319.320007pt;margin-top:7.518704pt;width:158.2pt;height:111.6pt;mso-position-horizontal-relative:page;mso-position-vertical-relative:paragraph;z-index:251663360" coordorigin="6386,150" coordsize="3164,2232">
            <v:shape style="position:absolute;left:26620;top:-28561;width:13160;height:9280" coordorigin="26620,-28560" coordsize="13160,9280" path="m9499,153l9499,2380,9547,2380m9499,2106l9547,2106m9499,1828l9547,1828m9499,1540l9547,1540m9499,1266l9547,1266m9499,993l9547,993m9499,714l9547,714m9499,426l9547,426m9499,153l9547,153m6389,2380l9499,2380m6389,2380l6389,2332m6998,2380l6998,2332m7598,2380l7598,2332m8208,2380l8208,2332m8818,2380l8818,2332m9427,2380l9427,2332e" filled="false" stroked="true" strokeweight=".24pt" strokecolor="#000000">
              <v:path arrowok="t"/>
              <v:stroke dashstyle="solid"/>
            </v:shape>
            <v:line style="position:absolute" from="6389,2130" to="6422,2130" stroked="true" strokeweight=".96pt" strokecolor="#000080">
              <v:stroke dashstyle="solid"/>
            </v:line>
            <v:shape style="position:absolute;left:6422;top:464;width:3077;height:1666" coordorigin="6422,465" coordsize="3077,1666" path="m6422,2130l6461,2116,6509,2106,6542,2082,6581,2068,6614,2058,6653,2044,6686,2034,6734,2020,6773,2010,6806,1972,6845,1938,6878,1924,6917,1914,6965,1900,6998,1890,7032,1876,7070,1866,7104,1866,7142,1852,7190,1842,7224,1842,7262,1828,7296,1828,7334,1818,7368,1818,7416,1804,7454,1804,7488,1794,7526,1780,7560,1780,7598,1756,7646,1756,7680,1746,7718,1746,7752,1732,7786,1722,7824,1708,7872,1698,7906,1684,7944,1674,7978,1660,8016,1650,8064,1636,8098,1626,8136,1612,8170,1602,8208,1578,8242,1564,8290,1540,8328,1530,8362,1506,8400,1482,8434,1468,8472,1444,8515,1420,8554,1396,8587,1372,8626,1353,8659,1314,8698,1290,8746,1242,8779,1209,8818,1170,8851,1137,8890,1098,8923,1050,8971,1002,9010,969,9043,921,9082,882,9115,849,9154,810,9202,777,9235,738,9269,705,9307,666,9341,633,9379,585,9427,546,9461,513,9499,465e" filled="false" stroked="true" strokeweight=".96pt" strokecolor="#000080">
              <v:path arrowok="t"/>
              <v:stroke dashstyle="solid"/>
            </v:shape>
            <v:shape style="position:absolute;left:7334;top:1040;width:2165;height:836" coordorigin="7334,1041" coordsize="2165,836" path="m7334,1876l7368,1876,7416,1866,7454,1852,7488,1852,7526,1842,7560,1828,7598,1828,7646,1818,7680,1818,7718,1804,7752,1794,7786,1794,7824,1780,7872,1770,7906,1756,7944,1746,7978,1746,8016,1732,8064,1722,8098,1708,8136,1698,8170,1684,8208,1674,8242,1660,8290,1636,8328,1626,8362,1612,8400,1588,8434,1588,8472,1564,8515,1540,8554,1530,8587,1506,8626,1492,8659,1468,8698,1444,8746,1410,8779,1386,8818,1386,8851,1353,8890,1329,8923,1305,8971,1281,9010,1242,9043,1233,9082,1209,9115,1209,9154,1185,9202,1161,9235,1146,9269,1137,9307,1113,9341,1089,9379,1074,9427,1065,9461,1050,9499,1041e" filled="false" stroked="true" strokeweight=".96pt" strokecolor="#ff00ff">
              <v:path arrowok="t"/>
              <v:stroke dashstyle="solid"/>
            </v:shape>
            <v:shape style="position:absolute;left:7320;top:449;width:1766;height:171" type="#_x0000_t202" filled="false" stroked="false">
              <v:textbox inset="0,0,0,0">
                <w:txbxContent>
                  <w:p>
                    <w:pPr>
                      <w:spacing w:line="170" w:lineRule="exact" w:before="0"/>
                      <w:ind w:left="0" w:right="0" w:firstLine="0"/>
                      <w:jc w:val="left"/>
                      <w:rPr>
                        <w:sz w:val="15"/>
                      </w:rPr>
                    </w:pPr>
                    <w:r>
                      <w:rPr>
                        <w:color w:val="0E0080"/>
                        <w:sz w:val="15"/>
                      </w:rPr>
                      <w:t>Total lending to individuals</w:t>
                    </w:r>
                  </w:p>
                </w:txbxContent>
              </v:textbox>
              <w10:wrap type="none"/>
            </v:shape>
            <v:shape style="position:absolute;left:7176;top:1990;width:2072;height:171" type="#_x0000_t202" filled="false" stroked="false">
              <v:textbox inset="0,0,0,0">
                <w:txbxContent>
                  <w:p>
                    <w:pPr>
                      <w:spacing w:line="170" w:lineRule="exact" w:before="0"/>
                      <w:ind w:left="0" w:right="0" w:firstLine="0"/>
                      <w:jc w:val="left"/>
                      <w:rPr>
                        <w:sz w:val="15"/>
                      </w:rPr>
                    </w:pPr>
                    <w:r>
                      <w:rPr>
                        <w:color w:val="FF00FF"/>
                        <w:sz w:val="15"/>
                      </w:rPr>
                      <w:t>Bank and building society cred it</w:t>
                    </w:r>
                  </w:p>
                </w:txbxContent>
              </v:textbox>
              <w10:wrap type="none"/>
            </v:shape>
            <w10:wrap type="none"/>
          </v:group>
        </w:pict>
      </w:r>
      <w:r>
        <w:rPr>
          <w:spacing w:val="-1"/>
          <w:w w:val="95"/>
          <w:sz w:val="15"/>
        </w:rPr>
        <w:t>1600</w:t>
      </w:r>
    </w:p>
    <w:p>
      <w:pPr>
        <w:spacing w:before="105"/>
        <w:ind w:left="0" w:right="814" w:firstLine="0"/>
        <w:jc w:val="right"/>
        <w:rPr>
          <w:sz w:val="15"/>
        </w:rPr>
      </w:pPr>
      <w:r>
        <w:rPr>
          <w:spacing w:val="-1"/>
          <w:w w:val="95"/>
          <w:sz w:val="15"/>
        </w:rPr>
        <w:t>1400</w:t>
      </w:r>
    </w:p>
    <w:p>
      <w:pPr>
        <w:spacing w:before="111"/>
        <w:ind w:left="0" w:right="814" w:firstLine="0"/>
        <w:jc w:val="right"/>
        <w:rPr>
          <w:sz w:val="15"/>
        </w:rPr>
      </w:pPr>
      <w:r>
        <w:rPr>
          <w:spacing w:val="-1"/>
          <w:w w:val="95"/>
          <w:sz w:val="15"/>
        </w:rPr>
        <w:t>1200</w:t>
      </w:r>
    </w:p>
    <w:p>
      <w:pPr>
        <w:spacing w:before="106"/>
        <w:ind w:left="0" w:right="814" w:firstLine="0"/>
        <w:jc w:val="right"/>
        <w:rPr>
          <w:sz w:val="15"/>
        </w:rPr>
      </w:pPr>
      <w:r>
        <w:rPr>
          <w:spacing w:val="-1"/>
          <w:w w:val="95"/>
          <w:sz w:val="15"/>
        </w:rPr>
        <w:t>1000</w:t>
      </w:r>
    </w:p>
    <w:p>
      <w:pPr>
        <w:spacing w:before="106"/>
        <w:ind w:left="0" w:right="886" w:firstLine="0"/>
        <w:jc w:val="right"/>
        <w:rPr>
          <w:sz w:val="15"/>
        </w:rPr>
      </w:pPr>
      <w:r>
        <w:rPr>
          <w:spacing w:val="-1"/>
          <w:w w:val="95"/>
          <w:sz w:val="15"/>
        </w:rPr>
        <w:t>800</w:t>
      </w:r>
    </w:p>
    <w:p>
      <w:pPr>
        <w:spacing w:before="96"/>
        <w:ind w:left="0" w:right="886" w:firstLine="0"/>
        <w:jc w:val="right"/>
        <w:rPr>
          <w:sz w:val="15"/>
        </w:rPr>
      </w:pPr>
      <w:r>
        <w:rPr>
          <w:spacing w:val="-1"/>
          <w:w w:val="95"/>
          <w:sz w:val="15"/>
        </w:rPr>
        <w:t>600</w:t>
      </w:r>
    </w:p>
    <w:p>
      <w:pPr>
        <w:spacing w:before="116"/>
        <w:ind w:left="0" w:right="886" w:firstLine="0"/>
        <w:jc w:val="right"/>
        <w:rPr>
          <w:sz w:val="15"/>
        </w:rPr>
      </w:pPr>
      <w:r>
        <w:rPr>
          <w:spacing w:val="-1"/>
          <w:w w:val="95"/>
          <w:sz w:val="15"/>
        </w:rPr>
        <w:t>400</w:t>
      </w:r>
    </w:p>
    <w:p>
      <w:pPr>
        <w:spacing w:before="106"/>
        <w:ind w:left="0" w:right="886" w:firstLine="0"/>
        <w:jc w:val="right"/>
        <w:rPr>
          <w:sz w:val="15"/>
        </w:rPr>
      </w:pPr>
      <w:r>
        <w:rPr>
          <w:spacing w:val="-1"/>
          <w:w w:val="95"/>
          <w:sz w:val="15"/>
        </w:rPr>
        <w:t>200</w:t>
      </w:r>
    </w:p>
    <w:p>
      <w:pPr>
        <w:spacing w:before="106"/>
        <w:ind w:left="0" w:right="1030" w:firstLine="0"/>
        <w:jc w:val="right"/>
        <w:rPr>
          <w:sz w:val="15"/>
        </w:rPr>
      </w:pPr>
      <w:r>
        <w:rPr>
          <w:w w:val="96"/>
          <w:sz w:val="15"/>
        </w:rPr>
        <w:t>0</w:t>
      </w:r>
    </w:p>
    <w:p>
      <w:pPr>
        <w:spacing w:after="0"/>
        <w:jc w:val="right"/>
        <w:rPr>
          <w:sz w:val="15"/>
        </w:rPr>
        <w:sectPr>
          <w:type w:val="continuous"/>
          <w:pgSz w:w="11910" w:h="16840"/>
          <w:pgMar w:top="1180" w:bottom="280" w:left="1140" w:right="1180"/>
          <w:cols w:num="2" w:equalWidth="0">
            <w:col w:w="4408" w:space="40"/>
            <w:col w:w="5142"/>
          </w:cols>
        </w:sectPr>
      </w:pPr>
    </w:p>
    <w:p>
      <w:pPr>
        <w:pStyle w:val="BodyText"/>
        <w:rPr>
          <w:sz w:val="26"/>
        </w:rPr>
      </w:pPr>
    </w:p>
    <w:p>
      <w:pPr>
        <w:pStyle w:val="BodyText"/>
        <w:rPr>
          <w:sz w:val="22"/>
        </w:rPr>
      </w:pPr>
    </w:p>
    <w:p>
      <w:pPr>
        <w:pStyle w:val="Heading1"/>
        <w:spacing w:line="242" w:lineRule="auto"/>
        <w:ind w:right="23"/>
      </w:pPr>
      <w:r>
        <w:rPr/>
        <w:t>Chart 3: Total credit to UK private non­financial companies</w:t>
      </w:r>
    </w:p>
    <w:p>
      <w:pPr>
        <w:tabs>
          <w:tab w:pos="1360" w:val="left" w:leader="none"/>
          <w:tab w:pos="1960" w:val="left" w:leader="none"/>
          <w:tab w:pos="2570" w:val="left" w:leader="none"/>
          <w:tab w:pos="3179" w:val="left" w:leader="none"/>
          <w:tab w:pos="3789" w:val="left" w:leader="none"/>
        </w:tabs>
        <w:spacing w:before="53"/>
        <w:ind w:left="751" w:right="0" w:firstLine="0"/>
        <w:jc w:val="left"/>
        <w:rPr>
          <w:sz w:val="15"/>
        </w:rPr>
      </w:pPr>
      <w:r>
        <w:rPr/>
        <w:br w:type="column"/>
      </w:r>
      <w:r>
        <w:rPr>
          <w:sz w:val="15"/>
        </w:rPr>
        <w:t>1987</w:t>
        <w:tab/>
        <w:t>1991</w:t>
        <w:tab/>
        <w:t>1995</w:t>
        <w:tab/>
        <w:t>1999</w:t>
        <w:tab/>
        <w:t>2003</w:t>
        <w:tab/>
        <w:t>2007</w:t>
      </w:r>
    </w:p>
    <w:p>
      <w:pPr>
        <w:spacing w:before="119"/>
        <w:ind w:left="655" w:right="0" w:firstLine="0"/>
        <w:jc w:val="left"/>
        <w:rPr>
          <w:sz w:val="18"/>
        </w:rPr>
      </w:pPr>
      <w:r>
        <w:rPr>
          <w:sz w:val="18"/>
        </w:rPr>
        <w:t>Source: Bank of England, ONS</w:t>
      </w:r>
    </w:p>
    <w:p>
      <w:pPr>
        <w:pStyle w:val="Heading1"/>
        <w:spacing w:line="242" w:lineRule="auto" w:before="1"/>
        <w:ind w:right="647"/>
      </w:pPr>
      <w:r>
        <w:rPr/>
        <w:pict>
          <v:rect style="position:absolute;margin-left:318.960022pt;margin-top:35.733105pt;width:4.32pt;height:4.32pt;mso-position-horizontal-relative:page;mso-position-vertical-relative:paragraph;z-index:251669504" filled="true" fillcolor="#ff00ff" stroked="false">
            <v:fill type="solid"/>
            <w10:wrap type="none"/>
          </v:rect>
        </w:pict>
      </w:r>
      <w:r>
        <w:rPr/>
        <w:pict>
          <v:rect style="position:absolute;margin-left:318.960022pt;margin-top:49.173103pt;width:4.32pt;height:4.32pt;mso-position-horizontal-relative:page;mso-position-vertical-relative:paragraph;z-index:251670528" filled="true" fillcolor="#000080" stroked="false">
            <v:fill type="solid"/>
            <w10:wrap type="none"/>
          </v:rect>
        </w:pict>
      </w:r>
      <w:r>
        <w:rPr/>
        <w:t>Chart 4: Shares of total lending to UK households</w:t>
      </w:r>
    </w:p>
    <w:p>
      <w:pPr>
        <w:spacing w:after="0" w:line="242" w:lineRule="auto"/>
        <w:sectPr>
          <w:type w:val="continuous"/>
          <w:pgSz w:w="11910" w:h="16840"/>
          <w:pgMar w:top="1180" w:bottom="280" w:left="1140" w:right="1180"/>
          <w:cols w:num="2" w:equalWidth="0">
            <w:col w:w="4311" w:space="43"/>
            <w:col w:w="5236"/>
          </w:cols>
        </w:sectPr>
      </w:pPr>
    </w:p>
    <w:p>
      <w:pPr>
        <w:spacing w:before="75"/>
        <w:ind w:left="0" w:right="56" w:firstLine="0"/>
        <w:jc w:val="right"/>
        <w:rPr>
          <w:sz w:val="14"/>
        </w:rPr>
      </w:pPr>
      <w:r>
        <w:rPr>
          <w:sz w:val="14"/>
        </w:rPr>
        <w:t>£ billions</w:t>
      </w:r>
    </w:p>
    <w:p>
      <w:pPr>
        <w:spacing w:before="88"/>
        <w:ind w:left="0" w:right="0" w:firstLine="0"/>
        <w:jc w:val="right"/>
        <w:rPr>
          <w:sz w:val="13"/>
        </w:rPr>
      </w:pPr>
      <w:r>
        <w:rPr/>
        <w:pict>
          <v:group style="position:absolute;margin-left:101.400002pt;margin-top:8.340122pt;width:164.2pt;height:118.35pt;mso-position-horizontal-relative:page;mso-position-vertical-relative:paragraph;z-index:251667456" coordorigin="2028,167" coordsize="3284,2367">
            <v:shape style="position:absolute;left:8500;top:-16414;width:13620;height:9840" coordorigin="8500,-16414" coordsize="13620,9840" path="m5270,169l5270,2531,5309,2531m5270,2233l5309,2233m5270,1940l5309,1940m5270,1643l5309,1643m5270,1350l5309,1350m5270,1052l5309,1052m5270,760l5309,760m5270,462l5309,462m5270,169l5309,169m2040,2531l5270,2531m2040,2531l2040,2492m2669,2531l2669,2492m3307,2531l3307,2492m3931,2531l3931,2492m4560,2531l4560,2492m5198,2531l5198,2492e" filled="false" stroked="true" strokeweight=".24pt" strokecolor="#000000">
              <v:path arrowok="t"/>
              <v:stroke dashstyle="solid"/>
            </v:shape>
            <v:shape style="position:absolute;left:2040;top:2480;width:2;height:24" coordorigin="2040,2480" coordsize="0,24" path="m2040,2504l2040,2480,2040,2504xe" filled="true" fillcolor="#008000" stroked="false">
              <v:path arrowok="t"/>
              <v:fill type="solid"/>
            </v:shape>
            <v:line style="position:absolute" from="2040,2492" to="2078,2492" stroked="true" strokeweight="1.2pt" strokecolor="#008000">
              <v:stroke dashstyle="solid"/>
            </v:line>
            <v:shape style="position:absolute;left:2078;top:2262;width:3192;height:231" coordorigin="2078,2262" coordsize="3192,231" path="m2078,2492l2117,2492,2165,2483,2198,2483,2237,2483,2275,2468,2314,2468,2362,2468,2395,2468,2434,2459,2472,2459,2506,2459,2558,2444,3062,2444,3110,2459,3341,2459,3379,2444,3418,2444,3451,2444,3504,2444,3538,2435,3576,2435,3614,2435,3662,2435,3701,2420,4008,2420,4056,2406,4094,2406,4128,2406,4166,2396,4205,2396,4253,2396,4291,2396,4325,2382,4560,2382,4594,2372,4805,2372,4843,2358,4877,2358,4915,2348,4954,2334,5002,2320,5040,2310,5074,2310,5112,2296,5150,2286,5198,2272,5237,2272,5270,2262e" filled="false" stroked="true" strokeweight="1.2pt" strokecolor="#008000">
              <v:path arrowok="t"/>
              <v:stroke dashstyle="solid"/>
            </v:shape>
            <v:line style="position:absolute" from="2040,2444" to="2078,2444" stroked="true" strokeweight="1.2pt" strokecolor="#ff00ff">
              <v:stroke dashstyle="solid"/>
            </v:line>
            <v:shape style="position:absolute;left:2078;top:1830;width:3159;height:615" coordorigin="2078,1830" coordsize="3159,615" path="m2078,2444l2117,2435,2165,2435,2198,2420,2237,2420,2275,2406,2314,2406,2362,2396,2395,2372,2434,2372,2472,2358,2506,2358,2558,2348,2592,2348,2630,2348,2669,2334,2717,2334,2755,2348,2789,2348,2827,2334,2866,2348,2914,2334,3149,2334,3182,2348,3221,2348,3259,2348,3307,2334,3341,2334,3379,2334,3418,2320,3451,2320,3504,2320,3538,2310,3576,2310,3614,2296,3662,2296,3701,2286,3734,2296,3773,2286,3811,2286,3859,2272,3898,2262,3931,2248,3970,2233,4008,2224,4056,2224,4094,2200,4128,2185,4166,2176,4205,2176,4253,2152,4291,2137,4325,2123,4363,2137,4402,2123,4450,2113,4483,2099,4522,2089,4560,2075,4594,2065,4646,2065,4680,2065,4718,2065,4757,2051,4805,2036,4843,2027,4877,1979,4915,1979,4954,1950,5002,1940,5040,1902,5074,1892,5112,1868,5150,1868,5198,1840,5237,1830e" filled="false" stroked="true" strokeweight="1.2pt" strokecolor="#ff00ff">
              <v:path arrowok="t"/>
              <v:stroke dashstyle="solid"/>
            </v:shape>
            <v:line style="position:absolute" from="2040,2123" to="2078,2075" stroked="true" strokeweight="1.2pt" strokecolor="#0e0080">
              <v:stroke dashstyle="solid"/>
            </v:line>
            <v:shape style="position:absolute;left:2078;top:366;width:3159;height:1757" coordorigin="2078,366" coordsize="3159,1757" path="m2078,2075l2117,2051,2165,2123,2198,2113,2237,2075,2275,2065,2314,2065,2362,2012,2395,1988,2434,1964,2472,1950,2506,1926,2558,1916,2592,1950,2630,1926,2669,1878,2717,1868,2755,1840,2789,1868,2827,1868,2866,1854,2914,1854,2952,1806,2986,1792,3024,1782,3062,1753,3110,1705,3149,1729,3182,1753,3221,1744,3259,1729,3307,1720,3341,1681,3379,1643,3418,1619,3451,1595,3504,1585,3538,1556,3576,1547,3614,1508,3662,1484,3701,1398,3734,1398,3773,1302,3811,1273,3859,1350,3898,1264,3931,1177,3970,1076,4008,1105,4056,932,4094,856,4128,856,4166,846,4205,856,4253,918,4291,932,4325,1028,4363,966,4402,942,4450,1028,4483,1153,4522,1129,4560,1139,4594,1067,4646,1028,4680,980,4718,966,4757,932,4805,908,4843,846,4877,808,4915,760,4954,673,5002,625,5040,524,5074,539,5112,500,5150,438,5198,376,5237,366e" filled="false" stroked="true" strokeweight="1.2pt" strokecolor="#0e0080">
              <v:path arrowok="t"/>
              <v:stroke dashstyle="solid"/>
            </v:shape>
            <v:shape style="position:absolute;left:2630;top:844;width:965;height:352" type="#_x0000_t202" filled="false" stroked="false">
              <v:textbox inset="0,0,0,0">
                <w:txbxContent>
                  <w:p>
                    <w:pPr>
                      <w:spacing w:line="285" w:lineRule="auto" w:before="0"/>
                      <w:ind w:left="0" w:right="0" w:firstLine="0"/>
                      <w:jc w:val="left"/>
                      <w:rPr>
                        <w:b/>
                        <w:sz w:val="14"/>
                      </w:rPr>
                    </w:pPr>
                    <w:r>
                      <w:rPr>
                        <w:b/>
                        <w:color w:val="0E0080"/>
                        <w:sz w:val="14"/>
                      </w:rPr>
                      <w:t>Total financial liabilitie s</w:t>
                    </w:r>
                  </w:p>
                </w:txbxContent>
              </v:textbox>
              <w10:wrap type="none"/>
            </v:shape>
            <v:shape style="position:absolute;left:4118;top:1564;width:1043;height:361" type="#_x0000_t202" filled="false" stroked="false">
              <v:textbox inset="0,0,0,0">
                <w:txbxContent>
                  <w:p>
                    <w:pPr>
                      <w:spacing w:line="158" w:lineRule="exact" w:before="0"/>
                      <w:ind w:left="0" w:right="0" w:firstLine="0"/>
                      <w:jc w:val="left"/>
                      <w:rPr>
                        <w:b/>
                        <w:sz w:val="14"/>
                      </w:rPr>
                    </w:pPr>
                    <w:r>
                      <w:rPr>
                        <w:b/>
                        <w:color w:val="FF00FF"/>
                        <w:sz w:val="14"/>
                      </w:rPr>
                      <w:t>Total lending to</w:t>
                    </w:r>
                  </w:p>
                  <w:p>
                    <w:pPr>
                      <w:spacing w:before="40"/>
                      <w:ind w:left="0" w:right="0" w:firstLine="0"/>
                      <w:jc w:val="left"/>
                      <w:rPr>
                        <w:b/>
                        <w:sz w:val="14"/>
                      </w:rPr>
                    </w:pPr>
                    <w:r>
                      <w:rPr>
                        <w:b/>
                        <w:color w:val="FF00FF"/>
                        <w:sz w:val="14"/>
                      </w:rPr>
                      <w:t>PNFCs</w:t>
                    </w:r>
                  </w:p>
                </w:txbxContent>
              </v:textbox>
              <w10:wrap type="none"/>
            </v:shape>
            <v:shape style="position:absolute;left:2755;top:1996;width:845;height:160" type="#_x0000_t202" filled="false" stroked="false">
              <v:textbox inset="0,0,0,0">
                <w:txbxContent>
                  <w:p>
                    <w:pPr>
                      <w:spacing w:line="158" w:lineRule="exact" w:before="0"/>
                      <w:ind w:left="0" w:right="0" w:firstLine="0"/>
                      <w:jc w:val="left"/>
                      <w:rPr>
                        <w:b/>
                        <w:sz w:val="14"/>
                      </w:rPr>
                    </w:pPr>
                    <w:r>
                      <w:rPr>
                        <w:b/>
                        <w:color w:val="008000"/>
                        <w:sz w:val="14"/>
                      </w:rPr>
                      <w:t>PNFCs' M4L</w:t>
                    </w:r>
                  </w:p>
                </w:txbxContent>
              </v:textbox>
              <w10:wrap type="none"/>
            </v:shape>
            <w10:wrap type="none"/>
          </v:group>
        </w:pict>
      </w:r>
      <w:r>
        <w:rPr>
          <w:spacing w:val="7"/>
          <w:w w:val="95"/>
          <w:sz w:val="13"/>
        </w:rPr>
        <w:t>4000</w:t>
      </w:r>
    </w:p>
    <w:p>
      <w:pPr>
        <w:pStyle w:val="BodyText"/>
        <w:spacing w:before="5"/>
        <w:rPr>
          <w:sz w:val="12"/>
        </w:rPr>
      </w:pPr>
    </w:p>
    <w:p>
      <w:pPr>
        <w:spacing w:before="1"/>
        <w:ind w:left="0" w:right="0" w:firstLine="0"/>
        <w:jc w:val="right"/>
        <w:rPr>
          <w:sz w:val="13"/>
        </w:rPr>
      </w:pPr>
      <w:r>
        <w:rPr>
          <w:spacing w:val="7"/>
          <w:w w:val="95"/>
          <w:sz w:val="13"/>
        </w:rPr>
        <w:t>3500</w:t>
      </w:r>
    </w:p>
    <w:p>
      <w:pPr>
        <w:pStyle w:val="BodyText"/>
        <w:spacing w:before="9"/>
        <w:rPr>
          <w:sz w:val="12"/>
        </w:rPr>
      </w:pPr>
    </w:p>
    <w:p>
      <w:pPr>
        <w:spacing w:before="1"/>
        <w:ind w:left="0" w:right="0" w:firstLine="0"/>
        <w:jc w:val="right"/>
        <w:rPr>
          <w:sz w:val="13"/>
        </w:rPr>
      </w:pPr>
      <w:r>
        <w:rPr>
          <w:spacing w:val="7"/>
          <w:w w:val="95"/>
          <w:sz w:val="13"/>
        </w:rPr>
        <w:t>3000</w:t>
      </w:r>
    </w:p>
    <w:p>
      <w:pPr>
        <w:pStyle w:val="BodyText"/>
        <w:spacing w:before="5"/>
        <w:rPr>
          <w:sz w:val="12"/>
        </w:rPr>
      </w:pPr>
    </w:p>
    <w:p>
      <w:pPr>
        <w:spacing w:before="0"/>
        <w:ind w:left="0" w:right="0" w:firstLine="0"/>
        <w:jc w:val="right"/>
        <w:rPr>
          <w:sz w:val="13"/>
        </w:rPr>
      </w:pPr>
      <w:r>
        <w:rPr>
          <w:spacing w:val="7"/>
          <w:w w:val="95"/>
          <w:sz w:val="13"/>
        </w:rPr>
        <w:t>2500</w:t>
      </w:r>
    </w:p>
    <w:p>
      <w:pPr>
        <w:pStyle w:val="BodyText"/>
        <w:spacing w:before="10"/>
        <w:rPr>
          <w:sz w:val="12"/>
        </w:rPr>
      </w:pPr>
    </w:p>
    <w:p>
      <w:pPr>
        <w:spacing w:before="0"/>
        <w:ind w:left="0" w:right="0" w:firstLine="0"/>
        <w:jc w:val="right"/>
        <w:rPr>
          <w:sz w:val="13"/>
        </w:rPr>
      </w:pPr>
      <w:r>
        <w:rPr>
          <w:spacing w:val="7"/>
          <w:w w:val="95"/>
          <w:sz w:val="13"/>
        </w:rPr>
        <w:t>2000</w:t>
      </w:r>
    </w:p>
    <w:p>
      <w:pPr>
        <w:pStyle w:val="BodyText"/>
        <w:spacing w:before="5"/>
        <w:rPr>
          <w:sz w:val="12"/>
        </w:rPr>
      </w:pPr>
    </w:p>
    <w:p>
      <w:pPr>
        <w:spacing w:before="0"/>
        <w:ind w:left="0" w:right="0" w:firstLine="0"/>
        <w:jc w:val="right"/>
        <w:rPr>
          <w:sz w:val="13"/>
        </w:rPr>
      </w:pPr>
      <w:r>
        <w:rPr>
          <w:spacing w:val="7"/>
          <w:w w:val="95"/>
          <w:sz w:val="13"/>
        </w:rPr>
        <w:t>1500</w:t>
      </w:r>
    </w:p>
    <w:p>
      <w:pPr>
        <w:pStyle w:val="BodyText"/>
        <w:spacing w:before="10"/>
        <w:rPr>
          <w:sz w:val="12"/>
        </w:rPr>
      </w:pPr>
    </w:p>
    <w:p>
      <w:pPr>
        <w:spacing w:before="1"/>
        <w:ind w:left="0" w:right="0" w:firstLine="0"/>
        <w:jc w:val="right"/>
        <w:rPr>
          <w:sz w:val="13"/>
        </w:rPr>
      </w:pPr>
      <w:r>
        <w:rPr>
          <w:spacing w:val="7"/>
          <w:w w:val="95"/>
          <w:sz w:val="13"/>
        </w:rPr>
        <w:t>1000</w:t>
      </w:r>
    </w:p>
    <w:p>
      <w:pPr>
        <w:pStyle w:val="BodyText"/>
        <w:spacing w:before="9"/>
        <w:rPr>
          <w:sz w:val="12"/>
        </w:rPr>
      </w:pPr>
    </w:p>
    <w:p>
      <w:pPr>
        <w:spacing w:before="1"/>
        <w:ind w:left="0" w:right="74" w:firstLine="0"/>
        <w:jc w:val="right"/>
        <w:rPr>
          <w:sz w:val="13"/>
        </w:rPr>
      </w:pPr>
      <w:r>
        <w:rPr>
          <w:w w:val="95"/>
          <w:sz w:val="13"/>
        </w:rPr>
        <w:t>500</w:t>
      </w:r>
    </w:p>
    <w:p>
      <w:pPr>
        <w:pStyle w:val="BodyText"/>
        <w:spacing w:before="5"/>
        <w:rPr>
          <w:sz w:val="12"/>
        </w:rPr>
      </w:pPr>
    </w:p>
    <w:p>
      <w:pPr>
        <w:spacing w:line="133" w:lineRule="exact" w:before="0"/>
        <w:ind w:left="0" w:right="218" w:firstLine="0"/>
        <w:jc w:val="right"/>
        <w:rPr>
          <w:sz w:val="13"/>
        </w:rPr>
      </w:pPr>
      <w:r>
        <w:rPr>
          <w:w w:val="96"/>
          <w:sz w:val="13"/>
        </w:rPr>
        <w:t>0</w:t>
      </w:r>
    </w:p>
    <w:p>
      <w:pPr>
        <w:spacing w:line="400" w:lineRule="auto" w:before="108"/>
        <w:ind w:left="819" w:right="0" w:firstLine="0"/>
        <w:jc w:val="left"/>
        <w:rPr>
          <w:sz w:val="14"/>
        </w:rPr>
      </w:pPr>
      <w:r>
        <w:rPr/>
        <w:br w:type="column"/>
      </w:r>
      <w:r>
        <w:rPr>
          <w:sz w:val="14"/>
        </w:rPr>
        <w:t>Non­bank lending Bank lending</w:t>
      </w:r>
    </w:p>
    <w:p>
      <w:pPr>
        <w:spacing w:line="288" w:lineRule="auto" w:before="84"/>
        <w:ind w:left="905" w:right="305" w:firstLine="240"/>
        <w:jc w:val="left"/>
        <w:rPr>
          <w:sz w:val="15"/>
        </w:rPr>
      </w:pPr>
      <w:r>
        <w:rPr/>
        <w:br w:type="column"/>
      </w:r>
      <w:r>
        <w:rPr>
          <w:spacing w:val="5"/>
          <w:sz w:val="15"/>
        </w:rPr>
        <w:t>Percen</w:t>
      </w:r>
      <w:r>
        <w:rPr>
          <w:spacing w:val="-28"/>
          <w:sz w:val="15"/>
        </w:rPr>
        <w:t> </w:t>
      </w:r>
      <w:r>
        <w:rPr>
          <w:spacing w:val="7"/>
          <w:sz w:val="15"/>
        </w:rPr>
        <w:t>tage</w:t>
      </w:r>
      <w:r>
        <w:rPr>
          <w:spacing w:val="-2"/>
          <w:sz w:val="15"/>
        </w:rPr>
        <w:t> </w:t>
      </w:r>
      <w:r>
        <w:rPr>
          <w:spacing w:val="7"/>
          <w:sz w:val="15"/>
        </w:rPr>
        <w:t>of</w:t>
      </w:r>
      <w:r>
        <w:rPr>
          <w:spacing w:val="-9"/>
          <w:sz w:val="15"/>
        </w:rPr>
        <w:t> </w:t>
      </w:r>
      <w:r>
        <w:rPr>
          <w:spacing w:val="4"/>
          <w:sz w:val="15"/>
        </w:rPr>
        <w:t>total </w:t>
      </w:r>
      <w:r>
        <w:rPr>
          <w:spacing w:val="5"/>
          <w:sz w:val="15"/>
        </w:rPr>
        <w:t>lending </w:t>
      </w:r>
      <w:r>
        <w:rPr>
          <w:spacing w:val="4"/>
          <w:sz w:val="15"/>
        </w:rPr>
        <w:t>to</w:t>
      </w:r>
      <w:r>
        <w:rPr>
          <w:spacing w:val="-20"/>
          <w:sz w:val="15"/>
        </w:rPr>
        <w:t> </w:t>
      </w:r>
      <w:r>
        <w:rPr>
          <w:spacing w:val="9"/>
          <w:sz w:val="15"/>
        </w:rPr>
        <w:t>households</w:t>
      </w:r>
    </w:p>
    <w:p>
      <w:pPr>
        <w:spacing w:before="85"/>
        <w:ind w:left="2158" w:right="0" w:firstLine="0"/>
        <w:jc w:val="left"/>
        <w:rPr>
          <w:sz w:val="15"/>
        </w:rPr>
      </w:pPr>
      <w:r>
        <w:rPr/>
        <w:pict>
          <v:shape style="position:absolute;margin-left:1329pt;margin-top:-779.808838pt;width:689pt;height:419pt;mso-position-horizontal-relative:page;mso-position-vertical-relative:paragraph;z-index:251668480" coordorigin="26580,-15596" coordsize="13780,8380" path="m9638,166l9638,2177,9686,2177m9638,1981l9686,1981m9638,1774l9686,1774m9638,1582l9686,1582m9638,1371l9686,1371m9638,1179l9686,1179m9638,973l9686,973m9638,776l9686,776m9638,569l9686,569m9638,377l9686,377m9638,166l9686,166m6379,2177l9638,2177e" filled="false" stroked="true" strokeweight=".24pt" strokecolor="#000000">
            <v:path arrowok="t"/>
            <v:stroke dashstyle="solid"/>
            <w10:wrap type="none"/>
          </v:shape>
        </w:pict>
      </w:r>
      <w:r>
        <w:rPr/>
        <w:pict>
          <v:shape style="position:absolute;margin-left:321.720001pt;margin-top:7.951124pt;width:156.1pt;height:101.05pt;mso-position-horizontal-relative:page;mso-position-vertical-relative:paragraph;z-index:251688960" type="#_x0000_t202" filled="false" stroked="false">
            <v:textbox inset="0,0,0,0">
              <w:txbxContent>
                <w:tbl>
                  <w:tblPr>
                    <w:tblW w:w="0" w:type="auto"/>
                    <w:jc w:val="left"/>
                    <w:tblInd w:w="7" w:type="dxa"/>
                    <w:tblBorders>
                      <w:top w:val="triple" w:sz="6" w:space="0" w:color="FF00FF"/>
                      <w:left w:val="triple" w:sz="6" w:space="0" w:color="FF00FF"/>
                      <w:bottom w:val="triple" w:sz="6" w:space="0" w:color="FF00FF"/>
                      <w:right w:val="triple" w:sz="6" w:space="0" w:color="FF00FF"/>
                      <w:insideH w:val="triple" w:sz="6" w:space="0" w:color="FF00FF"/>
                      <w:insideV w:val="triple" w:sz="6" w:space="0" w:color="FF00FF"/>
                    </w:tblBorders>
                    <w:tblLayout w:type="fixed"/>
                    <w:tblCellMar>
                      <w:top w:w="0" w:type="dxa"/>
                      <w:left w:w="0" w:type="dxa"/>
                      <w:bottom w:w="0" w:type="dxa"/>
                      <w:right w:w="0" w:type="dxa"/>
                    </w:tblCellMar>
                    <w:tblLook w:val="01E0"/>
                  </w:tblPr>
                  <w:tblGrid>
                    <w:gridCol w:w="178"/>
                    <w:gridCol w:w="173"/>
                    <w:gridCol w:w="207"/>
                    <w:gridCol w:w="202"/>
                    <w:gridCol w:w="171"/>
                    <w:gridCol w:w="202"/>
                    <w:gridCol w:w="200"/>
                    <w:gridCol w:w="178"/>
                    <w:gridCol w:w="173"/>
                    <w:gridCol w:w="207"/>
                    <w:gridCol w:w="202"/>
                    <w:gridCol w:w="171"/>
                    <w:gridCol w:w="202"/>
                    <w:gridCol w:w="231"/>
                    <w:gridCol w:w="205"/>
                    <w:gridCol w:w="206"/>
                  </w:tblGrid>
                  <w:tr>
                    <w:trPr>
                      <w:trHeight w:val="2008" w:hRule="atLeast"/>
                    </w:trPr>
                    <w:tc>
                      <w:tcPr>
                        <w:tcW w:w="178" w:type="dxa"/>
                        <w:tcBorders>
                          <w:top w:val="nil"/>
                          <w:bottom w:val="single" w:sz="2" w:space="0" w:color="000000"/>
                        </w:tcBorders>
                      </w:tcPr>
                      <w:p>
                        <w:pPr>
                          <w:pStyle w:val="TableParagraph"/>
                          <w:rPr>
                            <w:sz w:val="16"/>
                          </w:rPr>
                        </w:pPr>
                      </w:p>
                    </w:tc>
                    <w:tc>
                      <w:tcPr>
                        <w:tcW w:w="173" w:type="dxa"/>
                        <w:tcBorders>
                          <w:top w:val="nil"/>
                          <w:bottom w:val="single" w:sz="2" w:space="0" w:color="000000"/>
                        </w:tcBorders>
                      </w:tcPr>
                      <w:p>
                        <w:pPr>
                          <w:pStyle w:val="TableParagraph"/>
                          <w:rPr>
                            <w:sz w:val="16"/>
                          </w:rPr>
                        </w:pPr>
                      </w:p>
                    </w:tc>
                    <w:tc>
                      <w:tcPr>
                        <w:tcW w:w="207" w:type="dxa"/>
                        <w:tcBorders>
                          <w:top w:val="nil"/>
                          <w:bottom w:val="single" w:sz="2" w:space="0" w:color="000000"/>
                        </w:tcBorders>
                      </w:tcPr>
                      <w:p>
                        <w:pPr>
                          <w:pStyle w:val="TableParagraph"/>
                          <w:rPr>
                            <w:sz w:val="16"/>
                          </w:rPr>
                        </w:pPr>
                      </w:p>
                    </w:tc>
                    <w:tc>
                      <w:tcPr>
                        <w:tcW w:w="202" w:type="dxa"/>
                        <w:tcBorders>
                          <w:top w:val="nil"/>
                          <w:bottom w:val="single" w:sz="2" w:space="0" w:color="000000"/>
                        </w:tcBorders>
                      </w:tcPr>
                      <w:p>
                        <w:pPr>
                          <w:pStyle w:val="TableParagraph"/>
                          <w:rPr>
                            <w:sz w:val="16"/>
                          </w:rPr>
                        </w:pPr>
                      </w:p>
                    </w:tc>
                    <w:tc>
                      <w:tcPr>
                        <w:tcW w:w="171" w:type="dxa"/>
                        <w:tcBorders>
                          <w:top w:val="nil"/>
                          <w:bottom w:val="single" w:sz="2" w:space="0" w:color="000000"/>
                        </w:tcBorders>
                      </w:tcPr>
                      <w:p>
                        <w:pPr>
                          <w:pStyle w:val="TableParagraph"/>
                          <w:rPr>
                            <w:sz w:val="16"/>
                          </w:rPr>
                        </w:pPr>
                      </w:p>
                    </w:tc>
                    <w:tc>
                      <w:tcPr>
                        <w:tcW w:w="202" w:type="dxa"/>
                        <w:tcBorders>
                          <w:top w:val="nil"/>
                          <w:bottom w:val="single" w:sz="2" w:space="0" w:color="000000"/>
                        </w:tcBorders>
                      </w:tcPr>
                      <w:p>
                        <w:pPr>
                          <w:pStyle w:val="TableParagraph"/>
                          <w:rPr>
                            <w:sz w:val="16"/>
                          </w:rPr>
                        </w:pPr>
                      </w:p>
                    </w:tc>
                    <w:tc>
                      <w:tcPr>
                        <w:tcW w:w="200" w:type="dxa"/>
                        <w:tcBorders>
                          <w:top w:val="nil"/>
                          <w:bottom w:val="single" w:sz="2" w:space="0" w:color="000000"/>
                        </w:tcBorders>
                      </w:tcPr>
                      <w:p>
                        <w:pPr>
                          <w:pStyle w:val="TableParagraph"/>
                          <w:rPr>
                            <w:sz w:val="16"/>
                          </w:rPr>
                        </w:pPr>
                      </w:p>
                    </w:tc>
                    <w:tc>
                      <w:tcPr>
                        <w:tcW w:w="178" w:type="dxa"/>
                        <w:tcBorders>
                          <w:top w:val="nil"/>
                          <w:bottom w:val="single" w:sz="2" w:space="0" w:color="000000"/>
                        </w:tcBorders>
                      </w:tcPr>
                      <w:p>
                        <w:pPr>
                          <w:pStyle w:val="TableParagraph"/>
                          <w:rPr>
                            <w:sz w:val="16"/>
                          </w:rPr>
                        </w:pPr>
                      </w:p>
                    </w:tc>
                    <w:tc>
                      <w:tcPr>
                        <w:tcW w:w="173" w:type="dxa"/>
                        <w:tcBorders>
                          <w:top w:val="nil"/>
                          <w:bottom w:val="single" w:sz="2" w:space="0" w:color="000000"/>
                        </w:tcBorders>
                      </w:tcPr>
                      <w:p>
                        <w:pPr>
                          <w:pStyle w:val="TableParagraph"/>
                          <w:rPr>
                            <w:sz w:val="16"/>
                          </w:rPr>
                        </w:pPr>
                      </w:p>
                    </w:tc>
                    <w:tc>
                      <w:tcPr>
                        <w:tcW w:w="207" w:type="dxa"/>
                        <w:tcBorders>
                          <w:top w:val="nil"/>
                          <w:bottom w:val="single" w:sz="2" w:space="0" w:color="000000"/>
                        </w:tcBorders>
                      </w:tcPr>
                      <w:p>
                        <w:pPr>
                          <w:pStyle w:val="TableParagraph"/>
                          <w:rPr>
                            <w:sz w:val="16"/>
                          </w:rPr>
                        </w:pPr>
                      </w:p>
                    </w:tc>
                    <w:tc>
                      <w:tcPr>
                        <w:tcW w:w="202" w:type="dxa"/>
                        <w:tcBorders>
                          <w:top w:val="nil"/>
                          <w:bottom w:val="single" w:sz="2" w:space="0" w:color="000000"/>
                        </w:tcBorders>
                      </w:tcPr>
                      <w:p>
                        <w:pPr>
                          <w:pStyle w:val="TableParagraph"/>
                          <w:rPr>
                            <w:sz w:val="16"/>
                          </w:rPr>
                        </w:pPr>
                      </w:p>
                    </w:tc>
                    <w:tc>
                      <w:tcPr>
                        <w:tcW w:w="171" w:type="dxa"/>
                        <w:tcBorders>
                          <w:top w:val="nil"/>
                          <w:bottom w:val="single" w:sz="2" w:space="0" w:color="000000"/>
                        </w:tcBorders>
                      </w:tcPr>
                      <w:p>
                        <w:pPr>
                          <w:pStyle w:val="TableParagraph"/>
                          <w:rPr>
                            <w:sz w:val="16"/>
                          </w:rPr>
                        </w:pPr>
                      </w:p>
                    </w:tc>
                    <w:tc>
                      <w:tcPr>
                        <w:tcW w:w="202" w:type="dxa"/>
                        <w:tcBorders>
                          <w:top w:val="nil"/>
                          <w:bottom w:val="single" w:sz="2" w:space="0" w:color="000000"/>
                        </w:tcBorders>
                      </w:tcPr>
                      <w:p>
                        <w:pPr>
                          <w:pStyle w:val="TableParagraph"/>
                          <w:rPr>
                            <w:sz w:val="16"/>
                          </w:rPr>
                        </w:pPr>
                      </w:p>
                    </w:tc>
                    <w:tc>
                      <w:tcPr>
                        <w:tcW w:w="231" w:type="dxa"/>
                        <w:tcBorders>
                          <w:top w:val="nil"/>
                          <w:bottom w:val="single" w:sz="2" w:space="0" w:color="000000"/>
                        </w:tcBorders>
                      </w:tcPr>
                      <w:p>
                        <w:pPr>
                          <w:pStyle w:val="TableParagraph"/>
                          <w:rPr>
                            <w:sz w:val="16"/>
                          </w:rPr>
                        </w:pPr>
                      </w:p>
                    </w:tc>
                    <w:tc>
                      <w:tcPr>
                        <w:tcW w:w="205" w:type="dxa"/>
                        <w:tcBorders>
                          <w:top w:val="nil"/>
                          <w:bottom w:val="single" w:sz="2" w:space="0" w:color="000000"/>
                        </w:tcBorders>
                      </w:tcPr>
                      <w:p>
                        <w:pPr>
                          <w:pStyle w:val="TableParagraph"/>
                          <w:rPr>
                            <w:sz w:val="16"/>
                          </w:rPr>
                        </w:pPr>
                      </w:p>
                    </w:tc>
                    <w:tc>
                      <w:tcPr>
                        <w:tcW w:w="206" w:type="dxa"/>
                        <w:tcBorders>
                          <w:top w:val="nil"/>
                          <w:bottom w:val="single" w:sz="2" w:space="0" w:color="000000"/>
                        </w:tcBorders>
                      </w:tcPr>
                      <w:p>
                        <w:pPr>
                          <w:pStyle w:val="TableParagraph"/>
                          <w:rPr>
                            <w:sz w:val="16"/>
                          </w:rPr>
                        </w:pPr>
                      </w:p>
                    </w:tc>
                  </w:tr>
                </w:tbl>
                <w:p>
                  <w:pPr>
                    <w:pStyle w:val="BodyText"/>
                  </w:pPr>
                </w:p>
              </w:txbxContent>
            </v:textbox>
            <w10:wrap type="none"/>
          </v:shape>
        </w:pict>
      </w:r>
      <w:r>
        <w:rPr>
          <w:sz w:val="15"/>
        </w:rPr>
        <w:t>100</w:t>
      </w:r>
    </w:p>
    <w:p>
      <w:pPr>
        <w:spacing w:before="30"/>
        <w:ind w:left="2158" w:right="0" w:firstLine="0"/>
        <w:jc w:val="left"/>
        <w:rPr>
          <w:sz w:val="15"/>
        </w:rPr>
      </w:pPr>
      <w:r>
        <w:rPr>
          <w:sz w:val="15"/>
        </w:rPr>
        <w:t>90</w:t>
      </w:r>
    </w:p>
    <w:p>
      <w:pPr>
        <w:spacing w:before="24"/>
        <w:ind w:left="2158" w:right="0" w:firstLine="0"/>
        <w:jc w:val="left"/>
        <w:rPr>
          <w:sz w:val="15"/>
        </w:rPr>
      </w:pPr>
      <w:r>
        <w:rPr>
          <w:sz w:val="15"/>
        </w:rPr>
        <w:t>80</w:t>
      </w:r>
    </w:p>
    <w:p>
      <w:pPr>
        <w:spacing w:before="34"/>
        <w:ind w:left="2158" w:right="0" w:firstLine="0"/>
        <w:jc w:val="left"/>
        <w:rPr>
          <w:sz w:val="15"/>
        </w:rPr>
      </w:pPr>
      <w:r>
        <w:rPr>
          <w:sz w:val="15"/>
        </w:rPr>
        <w:t>70</w:t>
      </w:r>
    </w:p>
    <w:p>
      <w:pPr>
        <w:spacing w:before="24"/>
        <w:ind w:left="2158" w:right="0" w:firstLine="0"/>
        <w:jc w:val="left"/>
        <w:rPr>
          <w:sz w:val="15"/>
        </w:rPr>
      </w:pPr>
      <w:r>
        <w:rPr>
          <w:sz w:val="15"/>
        </w:rPr>
        <w:t>60</w:t>
      </w:r>
    </w:p>
    <w:p>
      <w:pPr>
        <w:spacing w:before="29"/>
        <w:ind w:left="2158" w:right="0" w:firstLine="0"/>
        <w:jc w:val="left"/>
        <w:rPr>
          <w:sz w:val="15"/>
        </w:rPr>
      </w:pPr>
      <w:r>
        <w:rPr>
          <w:sz w:val="15"/>
        </w:rPr>
        <w:t>50</w:t>
      </w:r>
    </w:p>
    <w:p>
      <w:pPr>
        <w:spacing w:before="29"/>
        <w:ind w:left="2158" w:right="0" w:firstLine="0"/>
        <w:jc w:val="left"/>
        <w:rPr>
          <w:sz w:val="15"/>
        </w:rPr>
      </w:pPr>
      <w:r>
        <w:rPr>
          <w:sz w:val="15"/>
        </w:rPr>
        <w:t>40</w:t>
      </w:r>
    </w:p>
    <w:p>
      <w:pPr>
        <w:spacing w:before="29"/>
        <w:ind w:left="2158" w:right="0" w:firstLine="0"/>
        <w:jc w:val="left"/>
        <w:rPr>
          <w:sz w:val="15"/>
        </w:rPr>
      </w:pPr>
      <w:r>
        <w:rPr>
          <w:sz w:val="15"/>
        </w:rPr>
        <w:t>30</w:t>
      </w:r>
    </w:p>
    <w:p>
      <w:pPr>
        <w:spacing w:before="25"/>
        <w:ind w:left="2158" w:right="0" w:firstLine="0"/>
        <w:jc w:val="left"/>
        <w:rPr>
          <w:sz w:val="15"/>
        </w:rPr>
      </w:pPr>
      <w:r>
        <w:rPr>
          <w:sz w:val="15"/>
        </w:rPr>
        <w:t>20</w:t>
      </w:r>
    </w:p>
    <w:p>
      <w:pPr>
        <w:spacing w:before="29"/>
        <w:ind w:left="2158" w:right="0" w:firstLine="0"/>
        <w:jc w:val="left"/>
        <w:rPr>
          <w:sz w:val="15"/>
        </w:rPr>
      </w:pPr>
      <w:r>
        <w:rPr>
          <w:sz w:val="15"/>
        </w:rPr>
        <w:t>10</w:t>
      </w:r>
    </w:p>
    <w:p>
      <w:pPr>
        <w:spacing w:before="29"/>
        <w:ind w:left="2158" w:right="0" w:firstLine="0"/>
        <w:jc w:val="left"/>
        <w:rPr>
          <w:sz w:val="15"/>
        </w:rPr>
      </w:pPr>
      <w:r>
        <w:rPr>
          <w:w w:val="96"/>
          <w:sz w:val="15"/>
        </w:rPr>
        <w:t>0</w:t>
      </w:r>
    </w:p>
    <w:p>
      <w:pPr>
        <w:spacing w:after="0"/>
        <w:jc w:val="left"/>
        <w:rPr>
          <w:sz w:val="15"/>
        </w:rPr>
        <w:sectPr>
          <w:type w:val="continuous"/>
          <w:pgSz w:w="11910" w:h="16840"/>
          <w:pgMar w:top="1180" w:bottom="280" w:left="1140" w:right="1180"/>
          <w:cols w:num="3" w:equalWidth="0">
            <w:col w:w="4515" w:space="40"/>
            <w:col w:w="1866" w:space="39"/>
            <w:col w:w="3130"/>
          </w:cols>
        </w:sectPr>
      </w:pPr>
    </w:p>
    <w:p>
      <w:pPr>
        <w:tabs>
          <w:tab w:pos="1379" w:val="left" w:leader="none"/>
          <w:tab w:pos="2018" w:val="left" w:leader="none"/>
          <w:tab w:pos="2647" w:val="left" w:leader="none"/>
          <w:tab w:pos="3271" w:val="left" w:leader="none"/>
          <w:tab w:pos="3909" w:val="left" w:leader="none"/>
        </w:tabs>
        <w:spacing w:before="59"/>
        <w:ind w:left="756" w:right="0" w:firstLine="0"/>
        <w:jc w:val="left"/>
        <w:rPr>
          <w:sz w:val="13"/>
        </w:rPr>
      </w:pPr>
      <w:r>
        <w:rPr>
          <w:spacing w:val="8"/>
          <w:sz w:val="13"/>
        </w:rPr>
        <w:t>1987</w:t>
        <w:tab/>
        <w:t>1991</w:t>
        <w:tab/>
        <w:t>1995</w:t>
        <w:tab/>
        <w:t>1999</w:t>
        <w:tab/>
        <w:t>2003</w:t>
        <w:tab/>
        <w:t>2007</w:t>
      </w:r>
    </w:p>
    <w:p>
      <w:pPr>
        <w:pStyle w:val="BodyText"/>
        <w:spacing w:before="6"/>
        <w:rPr>
          <w:sz w:val="11"/>
        </w:rPr>
      </w:pPr>
    </w:p>
    <w:p>
      <w:pPr>
        <w:spacing w:before="1"/>
        <w:ind w:left="655" w:right="0" w:firstLine="0"/>
        <w:jc w:val="left"/>
        <w:rPr>
          <w:sz w:val="18"/>
        </w:rPr>
      </w:pPr>
      <w:r>
        <w:rPr>
          <w:sz w:val="18"/>
        </w:rPr>
        <w:t>Source: Bank of England, ONS</w:t>
      </w:r>
    </w:p>
    <w:p>
      <w:pPr>
        <w:tabs>
          <w:tab w:pos="1682" w:val="left" w:leader="none"/>
          <w:tab w:pos="2594" w:val="left" w:leader="none"/>
          <w:tab w:pos="3520" w:val="left" w:leader="none"/>
        </w:tabs>
        <w:spacing w:line="169" w:lineRule="exact" w:before="0"/>
        <w:ind w:left="751" w:right="0" w:firstLine="0"/>
        <w:jc w:val="left"/>
        <w:rPr>
          <w:sz w:val="15"/>
        </w:rPr>
      </w:pPr>
      <w:r>
        <w:rPr/>
        <w:br w:type="column"/>
      </w:r>
      <w:r>
        <w:rPr>
          <w:sz w:val="15"/>
        </w:rPr>
        <w:t>1993</w:t>
        <w:tab/>
        <w:t>1997</w:t>
        <w:tab/>
        <w:t>2001</w:t>
        <w:tab/>
        <w:t>2005</w:t>
      </w:r>
    </w:p>
    <w:p>
      <w:pPr>
        <w:spacing w:before="124"/>
        <w:ind w:left="655" w:right="0" w:firstLine="0"/>
        <w:jc w:val="left"/>
        <w:rPr>
          <w:sz w:val="18"/>
        </w:rPr>
      </w:pPr>
      <w:r>
        <w:rPr>
          <w:sz w:val="18"/>
        </w:rPr>
        <w:t>Source: Bank of England, ONS.</w:t>
      </w:r>
    </w:p>
    <w:p>
      <w:pPr>
        <w:spacing w:after="0"/>
        <w:jc w:val="left"/>
        <w:rPr>
          <w:sz w:val="18"/>
        </w:rPr>
        <w:sectPr>
          <w:type w:val="continuous"/>
          <w:pgSz w:w="11910" w:h="16840"/>
          <w:pgMar w:top="1180" w:bottom="280" w:left="1140" w:right="1180"/>
          <w:cols w:num="2" w:equalWidth="0">
            <w:col w:w="4233" w:space="120"/>
            <w:col w:w="5237"/>
          </w:cols>
        </w:sectPr>
      </w:pPr>
    </w:p>
    <w:p>
      <w:pPr>
        <w:pStyle w:val="Heading1"/>
        <w:spacing w:line="237" w:lineRule="auto" w:before="87"/>
        <w:ind w:right="-17"/>
      </w:pPr>
      <w:r>
        <w:rPr/>
        <w:t>Chart 5: Securitisations relative to stock of M4 lending</w:t>
      </w:r>
    </w:p>
    <w:p>
      <w:pPr>
        <w:spacing w:line="237" w:lineRule="auto" w:before="87"/>
        <w:ind w:left="185" w:right="861" w:firstLine="0"/>
        <w:jc w:val="left"/>
        <w:rPr>
          <w:b/>
          <w:sz w:val="24"/>
        </w:rPr>
      </w:pPr>
      <w:r>
        <w:rPr/>
        <w:br w:type="column"/>
      </w:r>
      <w:r>
        <w:rPr>
          <w:b/>
          <w:sz w:val="24"/>
        </w:rPr>
        <w:t>Chart 6: UK household sector asset­ backed security spreads</w:t>
      </w:r>
    </w:p>
    <w:p>
      <w:pPr>
        <w:spacing w:after="0" w:line="237" w:lineRule="auto"/>
        <w:jc w:val="left"/>
        <w:rPr>
          <w:sz w:val="24"/>
        </w:rPr>
        <w:sectPr>
          <w:pgSz w:w="11910" w:h="16840"/>
          <w:pgMar w:header="713" w:footer="0" w:top="1340" w:bottom="280" w:left="1140" w:right="1180"/>
          <w:cols w:num="2" w:equalWidth="0">
            <w:col w:w="4784" w:space="40"/>
            <w:col w:w="4766"/>
          </w:cols>
        </w:sectPr>
      </w:pPr>
    </w:p>
    <w:p>
      <w:pPr>
        <w:pStyle w:val="BodyText"/>
        <w:rPr>
          <w:b/>
          <w:sz w:val="18"/>
        </w:rPr>
      </w:pPr>
    </w:p>
    <w:p>
      <w:pPr>
        <w:pStyle w:val="BodyText"/>
        <w:spacing w:before="1"/>
        <w:rPr>
          <w:b/>
          <w:sz w:val="14"/>
        </w:rPr>
      </w:pPr>
    </w:p>
    <w:p>
      <w:pPr>
        <w:spacing w:before="0"/>
        <w:ind w:left="2195" w:right="0" w:firstLine="0"/>
        <w:jc w:val="left"/>
        <w:rPr>
          <w:sz w:val="16"/>
        </w:rPr>
      </w:pPr>
      <w:r>
        <w:rPr>
          <w:sz w:val="16"/>
        </w:rPr>
        <w:t>Percentage of sectoral M 4L s tock</w:t>
      </w:r>
    </w:p>
    <w:p>
      <w:pPr>
        <w:spacing w:before="3"/>
        <w:ind w:left="4380" w:right="0" w:firstLine="0"/>
        <w:jc w:val="left"/>
        <w:rPr>
          <w:sz w:val="16"/>
        </w:rPr>
      </w:pPr>
      <w:r>
        <w:rPr/>
        <w:pict>
          <v:group style="position:absolute;margin-left:98.279999pt;margin-top:4.692108pt;width:174.25pt;height:117.4pt;mso-position-horizontal-relative:page;mso-position-vertical-relative:paragraph;z-index:251693056" coordorigin="1966,94" coordsize="3485,2348">
            <v:shape style="position:absolute;left:1965;top:93;width:3485;height:2348" type="#_x0000_t75" stroked="false">
              <v:imagedata r:id="rId11" o:title=""/>
            </v:shape>
            <v:shape style="position:absolute;left:3499;top:707;width:1290;height:176" type="#_x0000_t202" filled="false" stroked="false">
              <v:textbox inset="0,0,0,0">
                <w:txbxContent>
                  <w:p>
                    <w:pPr>
                      <w:spacing w:line="176" w:lineRule="exact" w:before="0"/>
                      <w:ind w:left="0" w:right="0" w:firstLine="0"/>
                      <w:jc w:val="left"/>
                      <w:rPr>
                        <w:sz w:val="16"/>
                      </w:rPr>
                    </w:pPr>
                    <w:r>
                      <w:rPr>
                        <w:color w:val="0E0080"/>
                        <w:w w:val="95"/>
                        <w:sz w:val="16"/>
                      </w:rPr>
                      <w:t>Household secured</w:t>
                    </w:r>
                  </w:p>
                </w:txbxContent>
              </v:textbox>
              <w10:wrap type="none"/>
            </v:shape>
            <v:shape style="position:absolute;left:2414;top:1460;width:1386;height:176" type="#_x0000_t202" filled="false" stroked="false">
              <v:textbox inset="0,0,0,0">
                <w:txbxContent>
                  <w:p>
                    <w:pPr>
                      <w:spacing w:line="176" w:lineRule="exact" w:before="0"/>
                      <w:ind w:left="0" w:right="0" w:firstLine="0"/>
                      <w:jc w:val="left"/>
                      <w:rPr>
                        <w:sz w:val="16"/>
                      </w:rPr>
                    </w:pPr>
                    <w:r>
                      <w:rPr>
                        <w:color w:val="FF00FF"/>
                        <w:w w:val="95"/>
                        <w:sz w:val="16"/>
                      </w:rPr>
                      <w:t>Household unsecurd</w:t>
                    </w:r>
                  </w:p>
                </w:txbxContent>
              </v:textbox>
              <w10:wrap type="none"/>
            </v:shape>
            <v:shape style="position:absolute;left:4214;top:1921;width:458;height:176" type="#_x0000_t202" filled="false" stroked="false">
              <v:textbox inset="0,0,0,0">
                <w:txbxContent>
                  <w:p>
                    <w:pPr>
                      <w:spacing w:line="176" w:lineRule="exact" w:before="0"/>
                      <w:ind w:left="0" w:right="0" w:firstLine="0"/>
                      <w:jc w:val="left"/>
                      <w:rPr>
                        <w:sz w:val="16"/>
                      </w:rPr>
                    </w:pPr>
                    <w:r>
                      <w:rPr>
                        <w:color w:val="008000"/>
                        <w:w w:val="95"/>
                        <w:sz w:val="16"/>
                      </w:rPr>
                      <w:t>PNFCs</w:t>
                    </w:r>
                  </w:p>
                </w:txbxContent>
              </v:textbox>
              <w10:wrap type="none"/>
            </v:shape>
            <w10:wrap type="none"/>
          </v:group>
        </w:pict>
      </w:r>
      <w:r>
        <w:rPr>
          <w:w w:val="90"/>
          <w:sz w:val="16"/>
        </w:rPr>
        <w:t>25</w:t>
      </w:r>
    </w:p>
    <w:p>
      <w:pPr>
        <w:pStyle w:val="BodyText"/>
        <w:spacing w:before="10"/>
      </w:pPr>
    </w:p>
    <w:p>
      <w:pPr>
        <w:spacing w:before="1"/>
        <w:ind w:left="4380" w:right="0" w:firstLine="0"/>
        <w:jc w:val="left"/>
        <w:rPr>
          <w:sz w:val="16"/>
        </w:rPr>
      </w:pPr>
      <w:r>
        <w:rPr>
          <w:w w:val="90"/>
          <w:sz w:val="16"/>
        </w:rPr>
        <w:t>20</w:t>
      </w:r>
    </w:p>
    <w:p>
      <w:pPr>
        <w:pStyle w:val="BodyText"/>
      </w:pPr>
    </w:p>
    <w:p>
      <w:pPr>
        <w:spacing w:before="0"/>
        <w:ind w:left="4380" w:right="0" w:firstLine="0"/>
        <w:jc w:val="left"/>
        <w:rPr>
          <w:sz w:val="16"/>
        </w:rPr>
      </w:pPr>
      <w:r>
        <w:rPr>
          <w:w w:val="90"/>
          <w:sz w:val="16"/>
        </w:rPr>
        <w:t>15</w:t>
      </w:r>
    </w:p>
    <w:p>
      <w:pPr>
        <w:pStyle w:val="BodyText"/>
        <w:spacing w:before="11"/>
      </w:pPr>
    </w:p>
    <w:p>
      <w:pPr>
        <w:spacing w:before="0"/>
        <w:ind w:left="4380" w:right="0" w:firstLine="0"/>
        <w:jc w:val="left"/>
        <w:rPr>
          <w:sz w:val="16"/>
        </w:rPr>
      </w:pPr>
      <w:r>
        <w:rPr>
          <w:w w:val="90"/>
          <w:sz w:val="16"/>
        </w:rPr>
        <w:t>10</w:t>
      </w:r>
    </w:p>
    <w:p>
      <w:pPr>
        <w:pStyle w:val="BodyText"/>
        <w:spacing w:before="5"/>
      </w:pPr>
    </w:p>
    <w:p>
      <w:pPr>
        <w:spacing w:before="0"/>
        <w:ind w:left="4380" w:right="0" w:firstLine="0"/>
        <w:jc w:val="left"/>
        <w:rPr>
          <w:sz w:val="16"/>
        </w:rPr>
      </w:pPr>
      <w:r>
        <w:rPr>
          <w:w w:val="93"/>
          <w:sz w:val="16"/>
        </w:rPr>
        <w:t>5</w:t>
      </w:r>
    </w:p>
    <w:p>
      <w:pPr>
        <w:spacing w:line="360" w:lineRule="auto" w:before="139"/>
        <w:ind w:left="538" w:right="0" w:firstLine="0"/>
        <w:jc w:val="left"/>
        <w:rPr>
          <w:sz w:val="15"/>
        </w:rPr>
      </w:pPr>
      <w:r>
        <w:rPr/>
        <w:br w:type="column"/>
      </w:r>
      <w:r>
        <w:rPr>
          <w:spacing w:val="3"/>
          <w:sz w:val="15"/>
        </w:rPr>
        <w:t>Basis points </w:t>
      </w:r>
      <w:r>
        <w:rPr>
          <w:sz w:val="15"/>
        </w:rPr>
        <w:t>400</w:t>
      </w:r>
    </w:p>
    <w:p>
      <w:pPr>
        <w:spacing w:before="21"/>
        <w:ind w:left="538" w:right="0" w:firstLine="0"/>
        <w:jc w:val="left"/>
        <w:rPr>
          <w:sz w:val="15"/>
        </w:rPr>
      </w:pPr>
      <w:r>
        <w:rPr/>
        <w:pict>
          <v:group style="position:absolute;margin-left:327.119995pt;margin-top:-13.375071pt;width:159pt;height:115.65pt;mso-position-horizontal-relative:page;mso-position-vertical-relative:paragraph;z-index:-253061120" coordorigin="6542,-268" coordsize="3180,2313">
            <v:shape style="position:absolute;left:6542;top:-182;width:3180;height:2228" type="#_x0000_t75" stroked="false">
              <v:imagedata r:id="rId12" o:title=""/>
            </v:shape>
            <v:shape style="position:absolute;left:7036;top:-268;width:1581;height:175" type="#_x0000_t202" filled="false" stroked="false">
              <v:textbox inset="0,0,0,0">
                <w:txbxContent>
                  <w:p>
                    <w:pPr>
                      <w:spacing w:before="0"/>
                      <w:ind w:left="0" w:right="0" w:firstLine="0"/>
                      <w:jc w:val="left"/>
                      <w:rPr>
                        <w:b/>
                        <w:sz w:val="15"/>
                      </w:rPr>
                    </w:pPr>
                    <w:r>
                      <w:rPr>
                        <w:b/>
                        <w:sz w:val="15"/>
                      </w:rPr>
                      <w:t>Commercial mortgages</w:t>
                    </w:r>
                  </w:p>
                </w:txbxContent>
              </v:textbox>
              <w10:wrap type="none"/>
            </v:shape>
            <v:shape style="position:absolute;left:6705;top:-95;width:1504;height:334" type="#_x0000_t202" filled="false" stroked="false">
              <v:textbox inset="0,0,0,0">
                <w:txbxContent>
                  <w:p>
                    <w:pPr>
                      <w:spacing w:line="165" w:lineRule="exact" w:before="0"/>
                      <w:ind w:left="320" w:right="339" w:firstLine="0"/>
                      <w:jc w:val="center"/>
                      <w:rPr>
                        <w:b/>
                        <w:sz w:val="15"/>
                      </w:rPr>
                    </w:pPr>
                    <w:r>
                      <w:rPr>
                        <w:b/>
                        <w:sz w:val="15"/>
                      </w:rPr>
                      <w:t>Credit cards</w:t>
                    </w:r>
                  </w:p>
                  <w:p>
                    <w:pPr>
                      <w:tabs>
                        <w:tab w:pos="328" w:val="left" w:leader="none"/>
                        <w:tab w:pos="1195" w:val="left" w:leader="none"/>
                      </w:tabs>
                      <w:spacing w:line="165" w:lineRule="exact" w:before="0"/>
                      <w:ind w:left="-1" w:right="18" w:firstLine="0"/>
                      <w:jc w:val="center"/>
                      <w:rPr>
                        <w:b/>
                        <w:sz w:val="15"/>
                      </w:rPr>
                    </w:pPr>
                    <w:r>
                      <w:rPr>
                        <w:w w:val="99"/>
                        <w:sz w:val="15"/>
                        <w:u w:val="thick" w:color="008000"/>
                      </w:rPr>
                      <w:t> </w:t>
                    </w:r>
                    <w:r>
                      <w:rPr>
                        <w:sz w:val="15"/>
                        <w:u w:val="thick" w:color="008000"/>
                      </w:rPr>
                      <w:tab/>
                    </w:r>
                    <w:r>
                      <w:rPr>
                        <w:sz w:val="15"/>
                      </w:rPr>
                      <w:tab/>
                    </w:r>
                    <w:r>
                      <w:rPr>
                        <w:b/>
                        <w:sz w:val="15"/>
                      </w:rPr>
                      <w:t>ages</w:t>
                    </w:r>
                  </w:p>
                </w:txbxContent>
              </v:textbox>
              <w10:wrap type="none"/>
            </v:shape>
            <v:shape style="position:absolute;left:7036;top:63;width:872;height:175" type="#_x0000_t202" filled="false" stroked="false">
              <v:textbox inset="0,0,0,0">
                <w:txbxContent>
                  <w:p>
                    <w:pPr>
                      <w:spacing w:before="0"/>
                      <w:ind w:left="0" w:right="0" w:firstLine="0"/>
                      <w:jc w:val="left"/>
                      <w:rPr>
                        <w:b/>
                        <w:sz w:val="15"/>
                      </w:rPr>
                    </w:pPr>
                    <w:r>
                      <w:rPr>
                        <w:b/>
                        <w:sz w:val="15"/>
                      </w:rPr>
                      <w:t>Prime mortg</w:t>
                    </w:r>
                  </w:p>
                </w:txbxContent>
              </v:textbox>
              <w10:wrap type="none"/>
            </v:shape>
            <v:shape style="position:absolute;left:7036;top:236;width:2312;height:175" type="#_x0000_t202" filled="false" stroked="false">
              <v:textbox inset="0,0,0,0">
                <w:txbxContent>
                  <w:p>
                    <w:pPr>
                      <w:spacing w:before="0"/>
                      <w:ind w:left="0" w:right="0" w:firstLine="0"/>
                      <w:jc w:val="left"/>
                      <w:rPr>
                        <w:b/>
                        <w:sz w:val="15"/>
                      </w:rPr>
                    </w:pPr>
                    <w:r>
                      <w:rPr>
                        <w:b/>
                        <w:sz w:val="15"/>
                      </w:rPr>
                      <w:t>Non­conforming mortgages (LHS )</w:t>
                    </w:r>
                  </w:p>
                </w:txbxContent>
              </v:textbox>
              <w10:wrap type="none"/>
            </v:shape>
            <w10:wrap type="none"/>
          </v:group>
        </w:pict>
      </w:r>
      <w:r>
        <w:rPr>
          <w:sz w:val="15"/>
        </w:rPr>
        <w:t>350</w:t>
      </w:r>
    </w:p>
    <w:p>
      <w:pPr>
        <w:spacing w:before="101"/>
        <w:ind w:left="538" w:right="0" w:firstLine="0"/>
        <w:jc w:val="left"/>
        <w:rPr>
          <w:sz w:val="15"/>
        </w:rPr>
      </w:pPr>
      <w:r>
        <w:rPr>
          <w:sz w:val="15"/>
        </w:rPr>
        <w:t>300</w:t>
      </w:r>
    </w:p>
    <w:p>
      <w:pPr>
        <w:spacing w:before="106"/>
        <w:ind w:left="538" w:right="0" w:firstLine="0"/>
        <w:jc w:val="left"/>
        <w:rPr>
          <w:sz w:val="15"/>
        </w:rPr>
      </w:pPr>
      <w:r>
        <w:rPr>
          <w:sz w:val="15"/>
        </w:rPr>
        <w:t>250</w:t>
      </w:r>
    </w:p>
    <w:p>
      <w:pPr>
        <w:spacing w:before="110"/>
        <w:ind w:left="538" w:right="0" w:firstLine="0"/>
        <w:jc w:val="left"/>
        <w:rPr>
          <w:sz w:val="15"/>
        </w:rPr>
      </w:pPr>
      <w:r>
        <w:rPr>
          <w:sz w:val="15"/>
        </w:rPr>
        <w:t>200</w:t>
      </w:r>
    </w:p>
    <w:p>
      <w:pPr>
        <w:spacing w:before="97"/>
        <w:ind w:left="538" w:right="0" w:firstLine="0"/>
        <w:jc w:val="left"/>
        <w:rPr>
          <w:sz w:val="15"/>
        </w:rPr>
      </w:pPr>
      <w:r>
        <w:rPr>
          <w:sz w:val="15"/>
        </w:rPr>
        <w:t>150</w:t>
      </w:r>
    </w:p>
    <w:p>
      <w:pPr>
        <w:spacing w:before="110"/>
        <w:ind w:left="538" w:right="0" w:firstLine="0"/>
        <w:jc w:val="left"/>
        <w:rPr>
          <w:sz w:val="15"/>
        </w:rPr>
      </w:pPr>
      <w:r>
        <w:rPr>
          <w:sz w:val="15"/>
        </w:rPr>
        <w:t>100</w:t>
      </w:r>
    </w:p>
    <w:p>
      <w:pPr>
        <w:spacing w:before="97"/>
        <w:ind w:left="610" w:right="0" w:firstLine="0"/>
        <w:jc w:val="left"/>
        <w:rPr>
          <w:sz w:val="15"/>
        </w:rPr>
      </w:pPr>
      <w:r>
        <w:rPr>
          <w:sz w:val="15"/>
        </w:rPr>
        <w:t>50</w:t>
      </w:r>
    </w:p>
    <w:p>
      <w:pPr>
        <w:spacing w:before="106"/>
        <w:ind w:left="103" w:right="0" w:firstLine="0"/>
        <w:jc w:val="center"/>
        <w:rPr>
          <w:sz w:val="15"/>
        </w:rPr>
      </w:pPr>
      <w:r>
        <w:rPr>
          <w:w w:val="99"/>
          <w:sz w:val="15"/>
        </w:rPr>
        <w:t>0</w:t>
      </w:r>
    </w:p>
    <w:p>
      <w:pPr>
        <w:spacing w:before="139"/>
        <w:ind w:left="0" w:right="732" w:firstLine="0"/>
        <w:jc w:val="right"/>
        <w:rPr>
          <w:sz w:val="15"/>
        </w:rPr>
      </w:pPr>
      <w:r>
        <w:rPr/>
        <w:br w:type="column"/>
      </w:r>
      <w:r>
        <w:rPr>
          <w:spacing w:val="3"/>
          <w:sz w:val="15"/>
        </w:rPr>
        <w:t>Basis</w:t>
      </w:r>
      <w:r>
        <w:rPr>
          <w:spacing w:val="14"/>
          <w:sz w:val="15"/>
        </w:rPr>
        <w:t> </w:t>
      </w:r>
      <w:r>
        <w:rPr>
          <w:spacing w:val="6"/>
          <w:sz w:val="15"/>
        </w:rPr>
        <w:t>points</w:t>
      </w:r>
    </w:p>
    <w:p>
      <w:pPr>
        <w:spacing w:before="87"/>
        <w:ind w:left="0" w:right="702" w:firstLine="0"/>
        <w:jc w:val="right"/>
        <w:rPr>
          <w:sz w:val="15"/>
        </w:rPr>
      </w:pPr>
      <w:r>
        <w:rPr>
          <w:spacing w:val="-1"/>
          <w:sz w:val="15"/>
        </w:rPr>
        <w:t>150</w:t>
      </w:r>
    </w:p>
    <w:p>
      <w:pPr>
        <w:pStyle w:val="BodyText"/>
        <w:rPr>
          <w:sz w:val="23"/>
        </w:rPr>
      </w:pPr>
    </w:p>
    <w:p>
      <w:pPr>
        <w:spacing w:before="0"/>
        <w:ind w:left="0" w:right="702" w:firstLine="0"/>
        <w:jc w:val="right"/>
        <w:rPr>
          <w:sz w:val="15"/>
        </w:rPr>
      </w:pPr>
      <w:r>
        <w:rPr>
          <w:spacing w:val="-1"/>
          <w:sz w:val="15"/>
        </w:rPr>
        <w:t>120</w:t>
      </w:r>
    </w:p>
    <w:p>
      <w:pPr>
        <w:pStyle w:val="BodyText"/>
        <w:spacing w:before="4"/>
        <w:rPr>
          <w:sz w:val="23"/>
        </w:rPr>
      </w:pPr>
    </w:p>
    <w:p>
      <w:pPr>
        <w:spacing w:before="1"/>
        <w:ind w:left="0" w:right="778" w:firstLine="0"/>
        <w:jc w:val="right"/>
        <w:rPr>
          <w:sz w:val="15"/>
        </w:rPr>
      </w:pPr>
      <w:r>
        <w:rPr>
          <w:spacing w:val="-2"/>
          <w:w w:val="95"/>
          <w:sz w:val="15"/>
        </w:rPr>
        <w:t>90</w:t>
      </w:r>
    </w:p>
    <w:p>
      <w:pPr>
        <w:pStyle w:val="BodyText"/>
        <w:rPr>
          <w:sz w:val="16"/>
        </w:rPr>
      </w:pPr>
    </w:p>
    <w:p>
      <w:pPr>
        <w:spacing w:before="99"/>
        <w:ind w:left="0" w:right="778" w:firstLine="0"/>
        <w:jc w:val="right"/>
        <w:rPr>
          <w:sz w:val="15"/>
        </w:rPr>
      </w:pPr>
      <w:r>
        <w:rPr>
          <w:spacing w:val="-2"/>
          <w:w w:val="95"/>
          <w:sz w:val="15"/>
        </w:rPr>
        <w:t>60</w:t>
      </w:r>
    </w:p>
    <w:p>
      <w:pPr>
        <w:pStyle w:val="BodyText"/>
        <w:spacing w:before="5"/>
        <w:rPr>
          <w:sz w:val="23"/>
        </w:rPr>
      </w:pPr>
    </w:p>
    <w:p>
      <w:pPr>
        <w:spacing w:before="0"/>
        <w:ind w:left="0" w:right="778" w:firstLine="0"/>
        <w:jc w:val="right"/>
        <w:rPr>
          <w:sz w:val="15"/>
        </w:rPr>
      </w:pPr>
      <w:r>
        <w:rPr>
          <w:spacing w:val="-2"/>
          <w:w w:val="95"/>
          <w:sz w:val="15"/>
        </w:rPr>
        <w:t>30</w:t>
      </w:r>
    </w:p>
    <w:p>
      <w:pPr>
        <w:pStyle w:val="BodyText"/>
        <w:spacing w:before="11"/>
        <w:rPr>
          <w:sz w:val="22"/>
        </w:rPr>
      </w:pPr>
    </w:p>
    <w:p>
      <w:pPr>
        <w:spacing w:before="0"/>
        <w:ind w:left="0" w:right="850" w:firstLine="0"/>
        <w:jc w:val="right"/>
        <w:rPr>
          <w:sz w:val="15"/>
        </w:rPr>
      </w:pPr>
      <w:r>
        <w:rPr>
          <w:w w:val="99"/>
          <w:sz w:val="15"/>
        </w:rPr>
        <w:t>0</w:t>
      </w:r>
    </w:p>
    <w:p>
      <w:pPr>
        <w:spacing w:after="0"/>
        <w:jc w:val="right"/>
        <w:rPr>
          <w:sz w:val="15"/>
        </w:rPr>
        <w:sectPr>
          <w:type w:val="continuous"/>
          <w:pgSz w:w="11910" w:h="16840"/>
          <w:pgMar w:top="1180" w:bottom="280" w:left="1140" w:right="1180"/>
          <w:cols w:num="3" w:equalWidth="0">
            <w:col w:w="4532" w:space="40"/>
            <w:col w:w="1336" w:space="39"/>
            <w:col w:w="3643"/>
          </w:cols>
        </w:sectPr>
      </w:pPr>
    </w:p>
    <w:p>
      <w:pPr>
        <w:spacing w:before="109"/>
        <w:ind w:left="4380" w:right="0" w:firstLine="0"/>
        <w:jc w:val="left"/>
        <w:rPr>
          <w:sz w:val="16"/>
        </w:rPr>
      </w:pPr>
      <w:r>
        <w:rPr>
          <w:w w:val="93"/>
          <w:sz w:val="16"/>
        </w:rPr>
        <w:t>0</w:t>
      </w:r>
    </w:p>
    <w:p>
      <w:pPr>
        <w:tabs>
          <w:tab w:pos="1471" w:val="left" w:leader="none"/>
          <w:tab w:pos="2517" w:val="left" w:leader="none"/>
          <w:tab w:pos="3914" w:val="left" w:leader="none"/>
        </w:tabs>
        <w:spacing w:before="47"/>
        <w:ind w:left="765" w:right="0" w:firstLine="0"/>
        <w:jc w:val="left"/>
        <w:rPr>
          <w:sz w:val="16"/>
        </w:rPr>
      </w:pPr>
      <w:r>
        <w:rPr>
          <w:sz w:val="16"/>
        </w:rPr>
        <w:t>98   </w:t>
      </w:r>
      <w:r>
        <w:rPr>
          <w:spacing w:val="21"/>
          <w:sz w:val="16"/>
        </w:rPr>
        <w:t> </w:t>
      </w:r>
      <w:r>
        <w:rPr>
          <w:sz w:val="16"/>
        </w:rPr>
        <w:t>99</w:t>
        <w:tab/>
        <w:t>00   </w:t>
      </w:r>
      <w:r>
        <w:rPr>
          <w:spacing w:val="22"/>
          <w:sz w:val="16"/>
        </w:rPr>
        <w:t> </w:t>
      </w:r>
      <w:r>
        <w:rPr>
          <w:sz w:val="16"/>
        </w:rPr>
        <w:t>01   </w:t>
      </w:r>
      <w:r>
        <w:rPr>
          <w:spacing w:val="21"/>
          <w:sz w:val="16"/>
        </w:rPr>
        <w:t> </w:t>
      </w:r>
      <w:r>
        <w:rPr>
          <w:sz w:val="16"/>
        </w:rPr>
        <w:t>02</w:t>
        <w:tab/>
        <w:t>03     04   </w:t>
      </w:r>
      <w:r>
        <w:rPr>
          <w:spacing w:val="2"/>
          <w:sz w:val="16"/>
        </w:rPr>
        <w:t> </w:t>
      </w:r>
      <w:r>
        <w:rPr>
          <w:sz w:val="16"/>
        </w:rPr>
        <w:t>05   </w:t>
      </w:r>
      <w:r>
        <w:rPr>
          <w:spacing w:val="25"/>
          <w:sz w:val="16"/>
        </w:rPr>
        <w:t> </w:t>
      </w:r>
      <w:r>
        <w:rPr>
          <w:sz w:val="16"/>
        </w:rPr>
        <w:t>06</w:t>
        <w:tab/>
        <w:t>07</w:t>
      </w:r>
    </w:p>
    <w:p>
      <w:pPr>
        <w:spacing w:before="125"/>
        <w:ind w:left="655" w:right="0" w:firstLine="0"/>
        <w:jc w:val="left"/>
        <w:rPr>
          <w:sz w:val="18"/>
        </w:rPr>
      </w:pPr>
      <w:r>
        <w:rPr>
          <w:sz w:val="18"/>
        </w:rPr>
        <w:t>Source: Bank of England</w:t>
      </w:r>
    </w:p>
    <w:p>
      <w:pPr>
        <w:tabs>
          <w:tab w:pos="1363" w:val="left" w:leader="none"/>
          <w:tab w:pos="1930" w:val="left" w:leader="none"/>
          <w:tab w:pos="2487" w:val="left" w:leader="none"/>
          <w:tab w:pos="3053" w:val="left" w:leader="none"/>
          <w:tab w:pos="3605" w:val="left" w:leader="none"/>
        </w:tabs>
        <w:spacing w:before="62"/>
        <w:ind w:left="811" w:right="0" w:firstLine="0"/>
        <w:jc w:val="left"/>
        <w:rPr>
          <w:sz w:val="15"/>
        </w:rPr>
      </w:pPr>
      <w:r>
        <w:rPr/>
        <w:br w:type="column"/>
      </w:r>
      <w:r>
        <w:rPr>
          <w:sz w:val="15"/>
        </w:rPr>
        <w:t>2002</w:t>
        <w:tab/>
        <w:t>2003</w:t>
        <w:tab/>
        <w:t>2004</w:t>
        <w:tab/>
        <w:t>2005</w:t>
        <w:tab/>
        <w:t>2006</w:t>
        <w:tab/>
        <w:t>2007</w:t>
      </w:r>
    </w:p>
    <w:p>
      <w:pPr>
        <w:spacing w:before="122"/>
        <w:ind w:left="514" w:right="0" w:firstLine="0"/>
        <w:jc w:val="left"/>
        <w:rPr>
          <w:sz w:val="18"/>
        </w:rPr>
      </w:pPr>
      <w:r>
        <w:rPr>
          <w:sz w:val="18"/>
        </w:rPr>
        <w:t>Source: LehmansLive</w:t>
      </w:r>
    </w:p>
    <w:p>
      <w:pPr>
        <w:spacing w:before="4"/>
        <w:ind w:left="514" w:right="517" w:firstLine="0"/>
        <w:jc w:val="left"/>
        <w:rPr>
          <w:sz w:val="18"/>
        </w:rPr>
      </w:pPr>
      <w:r>
        <w:rPr>
          <w:sz w:val="18"/>
        </w:rPr>
        <w:t>Note: weighted averages of AAA, AA, A and BBB 5­ years spreads for prime and commercial mortgages and of AAA, A and BBB 5­year spreads fro credit cards and non­confirming mortgages.</w:t>
      </w:r>
    </w:p>
    <w:p>
      <w:pPr>
        <w:spacing w:after="0"/>
        <w:jc w:val="left"/>
        <w:rPr>
          <w:sz w:val="18"/>
        </w:rPr>
        <w:sectPr>
          <w:type w:val="continuous"/>
          <w:pgSz w:w="11910" w:h="16840"/>
          <w:pgMar w:top="1180" w:bottom="280" w:left="1140" w:right="1180"/>
          <w:cols w:num="2" w:equalWidth="0">
            <w:col w:w="4455" w:space="40"/>
            <w:col w:w="5095"/>
          </w:cols>
        </w:sectPr>
      </w:pPr>
    </w:p>
    <w:p>
      <w:pPr>
        <w:pStyle w:val="Heading1"/>
        <w:ind w:right="-7"/>
      </w:pPr>
      <w:r>
        <w:rPr/>
        <w:t>Chart 7: Spread of effective mortgage and personal loan rates (new</w:t>
      </w:r>
      <w:r>
        <w:rPr>
          <w:spacing w:val="-14"/>
        </w:rPr>
        <w:t> </w:t>
      </w:r>
      <w:r>
        <w:rPr/>
        <w:t>business) to Bank</w:t>
      </w:r>
      <w:r>
        <w:rPr>
          <w:spacing w:val="-4"/>
        </w:rPr>
        <w:t> </w:t>
      </w:r>
      <w:r>
        <w:rPr/>
        <w:t>Rate</w:t>
      </w:r>
    </w:p>
    <w:p>
      <w:pPr>
        <w:spacing w:line="275" w:lineRule="exact" w:before="0"/>
        <w:ind w:left="374" w:right="0" w:firstLine="0"/>
        <w:jc w:val="left"/>
        <w:rPr>
          <w:b/>
          <w:sz w:val="24"/>
        </w:rPr>
      </w:pPr>
      <w:r>
        <w:rPr/>
        <w:br w:type="column"/>
      </w:r>
      <w:r>
        <w:rPr>
          <w:b/>
          <w:sz w:val="24"/>
        </w:rPr>
        <w:t>Chart 8: UK corporate bond spreads</w:t>
      </w:r>
    </w:p>
    <w:p>
      <w:pPr>
        <w:spacing w:after="0" w:line="275" w:lineRule="exact"/>
        <w:jc w:val="left"/>
        <w:rPr>
          <w:sz w:val="24"/>
        </w:rPr>
        <w:sectPr>
          <w:type w:val="continuous"/>
          <w:pgSz w:w="11910" w:h="16840"/>
          <w:pgMar w:top="1180" w:bottom="280" w:left="1140" w:right="1180"/>
          <w:cols w:num="2" w:equalWidth="0">
            <w:col w:w="4595" w:space="40"/>
            <w:col w:w="4955"/>
          </w:cols>
        </w:sectPr>
      </w:pPr>
    </w:p>
    <w:p>
      <w:pPr>
        <w:spacing w:line="174" w:lineRule="exact" w:before="12"/>
        <w:ind w:left="0" w:right="0" w:firstLine="0"/>
        <w:jc w:val="right"/>
        <w:rPr>
          <w:sz w:val="16"/>
        </w:rPr>
      </w:pPr>
      <w:r>
        <w:rPr>
          <w:w w:val="95"/>
          <w:sz w:val="16"/>
        </w:rPr>
        <w:t>Per cent</w:t>
      </w:r>
    </w:p>
    <w:p>
      <w:pPr>
        <w:spacing w:line="174" w:lineRule="exact" w:before="0"/>
        <w:ind w:left="0" w:right="27" w:firstLine="0"/>
        <w:jc w:val="right"/>
        <w:rPr>
          <w:sz w:val="16"/>
        </w:rPr>
      </w:pPr>
      <w:r>
        <w:rPr/>
        <w:pict>
          <v:group style="position:absolute;margin-left:101.400002pt;margin-top:4.022510pt;width:174.75pt;height:122.4pt;mso-position-horizontal-relative:page;mso-position-vertical-relative:paragraph;z-index:251701248" coordorigin="2028,80" coordsize="3495,2448">
            <v:shape style="position:absolute;left:2028;top:80;width:3495;height:2448" type="#_x0000_t75" stroked="false">
              <v:imagedata r:id="rId13" o:title=""/>
            </v:shape>
            <v:shape style="position:absolute;left:3705;top:150;width:847;height:148" type="#_x0000_t202" filled="false" stroked="false">
              <v:textbox inset="0,0,0,0">
                <w:txbxContent>
                  <w:p>
                    <w:pPr>
                      <w:spacing w:line="147" w:lineRule="exact" w:before="0"/>
                      <w:ind w:left="0" w:right="0" w:firstLine="0"/>
                      <w:jc w:val="left"/>
                      <w:rPr>
                        <w:sz w:val="13"/>
                      </w:rPr>
                    </w:pPr>
                    <w:r>
                      <w:rPr>
                        <w:color w:val="FF00FF"/>
                        <w:sz w:val="13"/>
                      </w:rPr>
                      <w:t>P erson al loans</w:t>
                    </w:r>
                  </w:p>
                </w:txbxContent>
              </v:textbox>
              <w10:wrap type="none"/>
            </v:shape>
            <v:shape style="position:absolute;left:2140;top:1509;width:639;height:159" type="#_x0000_t202" filled="false" stroked="false">
              <v:textbox inset="0,0,0,0">
                <w:txbxContent>
                  <w:p>
                    <w:pPr>
                      <w:spacing w:line="158" w:lineRule="exact" w:before="0"/>
                      <w:ind w:left="0" w:right="0" w:firstLine="0"/>
                      <w:jc w:val="left"/>
                      <w:rPr>
                        <w:sz w:val="14"/>
                      </w:rPr>
                    </w:pPr>
                    <w:r>
                      <w:rPr>
                        <w:color w:val="000080"/>
                        <w:sz w:val="14"/>
                      </w:rPr>
                      <w:t>M ortgages</w:t>
                    </w:r>
                  </w:p>
                </w:txbxContent>
              </v:textbox>
              <w10:wrap type="none"/>
            </v:shape>
            <w10:wrap type="none"/>
          </v:group>
        </w:pict>
      </w:r>
      <w:r>
        <w:rPr>
          <w:w w:val="93"/>
          <w:sz w:val="16"/>
        </w:rPr>
        <w:t>6</w:t>
      </w:r>
    </w:p>
    <w:p>
      <w:pPr>
        <w:pStyle w:val="BodyText"/>
        <w:spacing w:before="1"/>
        <w:rPr>
          <w:sz w:val="19"/>
        </w:rPr>
      </w:pPr>
    </w:p>
    <w:p>
      <w:pPr>
        <w:spacing w:before="0"/>
        <w:ind w:left="4466" w:right="0" w:firstLine="0"/>
        <w:jc w:val="left"/>
        <w:rPr>
          <w:sz w:val="16"/>
        </w:rPr>
      </w:pPr>
      <w:r>
        <w:rPr>
          <w:w w:val="93"/>
          <w:sz w:val="16"/>
        </w:rPr>
        <w:t>5</w:t>
      </w:r>
    </w:p>
    <w:p>
      <w:pPr>
        <w:pStyle w:val="BodyText"/>
        <w:spacing w:before="10"/>
        <w:rPr>
          <w:sz w:val="19"/>
        </w:rPr>
      </w:pPr>
    </w:p>
    <w:p>
      <w:pPr>
        <w:spacing w:before="0"/>
        <w:ind w:left="4466" w:right="0" w:firstLine="0"/>
        <w:jc w:val="left"/>
        <w:rPr>
          <w:sz w:val="16"/>
        </w:rPr>
      </w:pPr>
      <w:r>
        <w:rPr>
          <w:w w:val="93"/>
          <w:sz w:val="16"/>
        </w:rPr>
        <w:t>4</w:t>
      </w:r>
    </w:p>
    <w:p>
      <w:pPr>
        <w:pStyle w:val="BodyText"/>
        <w:spacing w:before="6"/>
        <w:rPr>
          <w:sz w:val="19"/>
        </w:rPr>
      </w:pPr>
    </w:p>
    <w:p>
      <w:pPr>
        <w:spacing w:before="0"/>
        <w:ind w:left="4466" w:right="0" w:firstLine="0"/>
        <w:jc w:val="left"/>
        <w:rPr>
          <w:sz w:val="16"/>
        </w:rPr>
      </w:pPr>
      <w:r>
        <w:rPr>
          <w:w w:val="93"/>
          <w:sz w:val="16"/>
        </w:rPr>
        <w:t>3</w:t>
      </w:r>
    </w:p>
    <w:p>
      <w:pPr>
        <w:pStyle w:val="BodyText"/>
        <w:spacing w:before="7"/>
        <w:rPr>
          <w:sz w:val="18"/>
        </w:rPr>
      </w:pPr>
    </w:p>
    <w:p>
      <w:pPr>
        <w:spacing w:before="0"/>
        <w:ind w:left="4466" w:right="0" w:firstLine="0"/>
        <w:jc w:val="left"/>
        <w:rPr>
          <w:sz w:val="16"/>
        </w:rPr>
      </w:pPr>
      <w:r>
        <w:rPr>
          <w:w w:val="93"/>
          <w:sz w:val="16"/>
        </w:rPr>
        <w:t>2</w:t>
      </w:r>
    </w:p>
    <w:p>
      <w:pPr>
        <w:pStyle w:val="BodyText"/>
        <w:spacing w:before="6"/>
        <w:rPr>
          <w:sz w:val="19"/>
        </w:rPr>
      </w:pPr>
    </w:p>
    <w:p>
      <w:pPr>
        <w:spacing w:before="0"/>
        <w:ind w:left="4466" w:right="0" w:firstLine="0"/>
        <w:jc w:val="left"/>
        <w:rPr>
          <w:sz w:val="16"/>
        </w:rPr>
      </w:pPr>
      <w:r>
        <w:rPr>
          <w:w w:val="93"/>
          <w:sz w:val="16"/>
        </w:rPr>
        <w:t>1</w:t>
      </w:r>
    </w:p>
    <w:p>
      <w:pPr>
        <w:pStyle w:val="BodyText"/>
        <w:spacing w:before="5"/>
        <w:rPr>
          <w:sz w:val="19"/>
        </w:rPr>
      </w:pPr>
    </w:p>
    <w:p>
      <w:pPr>
        <w:spacing w:before="1"/>
        <w:ind w:left="4466" w:right="0" w:firstLine="0"/>
        <w:jc w:val="left"/>
        <w:rPr>
          <w:sz w:val="16"/>
        </w:rPr>
      </w:pPr>
      <w:r>
        <w:rPr>
          <w:w w:val="93"/>
          <w:sz w:val="16"/>
        </w:rPr>
        <w:t>0</w:t>
      </w:r>
    </w:p>
    <w:p>
      <w:pPr>
        <w:tabs>
          <w:tab w:pos="1259" w:val="left" w:leader="none"/>
          <w:tab w:pos="2258" w:val="left" w:leader="none"/>
          <w:tab w:pos="2767" w:val="left" w:leader="none"/>
          <w:tab w:pos="3765" w:val="left" w:leader="none"/>
        </w:tabs>
        <w:spacing w:before="46"/>
        <w:ind w:left="756" w:right="0" w:firstLine="0"/>
        <w:jc w:val="left"/>
        <w:rPr>
          <w:sz w:val="16"/>
        </w:rPr>
      </w:pPr>
      <w:r>
        <w:rPr>
          <w:sz w:val="16"/>
        </w:rPr>
        <w:t>2001</w:t>
        <w:tab/>
        <w:t>2002   </w:t>
      </w:r>
      <w:r>
        <w:rPr>
          <w:spacing w:val="2"/>
          <w:sz w:val="16"/>
        </w:rPr>
        <w:t> </w:t>
      </w:r>
      <w:r>
        <w:rPr>
          <w:sz w:val="16"/>
        </w:rPr>
        <w:t>2003</w:t>
        <w:tab/>
        <w:t>2004</w:t>
        <w:tab/>
        <w:t>2005   </w:t>
      </w:r>
      <w:r>
        <w:rPr>
          <w:spacing w:val="2"/>
          <w:sz w:val="16"/>
        </w:rPr>
        <w:t> </w:t>
      </w:r>
      <w:r>
        <w:rPr>
          <w:sz w:val="16"/>
        </w:rPr>
        <w:t>2006</w:t>
        <w:tab/>
        <w:t>2007</w:t>
      </w:r>
    </w:p>
    <w:p>
      <w:pPr>
        <w:spacing w:before="125"/>
        <w:ind w:left="655" w:right="0" w:firstLine="0"/>
        <w:jc w:val="left"/>
        <w:rPr>
          <w:sz w:val="18"/>
        </w:rPr>
      </w:pPr>
      <w:r>
        <w:rPr>
          <w:sz w:val="18"/>
        </w:rPr>
        <w:t>Source: Bank of England</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9"/>
        <w:rPr>
          <w:sz w:val="11"/>
        </w:rPr>
      </w:pPr>
    </w:p>
    <w:p>
      <w:pPr>
        <w:tabs>
          <w:tab w:pos="1128" w:val="left" w:leader="none"/>
          <w:tab w:pos="1761" w:val="left" w:leader="none"/>
          <w:tab w:pos="2395" w:val="left" w:leader="none"/>
          <w:tab w:pos="3028" w:val="left" w:leader="none"/>
        </w:tabs>
        <w:spacing w:before="1"/>
        <w:ind w:left="489" w:right="0" w:firstLine="0"/>
        <w:jc w:val="left"/>
        <w:rPr>
          <w:sz w:val="13"/>
        </w:rPr>
      </w:pPr>
      <w:r>
        <w:rPr>
          <w:spacing w:val="9"/>
          <w:w w:val="105"/>
          <w:sz w:val="13"/>
        </w:rPr>
        <w:t>1998</w:t>
        <w:tab/>
      </w:r>
      <w:r>
        <w:rPr>
          <w:spacing w:val="8"/>
          <w:w w:val="105"/>
          <w:sz w:val="13"/>
        </w:rPr>
        <w:t>2000</w:t>
        <w:tab/>
        <w:t>2002</w:t>
        <w:tab/>
        <w:t>2004</w:t>
        <w:tab/>
      </w:r>
      <w:r>
        <w:rPr>
          <w:spacing w:val="4"/>
          <w:w w:val="105"/>
          <w:sz w:val="13"/>
        </w:rPr>
        <w:t>2006</w:t>
      </w:r>
    </w:p>
    <w:p>
      <w:pPr>
        <w:pStyle w:val="BodyText"/>
        <w:rPr>
          <w:sz w:val="14"/>
        </w:rPr>
      </w:pPr>
    </w:p>
    <w:p>
      <w:pPr>
        <w:spacing w:before="80"/>
        <w:ind w:left="398" w:right="0" w:firstLine="0"/>
        <w:jc w:val="left"/>
        <w:rPr>
          <w:sz w:val="18"/>
        </w:rPr>
      </w:pPr>
      <w:r>
        <w:rPr>
          <w:sz w:val="18"/>
        </w:rPr>
        <w:t>Source: Bloomberg, Bank of England</w:t>
      </w:r>
    </w:p>
    <w:p>
      <w:pPr>
        <w:spacing w:before="31"/>
        <w:ind w:left="0" w:right="844" w:firstLine="0"/>
        <w:jc w:val="right"/>
        <w:rPr>
          <w:sz w:val="13"/>
        </w:rPr>
      </w:pPr>
      <w:r>
        <w:rPr/>
        <w:br w:type="column"/>
      </w:r>
      <w:r>
        <w:rPr>
          <w:w w:val="105"/>
          <w:sz w:val="13"/>
        </w:rPr>
        <w:t>Basis Points</w:t>
      </w:r>
    </w:p>
    <w:p>
      <w:pPr>
        <w:spacing w:before="91"/>
        <w:ind w:left="0" w:right="752" w:firstLine="0"/>
        <w:jc w:val="right"/>
        <w:rPr>
          <w:sz w:val="13"/>
        </w:rPr>
      </w:pPr>
      <w:r>
        <w:rPr/>
        <w:pict>
          <v:group style="position:absolute;margin-left:319.320007pt;margin-top:8.867053pt;width:160.7pt;height:121pt;mso-position-horizontal-relative:page;mso-position-vertical-relative:paragraph;z-index:251704320" coordorigin="6386,177" coordsize="3214,2420">
            <v:shape style="position:absolute;left:6386;top:177;width:3214;height:2420" type="#_x0000_t75" stroked="false">
              <v:imagedata r:id="rId14" o:title=""/>
            </v:shape>
            <v:shape style="position:absolute;left:7089;top:360;width:1376;height:144" type="#_x0000_t202" filled="false" stroked="false">
              <v:textbox inset="0,0,0,0">
                <w:txbxContent>
                  <w:p>
                    <w:pPr>
                      <w:spacing w:line="144" w:lineRule="exact" w:before="0"/>
                      <w:ind w:left="0" w:right="0" w:firstLine="0"/>
                      <w:jc w:val="left"/>
                      <w:rPr>
                        <w:sz w:val="13"/>
                      </w:rPr>
                    </w:pPr>
                    <w:r>
                      <w:rPr>
                        <w:color w:val="FF00FF"/>
                        <w:w w:val="105"/>
                        <w:sz w:val="13"/>
                      </w:rPr>
                      <w:t>Non­invest ment grade</w:t>
                    </w:r>
                  </w:p>
                </w:txbxContent>
              </v:textbox>
              <w10:wrap type="none"/>
            </v:shape>
            <v:shape style="position:absolute;left:6955;top:1887;width:1074;height:144" type="#_x0000_t202" filled="false" stroked="false">
              <v:textbox inset="0,0,0,0">
                <w:txbxContent>
                  <w:p>
                    <w:pPr>
                      <w:spacing w:line="144" w:lineRule="exact" w:before="0"/>
                      <w:ind w:left="0" w:right="0" w:firstLine="0"/>
                      <w:jc w:val="left"/>
                      <w:rPr>
                        <w:sz w:val="13"/>
                      </w:rPr>
                    </w:pPr>
                    <w:r>
                      <w:rPr>
                        <w:color w:val="000080"/>
                        <w:w w:val="105"/>
                        <w:sz w:val="13"/>
                      </w:rPr>
                      <w:t>Invest ment grade</w:t>
                    </w:r>
                  </w:p>
                </w:txbxContent>
              </v:textbox>
              <w10:wrap type="none"/>
            </v:shape>
            <w10:wrap type="none"/>
          </v:group>
        </w:pict>
      </w:r>
      <w:r>
        <w:rPr>
          <w:spacing w:val="8"/>
          <w:sz w:val="13"/>
        </w:rPr>
        <w:t>1200</w:t>
      </w:r>
    </w:p>
    <w:p>
      <w:pPr>
        <w:pStyle w:val="BodyText"/>
        <w:rPr>
          <w:sz w:val="14"/>
        </w:rPr>
      </w:pPr>
    </w:p>
    <w:p>
      <w:pPr>
        <w:spacing w:before="97"/>
        <w:ind w:left="0" w:right="752" w:firstLine="0"/>
        <w:jc w:val="right"/>
        <w:rPr>
          <w:sz w:val="13"/>
        </w:rPr>
      </w:pPr>
      <w:r>
        <w:rPr>
          <w:spacing w:val="8"/>
          <w:sz w:val="13"/>
        </w:rPr>
        <w:t>1000</w:t>
      </w:r>
    </w:p>
    <w:p>
      <w:pPr>
        <w:pStyle w:val="BodyText"/>
        <w:rPr>
          <w:sz w:val="14"/>
        </w:rPr>
      </w:pPr>
    </w:p>
    <w:p>
      <w:pPr>
        <w:spacing w:before="83"/>
        <w:ind w:left="0" w:right="829" w:firstLine="0"/>
        <w:jc w:val="right"/>
        <w:rPr>
          <w:sz w:val="13"/>
        </w:rPr>
      </w:pPr>
      <w:r>
        <w:rPr>
          <w:spacing w:val="7"/>
          <w:sz w:val="13"/>
        </w:rPr>
        <w:t>800</w:t>
      </w:r>
    </w:p>
    <w:p>
      <w:pPr>
        <w:pStyle w:val="BodyText"/>
        <w:rPr>
          <w:sz w:val="14"/>
        </w:rPr>
      </w:pPr>
    </w:p>
    <w:p>
      <w:pPr>
        <w:spacing w:before="93"/>
        <w:ind w:left="0" w:right="829" w:firstLine="0"/>
        <w:jc w:val="right"/>
        <w:rPr>
          <w:sz w:val="13"/>
        </w:rPr>
      </w:pPr>
      <w:r>
        <w:rPr>
          <w:spacing w:val="7"/>
          <w:sz w:val="13"/>
        </w:rPr>
        <w:t>600</w:t>
      </w:r>
    </w:p>
    <w:p>
      <w:pPr>
        <w:pStyle w:val="BodyText"/>
        <w:rPr>
          <w:sz w:val="14"/>
        </w:rPr>
      </w:pPr>
    </w:p>
    <w:p>
      <w:pPr>
        <w:spacing w:before="98"/>
        <w:ind w:left="0" w:right="829" w:firstLine="0"/>
        <w:jc w:val="right"/>
        <w:rPr>
          <w:sz w:val="13"/>
        </w:rPr>
      </w:pPr>
      <w:r>
        <w:rPr>
          <w:spacing w:val="7"/>
          <w:sz w:val="13"/>
        </w:rPr>
        <w:t>400</w:t>
      </w:r>
    </w:p>
    <w:p>
      <w:pPr>
        <w:pStyle w:val="BodyText"/>
        <w:rPr>
          <w:sz w:val="14"/>
        </w:rPr>
      </w:pPr>
    </w:p>
    <w:p>
      <w:pPr>
        <w:spacing w:before="83"/>
        <w:ind w:left="0" w:right="829" w:firstLine="0"/>
        <w:jc w:val="right"/>
        <w:rPr>
          <w:sz w:val="13"/>
        </w:rPr>
      </w:pPr>
      <w:r>
        <w:rPr>
          <w:spacing w:val="7"/>
          <w:sz w:val="13"/>
        </w:rPr>
        <w:t>200</w:t>
      </w:r>
    </w:p>
    <w:p>
      <w:pPr>
        <w:pStyle w:val="BodyText"/>
        <w:rPr>
          <w:sz w:val="14"/>
        </w:rPr>
      </w:pPr>
    </w:p>
    <w:p>
      <w:pPr>
        <w:spacing w:before="97"/>
        <w:ind w:left="0" w:right="446" w:firstLine="0"/>
        <w:jc w:val="center"/>
        <w:rPr>
          <w:sz w:val="13"/>
        </w:rPr>
      </w:pPr>
      <w:r>
        <w:rPr>
          <w:w w:val="103"/>
          <w:sz w:val="13"/>
        </w:rPr>
        <w:t>0</w:t>
      </w:r>
    </w:p>
    <w:p>
      <w:pPr>
        <w:spacing w:after="0"/>
        <w:jc w:val="center"/>
        <w:rPr>
          <w:sz w:val="13"/>
        </w:rPr>
        <w:sectPr>
          <w:type w:val="continuous"/>
          <w:pgSz w:w="11910" w:h="16840"/>
          <w:pgMar w:top="1180" w:bottom="280" w:left="1140" w:right="1180"/>
          <w:cols w:num="3" w:equalWidth="0">
            <w:col w:w="4571" w:space="40"/>
            <w:col w:w="3337" w:space="39"/>
            <w:col w:w="1603"/>
          </w:cols>
        </w:sectPr>
      </w:pPr>
    </w:p>
    <w:p>
      <w:pPr>
        <w:pStyle w:val="Heading1"/>
        <w:spacing w:before="1"/>
        <w:ind w:right="-19"/>
      </w:pPr>
      <w:r>
        <w:rPr/>
        <w:t>Chart 9: Decomposition of UK non­ investment grade corporate bond spreads</w:t>
      </w:r>
    </w:p>
    <w:p>
      <w:pPr>
        <w:spacing w:line="242" w:lineRule="auto" w:before="1"/>
        <w:ind w:left="652" w:right="808" w:firstLine="0"/>
        <w:jc w:val="left"/>
        <w:rPr>
          <w:b/>
          <w:sz w:val="24"/>
        </w:rPr>
      </w:pPr>
      <w:r>
        <w:rPr/>
        <w:br w:type="column"/>
      </w:r>
      <w:r>
        <w:rPr>
          <w:b/>
          <w:sz w:val="24"/>
        </w:rPr>
        <w:t>Chart 10: Issuance of UK residential mortgage­backed securities</w:t>
      </w:r>
    </w:p>
    <w:p>
      <w:pPr>
        <w:spacing w:after="0" w:line="242" w:lineRule="auto"/>
        <w:jc w:val="left"/>
        <w:rPr>
          <w:sz w:val="24"/>
        </w:rPr>
        <w:sectPr>
          <w:type w:val="continuous"/>
          <w:pgSz w:w="11910" w:h="16840"/>
          <w:pgMar w:top="1180" w:bottom="280" w:left="1140" w:right="1180"/>
          <w:cols w:num="2" w:equalWidth="0">
            <w:col w:w="4316" w:space="40"/>
            <w:col w:w="5234"/>
          </w:cols>
        </w:sectPr>
      </w:pPr>
    </w:p>
    <w:p>
      <w:pPr>
        <w:spacing w:before="74"/>
        <w:ind w:left="0" w:right="0" w:firstLine="0"/>
        <w:jc w:val="right"/>
        <w:rPr>
          <w:sz w:val="12"/>
        </w:rPr>
      </w:pPr>
      <w:r>
        <w:rPr/>
        <w:pict>
          <v:group style="position:absolute;margin-left:100.559998pt;margin-top:4.015805pt;width:163.8pt;height:153.65pt;mso-position-horizontal-relative:page;mso-position-vertical-relative:paragraph;z-index:251708416" coordorigin="2011,80" coordsize="3276,3073">
            <v:shape style="position:absolute;left:2011;top:274;width:3276;height:2878" type="#_x0000_t75" stroked="false">
              <v:imagedata r:id="rId15" o:title=""/>
            </v:shape>
            <v:shape style="position:absolute;left:2371;top:80;width:1616;height:434" type="#_x0000_t202" filled="false" stroked="false">
              <v:textbox inset="0,0,0,0">
                <w:txbxContent>
                  <w:p>
                    <w:pPr>
                      <w:spacing w:line="264" w:lineRule="auto" w:before="0"/>
                      <w:ind w:left="0" w:right="0" w:firstLine="0"/>
                      <w:jc w:val="left"/>
                      <w:rPr>
                        <w:sz w:val="12"/>
                      </w:rPr>
                    </w:pPr>
                    <w:r>
                      <w:rPr>
                        <w:sz w:val="12"/>
                      </w:rPr>
                      <w:t>Residual including liquidity Uncertaint y about default loss Expect ed default lo ss</w:t>
                    </w:r>
                  </w:p>
                </w:txbxContent>
              </v:textbox>
              <w10:wrap type="none"/>
            </v:shape>
            <v:shape style="position:absolute;left:5040;top:80;width:240;height:132" type="#_x0000_t202" filled="false" stroked="false">
              <v:textbox inset="0,0,0,0">
                <w:txbxContent>
                  <w:p>
                    <w:pPr>
                      <w:spacing w:line="131" w:lineRule="exact" w:before="0"/>
                      <w:ind w:left="0" w:right="0" w:firstLine="0"/>
                      <w:jc w:val="left"/>
                      <w:rPr>
                        <w:sz w:val="12"/>
                      </w:rPr>
                    </w:pPr>
                    <w:r>
                      <w:rPr>
                        <w:sz w:val="12"/>
                      </w:rPr>
                      <w:t>Basi</w:t>
                    </w:r>
                  </w:p>
                </w:txbxContent>
              </v:textbox>
              <w10:wrap type="none"/>
            </v:shape>
            <v:shape style="position:absolute;left:4084;top:829;width:398;height:132" type="#_x0000_t202" filled="false" stroked="false">
              <v:textbox inset="0,0,0,0">
                <w:txbxContent>
                  <w:p>
                    <w:pPr>
                      <w:spacing w:line="131" w:lineRule="exact" w:before="0"/>
                      <w:ind w:left="0" w:right="0" w:firstLine="0"/>
                      <w:jc w:val="left"/>
                      <w:rPr>
                        <w:b/>
                        <w:sz w:val="12"/>
                      </w:rPr>
                    </w:pPr>
                    <w:r>
                      <w:rPr>
                        <w:b/>
                        <w:sz w:val="12"/>
                      </w:rPr>
                      <w:t>Actual</w:t>
                    </w:r>
                  </w:p>
                </w:txbxContent>
              </v:textbox>
              <w10:wrap type="none"/>
            </v:shape>
            <w10:wrap type="none"/>
          </v:group>
        </w:pict>
      </w:r>
      <w:r>
        <w:rPr/>
        <w:drawing>
          <wp:anchor distT="0" distB="0" distL="0" distR="0" allowOverlap="1" layoutInCell="1" locked="0" behindDoc="0" simplePos="0" relativeHeight="251709440">
            <wp:simplePos x="0" y="0"/>
            <wp:positionH relativeFrom="page">
              <wp:posOffset>1432560</wp:posOffset>
            </wp:positionH>
            <wp:positionV relativeFrom="paragraph">
              <wp:posOffset>73960</wp:posOffset>
            </wp:positionV>
            <wp:extent cx="51816" cy="48768"/>
            <wp:effectExtent l="0" t="0" r="0" b="0"/>
            <wp:wrapNone/>
            <wp:docPr id="5" name="image10.png"/>
            <wp:cNvGraphicFramePr>
              <a:graphicFrameLocks noChangeAspect="1"/>
            </wp:cNvGraphicFramePr>
            <a:graphic>
              <a:graphicData uri="http://schemas.openxmlformats.org/drawingml/2006/picture">
                <pic:pic>
                  <pic:nvPicPr>
                    <pic:cNvPr id="6" name="image10.png"/>
                    <pic:cNvPicPr/>
                  </pic:nvPicPr>
                  <pic:blipFill>
                    <a:blip r:embed="rId16" cstate="print"/>
                    <a:stretch>
                      <a:fillRect/>
                    </a:stretch>
                  </pic:blipFill>
                  <pic:spPr>
                    <a:xfrm>
                      <a:off x="0" y="0"/>
                      <a:ext cx="51816" cy="48768"/>
                    </a:xfrm>
                    <a:prstGeom prst="rect">
                      <a:avLst/>
                    </a:prstGeom>
                  </pic:spPr>
                </pic:pic>
              </a:graphicData>
            </a:graphic>
          </wp:anchor>
        </w:drawing>
      </w:r>
      <w:r>
        <w:rPr>
          <w:sz w:val="12"/>
        </w:rPr>
        <w:t>s</w:t>
      </w:r>
      <w:r>
        <w:rPr>
          <w:spacing w:val="-7"/>
          <w:sz w:val="12"/>
        </w:rPr>
        <w:t> </w:t>
      </w:r>
      <w:r>
        <w:rPr>
          <w:spacing w:val="8"/>
          <w:sz w:val="12"/>
        </w:rPr>
        <w:t>points</w:t>
      </w:r>
    </w:p>
    <w:p>
      <w:pPr>
        <w:pStyle w:val="BodyText"/>
        <w:spacing w:before="10"/>
        <w:rPr>
          <w:sz w:val="13"/>
        </w:rPr>
      </w:pPr>
    </w:p>
    <w:p>
      <w:pPr>
        <w:spacing w:before="1"/>
        <w:ind w:left="0" w:right="40" w:firstLine="0"/>
        <w:jc w:val="right"/>
        <w:rPr>
          <w:sz w:val="14"/>
        </w:rPr>
      </w:pPr>
      <w:r>
        <w:rPr>
          <w:w w:val="95"/>
          <w:sz w:val="14"/>
        </w:rPr>
        <w:t>1000</w:t>
      </w:r>
    </w:p>
    <w:p>
      <w:pPr>
        <w:pStyle w:val="BodyText"/>
        <w:rPr>
          <w:sz w:val="16"/>
        </w:rPr>
      </w:pPr>
    </w:p>
    <w:p>
      <w:pPr>
        <w:spacing w:before="106"/>
        <w:ind w:left="0" w:right="112" w:firstLine="0"/>
        <w:jc w:val="right"/>
        <w:rPr>
          <w:sz w:val="14"/>
        </w:rPr>
      </w:pPr>
      <w:r>
        <w:rPr>
          <w:spacing w:val="-1"/>
          <w:sz w:val="14"/>
        </w:rPr>
        <w:t>800</w:t>
      </w:r>
    </w:p>
    <w:p>
      <w:pPr>
        <w:pStyle w:val="BodyText"/>
        <w:rPr>
          <w:sz w:val="16"/>
        </w:rPr>
      </w:pPr>
    </w:p>
    <w:p>
      <w:pPr>
        <w:spacing w:before="111"/>
        <w:ind w:left="0" w:right="112" w:firstLine="0"/>
        <w:jc w:val="right"/>
        <w:rPr>
          <w:sz w:val="14"/>
        </w:rPr>
      </w:pPr>
      <w:r>
        <w:rPr>
          <w:spacing w:val="-1"/>
          <w:sz w:val="14"/>
        </w:rPr>
        <w:t>600</w:t>
      </w:r>
    </w:p>
    <w:p>
      <w:pPr>
        <w:pStyle w:val="BodyText"/>
        <w:rPr>
          <w:sz w:val="16"/>
        </w:rPr>
      </w:pPr>
    </w:p>
    <w:p>
      <w:pPr>
        <w:spacing w:before="96"/>
        <w:ind w:left="0" w:right="112" w:firstLine="0"/>
        <w:jc w:val="right"/>
        <w:rPr>
          <w:sz w:val="14"/>
        </w:rPr>
      </w:pPr>
      <w:r>
        <w:rPr>
          <w:spacing w:val="-1"/>
          <w:sz w:val="14"/>
        </w:rPr>
        <w:t>400</w:t>
      </w:r>
    </w:p>
    <w:p>
      <w:pPr>
        <w:pStyle w:val="BodyText"/>
        <w:rPr>
          <w:sz w:val="16"/>
        </w:rPr>
      </w:pPr>
    </w:p>
    <w:p>
      <w:pPr>
        <w:spacing w:before="102"/>
        <w:ind w:left="0" w:right="112" w:firstLine="0"/>
        <w:jc w:val="right"/>
        <w:rPr>
          <w:sz w:val="14"/>
        </w:rPr>
      </w:pPr>
      <w:r>
        <w:rPr>
          <w:spacing w:val="-1"/>
          <w:sz w:val="14"/>
        </w:rPr>
        <w:t>200</w:t>
      </w:r>
    </w:p>
    <w:p>
      <w:pPr>
        <w:spacing w:before="76"/>
        <w:ind w:left="0" w:right="728" w:firstLine="0"/>
        <w:jc w:val="right"/>
        <w:rPr>
          <w:sz w:val="16"/>
        </w:rPr>
      </w:pPr>
      <w:r>
        <w:rPr/>
        <w:br w:type="column"/>
      </w:r>
      <w:r>
        <w:rPr>
          <w:sz w:val="16"/>
        </w:rPr>
        <w:t>£</w:t>
      </w:r>
      <w:r>
        <w:rPr>
          <w:spacing w:val="-19"/>
          <w:sz w:val="16"/>
        </w:rPr>
        <w:t> </w:t>
      </w:r>
      <w:r>
        <w:rPr>
          <w:spacing w:val="5"/>
          <w:sz w:val="16"/>
        </w:rPr>
        <w:t>blns</w:t>
      </w:r>
    </w:p>
    <w:p>
      <w:pPr>
        <w:spacing w:before="32"/>
        <w:ind w:left="0" w:right="697" w:firstLine="0"/>
        <w:jc w:val="right"/>
        <w:rPr>
          <w:sz w:val="16"/>
        </w:rPr>
      </w:pPr>
      <w:r>
        <w:rPr/>
        <w:drawing>
          <wp:anchor distT="0" distB="0" distL="0" distR="0" allowOverlap="1" layoutInCell="1" locked="0" behindDoc="0" simplePos="0" relativeHeight="251710464">
            <wp:simplePos x="0" y="0"/>
            <wp:positionH relativeFrom="page">
              <wp:posOffset>4058411</wp:posOffset>
            </wp:positionH>
            <wp:positionV relativeFrom="paragraph">
              <wp:posOffset>78004</wp:posOffset>
            </wp:positionV>
            <wp:extent cx="2167127" cy="1481327"/>
            <wp:effectExtent l="0" t="0" r="0" b="0"/>
            <wp:wrapNone/>
            <wp:docPr id="7" name="image11.png"/>
            <wp:cNvGraphicFramePr>
              <a:graphicFrameLocks noChangeAspect="1"/>
            </wp:cNvGraphicFramePr>
            <a:graphic>
              <a:graphicData uri="http://schemas.openxmlformats.org/drawingml/2006/picture">
                <pic:pic>
                  <pic:nvPicPr>
                    <pic:cNvPr id="8" name="image11.png"/>
                    <pic:cNvPicPr/>
                  </pic:nvPicPr>
                  <pic:blipFill>
                    <a:blip r:embed="rId17" cstate="print"/>
                    <a:stretch>
                      <a:fillRect/>
                    </a:stretch>
                  </pic:blipFill>
                  <pic:spPr>
                    <a:xfrm>
                      <a:off x="0" y="0"/>
                      <a:ext cx="2167127" cy="1481327"/>
                    </a:xfrm>
                    <a:prstGeom prst="rect">
                      <a:avLst/>
                    </a:prstGeom>
                  </pic:spPr>
                </pic:pic>
              </a:graphicData>
            </a:graphic>
          </wp:anchor>
        </w:drawing>
      </w:r>
      <w:r>
        <w:rPr>
          <w:w w:val="90"/>
          <w:sz w:val="16"/>
        </w:rPr>
        <w:t>60</w:t>
      </w:r>
    </w:p>
    <w:p>
      <w:pPr>
        <w:pStyle w:val="BodyText"/>
        <w:spacing w:before="2"/>
        <w:rPr>
          <w:sz w:val="18"/>
        </w:rPr>
      </w:pPr>
    </w:p>
    <w:p>
      <w:pPr>
        <w:spacing w:before="1"/>
        <w:ind w:left="0" w:right="697" w:firstLine="0"/>
        <w:jc w:val="right"/>
        <w:rPr>
          <w:sz w:val="16"/>
        </w:rPr>
      </w:pPr>
      <w:r>
        <w:rPr>
          <w:w w:val="90"/>
          <w:sz w:val="16"/>
        </w:rPr>
        <w:t>50</w:t>
      </w:r>
    </w:p>
    <w:p>
      <w:pPr>
        <w:pStyle w:val="BodyText"/>
        <w:spacing w:before="11"/>
        <w:rPr>
          <w:sz w:val="16"/>
        </w:rPr>
      </w:pPr>
    </w:p>
    <w:p>
      <w:pPr>
        <w:spacing w:before="0"/>
        <w:ind w:left="0" w:right="697" w:firstLine="0"/>
        <w:jc w:val="right"/>
        <w:rPr>
          <w:sz w:val="16"/>
        </w:rPr>
      </w:pPr>
      <w:r>
        <w:rPr>
          <w:w w:val="90"/>
          <w:sz w:val="16"/>
        </w:rPr>
        <w:t>40</w:t>
      </w:r>
    </w:p>
    <w:p>
      <w:pPr>
        <w:pStyle w:val="BodyText"/>
        <w:spacing w:before="2"/>
        <w:rPr>
          <w:sz w:val="18"/>
        </w:rPr>
      </w:pPr>
    </w:p>
    <w:p>
      <w:pPr>
        <w:spacing w:before="0"/>
        <w:ind w:left="0" w:right="697" w:firstLine="0"/>
        <w:jc w:val="right"/>
        <w:rPr>
          <w:sz w:val="16"/>
        </w:rPr>
      </w:pPr>
      <w:r>
        <w:rPr>
          <w:w w:val="90"/>
          <w:sz w:val="16"/>
        </w:rPr>
        <w:t>30</w:t>
      </w:r>
    </w:p>
    <w:p>
      <w:pPr>
        <w:pStyle w:val="BodyText"/>
        <w:rPr>
          <w:sz w:val="17"/>
        </w:rPr>
      </w:pPr>
    </w:p>
    <w:p>
      <w:pPr>
        <w:spacing w:before="0"/>
        <w:ind w:left="0" w:right="697" w:firstLine="0"/>
        <w:jc w:val="right"/>
        <w:rPr>
          <w:sz w:val="16"/>
        </w:rPr>
      </w:pPr>
      <w:r>
        <w:rPr>
          <w:w w:val="90"/>
          <w:sz w:val="16"/>
        </w:rPr>
        <w:t>20</w:t>
      </w:r>
    </w:p>
    <w:p>
      <w:pPr>
        <w:pStyle w:val="BodyText"/>
        <w:spacing w:before="7"/>
        <w:rPr>
          <w:sz w:val="18"/>
        </w:rPr>
      </w:pPr>
    </w:p>
    <w:p>
      <w:pPr>
        <w:spacing w:before="1"/>
        <w:ind w:left="0" w:right="697" w:firstLine="0"/>
        <w:jc w:val="right"/>
        <w:rPr>
          <w:sz w:val="16"/>
        </w:rPr>
      </w:pPr>
      <w:r>
        <w:rPr>
          <w:w w:val="90"/>
          <w:sz w:val="16"/>
        </w:rPr>
        <w:t>10</w:t>
      </w:r>
    </w:p>
    <w:p>
      <w:pPr>
        <w:spacing w:after="0"/>
        <w:jc w:val="right"/>
        <w:rPr>
          <w:sz w:val="16"/>
        </w:rPr>
        <w:sectPr>
          <w:type w:val="continuous"/>
          <w:pgSz w:w="11910" w:h="16840"/>
          <w:pgMar w:top="1180" w:bottom="280" w:left="1140" w:right="1180"/>
          <w:cols w:num="2" w:equalWidth="0">
            <w:col w:w="4536" w:space="40"/>
            <w:col w:w="5014"/>
          </w:cols>
        </w:sectPr>
      </w:pPr>
    </w:p>
    <w:p>
      <w:pPr>
        <w:pStyle w:val="BodyText"/>
        <w:spacing w:before="11"/>
        <w:rPr>
          <w:sz w:val="8"/>
        </w:rPr>
      </w:pPr>
    </w:p>
    <w:p>
      <w:pPr>
        <w:spacing w:after="0"/>
        <w:rPr>
          <w:sz w:val="8"/>
        </w:rPr>
        <w:sectPr>
          <w:type w:val="continuous"/>
          <w:pgSz w:w="11910" w:h="16840"/>
          <w:pgMar w:top="1180" w:bottom="280" w:left="1140" w:right="1180"/>
        </w:sectPr>
      </w:pPr>
    </w:p>
    <w:p>
      <w:pPr>
        <w:pStyle w:val="BodyText"/>
        <w:rPr>
          <w:sz w:val="16"/>
        </w:rPr>
      </w:pPr>
    </w:p>
    <w:p>
      <w:pPr>
        <w:pStyle w:val="BodyText"/>
        <w:rPr>
          <w:sz w:val="16"/>
        </w:rPr>
      </w:pPr>
    </w:p>
    <w:p>
      <w:pPr>
        <w:pStyle w:val="BodyText"/>
        <w:rPr>
          <w:sz w:val="16"/>
        </w:rPr>
      </w:pPr>
    </w:p>
    <w:p>
      <w:pPr>
        <w:pStyle w:val="BodyText"/>
        <w:spacing w:before="3"/>
        <w:rPr>
          <w:sz w:val="18"/>
        </w:rPr>
      </w:pPr>
    </w:p>
    <w:p>
      <w:pPr>
        <w:tabs>
          <w:tab w:pos="1394" w:val="left" w:leader="none"/>
          <w:tab w:pos="2051" w:val="left" w:leader="none"/>
          <w:tab w:pos="2699" w:val="left" w:leader="none"/>
          <w:tab w:pos="3357" w:val="left" w:leader="none"/>
        </w:tabs>
        <w:spacing w:before="0"/>
        <w:ind w:left="736" w:right="0" w:firstLine="0"/>
        <w:jc w:val="left"/>
        <w:rPr>
          <w:sz w:val="14"/>
        </w:rPr>
      </w:pPr>
      <w:r>
        <w:rPr>
          <w:sz w:val="14"/>
        </w:rPr>
        <w:t>1998</w:t>
        <w:tab/>
        <w:t>2000</w:t>
        <w:tab/>
        <w:t>2002</w:t>
        <w:tab/>
        <w:t>2004</w:t>
        <w:tab/>
      </w:r>
      <w:r>
        <w:rPr>
          <w:spacing w:val="-5"/>
          <w:sz w:val="14"/>
        </w:rPr>
        <w:t>2006</w:t>
      </w:r>
    </w:p>
    <w:p>
      <w:pPr>
        <w:spacing w:before="107"/>
        <w:ind w:left="655" w:right="0" w:firstLine="0"/>
        <w:jc w:val="left"/>
        <w:rPr>
          <w:sz w:val="18"/>
        </w:rPr>
      </w:pPr>
      <w:r>
        <w:rPr>
          <w:sz w:val="18"/>
        </w:rPr>
        <w:t>Source: Bloomberg, Bank of England</w:t>
      </w:r>
    </w:p>
    <w:p>
      <w:pPr>
        <w:spacing w:before="105"/>
        <w:ind w:left="533" w:right="0" w:firstLine="0"/>
        <w:jc w:val="left"/>
        <w:rPr>
          <w:sz w:val="14"/>
        </w:rPr>
      </w:pPr>
      <w:r>
        <w:rPr/>
        <w:br w:type="column"/>
      </w:r>
      <w:r>
        <w:rPr>
          <w:sz w:val="14"/>
        </w:rPr>
        <w:t>0</w:t>
      </w:r>
    </w:p>
    <w:p>
      <w:pPr>
        <w:pStyle w:val="BodyText"/>
        <w:rPr>
          <w:sz w:val="16"/>
        </w:rPr>
      </w:pPr>
    </w:p>
    <w:p>
      <w:pPr>
        <w:spacing w:before="101"/>
        <w:ind w:left="533" w:right="0" w:firstLine="0"/>
        <w:jc w:val="left"/>
        <w:rPr>
          <w:sz w:val="14"/>
        </w:rPr>
      </w:pPr>
      <w:r>
        <w:rPr>
          <w:sz w:val="14"/>
        </w:rPr>
        <w:t>­200</w:t>
      </w:r>
    </w:p>
    <w:p>
      <w:pPr>
        <w:spacing w:before="92"/>
        <w:ind w:left="4224" w:right="0" w:firstLine="0"/>
        <w:jc w:val="left"/>
        <w:rPr>
          <w:sz w:val="16"/>
        </w:rPr>
      </w:pPr>
      <w:r>
        <w:rPr/>
        <w:br w:type="column"/>
      </w:r>
      <w:r>
        <w:rPr>
          <w:sz w:val="16"/>
        </w:rPr>
        <w:t>0</w:t>
      </w:r>
    </w:p>
    <w:p>
      <w:pPr>
        <w:spacing w:before="46"/>
        <w:ind w:left="610" w:right="0" w:firstLine="0"/>
        <w:jc w:val="left"/>
        <w:rPr>
          <w:sz w:val="16"/>
        </w:rPr>
      </w:pPr>
      <w:r>
        <w:rPr>
          <w:sz w:val="16"/>
        </w:rPr>
        <w:t>2000 2001 2002 2003 2004 2005 2006 2007</w:t>
      </w:r>
    </w:p>
    <w:p>
      <w:pPr>
        <w:spacing w:before="126"/>
        <w:ind w:left="499" w:right="0" w:firstLine="0"/>
        <w:jc w:val="left"/>
        <w:rPr>
          <w:sz w:val="18"/>
        </w:rPr>
      </w:pPr>
      <w:r>
        <w:rPr>
          <w:sz w:val="18"/>
        </w:rPr>
        <w:t>Source: Dealogic</w:t>
      </w:r>
    </w:p>
    <w:p>
      <w:pPr>
        <w:spacing w:after="0"/>
        <w:jc w:val="left"/>
        <w:rPr>
          <w:sz w:val="18"/>
        </w:rPr>
        <w:sectPr>
          <w:type w:val="continuous"/>
          <w:pgSz w:w="11910" w:h="16840"/>
          <w:pgMar w:top="1180" w:bottom="280" w:left="1140" w:right="1180"/>
          <w:cols w:num="3" w:equalWidth="0">
            <w:col w:w="3639" w:space="40"/>
            <w:col w:w="791" w:space="39"/>
            <w:col w:w="5081"/>
          </w:cols>
        </w:sectPr>
      </w:pPr>
    </w:p>
    <w:p>
      <w:pPr>
        <w:pStyle w:val="BodyText"/>
        <w:spacing w:before="3"/>
        <w:rPr>
          <w:sz w:val="23"/>
        </w:rPr>
      </w:pPr>
    </w:p>
    <w:p>
      <w:pPr>
        <w:spacing w:after="0"/>
        <w:rPr>
          <w:sz w:val="23"/>
        </w:rPr>
        <w:sectPr>
          <w:pgSz w:w="11910" w:h="16840"/>
          <w:pgMar w:header="713" w:footer="0" w:top="1340" w:bottom="280" w:left="1140" w:right="1180"/>
        </w:sectPr>
      </w:pPr>
    </w:p>
    <w:p>
      <w:pPr>
        <w:pStyle w:val="Heading1"/>
        <w:spacing w:before="90"/>
        <w:ind w:right="-14"/>
      </w:pPr>
      <w:r>
        <w:rPr/>
        <w:t>Chart 11: Gross corporate bond issuance by UK private non­financial companies (all currencies)</w:t>
      </w:r>
    </w:p>
    <w:p>
      <w:pPr>
        <w:spacing w:line="242" w:lineRule="auto" w:before="90"/>
        <w:ind w:left="507" w:right="568" w:firstLine="0"/>
        <w:jc w:val="left"/>
        <w:rPr>
          <w:b/>
          <w:sz w:val="24"/>
        </w:rPr>
      </w:pPr>
      <w:r>
        <w:rPr/>
        <w:br w:type="column"/>
      </w:r>
      <w:r>
        <w:rPr>
          <w:b/>
          <w:sz w:val="24"/>
        </w:rPr>
        <w:t>Chart 12: Basis between credit spreads on bonds and credit default swaps</w:t>
      </w:r>
    </w:p>
    <w:p>
      <w:pPr>
        <w:spacing w:after="0" w:line="242" w:lineRule="auto"/>
        <w:jc w:val="left"/>
        <w:rPr>
          <w:sz w:val="24"/>
        </w:rPr>
        <w:sectPr>
          <w:type w:val="continuous"/>
          <w:pgSz w:w="11910" w:h="16840"/>
          <w:pgMar w:top="1180" w:bottom="280" w:left="1140" w:right="1180"/>
          <w:cols w:num="2" w:equalWidth="0">
            <w:col w:w="4462" w:space="40"/>
            <w:col w:w="5088"/>
          </w:cols>
        </w:sectPr>
      </w:pPr>
    </w:p>
    <w:p>
      <w:pPr>
        <w:spacing w:before="93"/>
        <w:ind w:left="0" w:right="76" w:firstLine="0"/>
        <w:jc w:val="right"/>
        <w:rPr>
          <w:sz w:val="15"/>
        </w:rPr>
      </w:pPr>
      <w:r>
        <w:rPr>
          <w:sz w:val="15"/>
        </w:rPr>
        <w:t>£, billions</w:t>
      </w:r>
    </w:p>
    <w:p>
      <w:pPr>
        <w:spacing w:before="43"/>
        <w:ind w:left="0" w:right="0" w:firstLine="0"/>
        <w:jc w:val="right"/>
        <w:rPr>
          <w:sz w:val="15"/>
        </w:rPr>
      </w:pPr>
      <w:r>
        <w:rPr/>
        <w:pict>
          <v:group style="position:absolute;margin-left:101.879997pt;margin-top:6.331141pt;width:168.5pt;height:114.75pt;mso-position-horizontal-relative:page;mso-position-vertical-relative:paragraph;z-index:251713536" coordorigin="2038,127" coordsize="3370,2295">
            <v:shape style="position:absolute;left:8500;top:-43891;width:14020;height:9540" coordorigin="8500,-43890" coordsize="14020,9540" path="m5357,129l5357,2419,5405,2419m5357,2039l5405,2039m5357,1651l5405,1651m5357,1271l5405,1271m5357,897l5405,897m5357,508l5405,508m5357,129l5405,129m2040,2419l5357,2419m2040,2419l2040,2371m2722,2419l2722,2371m3418,2419l3418,2371m4099,2419l4099,2371m4786,2419l4786,2371e" filled="false" stroked="true" strokeweight=".24pt" strokecolor="#000000">
              <v:path arrowok="t"/>
              <v:stroke dashstyle="solid"/>
            </v:shape>
            <v:shape style="position:absolute;left:2064;top:556;width:3269;height:1824" coordorigin="2064,556" coordsize="3269,1824" path="m2064,2356l2126,1785,2184,2236,2237,1795,2294,2284,2357,1881,2405,1358,2467,2135,2530,2111,2587,1747,2635,1238,2698,1919,2760,2260,2808,2246,2870,556,2928,2198,2981,2198,3038,2063,3101,2284,3149,2380,3211,2135,3274,2111,3331,1247,3379,2006,3442,2174,3504,2006,3552,2015,3614,2332,3677,2246,3725,1723,3782,2087,3845,2284,3893,2102,3955,1737,4018,1881,4066,1795,4128,2347,4186,1641,4248,1699,4296,2212,4358,2087,4421,1713,4469,2164,4526,2188,4589,1214,4637,1905,4699,1492,4762,1809,4810,2236,4872,2006,4930,2039,4992,1847,5040,1857,5102,1175,5165,2164,5213,2380,5275,2135,5333,2371e" filled="false" stroked="true" strokeweight="1.2pt" strokecolor="#0e0080">
              <v:path arrowok="t"/>
              <v:stroke dashstyle="solid"/>
            </v:shape>
            <w10:wrap type="none"/>
          </v:group>
        </w:pict>
      </w:r>
      <w:r>
        <w:rPr>
          <w:w w:val="95"/>
          <w:sz w:val="15"/>
        </w:rPr>
        <w:t>12</w:t>
      </w:r>
    </w:p>
    <w:p>
      <w:pPr>
        <w:pStyle w:val="BodyText"/>
        <w:rPr>
          <w:sz w:val="18"/>
        </w:rPr>
      </w:pPr>
    </w:p>
    <w:p>
      <w:pPr>
        <w:spacing w:before="0"/>
        <w:ind w:left="0" w:right="0" w:firstLine="0"/>
        <w:jc w:val="right"/>
        <w:rPr>
          <w:sz w:val="15"/>
        </w:rPr>
      </w:pPr>
      <w:r>
        <w:rPr>
          <w:w w:val="95"/>
          <w:sz w:val="15"/>
        </w:rPr>
        <w:t>10</w:t>
      </w:r>
    </w:p>
    <w:p>
      <w:pPr>
        <w:pStyle w:val="BodyText"/>
        <w:spacing w:before="9"/>
        <w:rPr>
          <w:sz w:val="18"/>
        </w:rPr>
      </w:pPr>
    </w:p>
    <w:p>
      <w:pPr>
        <w:spacing w:before="1"/>
        <w:ind w:left="0" w:right="70" w:firstLine="0"/>
        <w:jc w:val="right"/>
        <w:rPr>
          <w:sz w:val="15"/>
        </w:rPr>
      </w:pPr>
      <w:r>
        <w:rPr>
          <w:w w:val="96"/>
          <w:sz w:val="15"/>
        </w:rPr>
        <w:t>8</w:t>
      </w:r>
    </w:p>
    <w:p>
      <w:pPr>
        <w:pStyle w:val="BodyText"/>
        <w:rPr>
          <w:sz w:val="14"/>
        </w:rPr>
      </w:pPr>
      <w:r>
        <w:rPr/>
        <w:br w:type="column"/>
      </w:r>
      <w:r>
        <w:rPr>
          <w:sz w:val="14"/>
        </w:rPr>
      </w:r>
    </w:p>
    <w:p>
      <w:pPr>
        <w:spacing w:before="123"/>
        <w:ind w:left="0" w:right="713" w:firstLine="0"/>
        <w:jc w:val="right"/>
        <w:rPr>
          <w:sz w:val="13"/>
        </w:rPr>
      </w:pPr>
      <w:r>
        <w:rPr>
          <w:sz w:val="13"/>
        </w:rPr>
        <w:t>basis points</w:t>
      </w:r>
    </w:p>
    <w:p>
      <w:pPr>
        <w:spacing w:before="9"/>
        <w:ind w:left="0" w:right="757" w:firstLine="0"/>
        <w:jc w:val="right"/>
        <w:rPr>
          <w:sz w:val="13"/>
        </w:rPr>
      </w:pPr>
      <w:r>
        <w:rPr/>
        <w:pict>
          <v:group style="position:absolute;margin-left:319.079987pt;margin-top:4.424251pt;width:165.6pt;height:135.85pt;mso-position-horizontal-relative:page;mso-position-vertical-relative:paragraph;z-index:251716608" coordorigin="6382,88" coordsize="3312,2717">
            <v:shape style="position:absolute;left:26640;top:-43518;width:13740;height:11300" coordorigin="26640,-43518" coordsize="13740,11300" path="m9658,91l9658,2803,9691,2803m9658,2462l9691,2462m9658,2131l9691,2131m9658,1785l9691,1785m9658,1454l9691,1454m9658,1108l9691,1108m9658,768l9691,768m9658,436l9691,436m9658,91l9691,91m6394,2803l9658,2803m6394,2803l6394,2769m6811,2803l6811,2769m7238,2803l7238,2769m7670,2803l7670,2769m8098,2803l8098,2769m8530,2803l8530,2769m8942,2803l8942,2769m9374,2803l9374,2769e" filled="false" stroked="true" strokeweight=".24pt" strokecolor="#000000">
              <v:path arrowok="t"/>
              <v:stroke dashstyle="solid"/>
            </v:shape>
            <v:line style="position:absolute" from="6394,1809" to="6408,1824" stroked="true" strokeweight="1.2pt" strokecolor="#ff00ff">
              <v:stroke dashstyle="solid"/>
            </v:line>
            <v:shape style="position:absolute;left:6408;top:263;width:3236;height:1647" coordorigin="6408,264" coordsize="3236,1647" path="m6408,1824l6408,1761,6408,1737,6418,1588,6432,1526,6442,1540,6442,1564,6466,1612,6466,1603,6466,1579,6480,1526,6494,1526,6494,1492,6504,1468,6504,1478,6504,1468,6518,1392,6528,1406,6528,1329,6542,1296,6542,1344,6552,1382,6566,1358,6566,1468,6566,1478,6576,1492,6590,1454,6590,1526,6605,1492,6605,1454,6605,1440,6629,1430,6629,1454,6638,1430,6638,1440,6653,1502,6662,1516,6662,1502,6662,1468,6677,1468,6686,1478,6686,1454,6701,1406,6701,1416,6701,1392,6725,1358,6725,1392,6725,1358,6739,1392,6739,1406,6749,1075,6763,1084,6763,1075,6773,1108,6787,1161,6787,1137,6797,1161,6797,1209,6797,1219,6826,1171,6826,1195,6826,1219,6835,1248,6835,1209,6850,1171,6859,1147,6859,1137,6859,1099,6874,1099,6883,1099,6883,1108,6898,1108,6898,1161,6898,1185,6922,1209,6922,1171,6922,1185,6931,1233,6931,1281,6946,1305,6960,1329,6960,1281,6960,1272,6970,1296,6984,1305,6984,1272,6994,1281,6994,1248,6994,1209,7018,1219,7018,1171,7018,1137,7032,1209,7042,1147,7056,1248,7056,1209,7056,1248,7070,1296,7080,1161,7094,1233,7094,1281,7118,1209,7118,1137,7118,1171,7128,1137,7128,1171,7142,1185,7152,1099,7152,1051,7166,1022,7181,1036,7190,1022,7190,1012,7190,964,7214,950,7214,1036,7214,1084,7229,1171,7229,1209,7238,1209,7253,1060,7253,1099,7262,1123,7277,1137,7277,1099,7291,1051,7291,1022,7291,988,7315,974,7315,988,7315,1075,7325,1084,7325,1060,7339,1084,7349,1051,7349,1036,7349,1084,7363,1108,7373,1099,7373,1075,7387,1075,7387,1051,7387,1075,7411,1036,7411,1051,7411,1036,7426,1022,7426,998,7435,1012,7450,1012,7450,1060,7450,1075,7459,1075,7474,1075,7474,1099,7483,1075,7483,1084,7512,1084,7512,1075,7522,1147,7522,1171,7546,1161,7546,1084,7560,1108,7570,1084,7570,1099,7584,1137,7584,1108,7594,1123,7608,1060,7608,1051,7608,840,7622,816,7622,830,7632,854,7646,864,7646,816,7656,792,7670,840,7670,830,7680,864,7680,878,7694,854,7704,864,7718,912,7718,902,7733,864,7742,830,7742,864,7757,854,7766,830,7781,816,7781,840,7790,878,7805,854,7805,902,7805,974,7814,950,7814,940,7829,940,7843,950,7843,902,7843,940,7853,912,7867,912,7877,902,7877,912,7891,902,7901,902,7901,926,7915,940,7925,888,7939,888,7939,902,7949,950,7963,964,7963,974,7978,988,7978,912,7987,912,8002,902,8002,912,8002,940,8011,912,8011,926,8026,926,8035,912,8035,940,8050,940,8050,926,8059,912,8074,902,8074,888,8088,902,8098,1075,8098,1060,8112,1051,8112,988,8122,1022,8136,1012,8136,998,8146,1036,8146,1022,8160,1036,8170,1051,8184,1036,8198,1036,8198,1051,8208,1060,8208,1036,8208,1012,8222,998,8232,998,8232,988,8246,1036,8246,1075,8256,1075,8270,1108,8270,1084,8280,1084,8294,1060,8309,1084,8309,1108,8333,1108,8333,1123,8342,1108,8357,1108,8357,998,8366,1022,8366,988,8381,988,8390,912,8390,1012,8405,1084,8405,1161,8419,1161,8429,1051,8429,964,8443,1075,8443,1051,8453,1099,8453,940,8467,1051,8467,1022,8477,1012,8491,988,8491,940,8501,888,8501,902,8501,888,8515,888,8530,940,8530,926,8539,950,8554,950,8563,950,8563,974,8563,950,8578,950,8587,1012,8587,1036,8602,1036,8602,998,8602,1012,8611,1012,8626,1012,8626,988,8640,950,8640,940,8650,998,8664,974,8664,964,8664,950,8674,964,8688,950,8688,974,8698,974,8698,964,8698,988,8712,950,8722,926,8722,912,8736,902,8736,940,8750,940,8760,926,8760,940,8760,926,8774,912,8784,926,8798,902,8798,964,8798,950,8808,940,8822,940,8822,912,8832,864,8846,912,8861,878,8861,912,8861,940,8870,988,8885,974,8885,988,8894,940,8894,902,8894,864,8918,878,8918,926,8918,912,8933,926,8933,878,8942,912,8957,926,8957,864,8966,830,8981,816,8981,768,8995,633,8995,768,8995,753,9019,816,9019,691,9019,532,9029,609,9029,470,9043,446,9053,388,9053,436,9053,278,9067,288,9077,264,9077,580,9091,508,9091,619,9091,595,9115,580,9115,753,9115,864,9130,816,9130,878,9139,964,9154,926,9154,912,9154,864,9163,1219,9178,1233,9178,1344,9187,1416,9187,1368,9187,1406,9216,1416,9216,1281,9216,1329,9226,1329,9226,1478,9250,1468,9250,1478,9264,1454,9274,1358,9274,1430,9288,1440,9288,1502,9288,1526,9312,1502,9312,1627,9312,1660,9326,1382,9326,1416,9336,1392,9350,1305,9350,1281,9350,1257,9360,1185,9374,1272,9374,1305,9384,1329,9384,1358,9384,1392,9408,1392,9408,1358,9422,1358,9422,1305,9437,1233,9446,1209,9446,1161,9461,1137,9470,1209,9470,1296,9485,1233,9485,1248,9485,1219,9509,1272,9509,1248,9509,1305,9518,1233,9518,1209,9533,1257,9547,1296,9547,1248,9557,1358,9571,1416,9581,1478,9605,1516,9605,1603,9605,1737,9619,1881,9629,1872,9643,1910,9643,1857,9643,1881e" filled="false" stroked="true" strokeweight="1.2pt" strokecolor="#ff00ff">
              <v:path arrowok="t"/>
              <v:stroke dashstyle="solid"/>
            </v:shape>
            <v:line style="position:absolute" from="9643,1881" to="9658,1958" stroked="true" strokeweight="1.2pt" strokecolor="#ff00ff">
              <v:stroke dashstyle="solid"/>
            </v:line>
            <v:line style="position:absolute" from="6394,1108" to="6408,1108" stroked="true" strokeweight=".48pt" strokecolor="#000000">
              <v:stroke dashstyle="solid"/>
            </v:line>
            <v:line style="position:absolute" from="6403,1108" to="9662,1108" stroked="true" strokeweight=".48pt" strokecolor="#000000">
              <v:stroke dashstyle="solid"/>
            </v:line>
            <v:line style="position:absolute" from="6394,1636" to="6408,1612" stroked="true" strokeweight="1.2pt" strokecolor="#000080">
              <v:stroke dashstyle="solid"/>
            </v:line>
            <v:shape style="position:absolute;left:6408;top:777;width:3236;height:1695" coordorigin="6408,777" coordsize="3236,1695" path="m6408,1612l6408,1588,6408,1526,6418,1502,6432,1492,6432,1468,6442,1468,6442,1526,6466,1526,6466,1516,6466,1492,6480,1478,6494,1454,6494,1430,6504,1382,6504,1368,6518,1368,6528,1382,6542,1382,6542,1392,6552,1368,6566,1368,6566,1358,6576,1329,6590,1344,6590,1358,6605,1344,6605,1358,6605,1368,6629,1368,6629,1416,6638,1382,6638,1344,6653,1344,6662,1382,6662,1358,6677,1526,6686,1526,6686,1540,6701,1526,6701,1550,6701,1526,6725,1540,6725,1603,6725,1588,6739,1660,6749,1588,6763,1540,6773,1540,6787,1540,6787,1516,6797,1540,6797,1526,6797,1550,6826,1550,6826,1579,6835,1564,6835,1526,6850,1564,6859,1603,6859,1588,6859,1603,6874,1603,6883,1612,6883,1660,6898,1651,6922,1651,6922,1636,6922,1675,6931,1699,6931,1737,6946,1699,6960,1713,6960,1660,6960,1627,6970,1689,6984,1675,6994,1660,6994,1627,6994,1603,7018,1588,7018,1603,7018,1564,7032,1612,7042,1603,7056,1588,7056,1603,7056,1651,7070,1660,7080,1564,7094,1603,7094,1636,7094,1689,7118,1612,7118,1627,7118,1603,7128,1603,7142,1579,7152,1564,7152,1492,7152,1550,7166,1492,7181,1492,7181,1526,7190,1526,7190,1492,7190,1454,7214,1478,7214,1502,7214,1540,7229,1627,7229,1675,7238,1660,7253,1603,7253,1636,7262,1636,7277,1612,7291,1550,7291,1516,7291,1550,7315,1564,7315,1550,7315,1603,7325,1588,7325,1550,7339,1564,7349,1550,7349,1540,7349,1526,7363,1564,7373,1526,7373,1502,7387,1516,7387,1492,7387,1540,7411,1516,7411,1502,7426,1502,7435,1478,7450,1502,7450,1550,7459,1550,7474,1526,7483,1526,7483,1540,7512,1526,7512,1516,7512,1526,7522,1579,7522,1603,7546,1588,7546,1540,7560,1550,7570,1540,7570,1579,7584,1579,7584,1564,7594,1564,7608,1540,7608,1564,7608,1660,7622,1689,7622,1699,7632,1723,7646,1699,7646,1689,7646,1660,7656,1651,7670,1564,7670,1550,7680,1588,7680,1564,7694,1526,7704,1492,7718,1502,7718,1492,7733,1502,7742,1492,7742,1502,7757,1502,7766,1492,7766,1502,7781,1516,7781,1540,7790,1550,7805,1526,7805,1588,7805,1612,7814,1588,7814,1540,7829,1564,7843,1564,7853,1564,7867,1564,7877,1526,7877,1516,7891,1550,7901,1550,7901,1564,7901,1579,7915,1564,7925,1550,7939,1579,7939,1564,7949,1564,7963,1579,7963,1550,7978,1516,7978,1526,7987,1492,8002,1502,8002,1526,8002,1492,8011,1492,8011,1478,8026,1478,8035,1478,8035,1492,8050,1502,8050,1468,8059,1468,8074,1454,8074,1430,8088,1430,8098,1492,8112,1502,8112,1492,8122,1502,8136,1502,8136,1492,8146,1478,8160,1492,8170,1468,8170,1502,8184,1468,8198,1492,8198,1468,8208,1502,8208,1454,8208,1468,8222,1454,8232,1454,8232,1516,8246,1502,8246,1516,8256,1526,8256,1550,8270,1564,8270,1550,8280,1516,8294,1502,8294,1516,8309,1579,8333,1588,8342,1588,8342,1603,8357,1588,8357,1516,8366,1603,8366,1540,8381,1526,8390,1478,8390,1564,8405,1588,8405,1627,8405,1550,8419,1588,8429,1564,8429,1588,8443,1550,8443,1526,8453,1526,8453,1478,8467,1540,8467,1526,8477,1502,8491,1492,8491,1416,8501,1406,8501,1392,8515,1392,8530,1368,8530,1382,8539,1382,8554,1344,8563,1368,8563,1358,8563,1368,8578,1358,8587,1392,8587,1406,8602,1440,8602,1454,8602,1430,8611,1440,8626,1430,8626,1406,8640,1368,8640,1358,8650,1392,8664,1392,8664,1368,8664,1358,8674,1368,8688,1368,8698,1358,8698,1368,8698,1358,8712,1344,8722,1329,8736,1305,8736,1296,8750,1305,8760,1296,8760,1305,8774,1305,8784,1296,8798,1296,8798,1305,8798,1296,8808,1305,8822,1305,8822,1320,8832,1272,8832,1305,8846,1296,8861,1248,8861,1296,8870,1305,8885,1305,8885,1320,8894,1233,8894,1272,8894,1219,8918,1248,8918,1233,8918,1320,8933,1233,8942,1257,8957,1248,8957,1195,8966,1171,8981,1185,8981,1051,8995,1084,8995,1051,8995,1099,9019,1108,9019,926,9019,1036,9029,964,9029,988,9043,854,9053,878,9053,854,9053,912,9067,777,9077,988,9077,777,9091,964,9091,988,9091,1022,9115,1233,9115,1329,9115,1502,9130,1430,9130,1478,9139,1468,9154,1440,9154,1468,9154,1651,9163,1603,9178,1660,9178,1824,9187,1824,9187,1785,9187,1761,9216,1723,9216,1675,9216,1699,9226,1689,9226,1910,9250,1910,9250,1881,9264,1910,9274,1920,9288,1872,9288,1824,9288,1848,9312,1809,9312,1968,9312,1992,9326,1934,9326,1982,9336,1934,9350,1910,9350,1944,9350,1920,9360,1857,9374,1872,9374,1896,9384,1944,9384,1934,9408,1944,9408,1920,9422,1881,9422,1857,9437,1872,9446,1848,9446,1881,9446,1958,9461,1881,9470,1992,9470,1968,9485,1920,9485,1944,9485,1982,9509,1958,9509,1934,9518,1881,9518,1958,9533,1992,9547,2020,9547,2030,9547,2116,9557,2179,9571,2188,9581,2140,9581,2251,9581,2241,9605,2275,9605,2352,9605,2376,9619,2299,9629,2376,9643,2424,9643,2438,9643,2472e" filled="false" stroked="true" strokeweight="1.2pt" strokecolor="#000080">
              <v:path arrowok="t"/>
              <v:stroke dashstyle="solid"/>
            </v:shape>
            <v:line style="position:absolute" from="9643,2472" to="9658,2448" stroked="true" strokeweight="1.2pt" strokecolor="#000080">
              <v:stroke dashstyle="solid"/>
            </v:line>
            <v:shape style="position:absolute;left:8198;top:477;width:417;height:148" type="#_x0000_t202" filled="false" stroked="false">
              <v:textbox inset="0,0,0,0">
                <w:txbxContent>
                  <w:p>
                    <w:pPr>
                      <w:spacing w:line="147" w:lineRule="exact" w:before="0"/>
                      <w:ind w:left="0" w:right="0" w:firstLine="0"/>
                      <w:jc w:val="left"/>
                      <w:rPr>
                        <w:sz w:val="13"/>
                      </w:rPr>
                    </w:pPr>
                    <w:r>
                      <w:rPr>
                        <w:color w:val="FF00FF"/>
                        <w:sz w:val="13"/>
                      </w:rPr>
                      <w:t>Europe</w:t>
                    </w:r>
                  </w:p>
                </w:txbxContent>
              </v:textbox>
              <w10:wrap type="none"/>
            </v:shape>
            <v:shape style="position:absolute;left:7300;top:1830;width:191;height:148" type="#_x0000_t202" filled="false" stroked="false">
              <v:textbox inset="0,0,0,0">
                <w:txbxContent>
                  <w:p>
                    <w:pPr>
                      <w:spacing w:line="147" w:lineRule="exact" w:before="0"/>
                      <w:ind w:left="0" w:right="0" w:firstLine="0"/>
                      <w:jc w:val="left"/>
                      <w:rPr>
                        <w:sz w:val="13"/>
                      </w:rPr>
                    </w:pPr>
                    <w:r>
                      <w:rPr>
                        <w:color w:val="000080"/>
                        <w:sz w:val="13"/>
                      </w:rPr>
                      <w:t>US</w:t>
                    </w:r>
                  </w:p>
                </w:txbxContent>
              </v:textbox>
              <w10:wrap type="none"/>
            </v:shape>
            <w10:wrap type="none"/>
          </v:group>
        </w:pict>
      </w:r>
      <w:r>
        <w:rPr>
          <w:spacing w:val="7"/>
          <w:w w:val="95"/>
          <w:sz w:val="13"/>
        </w:rPr>
        <w:t>150</w:t>
      </w:r>
    </w:p>
    <w:p>
      <w:pPr>
        <w:pStyle w:val="BodyText"/>
        <w:spacing w:before="7"/>
        <w:rPr>
          <w:sz w:val="16"/>
        </w:rPr>
      </w:pPr>
    </w:p>
    <w:p>
      <w:pPr>
        <w:spacing w:before="1"/>
        <w:ind w:left="0" w:right="757" w:firstLine="0"/>
        <w:jc w:val="right"/>
        <w:rPr>
          <w:sz w:val="13"/>
        </w:rPr>
      </w:pPr>
      <w:r>
        <w:rPr>
          <w:spacing w:val="7"/>
          <w:w w:val="95"/>
          <w:sz w:val="13"/>
        </w:rPr>
        <w:t>100</w:t>
      </w:r>
    </w:p>
    <w:p>
      <w:pPr>
        <w:pStyle w:val="BodyText"/>
        <w:spacing w:before="2"/>
        <w:rPr>
          <w:sz w:val="16"/>
        </w:rPr>
      </w:pPr>
    </w:p>
    <w:p>
      <w:pPr>
        <w:spacing w:before="0"/>
        <w:ind w:left="0" w:right="834" w:firstLine="0"/>
        <w:jc w:val="right"/>
        <w:rPr>
          <w:sz w:val="13"/>
        </w:rPr>
      </w:pPr>
      <w:r>
        <w:rPr>
          <w:w w:val="95"/>
          <w:sz w:val="13"/>
        </w:rPr>
        <w:t>50</w:t>
      </w:r>
    </w:p>
    <w:p>
      <w:pPr>
        <w:spacing w:after="0"/>
        <w:jc w:val="right"/>
        <w:rPr>
          <w:sz w:val="13"/>
        </w:rPr>
        <w:sectPr>
          <w:type w:val="continuous"/>
          <w:pgSz w:w="11910" w:h="16840"/>
          <w:pgMar w:top="1180" w:bottom="280" w:left="1140" w:right="1180"/>
          <w:cols w:num="2" w:equalWidth="0">
            <w:col w:w="4486" w:space="40"/>
            <w:col w:w="5064"/>
          </w:cols>
        </w:sectPr>
      </w:pPr>
    </w:p>
    <w:p>
      <w:pPr>
        <w:pStyle w:val="BodyText"/>
        <w:spacing w:before="10"/>
        <w:rPr>
          <w:sz w:val="15"/>
        </w:rPr>
      </w:pPr>
    </w:p>
    <w:p>
      <w:pPr>
        <w:spacing w:before="0"/>
        <w:ind w:left="4341" w:right="0" w:firstLine="0"/>
        <w:jc w:val="left"/>
        <w:rPr>
          <w:sz w:val="15"/>
        </w:rPr>
      </w:pPr>
      <w:r>
        <w:rPr>
          <w:w w:val="96"/>
          <w:sz w:val="15"/>
        </w:rPr>
        <w:t>6</w:t>
      </w:r>
    </w:p>
    <w:p>
      <w:pPr>
        <w:pStyle w:val="BodyText"/>
        <w:spacing w:before="11"/>
        <w:rPr>
          <w:sz w:val="17"/>
        </w:rPr>
      </w:pPr>
    </w:p>
    <w:p>
      <w:pPr>
        <w:spacing w:before="0"/>
        <w:ind w:left="4341" w:right="0" w:firstLine="0"/>
        <w:jc w:val="left"/>
        <w:rPr>
          <w:sz w:val="15"/>
        </w:rPr>
      </w:pPr>
      <w:r>
        <w:rPr>
          <w:w w:val="96"/>
          <w:sz w:val="15"/>
        </w:rPr>
        <w:t>4</w:t>
      </w:r>
    </w:p>
    <w:p>
      <w:pPr>
        <w:pStyle w:val="BodyText"/>
        <w:spacing w:before="9"/>
        <w:rPr>
          <w:sz w:val="18"/>
        </w:rPr>
      </w:pPr>
    </w:p>
    <w:p>
      <w:pPr>
        <w:spacing w:before="1"/>
        <w:ind w:left="4341" w:right="0" w:firstLine="0"/>
        <w:jc w:val="left"/>
        <w:rPr>
          <w:sz w:val="15"/>
        </w:rPr>
      </w:pPr>
      <w:r>
        <w:rPr>
          <w:w w:val="96"/>
          <w:sz w:val="15"/>
        </w:rPr>
        <w:t>2</w:t>
      </w:r>
    </w:p>
    <w:p>
      <w:pPr>
        <w:pStyle w:val="BodyText"/>
        <w:spacing w:before="11"/>
        <w:rPr>
          <w:sz w:val="17"/>
        </w:rPr>
      </w:pPr>
    </w:p>
    <w:p>
      <w:pPr>
        <w:spacing w:before="0"/>
        <w:ind w:left="4341" w:right="0" w:firstLine="0"/>
        <w:jc w:val="left"/>
        <w:rPr>
          <w:sz w:val="15"/>
        </w:rPr>
      </w:pPr>
      <w:r>
        <w:rPr>
          <w:w w:val="96"/>
          <w:sz w:val="15"/>
        </w:rPr>
        <w:t>0</w:t>
      </w:r>
    </w:p>
    <w:p>
      <w:pPr>
        <w:tabs>
          <w:tab w:pos="1471" w:val="left" w:leader="none"/>
          <w:tab w:pos="2157" w:val="left" w:leader="none"/>
          <w:tab w:pos="2839" w:val="left" w:leader="none"/>
          <w:tab w:pos="3520" w:val="left" w:leader="none"/>
        </w:tabs>
        <w:spacing w:before="53"/>
        <w:ind w:left="775" w:right="0" w:firstLine="0"/>
        <w:jc w:val="left"/>
        <w:rPr>
          <w:sz w:val="15"/>
        </w:rPr>
      </w:pPr>
      <w:r>
        <w:rPr>
          <w:sz w:val="15"/>
        </w:rPr>
        <w:t>2003</w:t>
        <w:tab/>
        <w:t>2004</w:t>
        <w:tab/>
        <w:t>2005</w:t>
        <w:tab/>
        <w:t>2006</w:t>
        <w:tab/>
        <w:t>2007</w:t>
      </w:r>
    </w:p>
    <w:p>
      <w:pPr>
        <w:spacing w:before="125"/>
        <w:ind w:left="655" w:right="0" w:firstLine="0"/>
        <w:jc w:val="left"/>
        <w:rPr>
          <w:sz w:val="18"/>
        </w:rPr>
      </w:pPr>
      <w:r>
        <w:rPr>
          <w:sz w:val="18"/>
        </w:rPr>
        <w:t>Source: Bank of England</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
        <w:rPr>
          <w:sz w:val="12"/>
        </w:rPr>
      </w:pPr>
    </w:p>
    <w:p>
      <w:pPr>
        <w:tabs>
          <w:tab w:pos="417" w:val="left" w:leader="none"/>
          <w:tab w:pos="1262" w:val="left" w:leader="none"/>
          <w:tab w:pos="2121" w:val="left" w:leader="none"/>
          <w:tab w:pos="2587" w:val="left" w:leader="none"/>
          <w:tab w:pos="2980" w:val="left" w:leader="none"/>
        </w:tabs>
        <w:spacing w:before="0"/>
        <w:ind w:left="0" w:right="0" w:firstLine="0"/>
        <w:jc w:val="right"/>
        <w:rPr>
          <w:sz w:val="13"/>
        </w:rPr>
      </w:pPr>
      <w:r>
        <w:rPr>
          <w:spacing w:val="3"/>
          <w:sz w:val="13"/>
        </w:rPr>
        <w:t>Jan.</w:t>
        <w:tab/>
      </w:r>
      <w:r>
        <w:rPr>
          <w:spacing w:val="6"/>
          <w:sz w:val="13"/>
        </w:rPr>
        <w:t>Apr.   </w:t>
      </w:r>
      <w:r>
        <w:rPr>
          <w:spacing w:val="41"/>
          <w:sz w:val="13"/>
        </w:rPr>
        <w:t> </w:t>
      </w:r>
      <w:r>
        <w:rPr>
          <w:sz w:val="13"/>
        </w:rPr>
        <w:t>Jul.</w:t>
        <w:tab/>
      </w:r>
      <w:r>
        <w:rPr>
          <w:spacing w:val="4"/>
          <w:sz w:val="13"/>
        </w:rPr>
        <w:t>Oct</w:t>
      </w:r>
      <w:r>
        <w:rPr>
          <w:spacing w:val="-16"/>
          <w:sz w:val="13"/>
        </w:rPr>
        <w:t> </w:t>
      </w:r>
      <w:r>
        <w:rPr>
          <w:sz w:val="13"/>
        </w:rPr>
        <w:t>.    </w:t>
      </w:r>
      <w:r>
        <w:rPr>
          <w:spacing w:val="26"/>
          <w:sz w:val="13"/>
        </w:rPr>
        <w:t> </w:t>
      </w:r>
      <w:r>
        <w:rPr>
          <w:spacing w:val="3"/>
          <w:sz w:val="13"/>
        </w:rPr>
        <w:t>Jan.</w:t>
        <w:tab/>
      </w:r>
      <w:r>
        <w:rPr>
          <w:spacing w:val="6"/>
          <w:sz w:val="13"/>
        </w:rPr>
        <w:t>Apr.</w:t>
        <w:tab/>
      </w:r>
      <w:r>
        <w:rPr>
          <w:sz w:val="13"/>
        </w:rPr>
        <w:t>Jul.</w:t>
        <w:tab/>
      </w:r>
      <w:r>
        <w:rPr>
          <w:spacing w:val="6"/>
          <w:w w:val="95"/>
          <w:sz w:val="13"/>
        </w:rPr>
        <w:t>Oct.</w:t>
      </w:r>
    </w:p>
    <w:p>
      <w:pPr>
        <w:pStyle w:val="BodyText"/>
        <w:spacing w:before="7"/>
        <w:rPr>
          <w:sz w:val="11"/>
        </w:rPr>
      </w:pPr>
    </w:p>
    <w:p>
      <w:pPr>
        <w:spacing w:before="0"/>
        <w:ind w:left="0" w:right="53" w:firstLine="0"/>
        <w:jc w:val="right"/>
        <w:rPr>
          <w:sz w:val="16"/>
        </w:rPr>
      </w:pPr>
      <w:r>
        <w:rPr>
          <w:sz w:val="16"/>
        </w:rPr>
        <w:t>Source: JP Morgan Chase &amp; Co and Merrill Lynch.</w:t>
      </w:r>
    </w:p>
    <w:p>
      <w:pPr>
        <w:pStyle w:val="BodyText"/>
        <w:spacing w:before="2"/>
        <w:rPr>
          <w:sz w:val="16"/>
        </w:rPr>
      </w:pPr>
      <w:r>
        <w:rPr/>
        <w:br w:type="column"/>
      </w:r>
      <w:r>
        <w:rPr>
          <w:sz w:val="16"/>
        </w:rPr>
      </w:r>
    </w:p>
    <w:p>
      <w:pPr>
        <w:spacing w:before="1"/>
        <w:ind w:left="211" w:right="0" w:firstLine="0"/>
        <w:jc w:val="left"/>
        <w:rPr>
          <w:sz w:val="13"/>
        </w:rPr>
      </w:pPr>
      <w:r>
        <w:rPr>
          <w:w w:val="96"/>
          <w:sz w:val="13"/>
        </w:rPr>
        <w:t>0</w:t>
      </w:r>
    </w:p>
    <w:p>
      <w:pPr>
        <w:pStyle w:val="BodyText"/>
        <w:spacing w:before="5"/>
        <w:rPr>
          <w:sz w:val="17"/>
        </w:rPr>
      </w:pPr>
    </w:p>
    <w:p>
      <w:pPr>
        <w:spacing w:before="0"/>
        <w:ind w:left="211" w:right="0" w:firstLine="0"/>
        <w:jc w:val="left"/>
        <w:rPr>
          <w:sz w:val="13"/>
        </w:rPr>
      </w:pPr>
      <w:r>
        <w:rPr>
          <w:sz w:val="13"/>
        </w:rPr>
        <w:t>­50</w:t>
      </w:r>
    </w:p>
    <w:p>
      <w:pPr>
        <w:pStyle w:val="BodyText"/>
        <w:spacing w:before="4"/>
        <w:rPr>
          <w:sz w:val="15"/>
        </w:rPr>
      </w:pPr>
    </w:p>
    <w:p>
      <w:pPr>
        <w:spacing w:before="0"/>
        <w:ind w:left="211" w:right="0" w:firstLine="0"/>
        <w:jc w:val="left"/>
        <w:rPr>
          <w:sz w:val="13"/>
        </w:rPr>
      </w:pPr>
      <w:r>
        <w:rPr>
          <w:spacing w:val="7"/>
          <w:sz w:val="13"/>
        </w:rPr>
        <w:t>­100</w:t>
      </w:r>
    </w:p>
    <w:p>
      <w:pPr>
        <w:pStyle w:val="BodyText"/>
        <w:spacing w:before="6"/>
        <w:rPr>
          <w:sz w:val="17"/>
        </w:rPr>
      </w:pPr>
    </w:p>
    <w:p>
      <w:pPr>
        <w:spacing w:before="0"/>
        <w:ind w:left="211" w:right="0" w:firstLine="0"/>
        <w:jc w:val="left"/>
        <w:rPr>
          <w:sz w:val="13"/>
        </w:rPr>
      </w:pPr>
      <w:r>
        <w:rPr>
          <w:spacing w:val="7"/>
          <w:sz w:val="13"/>
        </w:rPr>
        <w:t>­150</w:t>
      </w:r>
    </w:p>
    <w:p>
      <w:pPr>
        <w:pStyle w:val="BodyText"/>
        <w:spacing w:before="9"/>
        <w:rPr>
          <w:sz w:val="15"/>
        </w:rPr>
      </w:pPr>
    </w:p>
    <w:p>
      <w:pPr>
        <w:spacing w:before="0"/>
        <w:ind w:left="211" w:right="0" w:firstLine="0"/>
        <w:jc w:val="left"/>
        <w:rPr>
          <w:sz w:val="13"/>
        </w:rPr>
      </w:pPr>
      <w:r>
        <w:rPr>
          <w:spacing w:val="7"/>
          <w:sz w:val="13"/>
        </w:rPr>
        <w:t>­200</w:t>
      </w:r>
    </w:p>
    <w:p>
      <w:pPr>
        <w:pStyle w:val="BodyText"/>
        <w:spacing w:before="7"/>
        <w:rPr>
          <w:sz w:val="16"/>
        </w:rPr>
      </w:pPr>
    </w:p>
    <w:p>
      <w:pPr>
        <w:spacing w:before="0"/>
        <w:ind w:left="211" w:right="0" w:firstLine="0"/>
        <w:jc w:val="left"/>
        <w:rPr>
          <w:sz w:val="13"/>
        </w:rPr>
      </w:pPr>
      <w:r>
        <w:rPr>
          <w:spacing w:val="7"/>
          <w:sz w:val="13"/>
        </w:rPr>
        <w:t>­250</w:t>
      </w:r>
    </w:p>
    <w:p>
      <w:pPr>
        <w:spacing w:after="0"/>
        <w:jc w:val="left"/>
        <w:rPr>
          <w:sz w:val="13"/>
        </w:rPr>
        <w:sectPr>
          <w:type w:val="continuous"/>
          <w:pgSz w:w="11910" w:h="16840"/>
          <w:pgMar w:top="1180" w:bottom="280" w:left="1140" w:right="1180"/>
          <w:cols w:num="3" w:equalWidth="0">
            <w:col w:w="4414" w:space="40"/>
            <w:col w:w="3908" w:space="39"/>
            <w:col w:w="1189"/>
          </w:cols>
        </w:sectPr>
      </w:pPr>
    </w:p>
    <w:p>
      <w:pPr>
        <w:pStyle w:val="BodyText"/>
        <w:rPr>
          <w:sz w:val="26"/>
        </w:rPr>
      </w:pPr>
    </w:p>
    <w:p>
      <w:pPr>
        <w:pStyle w:val="BodyText"/>
        <w:rPr>
          <w:sz w:val="26"/>
        </w:rPr>
      </w:pPr>
    </w:p>
    <w:p>
      <w:pPr>
        <w:pStyle w:val="BodyText"/>
        <w:spacing w:before="2"/>
        <w:rPr>
          <w:sz w:val="28"/>
        </w:rPr>
      </w:pPr>
    </w:p>
    <w:p>
      <w:pPr>
        <w:pStyle w:val="Heading1"/>
        <w:spacing w:line="242" w:lineRule="auto"/>
        <w:ind w:right="-9"/>
      </w:pPr>
      <w:r>
        <w:rPr/>
        <w:t>Chart 13: Global capital issuance</w:t>
      </w:r>
      <w:r>
        <w:rPr>
          <w:spacing w:val="-14"/>
        </w:rPr>
        <w:t> </w:t>
      </w:r>
      <w:r>
        <w:rPr/>
        <w:t>by tier</w:t>
      </w:r>
    </w:p>
    <w:p>
      <w:pPr>
        <w:pStyle w:val="ListParagraph"/>
        <w:numPr>
          <w:ilvl w:val="0"/>
          <w:numId w:val="1"/>
        </w:numPr>
        <w:tabs>
          <w:tab w:pos="808" w:val="left" w:leader="none"/>
        </w:tabs>
        <w:spacing w:line="240" w:lineRule="auto" w:before="3" w:after="0"/>
        <w:ind w:left="589" w:right="460" w:firstLine="0"/>
        <w:jc w:val="left"/>
        <w:rPr>
          <w:sz w:val="16"/>
        </w:rPr>
      </w:pPr>
      <w:r>
        <w:rPr>
          <w:spacing w:val="2"/>
          <w:w w:val="99"/>
          <w:sz w:val="16"/>
        </w:rPr>
        <w:br w:type="column"/>
      </w:r>
      <w:r>
        <w:rPr>
          <w:sz w:val="16"/>
        </w:rPr>
        <w:t>The difference between: US CDX crossover index and a BB rated US corporate bond index; and European iTraxx crossover index and a European BB­B rated corporate bond index. This is because the iTraxx crossover index has a lower average rating than the CDX</w:t>
      </w:r>
      <w:r>
        <w:rPr>
          <w:spacing w:val="1"/>
          <w:sz w:val="16"/>
        </w:rPr>
        <w:t> </w:t>
      </w:r>
      <w:r>
        <w:rPr>
          <w:sz w:val="16"/>
        </w:rPr>
        <w:t>crossover.</w:t>
      </w:r>
    </w:p>
    <w:p>
      <w:pPr>
        <w:spacing w:after="0" w:line="240" w:lineRule="auto"/>
        <w:jc w:val="left"/>
        <w:rPr>
          <w:sz w:val="16"/>
        </w:rPr>
        <w:sectPr>
          <w:type w:val="continuous"/>
          <w:pgSz w:w="11910" w:h="16840"/>
          <w:pgMar w:top="1180" w:bottom="280" w:left="1140" w:right="1180"/>
          <w:cols w:num="2" w:equalWidth="0">
            <w:col w:w="4379" w:space="40"/>
            <w:col w:w="5171"/>
          </w:cols>
        </w:sectPr>
      </w:pPr>
    </w:p>
    <w:p>
      <w:pPr>
        <w:spacing w:line="153" w:lineRule="exact" w:before="115"/>
        <w:ind w:left="0" w:right="5101" w:firstLine="0"/>
        <w:jc w:val="right"/>
        <w:rPr>
          <w:sz w:val="14"/>
        </w:rPr>
      </w:pPr>
      <w:r>
        <w:rPr/>
        <w:pict>
          <v:group style="position:absolute;margin-left:102.720001pt;margin-top:12.362624pt;width:169.8pt;height:114.6pt;mso-position-horizontal-relative:page;mso-position-vertical-relative:paragraph;z-index:251718656" coordorigin="2054,247" coordsize="3396,2292">
            <v:line style="position:absolute" from="2117,2287" to="2117,2532" stroked="true" strokeweight="2.4pt" strokecolor="#0e0080">
              <v:stroke dashstyle="solid"/>
            </v:line>
            <v:rect style="position:absolute;left:2188;top:2435;width:39;height:96" filled="true" fillcolor="#0e0080" stroked="false">
              <v:fill type="solid"/>
            </v:rect>
            <v:line style="position:absolute" from="2299,2254" to="2299,2537" stroked="true" strokeweight="2.4pt" strokecolor="#0e0080">
              <v:stroke dashstyle="solid"/>
            </v:line>
            <v:line style="position:absolute" from="2400,2263" to="2400,2532" stroked="true" strokeweight="2.4pt" strokecolor="#0e0080">
              <v:stroke dashstyle="solid"/>
            </v:line>
            <v:line style="position:absolute" from="2496,2316" to="2496,2537" stroked="true" strokeweight="2.4pt" strokecolor="#0e0080">
              <v:stroke dashstyle="solid"/>
            </v:line>
            <v:line style="position:absolute" from="2592,2081" to="2592,2537" stroked="true" strokeweight="1.92pt" strokecolor="#0e0080">
              <v:stroke dashstyle="solid"/>
            </v:line>
            <v:line style="position:absolute" from="2683,2388" to="2683,2537" stroked="true" strokeweight="2.4pt" strokecolor="#0e0080">
              <v:stroke dashstyle="solid"/>
            </v:line>
            <v:rect style="position:absolute;left:2755;top:2397;width:48;height:135" filled="true" fillcolor="#0e0080" stroked="false">
              <v:fill type="solid"/>
            </v:rect>
            <v:line style="position:absolute" from="2875,2278" to="2875,2537" stroked="true" strokeweight="1.92pt" strokecolor="#0e0080">
              <v:stroke dashstyle="solid"/>
            </v:line>
            <v:line style="position:absolute" from="2966,2316" to="2966,2537" stroked="true" strokeweight="2.4pt" strokecolor="#0e0080">
              <v:stroke dashstyle="solid"/>
            </v:line>
            <v:line style="position:absolute" from="3067,2302" to="3067,2537" stroked="true" strokeweight="2.4pt" strokecolor="#0e0080">
              <v:stroke dashstyle="solid"/>
            </v:line>
            <v:rect style="position:absolute;left:3139;top:2397;width:48;height:135" filled="true" fillcolor="#0e0080" stroked="false">
              <v:fill type="solid"/>
            </v:rect>
            <v:line style="position:absolute" from="3259,2364" to="3259,2537" stroked="true" strokeweight="1.92pt" strokecolor="#0e0080">
              <v:stroke dashstyle="solid"/>
            </v:line>
            <v:line style="position:absolute" from="3350,2316" to="3350,2537" stroked="true" strokeweight="2.4pt" strokecolor="#0e0080">
              <v:stroke dashstyle="solid"/>
            </v:line>
            <v:line style="position:absolute" from="3446,1918" to="3446,2532" stroked="true" strokeweight="2.4pt" strokecolor="#0e0080">
              <v:stroke dashstyle="solid"/>
            </v:line>
            <v:line style="position:absolute" from="3542,2364" to="3542,2537" stroked="true" strokeweight="1.92pt" strokecolor="#0e0080">
              <v:stroke dashstyle="solid"/>
            </v:line>
            <v:line style="position:absolute" from="3634,2191" to="3634,2537" stroked="true" strokeweight="2.4pt" strokecolor="#0e0080">
              <v:stroke dashstyle="solid"/>
            </v:line>
            <v:line style="position:absolute" from="3730,2018" to="3730,2537" stroked="true" strokeweight="2.4pt" strokecolor="#0e0080">
              <v:stroke dashstyle="solid"/>
            </v:line>
            <v:line style="position:absolute" from="3830,2364" to="3830,2537" stroked="true" strokeweight="2.4pt" strokecolor="#0e0080">
              <v:stroke dashstyle="solid"/>
            </v:line>
            <v:line style="position:absolute" from="3926,2364" to="3926,2537" stroked="true" strokeweight="1.92pt" strokecolor="#0e0080">
              <v:stroke dashstyle="solid"/>
            </v:line>
            <v:line style="position:absolute" from="4018,2201" to="4018,2532" stroked="true" strokeweight="2.4pt" strokecolor="#0e0080">
              <v:stroke dashstyle="solid"/>
            </v:line>
            <v:line style="position:absolute" from="4114,2316" to="4114,2537" stroked="true" strokeweight="2.4pt" strokecolor="#0e0080">
              <v:stroke dashstyle="solid"/>
            </v:line>
            <v:line style="position:absolute" from="4210,2153" to="4210,2532" stroked="true" strokeweight="1.92pt" strokecolor="#0e0080">
              <v:stroke dashstyle="solid"/>
            </v:line>
            <v:line style="position:absolute" from="4301,1798" to="4301,2537" stroked="true" strokeweight="2.4pt" strokecolor="#0e0080">
              <v:stroke dashstyle="solid"/>
            </v:line>
            <v:line style="position:absolute" from="4397,1932" to="4397,2537" stroked="true" strokeweight="2.4pt" strokecolor="#0e0080">
              <v:stroke dashstyle="solid"/>
            </v:line>
            <v:line style="position:absolute" from="4498,2114" to="4498,2532" stroked="true" strokeweight="2.4pt" strokecolor="#0e0080">
              <v:stroke dashstyle="solid"/>
            </v:line>
            <v:line style="position:absolute" from="4589,1870" to="4589,2532" stroked="true" strokeweight="1.92pt" strokecolor="#0e0080">
              <v:stroke dashstyle="solid"/>
            </v:line>
            <v:line style="position:absolute" from="4680,2254" to="4680,2537" stroked="true" strokeweight="2.4pt" strokecolor="#0e0080">
              <v:stroke dashstyle="solid"/>
            </v:line>
            <v:line style="position:absolute" from="4781,1625" to="4781,2537" stroked="true" strokeweight="2.4pt" strokecolor="#0e0080">
              <v:stroke dashstyle="solid"/>
            </v:line>
            <v:line style="position:absolute" from="4872,1846" to="4872,2537" stroked="true" strokeweight="1.92pt" strokecolor="#0e0080">
              <v:stroke dashstyle="solid"/>
            </v:line>
            <v:shape style="position:absolute;left:4939;top:2397;width:149;height:140" coordorigin="4939,2398" coordsize="149,140" path="m4987,2398l4939,2398,4939,2532,4987,2532,4987,2398m5088,2412l5040,2412,5040,2537,5088,2537,5088,2412e" filled="true" fillcolor="#0e0080" stroked="false">
              <v:path arrowok="t"/>
              <v:fill type="solid"/>
            </v:shape>
            <v:line style="position:absolute" from="5165,1783" to="5165,2532" stroked="true" strokeweight="2.4pt" strokecolor="#0e0080">
              <v:stroke dashstyle="solid"/>
            </v:line>
            <v:line style="position:absolute" from="5256,2042" to="5256,2537" stroked="true" strokeweight="1.92pt" strokecolor="#0e0080">
              <v:stroke dashstyle="solid"/>
            </v:line>
            <v:rect style="position:absolute;left:5323;top:2459;width:48;height:72" filled="true" fillcolor="#0e0080" stroked="false">
              <v:fill type="solid"/>
            </v:rect>
            <v:shape style="position:absolute;left:2092;top:2200;width:428;height:236" coordorigin="2093,2201" coordsize="428,236" path="m2141,2201l2093,2201,2093,2287,2141,2287,2141,2201m2227,2398l2189,2398,2189,2436,2227,2436,2227,2398m2323,2215l2275,2215,2275,2254,2323,2254,2323,2215m2520,2302l2472,2302,2472,2316,2520,2316,2520,2302e" filled="true" fillcolor="#ff00ff" stroked="false">
              <v:path arrowok="t"/>
              <v:fill type="solid"/>
            </v:shape>
            <v:line style="position:absolute" from="2592,1884" to="2592,2081" stroked="true" strokeweight="1.92pt" strokecolor="#ff00ff">
              <v:stroke dashstyle="solid"/>
            </v:line>
            <v:line style="position:absolute" from="2683,2239" to="2683,2388" stroked="true" strokeweight="2.4pt" strokecolor="#ff00ff">
              <v:stroke dashstyle="solid"/>
            </v:line>
            <v:rect style="position:absolute;left:2755;top:2339;width:48;height:63" filled="true" fillcolor="#ff00ff" stroked="false">
              <v:fill type="solid"/>
            </v:rect>
            <v:line style="position:absolute" from="2875,2042" to="2875,2278" stroked="true" strokeweight="1.92pt" strokecolor="#ff00ff">
              <v:stroke dashstyle="solid"/>
            </v:line>
            <v:shape style="position:absolute;left:2942;top:1821;width:1004;height:581" coordorigin="2942,1822" coordsize="1004,581" path="m2990,2278l2942,2278,2942,2316,2990,2316,2990,2278m3091,2230l3043,2230,3043,2302,3091,2302,3091,2230m3187,2316l3139,2316,3139,2402,3187,2402,3187,2316m3278,2263l3240,2263,3240,2364,3278,2364,3278,2263m3374,2201l3326,2201,3326,2311,3374,2311,3374,2201m3470,1822l3422,1822,3422,1922,3470,1922,3470,1822m3658,2081l3610,2081,3610,2191,3658,2191,3658,2081m3754,1980l3706,1980,3706,2018,3754,2018,3754,1980m3854,2287l3806,2287,3806,2359,3854,2359,3854,2287m3946,2287l3907,2287,3907,2359,3946,2359,3946,2287e" filled="true" fillcolor="#ff00ff" stroked="false">
              <v:path arrowok="t"/>
              <v:fill type="solid"/>
            </v:shape>
            <v:line style="position:absolute" from="4018,2042" to="4018,2201" stroked="true" strokeweight="2.4pt" strokecolor="#ff00ff">
              <v:stroke dashstyle="solid"/>
            </v:line>
            <v:shape style="position:absolute;left:4089;top:1562;width:1186;height:836" coordorigin="4090,1562" coordsize="1186,836" path="m4138,2230l4090,2230,4090,2316,4138,2316,4138,2230m4229,2057l4190,2057,4190,2158,4229,2158,4229,2057m4325,1759l4277,1759,4277,1798,4325,1798,4325,1759m4421,1860l4373,1860,4373,1932,4421,1932,4421,1860m4522,2105l4474,2105,4474,2119,4522,2119,4522,2105m4608,1745l4570,1745,4570,1870,4608,1870,4608,1745m4704,2114l4656,2114,4656,2249,4704,2249,4704,2114m4805,1562l4757,1562,4757,1625,4805,1625,4805,1562m4891,1759l4853,1759,4853,1846,4891,1846,4891,1759m4987,2374l4939,2374,4939,2398,4987,2398,4987,2374m5189,1735l5141,1735,5141,1783,5189,1783,5189,1735m5275,1932l5237,1932,5237,2042,5275,2042,5275,1932e" filled="true" fillcolor="#ff00ff" stroked="false">
              <v:path arrowok="t"/>
              <v:fill type="solid"/>
            </v:shape>
            <v:line style="position:absolute" from="2117,1980" to="2117,2201" stroked="true" strokeweight="2.4pt" strokecolor="#008000">
              <v:stroke dashstyle="solid"/>
            </v:line>
            <v:line style="position:absolute" from="2208,1846" to="2208,2402" stroked="true" strokeweight="1.92pt" strokecolor="#008000">
              <v:stroke dashstyle="solid"/>
            </v:line>
            <v:line style="position:absolute" from="2299,1870" to="2299,2215" stroked="true" strokeweight="2.4pt" strokecolor="#008000">
              <v:stroke dashstyle="solid"/>
            </v:line>
            <v:line style="position:absolute" from="2400,2057" to="2400,2268" stroked="true" strokeweight="2.4pt" strokecolor="#008000">
              <v:stroke dashstyle="solid"/>
            </v:line>
            <v:line style="position:absolute" from="2496,1980" to="2496,2302" stroked="true" strokeweight="2.4pt" strokecolor="#008000">
              <v:stroke dashstyle="solid"/>
            </v:line>
            <v:line style="position:absolute" from="2592,1462" to="2592,1879" stroked="true" strokeweight="1.92pt" strokecolor="#008000">
              <v:stroke dashstyle="solid"/>
            </v:line>
            <v:shape style="position:absolute;left:2659;top:2114;width:144;height:226" coordorigin="2659,2114" coordsize="144,226" path="m2707,2114l2659,2114,2659,2239,2707,2239,2707,2114m2803,2215l2755,2215,2755,2340,2803,2340,2803,2215e" filled="true" fillcolor="#008000" stroked="false">
              <v:path arrowok="t"/>
              <v:fill type="solid"/>
            </v:shape>
            <v:line style="position:absolute" from="2875,1428" to="2875,2042" stroked="true" strokeweight="1.92pt" strokecolor="#008000">
              <v:stroke dashstyle="solid"/>
            </v:line>
            <v:rect style="position:absolute;left:2942;top:2143;width:48;height:135" filled="true" fillcolor="#008000" stroked="false">
              <v:fill type="solid"/>
            </v:rect>
            <v:line style="position:absolute" from="3067,1870" to="3067,2225" stroked="true" strokeweight="2.4pt" strokecolor="#008000">
              <v:stroke dashstyle="solid"/>
            </v:line>
            <v:line style="position:absolute" from="3163,2114" to="3163,2311" stroked="true" strokeweight="2.4pt" strokecolor="#008000">
              <v:stroke dashstyle="solid"/>
            </v:line>
            <v:line style="position:absolute" from="3259,1918" to="3259,2263" stroked="true" strokeweight="1.92pt" strokecolor="#008000">
              <v:stroke dashstyle="solid"/>
            </v:line>
            <v:line style="position:absolute" from="3350,1822" to="3350,2206" stroked="true" strokeweight="2.4pt" strokecolor="#008000">
              <v:stroke dashstyle="solid"/>
            </v:line>
            <v:line style="position:absolute" from="3446,1390" to="3446,1822" stroked="true" strokeweight="2.4pt" strokecolor="#008000">
              <v:stroke dashstyle="solid"/>
            </v:line>
            <v:line style="position:absolute" from="3542,1980" to="3542,2364" stroked="true" strokeweight="1.92pt" strokecolor="#008000">
              <v:stroke dashstyle="solid"/>
            </v:line>
            <v:line style="position:absolute" from="3634,1658" to="3634,2076" stroked="true" strokeweight="2.4pt" strokecolor="#008000">
              <v:stroke dashstyle="solid"/>
            </v:line>
            <v:line style="position:absolute" from="3730,1476" to="3730,1980" stroked="true" strokeweight="2.4pt" strokecolor="#008000">
              <v:stroke dashstyle="solid"/>
            </v:line>
            <v:line style="position:absolute" from="3830,1918" to="3830,2287" stroked="true" strokeweight="2.4pt" strokecolor="#008000">
              <v:stroke dashstyle="solid"/>
            </v:line>
            <v:line style="position:absolute" from="3926,2114" to="3926,2287" stroked="true" strokeweight="1.92pt" strokecolor="#008000">
              <v:stroke dashstyle="solid"/>
            </v:line>
            <v:line style="position:absolute" from="4018,1130" to="4018,2042" stroked="true" strokeweight="2.4pt" strokecolor="#008000">
              <v:stroke dashstyle="solid"/>
            </v:line>
            <v:line style="position:absolute" from="4114,1687" to="4114,2230" stroked="true" strokeweight="2.4pt" strokecolor="#008000">
              <v:stroke dashstyle="solid"/>
            </v:line>
            <v:line style="position:absolute" from="4210,1577" to="4210,2057" stroked="true" strokeweight="1.92pt" strokecolor="#008000">
              <v:stroke dashstyle="solid"/>
            </v:line>
            <v:line style="position:absolute" from="4301,1462" to="4301,1759" stroked="true" strokeweight="2.4pt" strokecolor="#008000">
              <v:stroke dashstyle="solid"/>
            </v:line>
            <v:line style="position:absolute" from="4397,1255" to="4397,1860" stroked="true" strokeweight="2.4pt" strokecolor="#008000">
              <v:stroke dashstyle="solid"/>
            </v:line>
            <v:line style="position:absolute" from="4498,1649" to="4498,2105" stroked="true" strokeweight="2.4pt" strokecolor="#008000">
              <v:stroke dashstyle="solid"/>
            </v:line>
            <v:line style="position:absolute" from="4589,1342" to="4589,1750" stroked="true" strokeweight="1.92pt" strokecolor="#008000">
              <v:stroke dashstyle="solid"/>
            </v:line>
            <v:line style="position:absolute" from="4680,1577" to="4680,2119" stroked="true" strokeweight="2.4pt" strokecolor="#008000">
              <v:stroke dashstyle="solid"/>
            </v:line>
            <v:line style="position:absolute" from="4781,415" to="4781,1562" stroked="true" strokeweight="2.4pt" strokecolor="#008000">
              <v:stroke dashstyle="solid"/>
            </v:line>
            <v:line style="position:absolute" from="4872,1154" to="4872,1759" stroked="true" strokeweight="1.92pt" strokecolor="#008000">
              <v:stroke dashstyle="solid"/>
            </v:line>
            <v:line style="position:absolute" from="4963,2081" to="4963,2378" stroked="true" strokeweight="2.4pt" strokecolor="#008000">
              <v:stroke dashstyle="solid"/>
            </v:line>
            <v:line style="position:absolute" from="5165,1106" to="5165,1735" stroked="true" strokeweight="2.4pt" strokecolor="#008000">
              <v:stroke dashstyle="solid"/>
            </v:line>
            <v:line style="position:absolute" from="5256,1351" to="5256,1932" stroked="true" strokeweight="1.92pt" strokecolor="#008000">
              <v:stroke dashstyle="solid"/>
            </v:line>
            <v:line style="position:absolute" from="5347,2105" to="5347,2460" stroked="true" strokeweight="2.4pt" strokecolor="#008000">
              <v:stroke dashstyle="solid"/>
            </v:line>
            <v:shape style="position:absolute;left:8620;top:-27038;width:14080;height:9100" coordorigin="8620,-27038" coordsize="14080,9100" path="m5395,353l5395,2537,5448,2537m5395,2105l5448,2105m5395,1658l5448,1658m5395,1231l5448,1231m5395,785l5448,785m5395,353l5448,353m2069,2537l5395,2537m2069,2537l2069,2484m2448,2537l2448,2484m2832,2537l2832,2484m3216,2537l3216,2484m3586,2537l3586,2484m3965,2537l3965,2484m4349,2537l4349,2484m4733,2537l4733,2484m5112,2537l5112,2484e" filled="false" stroked="true" strokeweight=".24pt" strokecolor="#000000">
              <v:path arrowok="t"/>
              <v:stroke dashstyle="solid"/>
            </v:shape>
            <v:rect style="position:absolute;left:2054;top:295;width:87;height:87" filled="true" fillcolor="#008000" stroked="false">
              <v:fill type="solid"/>
            </v:rect>
            <v:rect style="position:absolute;left:2054;top:539;width:87;height:87" filled="true" fillcolor="#ff00ff" stroked="false">
              <v:fill type="solid"/>
            </v:rect>
            <v:rect style="position:absolute;left:2054;top:775;width:87;height:87" filled="true" fillcolor="#0e0080" stroked="false">
              <v:fill type="solid"/>
            </v:rect>
            <v:shape style="position:absolute;left:2054;top:247;width:3396;height:2292" type="#_x0000_t202" filled="false" stroked="false">
              <v:textbox inset="0,0,0,0">
                <w:txbxContent>
                  <w:p>
                    <w:pPr>
                      <w:spacing w:line="147" w:lineRule="exact" w:before="0"/>
                      <w:ind w:left="124" w:right="0" w:firstLine="0"/>
                      <w:jc w:val="left"/>
                      <w:rPr>
                        <w:sz w:val="13"/>
                      </w:rPr>
                    </w:pPr>
                    <w:r>
                      <w:rPr>
                        <w:spacing w:val="4"/>
                        <w:sz w:val="13"/>
                      </w:rPr>
                      <w:t>Lower </w:t>
                    </w:r>
                    <w:r>
                      <w:rPr>
                        <w:sz w:val="13"/>
                      </w:rPr>
                      <w:t>T</w:t>
                    </w:r>
                    <w:r>
                      <w:rPr>
                        <w:spacing w:val="-18"/>
                        <w:sz w:val="13"/>
                      </w:rPr>
                      <w:t> </w:t>
                    </w:r>
                    <w:r>
                      <w:rPr>
                        <w:sz w:val="13"/>
                      </w:rPr>
                      <w:t>2</w:t>
                    </w:r>
                  </w:p>
                  <w:p>
                    <w:pPr>
                      <w:spacing w:before="100"/>
                      <w:ind w:left="124" w:right="0" w:firstLine="0"/>
                      <w:jc w:val="left"/>
                      <w:rPr>
                        <w:sz w:val="13"/>
                      </w:rPr>
                    </w:pPr>
                    <w:r>
                      <w:rPr>
                        <w:spacing w:val="7"/>
                        <w:sz w:val="13"/>
                      </w:rPr>
                      <w:t>Upper </w:t>
                    </w:r>
                    <w:r>
                      <w:rPr>
                        <w:sz w:val="13"/>
                      </w:rPr>
                      <w:t>T</w:t>
                    </w:r>
                    <w:r>
                      <w:rPr>
                        <w:spacing w:val="-22"/>
                        <w:sz w:val="13"/>
                      </w:rPr>
                      <w:t> </w:t>
                    </w:r>
                    <w:r>
                      <w:rPr>
                        <w:sz w:val="13"/>
                      </w:rPr>
                      <w:t>2</w:t>
                    </w:r>
                  </w:p>
                  <w:p>
                    <w:pPr>
                      <w:spacing w:before="81"/>
                      <w:ind w:left="124" w:right="0" w:firstLine="0"/>
                      <w:jc w:val="left"/>
                      <w:rPr>
                        <w:sz w:val="13"/>
                      </w:rPr>
                    </w:pPr>
                    <w:r>
                      <w:rPr>
                        <w:sz w:val="13"/>
                      </w:rPr>
                      <w:t>T 1 ( incl hybrid capital)</w:t>
                    </w:r>
                  </w:p>
                </w:txbxContent>
              </v:textbox>
              <w10:wrap type="none"/>
            </v:shape>
            <w10:wrap type="none"/>
          </v:group>
        </w:pict>
      </w:r>
      <w:r>
        <w:rPr>
          <w:sz w:val="14"/>
        </w:rPr>
        <w:t>$ billions</w:t>
      </w:r>
    </w:p>
    <w:p>
      <w:pPr>
        <w:spacing w:line="176" w:lineRule="exact" w:before="0"/>
        <w:ind w:left="0" w:right="5050" w:firstLine="0"/>
        <w:jc w:val="right"/>
        <w:rPr>
          <w:sz w:val="16"/>
        </w:rPr>
      </w:pPr>
      <w:r>
        <w:rPr>
          <w:w w:val="90"/>
          <w:sz w:val="16"/>
        </w:rPr>
        <w:t>50</w:t>
      </w:r>
    </w:p>
    <w:p>
      <w:pPr>
        <w:pStyle w:val="BodyText"/>
        <w:spacing w:before="2"/>
        <w:rPr>
          <w:sz w:val="13"/>
        </w:rPr>
      </w:pPr>
    </w:p>
    <w:p>
      <w:pPr>
        <w:spacing w:before="92"/>
        <w:ind w:left="2757" w:right="3427" w:firstLine="0"/>
        <w:jc w:val="center"/>
        <w:rPr>
          <w:sz w:val="16"/>
        </w:rPr>
      </w:pPr>
      <w:r>
        <w:rPr>
          <w:sz w:val="16"/>
        </w:rPr>
        <w:t>40</w:t>
      </w:r>
    </w:p>
    <w:p>
      <w:pPr>
        <w:pStyle w:val="BodyText"/>
        <w:spacing w:before="3"/>
        <w:rPr>
          <w:sz w:val="15"/>
        </w:rPr>
      </w:pPr>
    </w:p>
    <w:p>
      <w:pPr>
        <w:spacing w:before="92"/>
        <w:ind w:left="2757" w:right="3427" w:firstLine="0"/>
        <w:jc w:val="center"/>
        <w:rPr>
          <w:sz w:val="16"/>
        </w:rPr>
      </w:pPr>
      <w:r>
        <w:rPr>
          <w:sz w:val="16"/>
        </w:rPr>
        <w:t>30</w:t>
      </w:r>
    </w:p>
    <w:p>
      <w:pPr>
        <w:pStyle w:val="BodyText"/>
        <w:spacing w:before="1"/>
        <w:rPr>
          <w:sz w:val="13"/>
        </w:rPr>
      </w:pPr>
    </w:p>
    <w:p>
      <w:pPr>
        <w:spacing w:before="92"/>
        <w:ind w:left="2757" w:right="3427" w:firstLine="0"/>
        <w:jc w:val="center"/>
        <w:rPr>
          <w:sz w:val="16"/>
        </w:rPr>
      </w:pPr>
      <w:r>
        <w:rPr>
          <w:sz w:val="16"/>
        </w:rPr>
        <w:t>20</w:t>
      </w:r>
    </w:p>
    <w:p>
      <w:pPr>
        <w:pStyle w:val="BodyText"/>
        <w:spacing w:before="10"/>
        <w:rPr>
          <w:sz w:val="14"/>
        </w:rPr>
      </w:pPr>
    </w:p>
    <w:p>
      <w:pPr>
        <w:spacing w:before="92"/>
        <w:ind w:left="2757" w:right="3427" w:firstLine="0"/>
        <w:jc w:val="center"/>
        <w:rPr>
          <w:sz w:val="16"/>
        </w:rPr>
      </w:pPr>
      <w:r>
        <w:rPr>
          <w:sz w:val="16"/>
        </w:rPr>
        <w:t>10</w:t>
      </w:r>
    </w:p>
    <w:p>
      <w:pPr>
        <w:pStyle w:val="BodyText"/>
        <w:spacing w:before="2"/>
        <w:rPr>
          <w:sz w:val="13"/>
        </w:rPr>
      </w:pPr>
    </w:p>
    <w:p>
      <w:pPr>
        <w:spacing w:after="0"/>
        <w:rPr>
          <w:sz w:val="13"/>
        </w:rPr>
        <w:sectPr>
          <w:type w:val="continuous"/>
          <w:pgSz w:w="11910" w:h="16840"/>
          <w:pgMar w:top="1180" w:bottom="280" w:left="1140" w:right="1180"/>
        </w:sectPr>
      </w:pPr>
    </w:p>
    <w:p>
      <w:pPr>
        <w:pStyle w:val="BodyText"/>
        <w:rPr>
          <w:sz w:val="18"/>
        </w:rPr>
      </w:pPr>
    </w:p>
    <w:p>
      <w:pPr>
        <w:spacing w:before="120"/>
        <w:ind w:left="851" w:right="0" w:firstLine="0"/>
        <w:jc w:val="left"/>
        <w:rPr>
          <w:sz w:val="16"/>
        </w:rPr>
      </w:pPr>
      <w:r>
        <w:rPr>
          <w:spacing w:val="3"/>
          <w:w w:val="95"/>
          <w:sz w:val="16"/>
        </w:rPr>
        <w:t>Jan</w:t>
      </w:r>
    </w:p>
    <w:p>
      <w:pPr>
        <w:spacing w:before="84"/>
        <w:ind w:left="789" w:right="0" w:firstLine="0"/>
        <w:jc w:val="left"/>
        <w:rPr>
          <w:sz w:val="13"/>
        </w:rPr>
      </w:pPr>
      <w:r>
        <w:rPr>
          <w:spacing w:val="9"/>
          <w:w w:val="95"/>
          <w:sz w:val="13"/>
        </w:rPr>
        <w:t>2005</w:t>
      </w:r>
    </w:p>
    <w:p>
      <w:pPr>
        <w:pStyle w:val="BodyText"/>
        <w:rPr>
          <w:sz w:val="18"/>
        </w:rPr>
      </w:pPr>
      <w:r>
        <w:rPr/>
        <w:br w:type="column"/>
      </w:r>
      <w:r>
        <w:rPr>
          <w:sz w:val="18"/>
        </w:rPr>
      </w:r>
    </w:p>
    <w:p>
      <w:pPr>
        <w:spacing w:before="120"/>
        <w:ind w:left="70" w:right="0" w:firstLine="0"/>
        <w:jc w:val="left"/>
        <w:rPr>
          <w:sz w:val="16"/>
        </w:rPr>
      </w:pPr>
      <w:r>
        <w:rPr>
          <w:w w:val="90"/>
          <w:sz w:val="16"/>
        </w:rPr>
        <w:t>May</w:t>
      </w:r>
    </w:p>
    <w:p>
      <w:pPr>
        <w:pStyle w:val="BodyText"/>
        <w:rPr>
          <w:sz w:val="18"/>
        </w:rPr>
      </w:pPr>
      <w:r>
        <w:rPr/>
        <w:br w:type="column"/>
      </w:r>
      <w:r>
        <w:rPr>
          <w:sz w:val="18"/>
        </w:rPr>
      </w:r>
    </w:p>
    <w:p>
      <w:pPr>
        <w:spacing w:before="120"/>
        <w:ind w:left="82" w:right="0" w:firstLine="0"/>
        <w:jc w:val="left"/>
        <w:rPr>
          <w:sz w:val="16"/>
        </w:rPr>
      </w:pPr>
      <w:r>
        <w:rPr>
          <w:w w:val="90"/>
          <w:sz w:val="16"/>
        </w:rPr>
        <w:t>Sep</w:t>
      </w:r>
    </w:p>
    <w:p>
      <w:pPr>
        <w:pStyle w:val="BodyText"/>
        <w:rPr>
          <w:sz w:val="18"/>
        </w:rPr>
      </w:pPr>
      <w:r>
        <w:rPr/>
        <w:br w:type="column"/>
      </w:r>
      <w:r>
        <w:rPr>
          <w:sz w:val="18"/>
        </w:rPr>
      </w:r>
    </w:p>
    <w:p>
      <w:pPr>
        <w:spacing w:before="120"/>
        <w:ind w:left="111" w:right="0" w:firstLine="0"/>
        <w:jc w:val="left"/>
        <w:rPr>
          <w:sz w:val="16"/>
        </w:rPr>
      </w:pPr>
      <w:r>
        <w:rPr>
          <w:sz w:val="16"/>
        </w:rPr>
        <w:t>Jan</w:t>
      </w:r>
    </w:p>
    <w:p>
      <w:pPr>
        <w:spacing w:before="84"/>
        <w:ind w:left="96" w:right="0" w:firstLine="0"/>
        <w:jc w:val="left"/>
        <w:rPr>
          <w:sz w:val="13"/>
        </w:rPr>
      </w:pPr>
      <w:r>
        <w:rPr>
          <w:w w:val="95"/>
          <w:sz w:val="13"/>
        </w:rPr>
        <w:t>2006</w:t>
      </w:r>
    </w:p>
    <w:p>
      <w:pPr>
        <w:pStyle w:val="BodyText"/>
        <w:rPr>
          <w:sz w:val="18"/>
        </w:rPr>
      </w:pPr>
      <w:r>
        <w:rPr/>
        <w:br w:type="column"/>
      </w:r>
      <w:r>
        <w:rPr>
          <w:sz w:val="18"/>
        </w:rPr>
      </w:r>
    </w:p>
    <w:p>
      <w:pPr>
        <w:spacing w:before="120"/>
        <w:ind w:left="22" w:right="0" w:firstLine="0"/>
        <w:jc w:val="left"/>
        <w:rPr>
          <w:sz w:val="16"/>
        </w:rPr>
      </w:pPr>
      <w:r>
        <w:rPr>
          <w:w w:val="90"/>
          <w:sz w:val="16"/>
        </w:rPr>
        <w:t>May</w:t>
      </w:r>
    </w:p>
    <w:p>
      <w:pPr>
        <w:pStyle w:val="BodyText"/>
        <w:rPr>
          <w:sz w:val="18"/>
        </w:rPr>
      </w:pPr>
      <w:r>
        <w:rPr/>
        <w:br w:type="column"/>
      </w:r>
      <w:r>
        <w:rPr>
          <w:sz w:val="18"/>
        </w:rPr>
      </w:r>
    </w:p>
    <w:p>
      <w:pPr>
        <w:spacing w:before="120"/>
        <w:ind w:left="82" w:right="0" w:firstLine="0"/>
        <w:jc w:val="left"/>
        <w:rPr>
          <w:sz w:val="16"/>
        </w:rPr>
      </w:pPr>
      <w:r>
        <w:rPr>
          <w:w w:val="90"/>
          <w:sz w:val="16"/>
        </w:rPr>
        <w:t>Sep</w:t>
      </w:r>
    </w:p>
    <w:p>
      <w:pPr>
        <w:pStyle w:val="BodyText"/>
        <w:rPr>
          <w:sz w:val="18"/>
        </w:rPr>
      </w:pPr>
      <w:r>
        <w:rPr/>
        <w:br w:type="column"/>
      </w:r>
      <w:r>
        <w:rPr>
          <w:sz w:val="18"/>
        </w:rPr>
      </w:r>
    </w:p>
    <w:p>
      <w:pPr>
        <w:spacing w:before="120"/>
        <w:ind w:left="120" w:right="0" w:firstLine="0"/>
        <w:jc w:val="left"/>
        <w:rPr>
          <w:sz w:val="16"/>
        </w:rPr>
      </w:pPr>
      <w:r>
        <w:rPr>
          <w:sz w:val="16"/>
        </w:rPr>
        <w:t>Jan</w:t>
      </w:r>
    </w:p>
    <w:p>
      <w:pPr>
        <w:spacing w:before="84"/>
        <w:ind w:left="91" w:right="0" w:firstLine="0"/>
        <w:jc w:val="left"/>
        <w:rPr>
          <w:sz w:val="13"/>
        </w:rPr>
      </w:pPr>
      <w:r>
        <w:rPr>
          <w:w w:val="95"/>
          <w:sz w:val="13"/>
        </w:rPr>
        <w:t>2007</w:t>
      </w:r>
    </w:p>
    <w:p>
      <w:pPr>
        <w:pStyle w:val="BodyText"/>
        <w:rPr>
          <w:sz w:val="18"/>
        </w:rPr>
      </w:pPr>
      <w:r>
        <w:rPr/>
        <w:br w:type="column"/>
      </w:r>
      <w:r>
        <w:rPr>
          <w:sz w:val="18"/>
        </w:rPr>
      </w:r>
    </w:p>
    <w:p>
      <w:pPr>
        <w:spacing w:before="120"/>
        <w:ind w:left="31" w:right="0" w:firstLine="0"/>
        <w:jc w:val="left"/>
        <w:rPr>
          <w:sz w:val="16"/>
        </w:rPr>
      </w:pPr>
      <w:r>
        <w:rPr>
          <w:w w:val="90"/>
          <w:sz w:val="16"/>
        </w:rPr>
        <w:t>May</w:t>
      </w:r>
    </w:p>
    <w:p>
      <w:pPr>
        <w:spacing w:before="92"/>
        <w:ind w:left="576" w:right="0" w:firstLine="0"/>
        <w:jc w:val="left"/>
        <w:rPr>
          <w:sz w:val="16"/>
        </w:rPr>
      </w:pPr>
      <w:r>
        <w:rPr/>
        <w:br w:type="column"/>
      </w:r>
      <w:r>
        <w:rPr>
          <w:sz w:val="16"/>
        </w:rPr>
        <w:t>0</w:t>
      </w:r>
    </w:p>
    <w:p>
      <w:pPr>
        <w:spacing w:before="51"/>
        <w:ind w:left="82" w:right="0" w:firstLine="0"/>
        <w:jc w:val="left"/>
        <w:rPr>
          <w:sz w:val="16"/>
        </w:rPr>
      </w:pPr>
      <w:r>
        <w:rPr>
          <w:sz w:val="16"/>
        </w:rPr>
        <w:t>Sep</w:t>
      </w:r>
    </w:p>
    <w:p>
      <w:pPr>
        <w:spacing w:after="0"/>
        <w:jc w:val="left"/>
        <w:rPr>
          <w:sz w:val="16"/>
        </w:rPr>
        <w:sectPr>
          <w:type w:val="continuous"/>
          <w:pgSz w:w="11910" w:h="16840"/>
          <w:pgMar w:top="1180" w:bottom="280" w:left="1140" w:right="1180"/>
          <w:cols w:num="9" w:equalWidth="0">
            <w:col w:w="1078" w:space="40"/>
            <w:col w:w="366" w:space="39"/>
            <w:col w:w="316" w:space="40"/>
            <w:col w:w="380" w:space="39"/>
            <w:col w:w="318" w:space="40"/>
            <w:col w:w="320" w:space="40"/>
            <w:col w:w="380" w:space="40"/>
            <w:col w:w="328" w:space="40"/>
            <w:col w:w="5786"/>
          </w:cols>
        </w:sectPr>
      </w:pPr>
    </w:p>
    <w:p>
      <w:pPr>
        <w:spacing w:before="60"/>
        <w:ind w:left="655" w:right="0" w:firstLine="0"/>
        <w:jc w:val="left"/>
        <w:rPr>
          <w:sz w:val="18"/>
        </w:rPr>
      </w:pPr>
      <w:r>
        <w:rPr>
          <w:sz w:val="18"/>
        </w:rPr>
        <w:t>Source: Dealogic</w:t>
      </w:r>
    </w:p>
    <w:p>
      <w:pPr>
        <w:pStyle w:val="Heading1"/>
        <w:tabs>
          <w:tab w:pos="5008" w:val="left" w:leader="none"/>
        </w:tabs>
        <w:spacing w:line="275" w:lineRule="exact" w:before="1"/>
      </w:pPr>
      <w:r>
        <w:rPr/>
        <w:t>Chart 14: </w:t>
      </w:r>
      <w:r>
        <w:rPr>
          <w:spacing w:val="-3"/>
        </w:rPr>
        <w:t>UK</w:t>
      </w:r>
      <w:r>
        <w:rPr>
          <w:spacing w:val="3"/>
        </w:rPr>
        <w:t> </w:t>
      </w:r>
      <w:r>
        <w:rPr/>
        <w:t>mortgage</w:t>
      </w:r>
      <w:r>
        <w:rPr>
          <w:spacing w:val="-3"/>
        </w:rPr>
        <w:t> </w:t>
      </w:r>
      <w:r>
        <w:rPr/>
        <w:t>approvals</w:t>
        <w:tab/>
        <w:t>Chart 15: </w:t>
      </w:r>
      <w:r>
        <w:rPr>
          <w:spacing w:val="-3"/>
        </w:rPr>
        <w:t>UK </w:t>
      </w:r>
      <w:r>
        <w:rPr/>
        <w:t>net secured lending</w:t>
      </w:r>
      <w:r>
        <w:rPr>
          <w:spacing w:val="13"/>
        </w:rPr>
        <w:t> </w:t>
      </w:r>
      <w:r>
        <w:rPr/>
        <w:t>to</w:t>
      </w:r>
    </w:p>
    <w:p>
      <w:pPr>
        <w:spacing w:line="275" w:lineRule="exact" w:before="0"/>
        <w:ind w:left="4360" w:right="2798" w:firstLine="0"/>
        <w:jc w:val="center"/>
        <w:rPr>
          <w:b/>
          <w:sz w:val="24"/>
        </w:rPr>
      </w:pPr>
      <w:r>
        <w:rPr>
          <w:b/>
          <w:sz w:val="24"/>
        </w:rPr>
        <w:t>households</w:t>
      </w:r>
    </w:p>
    <w:p>
      <w:pPr>
        <w:spacing w:after="0" w:line="275" w:lineRule="exact"/>
        <w:jc w:val="center"/>
        <w:rPr>
          <w:sz w:val="24"/>
        </w:rPr>
        <w:sectPr>
          <w:type w:val="continuous"/>
          <w:pgSz w:w="11910" w:h="16840"/>
          <w:pgMar w:top="1180" w:bottom="280" w:left="1140" w:right="1180"/>
        </w:sectPr>
      </w:pPr>
    </w:p>
    <w:p>
      <w:pPr>
        <w:pStyle w:val="BodyText"/>
        <w:spacing w:before="4"/>
        <w:rPr>
          <w:b/>
          <w:sz w:val="17"/>
        </w:rPr>
      </w:pPr>
    </w:p>
    <w:p>
      <w:pPr>
        <w:pStyle w:val="BodyText"/>
        <w:spacing w:line="24" w:lineRule="exact"/>
        <w:ind w:left="830"/>
        <w:rPr>
          <w:sz w:val="2"/>
        </w:rPr>
      </w:pPr>
      <w:r>
        <w:rPr>
          <w:sz w:val="2"/>
        </w:rPr>
        <w:pict>
          <v:group style="width:14.65pt;height:1.2pt;mso-position-horizontal-relative:char;mso-position-vertical-relative:line" coordorigin="0,0" coordsize="293,24">
            <v:line style="position:absolute" from="0,12" to="293,12" stroked="true" strokeweight="1.2pt" strokecolor="#000080">
              <v:stroke dashstyle="solid"/>
            </v:line>
          </v:group>
        </w:pict>
      </w:r>
      <w:r>
        <w:rPr>
          <w:sz w:val="2"/>
        </w:rPr>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tabs>
          <w:tab w:pos="1730" w:val="left" w:leader="none"/>
          <w:tab w:pos="2704" w:val="left" w:leader="none"/>
          <w:tab w:pos="3664" w:val="left" w:leader="none"/>
        </w:tabs>
        <w:spacing w:before="137"/>
        <w:ind w:left="756" w:right="0" w:firstLine="0"/>
        <w:jc w:val="left"/>
        <w:rPr>
          <w:sz w:val="16"/>
        </w:rPr>
      </w:pPr>
      <w:r>
        <w:rPr>
          <w:sz w:val="16"/>
        </w:rPr>
        <w:t>2001</w:t>
        <w:tab/>
        <w:t>2003</w:t>
        <w:tab/>
        <w:t>2005</w:t>
        <w:tab/>
      </w:r>
      <w:r>
        <w:rPr>
          <w:spacing w:val="-6"/>
          <w:w w:val="95"/>
          <w:sz w:val="16"/>
        </w:rPr>
        <w:t>2007</w:t>
      </w:r>
    </w:p>
    <w:p>
      <w:pPr>
        <w:spacing w:before="125"/>
        <w:ind w:left="655" w:right="0" w:firstLine="0"/>
        <w:jc w:val="left"/>
        <w:rPr>
          <w:sz w:val="18"/>
        </w:rPr>
      </w:pPr>
      <w:r>
        <w:rPr>
          <w:sz w:val="18"/>
        </w:rPr>
        <w:t>Source: Bank of England</w:t>
      </w:r>
    </w:p>
    <w:p>
      <w:pPr>
        <w:spacing w:line="268" w:lineRule="auto" w:before="114"/>
        <w:ind w:left="307" w:right="-11" w:hanging="39"/>
        <w:jc w:val="left"/>
        <w:rPr>
          <w:sz w:val="16"/>
        </w:rPr>
      </w:pPr>
      <w:r>
        <w:rPr/>
        <w:br w:type="column"/>
      </w:r>
      <w:r>
        <w:rPr>
          <w:sz w:val="16"/>
        </w:rPr>
        <w:t>nds </w:t>
      </w:r>
      <w:r>
        <w:rPr>
          <w:w w:val="90"/>
          <w:sz w:val="16"/>
        </w:rPr>
        <w:t>100</w:t>
      </w:r>
    </w:p>
    <w:p>
      <w:pPr>
        <w:spacing w:before="29"/>
        <w:ind w:left="307" w:right="0" w:firstLine="0"/>
        <w:jc w:val="left"/>
        <w:rPr>
          <w:sz w:val="16"/>
        </w:rPr>
      </w:pPr>
      <w:r>
        <w:rPr/>
        <w:pict>
          <v:group style="position:absolute;margin-left:99.119995pt;margin-top:-22.012426pt;width:169.6pt;height:131.450pt;mso-position-horizontal-relative:page;mso-position-vertical-relative:paragraph;z-index:-253038592" coordorigin="1982,-440" coordsize="3392,2629">
            <v:shape style="position:absolute;left:8500;top:-14913;width:13880;height:9560" coordorigin="8500,-14913" coordsize="13880,9560" path="m5323,-108l5323,2186,5371,2186m5323,1951l5371,1951m5323,1730l5371,1730m5323,1495l5371,1495m5323,1274l5371,1274m5323,1039l5371,1039m5323,804l5371,804m5323,583l5371,583m5323,348l5371,348m5323,127l5371,127m5323,-108l5371,-108m2040,2186l5323,2186m2040,2186l2040,2133m3014,2186l3014,2133m3994,2186l3994,2133m4954,2186l4954,2133e" filled="false" stroked="true" strokeweight=".24pt" strokecolor="#000000">
              <v:path arrowok="t"/>
              <v:stroke dashstyle="solid"/>
            </v:shape>
            <v:line style="position:absolute" from="2040,1764" to="2078,1653" stroked="true" strokeweight="1.2pt" strokecolor="#000080">
              <v:stroke dashstyle="solid"/>
            </v:line>
            <v:shape style="position:absolute;left:2078;top:189;width:3245;height:1464" coordorigin="2078,189" coordsize="3245,1464" path="m2078,1653l2126,1447,2165,1557,2203,1409,2242,1322,2290,1394,2328,1447,2362,1015,2414,914,2448,1001,2486,1298,2525,1015,2573,708,2611,401,2645,300,2698,189,2731,607,2770,434,2808,732,2856,693,2894,597,2928,717,2981,1236,3014,1284,3053,1188,3091,953,3139,818,3178,780,3216,621,3264,535,3302,631,3336,583,3374,511,3422,631,3461,929,3499,1135,3547,770,3586,348,3619,569,3658,655,3706,621,3744,890,3782,1025,3821,1149,3869,1173,3907,1337,3941,1519,3994,1653,4027,1409,4066,1125,4104,1087,4152,1125,4190,1087,4224,1149,4277,1077,4310,1101,4349,1111,4387,1087,4435,1346,4474,1481,4507,1322,4560,890,4594,1111,4632,756,4670,669,4718,991,4757,991,4795,1001,4843,914,4882,881,4915,1471,4954,1644,5002,1250,5040,938,5078,1135,5126,890,5165,852,5198,991,5237,1101,5285,1212,5323,1197e" filled="false" stroked="true" strokeweight="1.2pt" strokecolor="#000080">
              <v:path arrowok="t"/>
              <v:stroke dashstyle="solid"/>
            </v:shape>
            <v:line style="position:absolute" from="2040,1903" to="2078,1841" stroked="true" strokeweight="1.2pt" strokecolor="#ff00ff">
              <v:stroke dashstyle="solid"/>
            </v:line>
            <v:shape style="position:absolute;left:2078;top:952;width:3245;height:912" coordorigin="2078,953" coordsize="3245,912" path="m2078,1841l2126,1692,2165,1716,2203,1653,2242,1653,2290,1605,2328,1629,2362,1754,2414,1754,2448,1793,2486,1865,2525,1865,2573,1740,2611,1644,2645,1605,2698,1471,2731,1605,2770,1457,2808,1605,2856,1591,2894,1519,2928,1533,2981,1668,3014,1730,3053,1605,3091,1457,3139,1447,3178,1457,3216,1471,3264,1337,3302,1481,3336,1394,3374,1308,3422,1409,3461,1533,3499,1668,3547,1533,3586,1236,3619,1308,3658,1197,3706,1188,3744,1423,3782,1567,3821,1581,3869,1567,3907,1668,3941,1692,3994,1793,4027,1629,4066,1447,4104,1346,4152,1322,4190,1212,4224,1308,4277,1337,4310,1322,4349,1260,4387,1212,4435,1471,4474,1533,4507,1308,4560,953,4594,1337,4632,1188,4670,1101,4718,1221,4757,1212,4795,1149,4843,1111,4882,1101,4915,1457,4954,1457,5002,1361,5040,1125,5078,1274,5126,1053,5165,1039,5198,1135,5237,1250,5285,1519,5323,1653e" filled="false" stroked="true" strokeweight="1.2pt" strokecolor="#ff00ff">
              <v:path arrowok="t"/>
              <v:stroke dashstyle="solid"/>
            </v:shape>
            <v:line style="position:absolute" from="2040,1793" to="2078,1692" stroked="true" strokeweight="1.2pt" strokecolor="#008000">
              <v:stroke dashstyle="solid"/>
            </v:line>
            <v:shape style="position:absolute;left:2078;top:1543;width:3245;height:471" coordorigin="2078,1543" coordsize="3245,471" path="m2078,1692l2126,1620,2165,1778,2203,1716,2242,1754,2290,1754,2328,1740,2362,1817,2414,1764,2448,1754,2486,1889,2525,1865,2573,1754,2611,1668,2645,1591,2698,1557,2731,1706,2770,1620,2808,1730,2856,1793,2894,1653,2928,1754,2981,1874,3014,1913,3053,1874,3091,1778,3139,1826,3178,1802,3216,1754,3264,1778,3302,1817,3336,1740,3374,1754,3422,1817,3461,1889,3499,1937,3547,1841,3586,1677,3619,1764,3658,1740,3706,1730,3744,1817,3782,1951,3821,1961,3869,1927,3907,1913,3941,1975,3994,2013,4027,1889,4066,1740,4104,1778,4152,1793,4190,1778,4224,1817,4277,1841,4310,1865,4349,1865,4387,1817,4435,1903,4474,1937,4507,1841,4560,1620,4594,1740,4632,1591,4670,1543,4718,1620,4757,1629,4795,1692,4843,1730,4882,1778,4915,1865,4954,1841,5002,1740,5040,1581,5078,1740,5126,1629,5165,1677,5198,1706,5237,1740,5285,1778,5323,1740e" filled="false" stroked="true" strokeweight="1.2pt" strokecolor="#008000">
              <v:path arrowok="t"/>
              <v:stroke dashstyle="solid"/>
            </v:shape>
            <v:line style="position:absolute" from="1982,-118" to="2275,-118" stroked="true" strokeweight="1.2pt" strokecolor="#ff00ff">
              <v:stroke dashstyle="solid"/>
            </v:line>
            <v:line style="position:absolute" from="1982,65" to="2275,65" stroked="true" strokeweight="1.2pt" strokecolor="#008000">
              <v:stroke dashstyle="solid"/>
            </v:line>
            <v:shape style="position:absolute;left:1982;top:-441;width:3392;height:2629" type="#_x0000_t202" filled="false" stroked="false">
              <v:textbox inset="0,0,0,0">
                <w:txbxContent>
                  <w:p>
                    <w:pPr>
                      <w:tabs>
                        <w:tab w:pos="2923" w:val="left" w:leader="none"/>
                      </w:tabs>
                      <w:spacing w:before="27"/>
                      <w:ind w:left="331" w:right="-44" w:firstLine="0"/>
                      <w:jc w:val="left"/>
                      <w:rPr>
                        <w:sz w:val="16"/>
                      </w:rPr>
                    </w:pPr>
                    <w:r>
                      <w:rPr>
                        <w:b/>
                        <w:spacing w:val="5"/>
                        <w:position w:val="1"/>
                        <w:sz w:val="14"/>
                      </w:rPr>
                      <w:t>Top </w:t>
                    </w:r>
                    <w:r>
                      <w:rPr>
                        <w:b/>
                        <w:position w:val="1"/>
                        <w:sz w:val="14"/>
                      </w:rPr>
                      <w:t>5 </w:t>
                    </w:r>
                    <w:r>
                      <w:rPr>
                        <w:b/>
                        <w:spacing w:val="5"/>
                        <w:position w:val="1"/>
                        <w:sz w:val="14"/>
                      </w:rPr>
                      <w:t>banks </w:t>
                    </w:r>
                    <w:r>
                      <w:rPr>
                        <w:b/>
                        <w:position w:val="1"/>
                        <w:sz w:val="14"/>
                      </w:rPr>
                      <w:t>by</w:t>
                    </w:r>
                    <w:r>
                      <w:rPr>
                        <w:b/>
                        <w:spacing w:val="-24"/>
                        <w:position w:val="1"/>
                        <w:sz w:val="14"/>
                      </w:rPr>
                      <w:t> </w:t>
                    </w:r>
                    <w:r>
                      <w:rPr>
                        <w:b/>
                        <w:spacing w:val="7"/>
                        <w:position w:val="1"/>
                        <w:sz w:val="14"/>
                      </w:rPr>
                      <w:t>market</w:t>
                    </w:r>
                    <w:r>
                      <w:rPr>
                        <w:b/>
                        <w:spacing w:val="-4"/>
                        <w:position w:val="1"/>
                        <w:sz w:val="14"/>
                      </w:rPr>
                      <w:t> </w:t>
                    </w:r>
                    <w:r>
                      <w:rPr>
                        <w:b/>
                        <w:spacing w:val="6"/>
                        <w:position w:val="1"/>
                        <w:sz w:val="14"/>
                      </w:rPr>
                      <w:t>capitalisation</w:t>
                      <w:tab/>
                    </w:r>
                    <w:r>
                      <w:rPr>
                        <w:spacing w:val="9"/>
                        <w:w w:val="95"/>
                        <w:sz w:val="16"/>
                      </w:rPr>
                      <w:t>Thousa</w:t>
                    </w:r>
                  </w:p>
                  <w:p>
                    <w:pPr>
                      <w:spacing w:line="278" w:lineRule="auto" w:before="17"/>
                      <w:ind w:left="331" w:right="1050" w:firstLine="0"/>
                      <w:jc w:val="left"/>
                      <w:rPr>
                        <w:b/>
                        <w:sz w:val="14"/>
                      </w:rPr>
                    </w:pPr>
                    <w:r>
                      <w:rPr>
                        <w:b/>
                        <w:sz w:val="14"/>
                      </w:rPr>
                      <w:t>O ther banks and lenders Building societies</w:t>
                    </w:r>
                  </w:p>
                </w:txbxContent>
              </v:textbox>
              <w10:wrap type="none"/>
            </v:shape>
            <w10:wrap type="none"/>
          </v:group>
        </w:pict>
      </w:r>
      <w:r>
        <w:rPr>
          <w:sz w:val="16"/>
        </w:rPr>
        <w:t>90</w:t>
      </w:r>
    </w:p>
    <w:p>
      <w:pPr>
        <w:spacing w:before="37"/>
        <w:ind w:left="307" w:right="0" w:firstLine="0"/>
        <w:jc w:val="left"/>
        <w:rPr>
          <w:sz w:val="16"/>
        </w:rPr>
      </w:pPr>
      <w:r>
        <w:rPr>
          <w:sz w:val="16"/>
        </w:rPr>
        <w:t>80</w:t>
      </w:r>
    </w:p>
    <w:p>
      <w:pPr>
        <w:spacing w:before="51"/>
        <w:ind w:left="307" w:right="0" w:firstLine="0"/>
        <w:jc w:val="left"/>
        <w:rPr>
          <w:sz w:val="16"/>
        </w:rPr>
      </w:pPr>
      <w:r>
        <w:rPr>
          <w:sz w:val="16"/>
        </w:rPr>
        <w:t>70</w:t>
      </w:r>
    </w:p>
    <w:p>
      <w:pPr>
        <w:spacing w:before="42"/>
        <w:ind w:left="307" w:right="0" w:firstLine="0"/>
        <w:jc w:val="left"/>
        <w:rPr>
          <w:sz w:val="16"/>
        </w:rPr>
      </w:pPr>
      <w:r>
        <w:rPr>
          <w:sz w:val="16"/>
        </w:rPr>
        <w:t>60</w:t>
      </w:r>
    </w:p>
    <w:p>
      <w:pPr>
        <w:spacing w:before="51"/>
        <w:ind w:left="307" w:right="0" w:firstLine="0"/>
        <w:jc w:val="left"/>
        <w:rPr>
          <w:sz w:val="16"/>
        </w:rPr>
      </w:pPr>
      <w:r>
        <w:rPr>
          <w:sz w:val="16"/>
        </w:rPr>
        <w:t>50</w:t>
      </w:r>
    </w:p>
    <w:p>
      <w:pPr>
        <w:spacing w:before="51"/>
        <w:ind w:left="307" w:right="0" w:firstLine="0"/>
        <w:jc w:val="left"/>
        <w:rPr>
          <w:sz w:val="16"/>
        </w:rPr>
      </w:pPr>
      <w:r>
        <w:rPr>
          <w:sz w:val="16"/>
        </w:rPr>
        <w:t>40</w:t>
      </w:r>
    </w:p>
    <w:p>
      <w:pPr>
        <w:spacing w:before="37"/>
        <w:ind w:left="307" w:right="0" w:firstLine="0"/>
        <w:jc w:val="left"/>
        <w:rPr>
          <w:sz w:val="16"/>
        </w:rPr>
      </w:pPr>
      <w:r>
        <w:rPr>
          <w:sz w:val="16"/>
        </w:rPr>
        <w:t>30</w:t>
      </w:r>
    </w:p>
    <w:p>
      <w:pPr>
        <w:spacing w:before="51"/>
        <w:ind w:left="307" w:right="0" w:firstLine="0"/>
        <w:jc w:val="left"/>
        <w:rPr>
          <w:sz w:val="16"/>
        </w:rPr>
      </w:pPr>
      <w:r>
        <w:rPr>
          <w:sz w:val="16"/>
        </w:rPr>
        <w:t>20</w:t>
      </w:r>
    </w:p>
    <w:p>
      <w:pPr>
        <w:spacing w:before="32"/>
        <w:ind w:left="307" w:right="0" w:firstLine="0"/>
        <w:jc w:val="left"/>
        <w:rPr>
          <w:sz w:val="16"/>
        </w:rPr>
      </w:pPr>
      <w:r>
        <w:rPr>
          <w:sz w:val="16"/>
        </w:rPr>
        <w:t>10</w:t>
      </w:r>
    </w:p>
    <w:p>
      <w:pPr>
        <w:spacing w:before="51"/>
        <w:ind w:left="307" w:right="0" w:firstLine="0"/>
        <w:jc w:val="left"/>
        <w:rPr>
          <w:sz w:val="16"/>
        </w:rPr>
      </w:pPr>
      <w:r>
        <w:rPr>
          <w:w w:val="93"/>
          <w:sz w:val="16"/>
        </w:rPr>
        <w:t>0</w:t>
      </w:r>
    </w:p>
    <w:p>
      <w:pPr>
        <w:pStyle w:val="BodyText"/>
        <w:spacing w:before="6" w:after="40"/>
        <w:rPr>
          <w:sz w:val="13"/>
        </w:rPr>
      </w:pPr>
      <w:r>
        <w:rPr/>
        <w:br w:type="column"/>
      </w:r>
      <w:r>
        <w:rPr>
          <w:sz w:val="13"/>
        </w:rPr>
      </w:r>
    </w:p>
    <w:p>
      <w:pPr>
        <w:pStyle w:val="BodyText"/>
        <w:spacing w:line="24" w:lineRule="exact"/>
        <w:ind w:left="598"/>
        <w:rPr>
          <w:sz w:val="2"/>
        </w:rPr>
      </w:pPr>
      <w:r>
        <w:rPr>
          <w:sz w:val="2"/>
        </w:rPr>
        <w:pict>
          <v:group style="width:14.65pt;height:1.2pt;mso-position-horizontal-relative:char;mso-position-vertical-relative:line" coordorigin="0,0" coordsize="293,24">
            <v:line style="position:absolute" from="0,12" to="293,12" stroked="true" strokeweight="1.2pt" strokecolor="#000080">
              <v:stroke dashstyle="solid"/>
            </v:line>
          </v:group>
        </w:pict>
      </w:r>
      <w:r>
        <w:rPr>
          <w:sz w:val="2"/>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8"/>
        </w:rPr>
      </w:pPr>
    </w:p>
    <w:p>
      <w:pPr>
        <w:tabs>
          <w:tab w:pos="1488" w:val="left" w:leader="none"/>
          <w:tab w:pos="2439" w:val="left" w:leader="none"/>
          <w:tab w:pos="3389" w:val="left" w:leader="none"/>
        </w:tabs>
        <w:spacing w:before="0"/>
        <w:ind w:left="533" w:right="0" w:firstLine="0"/>
        <w:jc w:val="left"/>
        <w:rPr>
          <w:sz w:val="15"/>
        </w:rPr>
      </w:pPr>
      <w:r>
        <w:rPr>
          <w:sz w:val="15"/>
        </w:rPr>
        <w:t>2001</w:t>
        <w:tab/>
        <w:t>2003</w:t>
        <w:tab/>
        <w:t>2005</w:t>
        <w:tab/>
      </w:r>
      <w:r>
        <w:rPr>
          <w:spacing w:val="-4"/>
          <w:sz w:val="15"/>
        </w:rPr>
        <w:t>2007</w:t>
      </w:r>
    </w:p>
    <w:p>
      <w:pPr>
        <w:spacing w:before="125"/>
        <w:ind w:left="437" w:right="0" w:firstLine="0"/>
        <w:jc w:val="left"/>
        <w:rPr>
          <w:sz w:val="18"/>
        </w:rPr>
      </w:pPr>
      <w:r>
        <w:rPr>
          <w:sz w:val="18"/>
        </w:rPr>
        <w:t>Source: Bank of England</w:t>
      </w:r>
    </w:p>
    <w:p>
      <w:pPr>
        <w:spacing w:line="333" w:lineRule="auto" w:before="82"/>
        <w:ind w:left="252" w:right="739" w:hanging="72"/>
        <w:jc w:val="left"/>
        <w:rPr>
          <w:sz w:val="15"/>
        </w:rPr>
      </w:pPr>
      <w:r>
        <w:rPr/>
        <w:br w:type="column"/>
      </w:r>
      <w:r>
        <w:rPr>
          <w:spacing w:val="2"/>
          <w:sz w:val="15"/>
        </w:rPr>
        <w:t>llions </w:t>
      </w:r>
      <w:r>
        <w:rPr>
          <w:w w:val="95"/>
          <w:sz w:val="15"/>
        </w:rPr>
        <w:t>8000</w:t>
      </w:r>
    </w:p>
    <w:p>
      <w:pPr>
        <w:pStyle w:val="BodyText"/>
        <w:rPr>
          <w:sz w:val="16"/>
        </w:rPr>
      </w:pPr>
    </w:p>
    <w:p>
      <w:pPr>
        <w:pStyle w:val="BodyText"/>
        <w:spacing w:before="8"/>
        <w:rPr>
          <w:sz w:val="13"/>
        </w:rPr>
      </w:pPr>
    </w:p>
    <w:p>
      <w:pPr>
        <w:spacing w:before="0"/>
        <w:ind w:left="252" w:right="0" w:firstLine="0"/>
        <w:jc w:val="left"/>
        <w:rPr>
          <w:sz w:val="15"/>
        </w:rPr>
      </w:pPr>
      <w:r>
        <w:rPr/>
        <w:pict>
          <v:group style="position:absolute;margin-left:316.079987pt;margin-top:-40.863396pt;width:164.8pt;height:129.8pt;mso-position-horizontal-relative:page;mso-position-vertical-relative:paragraph;z-index:-253036544" coordorigin="6322,-817" coordsize="3296,2596">
            <v:shape style="position:absolute;left:26640;top:-15310;width:13420;height:9440" coordorigin="26640,-15310" coordsize="13420,9440" path="m9566,-490l9566,1776,9614,1776m9566,1214l9614,1214m9566,643l9614,643m9566,81l9614,81m9566,-490l9614,-490m6394,1776l9566,1776m6394,1776l6394,1728m7344,1776l7344,1728m8294,1776l8294,1728m9250,1776l9250,1728e" filled="false" stroked="true" strokeweight=".24pt" strokecolor="#000000">
              <v:path arrowok="t"/>
              <v:stroke dashstyle="solid"/>
            </v:shape>
            <v:line style="position:absolute" from="6394,1444" to="6394,1444" stroked="true" strokeweight="1.2pt" strokecolor="#000080">
              <v:stroke dashstyle="solid"/>
            </v:line>
            <v:line style="position:absolute" from="6410,1106" to="6410,1456" stroked="true" strokeweight="2.88pt" strokecolor="#000080">
              <v:stroke dashstyle="solid"/>
            </v:line>
            <v:shape style="position:absolute;left:6427;top:239;width:3101;height:1253" coordorigin="6427,240" coordsize="3101,1253" path="m6427,1118l6480,1118,6514,921,6552,715,6590,729,6638,619,6672,912,6710,1008,6749,825,6797,1118,6830,888,6869,1142,6907,897,6955,921,6989,484,7027,753,7066,580,7114,523,7147,580,7186,446,7224,523,7272,912,7310,705,7344,1046,7382,921,7430,811,7469,729,7502,523,7541,388,7589,523,7627,422,7661,460,7699,628,7747,849,7786,571,7819,936,7858,667,7906,580,7944,864,7978,657,8016,840,8064,998,8102,912,8136,921,8174,1128,8222,1056,8261,1190,8294,1286,8333,1128,8381,1190,8419,1070,8453,811,8491,1286,8539,1252,8578,1080,8616,1190,8650,1118,8698,1070,8736,1142,8774,1396,8808,888,8856,1070,8894,753,8933,240,8966,484,9014,604,9053,864,9091,998,9125,801,9173,984,9211,1204,9250,1492,9283,1142,9336,1252,9370,840,9408,705,9442,729,9494,547,9528,1118e" filled="false" stroked="true" strokeweight="1.2pt" strokecolor="#000080">
              <v:path arrowok="t"/>
              <v:stroke dashstyle="solid"/>
            </v:shape>
            <v:line style="position:absolute" from="9528,1118" to="9566,849" stroked="true" strokeweight="1.2pt" strokecolor="#000080">
              <v:stroke dashstyle="solid"/>
            </v:line>
            <v:line style="position:absolute" from="6394,1507" to="6394,1507" stroked="true" strokeweight="1.2pt" strokecolor="#ff00ff">
              <v:stroke dashstyle="solid"/>
            </v:line>
            <v:line style="position:absolute" from="6394,1507" to="6427,1396" stroked="true" strokeweight="1.2pt" strokecolor="#ff00ff">
              <v:stroke dashstyle="solid"/>
            </v:line>
            <v:shape style="position:absolute;left:6427;top:-54;width:3101;height:1623" coordorigin="6427,-53" coordsize="3101,1623" path="m6427,1396l6480,1555,6514,1492,6552,1459,6590,1483,6638,1420,6672,1372,6710,1387,6749,1387,6797,1569,6830,1521,6869,1372,6907,1286,6955,1396,6989,1166,7027,1348,7066,33,7114,715,7147,1190,7186,1094,7224,1046,7272,1190,7310,1070,7344,1300,7382,1104,7430,1411,7469,1046,7502,1128,7541,873,7589,921,7627,1300,7661,523,7699,811,7747,960,7786,921,7819,1022,7858,849,7906,763,7944,777,7978,667,8016,475,8064,667,8102,705,8136,1046,8174,350,8222,912,8261,1080,8294,1459,8333,1324,8381,739,8419,873,8453,72,8491,475,8539,523,8578,571,8616,484,8650,302,8698,446,8736,604,8774,1022,8808,475,8856,628,8894,1046,8933,691,8966,873,9014,254,9053,57,9091,350,9125,57,9173,216,9211,475,9250,484,9283,1214,9336,484,9370,398,9408,-53,9442,340,9494,340,9528,508e" filled="false" stroked="true" strokeweight="1.2pt" strokecolor="#ff00ff">
              <v:path arrowok="t"/>
              <v:stroke dashstyle="solid"/>
            </v:shape>
            <v:line style="position:absolute" from="9528,508" to="9566,825" stroked="true" strokeweight="1.2pt" strokecolor="#ff00ff">
              <v:stroke dashstyle="solid"/>
            </v:line>
            <v:line style="position:absolute" from="6394,1617" to="6394,1617" stroked="true" strokeweight="1.2pt" strokecolor="#008000">
              <v:stroke dashstyle="solid"/>
            </v:line>
            <v:line style="position:absolute" from="6394,1617" to="6427,1617" stroked="true" strokeweight="1.2pt" strokecolor="#008000">
              <v:stroke dashstyle="solid"/>
            </v:line>
            <v:shape style="position:absolute;left:6427;top:1070;width:3101;height:634" coordorigin="6427,1070" coordsize="3101,634" path="m6427,1617l6480,1617,6514,1641,6552,1651,6590,1704,6638,1651,6672,1704,6710,1704,6749,1593,6797,1675,6830,1627,6869,1665,6907,1641,6955,1531,6989,1492,7027,1483,7066,1507,7114,1459,7147,1531,7186,1545,7224,1555,7272,1531,7310,1435,7344,1531,7382,1507,7430,1483,7469,1363,7502,1204,7541,1363,7589,1420,7627,1238,7661,1070,7699,1228,7747,1411,7786,1396,7819,1483,7858,1435,7906,1411,7944,1396,7978,1324,8016,1142,8064,1214,8102,1387,8136,1507,8174,1545,8222,1521,8261,1579,8294,1617,8333,1579,8381,1444,8419,1444,8453,1420,8491,1420,8539,1286,8578,1435,8616,1531,8650,1507,8698,1579,8736,1579,8774,1593,8808,1521,8856,1468,8894,1334,8933,1300,8966,1334,9014,1142,9053,1276,9091,1363,9125,1435,9173,1641,9211,1363,9250,1387,9283,1324,9336,1468,9370,1420,9408,1420,9442,1593,9494,1579,9528,1641e" filled="false" stroked="true" strokeweight="1.2pt" strokecolor="#008000">
              <v:path arrowok="t"/>
              <v:stroke dashstyle="solid"/>
            </v:shape>
            <v:line style="position:absolute" from="9528,1641" to="9566,1675" stroked="true" strokeweight="1.2pt" strokecolor="#008000">
              <v:stroke dashstyle="solid"/>
            </v:line>
            <v:line style="position:absolute" from="6322,-490" to="6614,-490" stroked="true" strokeweight="1.2pt" strokecolor="#ff00ff">
              <v:stroke dashstyle="solid"/>
            </v:line>
            <v:line style="position:absolute" from="6322,-284" to="6614,-284" stroked="true" strokeweight="1.2pt" strokecolor="#008000">
              <v:stroke dashstyle="solid"/>
            </v:line>
            <v:shape style="position:absolute;left:6321;top:-818;width:3296;height:2596" type="#_x0000_t202" filled="false" stroked="false">
              <v:textbox inset="0,0,0,0">
                <w:txbxContent>
                  <w:p>
                    <w:pPr>
                      <w:tabs>
                        <w:tab w:pos="3023" w:val="left" w:leader="none"/>
                      </w:tabs>
                      <w:spacing w:before="0"/>
                      <w:ind w:left="326" w:right="0" w:firstLine="0"/>
                      <w:jc w:val="left"/>
                      <w:rPr>
                        <w:sz w:val="15"/>
                      </w:rPr>
                    </w:pPr>
                    <w:r>
                      <w:rPr>
                        <w:b/>
                        <w:spacing w:val="5"/>
                        <w:sz w:val="14"/>
                      </w:rPr>
                      <w:t>Top </w:t>
                    </w:r>
                    <w:r>
                      <w:rPr>
                        <w:b/>
                        <w:sz w:val="14"/>
                      </w:rPr>
                      <w:t>5 </w:t>
                    </w:r>
                    <w:r>
                      <w:rPr>
                        <w:b/>
                        <w:spacing w:val="4"/>
                        <w:sz w:val="14"/>
                      </w:rPr>
                      <w:t>banks </w:t>
                    </w:r>
                    <w:r>
                      <w:rPr>
                        <w:b/>
                        <w:sz w:val="14"/>
                      </w:rPr>
                      <w:t>by</w:t>
                    </w:r>
                    <w:r>
                      <w:rPr>
                        <w:b/>
                        <w:spacing w:val="-22"/>
                        <w:sz w:val="14"/>
                      </w:rPr>
                      <w:t> </w:t>
                    </w:r>
                    <w:r>
                      <w:rPr>
                        <w:b/>
                        <w:spacing w:val="6"/>
                        <w:sz w:val="14"/>
                      </w:rPr>
                      <w:t>market</w:t>
                    </w:r>
                    <w:r>
                      <w:rPr>
                        <w:b/>
                        <w:spacing w:val="-7"/>
                        <w:sz w:val="14"/>
                      </w:rPr>
                      <w:t> </w:t>
                    </w:r>
                    <w:r>
                      <w:rPr>
                        <w:b/>
                        <w:spacing w:val="5"/>
                        <w:sz w:val="14"/>
                      </w:rPr>
                      <w:t>capitalisation</w:t>
                      <w:tab/>
                    </w:r>
                    <w:r>
                      <w:rPr>
                        <w:position w:val="2"/>
                        <w:sz w:val="15"/>
                      </w:rPr>
                      <w:t>£</w:t>
                    </w:r>
                    <w:r>
                      <w:rPr>
                        <w:spacing w:val="4"/>
                        <w:position w:val="2"/>
                        <w:sz w:val="15"/>
                      </w:rPr>
                      <w:t> </w:t>
                    </w:r>
                    <w:r>
                      <w:rPr>
                        <w:spacing w:val="-10"/>
                        <w:position w:val="2"/>
                        <w:sz w:val="15"/>
                      </w:rPr>
                      <w:t>mi</w:t>
                    </w:r>
                  </w:p>
                  <w:p>
                    <w:pPr>
                      <w:spacing w:line="307" w:lineRule="auto" w:before="46"/>
                      <w:ind w:left="326" w:right="959" w:firstLine="0"/>
                      <w:jc w:val="left"/>
                      <w:rPr>
                        <w:b/>
                        <w:sz w:val="14"/>
                      </w:rPr>
                    </w:pPr>
                    <w:r>
                      <w:rPr>
                        <w:b/>
                        <w:sz w:val="14"/>
                      </w:rPr>
                      <w:t>O ther banks and lenders Building societies</w:t>
                    </w:r>
                  </w:p>
                </w:txbxContent>
              </v:textbox>
              <w10:wrap type="none"/>
            </v:shape>
            <w10:wrap type="none"/>
          </v:group>
        </w:pict>
      </w:r>
      <w:r>
        <w:rPr>
          <w:sz w:val="15"/>
        </w:rPr>
        <w:t>6000</w:t>
      </w:r>
    </w:p>
    <w:p>
      <w:pPr>
        <w:pStyle w:val="BodyText"/>
        <w:rPr>
          <w:sz w:val="16"/>
        </w:rPr>
      </w:pPr>
    </w:p>
    <w:p>
      <w:pPr>
        <w:pStyle w:val="BodyText"/>
        <w:rPr>
          <w:sz w:val="17"/>
        </w:rPr>
      </w:pPr>
    </w:p>
    <w:p>
      <w:pPr>
        <w:spacing w:before="0"/>
        <w:ind w:left="252" w:right="0" w:firstLine="0"/>
        <w:jc w:val="left"/>
        <w:rPr>
          <w:sz w:val="15"/>
        </w:rPr>
      </w:pPr>
      <w:r>
        <w:rPr>
          <w:sz w:val="15"/>
        </w:rPr>
        <w:t>4000</w:t>
      </w:r>
    </w:p>
    <w:p>
      <w:pPr>
        <w:pStyle w:val="BodyText"/>
        <w:rPr>
          <w:sz w:val="16"/>
        </w:rPr>
      </w:pPr>
    </w:p>
    <w:p>
      <w:pPr>
        <w:pStyle w:val="BodyText"/>
        <w:spacing w:before="1"/>
        <w:rPr>
          <w:sz w:val="19"/>
        </w:rPr>
      </w:pPr>
    </w:p>
    <w:p>
      <w:pPr>
        <w:spacing w:before="0"/>
        <w:ind w:left="252" w:right="0" w:firstLine="0"/>
        <w:jc w:val="left"/>
        <w:rPr>
          <w:sz w:val="15"/>
        </w:rPr>
      </w:pPr>
      <w:r>
        <w:rPr>
          <w:sz w:val="15"/>
        </w:rPr>
        <w:t>2000</w:t>
      </w:r>
    </w:p>
    <w:p>
      <w:pPr>
        <w:pStyle w:val="BodyText"/>
        <w:rPr>
          <w:sz w:val="16"/>
        </w:rPr>
      </w:pPr>
    </w:p>
    <w:p>
      <w:pPr>
        <w:pStyle w:val="BodyText"/>
        <w:spacing w:before="10"/>
        <w:rPr>
          <w:sz w:val="17"/>
        </w:rPr>
      </w:pPr>
    </w:p>
    <w:p>
      <w:pPr>
        <w:spacing w:before="0"/>
        <w:ind w:left="252" w:right="0" w:firstLine="0"/>
        <w:jc w:val="left"/>
        <w:rPr>
          <w:sz w:val="15"/>
        </w:rPr>
      </w:pPr>
      <w:r>
        <w:rPr>
          <w:w w:val="96"/>
          <w:sz w:val="15"/>
        </w:rPr>
        <w:t>0</w:t>
      </w:r>
    </w:p>
    <w:p>
      <w:pPr>
        <w:spacing w:after="0"/>
        <w:jc w:val="left"/>
        <w:rPr>
          <w:sz w:val="15"/>
        </w:rPr>
        <w:sectPr>
          <w:type w:val="continuous"/>
          <w:pgSz w:w="11910" w:h="16840"/>
          <w:pgMar w:top="1180" w:bottom="280" w:left="1140" w:right="1180"/>
          <w:cols w:num="4" w:equalWidth="0">
            <w:col w:w="3961" w:space="39"/>
            <w:col w:w="532" w:space="40"/>
            <w:col w:w="3683" w:space="39"/>
            <w:col w:w="1296"/>
          </w:cols>
        </w:sectPr>
      </w:pPr>
    </w:p>
    <w:p>
      <w:pPr>
        <w:pStyle w:val="Heading1"/>
        <w:spacing w:line="232" w:lineRule="auto" w:before="91"/>
        <w:ind w:right="5128"/>
      </w:pPr>
      <w:r>
        <w:rPr/>
        <w:t>Diagram C: Shifts in supply of credit (</w:t>
      </w:r>
      <w:r>
        <w:rPr>
          <w:b w:val="0"/>
          <w:sz w:val="20"/>
        </w:rPr>
        <w:t>C</w:t>
      </w:r>
      <w:r>
        <w:rPr>
          <w:b w:val="0"/>
          <w:sz w:val="20"/>
          <w:vertAlign w:val="superscript"/>
        </w:rPr>
        <w:t>S(1)</w:t>
      </w:r>
      <w:r>
        <w:rPr>
          <w:rFonts w:ascii="Arial" w:hAnsi="Arial"/>
          <w:vertAlign w:val="baseline"/>
        </w:rPr>
        <w:t>→ </w:t>
      </w:r>
      <w:r>
        <w:rPr>
          <w:b w:val="0"/>
          <w:sz w:val="20"/>
          <w:vertAlign w:val="baseline"/>
        </w:rPr>
        <w:t>C</w:t>
      </w:r>
      <w:r>
        <w:rPr>
          <w:b w:val="0"/>
          <w:sz w:val="20"/>
          <w:vertAlign w:val="superscript"/>
        </w:rPr>
        <w:t>S(2)</w:t>
      </w:r>
      <w:r>
        <w:rPr>
          <w:vertAlign w:val="baseline"/>
        </w:rPr>
        <w:t>) and money supply</w:t>
      </w:r>
    </w:p>
    <w:p>
      <w:pPr>
        <w:spacing w:before="78"/>
        <w:ind w:left="799" w:right="0" w:firstLine="0"/>
        <w:jc w:val="left"/>
        <w:rPr>
          <w:i/>
          <w:sz w:val="12"/>
        </w:rPr>
      </w:pPr>
      <w:r>
        <w:rPr/>
        <w:pict>
          <v:group style="position:absolute;margin-left:114pt;margin-top:18.842325pt;width:147.75pt;height:131.65pt;mso-position-horizontal-relative:page;mso-position-vertical-relative:paragraph;z-index:251746304" coordorigin="2280,377" coordsize="2955,2633">
            <v:shape style="position:absolute;left:2280;top:376;width:2938;height:2573" type="#_x0000_t75" stroked="false">
              <v:imagedata r:id="rId18" o:title=""/>
            </v:shape>
            <v:shape style="position:absolute;left:2659;top:605;width:227;height:228" type="#_x0000_t202" filled="false" stroked="false">
              <v:textbox inset="0,0,0,0">
                <w:txbxContent>
                  <w:p>
                    <w:pPr>
                      <w:spacing w:line="151" w:lineRule="auto" w:before="26"/>
                      <w:ind w:left="0" w:right="0" w:firstLine="0"/>
                      <w:jc w:val="left"/>
                      <w:rPr>
                        <w:sz w:val="12"/>
                      </w:rPr>
                    </w:pPr>
                    <w:r>
                      <w:rPr>
                        <w:position w:val="-7"/>
                        <w:sz w:val="18"/>
                      </w:rPr>
                      <w:t>C</w:t>
                    </w:r>
                    <w:r>
                      <w:rPr>
                        <w:sz w:val="12"/>
                      </w:rPr>
                      <w:t>D</w:t>
                    </w:r>
                  </w:p>
                </w:txbxContent>
              </v:textbox>
              <w10:wrap type="none"/>
            </v:shape>
            <v:shape style="position:absolute;left:4099;top:965;width:344;height:228" type="#_x0000_t202" filled="false" stroked="false">
              <v:textbox inset="0,0,0,0">
                <w:txbxContent>
                  <w:p>
                    <w:pPr>
                      <w:spacing w:line="151" w:lineRule="auto" w:before="26"/>
                      <w:ind w:left="0" w:right="0" w:firstLine="0"/>
                      <w:jc w:val="left"/>
                      <w:rPr>
                        <w:sz w:val="12"/>
                      </w:rPr>
                    </w:pPr>
                    <w:r>
                      <w:rPr>
                        <w:position w:val="-7"/>
                        <w:sz w:val="18"/>
                      </w:rPr>
                      <w:t>C</w:t>
                    </w:r>
                    <w:r>
                      <w:rPr>
                        <w:sz w:val="12"/>
                      </w:rPr>
                      <w:t>S(1)</w:t>
                    </w:r>
                  </w:p>
                </w:txbxContent>
              </v:textbox>
              <w10:wrap type="none"/>
            </v:shape>
            <v:shape style="position:absolute;left:3734;top:1227;width:152;height:202" type="#_x0000_t202" filled="false" stroked="false">
              <v:textbox inset="0,0,0,0">
                <w:txbxContent>
                  <w:p>
                    <w:pPr>
                      <w:spacing w:line="201" w:lineRule="exact" w:before="0"/>
                      <w:ind w:left="0" w:right="0" w:firstLine="0"/>
                      <w:jc w:val="left"/>
                      <w:rPr>
                        <w:sz w:val="18"/>
                      </w:rPr>
                    </w:pPr>
                    <w:r>
                      <w:rPr>
                        <w:w w:val="101"/>
                        <w:sz w:val="18"/>
                      </w:rPr>
                      <w:t>A</w:t>
                    </w:r>
                  </w:p>
                </w:txbxContent>
              </v:textbox>
              <w10:wrap type="none"/>
            </v:shape>
            <v:shape style="position:absolute;left:4099;top:1462;width:142;height:202" type="#_x0000_t202" filled="false" stroked="false">
              <v:textbox inset="0,0,0,0">
                <w:txbxContent>
                  <w:p>
                    <w:pPr>
                      <w:spacing w:line="201" w:lineRule="exact" w:before="0"/>
                      <w:ind w:left="0" w:right="0" w:firstLine="0"/>
                      <w:jc w:val="left"/>
                      <w:rPr>
                        <w:sz w:val="18"/>
                      </w:rPr>
                    </w:pPr>
                    <w:r>
                      <w:rPr>
                        <w:w w:val="101"/>
                        <w:sz w:val="18"/>
                      </w:rPr>
                      <w:t>B</w:t>
                    </w:r>
                  </w:p>
                </w:txbxContent>
              </v:textbox>
              <w10:wrap type="none"/>
            </v:shape>
            <v:shape style="position:absolute;left:4641;top:1503;width:344;height:228" type="#_x0000_t202" filled="false" stroked="false">
              <v:textbox inset="0,0,0,0">
                <w:txbxContent>
                  <w:p>
                    <w:pPr>
                      <w:spacing w:line="151" w:lineRule="auto" w:before="26"/>
                      <w:ind w:left="0" w:right="0" w:firstLine="0"/>
                      <w:jc w:val="left"/>
                      <w:rPr>
                        <w:sz w:val="12"/>
                      </w:rPr>
                    </w:pPr>
                    <w:r>
                      <w:rPr>
                        <w:position w:val="-7"/>
                        <w:sz w:val="18"/>
                      </w:rPr>
                      <w:t>C</w:t>
                    </w:r>
                    <w:r>
                      <w:rPr>
                        <w:sz w:val="12"/>
                      </w:rPr>
                      <w:t>S(2)</w:t>
                    </w:r>
                  </w:p>
                </w:txbxContent>
              </v:textbox>
              <w10:wrap type="none"/>
            </v:shape>
            <v:shape style="position:absolute;left:3619;top:2791;width:200;height:218" type="#_x0000_t202" filled="false" stroked="false">
              <v:textbox inset="0,0,0,0">
                <w:txbxContent>
                  <w:p>
                    <w:pPr>
                      <w:spacing w:line="201" w:lineRule="exact" w:before="0"/>
                      <w:ind w:left="0" w:right="0" w:firstLine="0"/>
                      <w:jc w:val="left"/>
                      <w:rPr>
                        <w:sz w:val="18"/>
                      </w:rPr>
                    </w:pPr>
                    <w:r>
                      <w:rPr>
                        <w:sz w:val="18"/>
                      </w:rPr>
                      <w:t>C</w:t>
                    </w:r>
                    <w:r>
                      <w:rPr>
                        <w:sz w:val="18"/>
                        <w:vertAlign w:val="subscript"/>
                      </w:rPr>
                      <w:t>1</w:t>
                    </w:r>
                  </w:p>
                </w:txbxContent>
              </v:textbox>
              <w10:wrap type="none"/>
            </v:shape>
            <v:shape style="position:absolute;left:4099;top:2791;width:200;height:218" type="#_x0000_t202" filled="false" stroked="false">
              <v:textbox inset="0,0,0,0">
                <w:txbxContent>
                  <w:p>
                    <w:pPr>
                      <w:spacing w:line="201" w:lineRule="exact" w:before="0"/>
                      <w:ind w:left="0" w:right="0" w:firstLine="0"/>
                      <w:jc w:val="left"/>
                      <w:rPr>
                        <w:sz w:val="18"/>
                      </w:rPr>
                    </w:pPr>
                    <w:r>
                      <w:rPr>
                        <w:sz w:val="18"/>
                      </w:rPr>
                      <w:t>C</w:t>
                    </w:r>
                    <w:r>
                      <w:rPr>
                        <w:sz w:val="18"/>
                        <w:vertAlign w:val="subscript"/>
                      </w:rPr>
                      <w:t>2</w:t>
                    </w:r>
                  </w:p>
                </w:txbxContent>
              </v:textbox>
              <w10:wrap type="none"/>
            </v:shape>
            <v:shape style="position:absolute;left:4819;top:2784;width:416;height:176" type="#_x0000_t202" filled="false" stroked="false">
              <v:textbox inset="0,0,0,0">
                <w:txbxContent>
                  <w:p>
                    <w:pPr>
                      <w:spacing w:line="175" w:lineRule="exact" w:before="0"/>
                      <w:ind w:left="0" w:right="0" w:firstLine="0"/>
                      <w:jc w:val="left"/>
                      <w:rPr>
                        <w:sz w:val="16"/>
                      </w:rPr>
                    </w:pPr>
                    <w:r>
                      <w:rPr>
                        <w:sz w:val="16"/>
                      </w:rPr>
                      <w:t>Credit</w:t>
                    </w:r>
                  </w:p>
                </w:txbxContent>
              </v:textbox>
              <w10:wrap type="none"/>
            </v:shape>
            <w10:wrap type="none"/>
          </v:group>
        </w:pict>
      </w:r>
      <w:r>
        <w:rPr>
          <w:i/>
          <w:position w:val="3"/>
          <w:sz w:val="18"/>
        </w:rPr>
        <w:t>i</w:t>
      </w:r>
      <w:r>
        <w:rPr>
          <w:i/>
          <w:sz w:val="12"/>
        </w:rPr>
        <w:t>loan</w:t>
      </w:r>
    </w:p>
    <w:p>
      <w:pPr>
        <w:pStyle w:val="BodyText"/>
        <w:rPr>
          <w:i/>
          <w:sz w:val="22"/>
        </w:rPr>
      </w:pPr>
    </w:p>
    <w:p>
      <w:pPr>
        <w:pStyle w:val="BodyText"/>
        <w:rPr>
          <w:i/>
          <w:sz w:val="22"/>
        </w:rPr>
      </w:pPr>
    </w:p>
    <w:p>
      <w:pPr>
        <w:pStyle w:val="BodyText"/>
        <w:rPr>
          <w:i/>
          <w:sz w:val="22"/>
        </w:rPr>
      </w:pPr>
    </w:p>
    <w:p>
      <w:pPr>
        <w:pStyle w:val="BodyText"/>
        <w:spacing w:before="5"/>
        <w:rPr>
          <w:i/>
          <w:sz w:val="18"/>
        </w:rPr>
      </w:pPr>
    </w:p>
    <w:p>
      <w:pPr>
        <w:spacing w:before="0"/>
        <w:ind w:left="799" w:right="0" w:firstLine="0"/>
        <w:jc w:val="left"/>
        <w:rPr>
          <w:i/>
          <w:sz w:val="12"/>
        </w:rPr>
      </w:pPr>
      <w:r>
        <w:rPr/>
        <w:drawing>
          <wp:anchor distT="0" distB="0" distL="0" distR="0" allowOverlap="1" layoutInCell="1" locked="0" behindDoc="0" simplePos="0" relativeHeight="64">
            <wp:simplePos x="0" y="0"/>
            <wp:positionH relativeFrom="page">
              <wp:posOffset>1207008</wp:posOffset>
            </wp:positionH>
            <wp:positionV relativeFrom="paragraph">
              <wp:posOffset>183671</wp:posOffset>
            </wp:positionV>
            <wp:extent cx="96981" cy="100012"/>
            <wp:effectExtent l="0" t="0" r="0" b="0"/>
            <wp:wrapTopAndBottom/>
            <wp:docPr id="9" name="image4.png"/>
            <wp:cNvGraphicFramePr>
              <a:graphicFrameLocks noChangeAspect="1"/>
            </wp:cNvGraphicFramePr>
            <a:graphic>
              <a:graphicData uri="http://schemas.openxmlformats.org/drawingml/2006/picture">
                <pic:pic>
                  <pic:nvPicPr>
                    <pic:cNvPr id="10" name="image4.png"/>
                    <pic:cNvPicPr/>
                  </pic:nvPicPr>
                  <pic:blipFill>
                    <a:blip r:embed="rId10" cstate="print"/>
                    <a:stretch>
                      <a:fillRect/>
                    </a:stretch>
                  </pic:blipFill>
                  <pic:spPr>
                    <a:xfrm>
                      <a:off x="0" y="0"/>
                      <a:ext cx="96981" cy="100012"/>
                    </a:xfrm>
                    <a:prstGeom prst="rect">
                      <a:avLst/>
                    </a:prstGeom>
                  </pic:spPr>
                </pic:pic>
              </a:graphicData>
            </a:graphic>
          </wp:anchor>
        </w:drawing>
      </w:r>
      <w:r>
        <w:rPr>
          <w:i/>
          <w:position w:val="3"/>
          <w:sz w:val="18"/>
        </w:rPr>
        <w:t>i</w:t>
      </w:r>
      <w:r>
        <w:rPr>
          <w:i/>
          <w:sz w:val="12"/>
        </w:rPr>
        <w:t>l(1)</w:t>
      </w:r>
    </w:p>
    <w:p>
      <w:pPr>
        <w:spacing w:before="76"/>
        <w:ind w:left="799" w:right="0" w:firstLine="0"/>
        <w:jc w:val="left"/>
        <w:rPr>
          <w:i/>
          <w:sz w:val="12"/>
        </w:rPr>
      </w:pPr>
      <w:r>
        <w:rPr>
          <w:i/>
          <w:position w:val="3"/>
          <w:sz w:val="18"/>
        </w:rPr>
        <w:t>i</w:t>
      </w:r>
      <w:r>
        <w:rPr>
          <w:i/>
          <w:sz w:val="12"/>
        </w:rPr>
        <w:t>l(2)</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2"/>
        <w:rPr>
          <w:i/>
          <w:sz w:val="22"/>
        </w:rPr>
      </w:pPr>
    </w:p>
    <w:p>
      <w:pPr>
        <w:spacing w:before="94"/>
        <w:ind w:left="799" w:right="0" w:firstLine="0"/>
        <w:jc w:val="left"/>
        <w:rPr>
          <w:i/>
          <w:sz w:val="12"/>
        </w:rPr>
      </w:pPr>
      <w:r>
        <w:rPr/>
        <w:pict>
          <v:group style="position:absolute;margin-left:114pt;margin-top:19.642330pt;width:150.4pt;height:131.65pt;mso-position-horizontal-relative:page;mso-position-vertical-relative:paragraph;z-index:251737088" coordorigin="2280,393" coordsize="3008,2633">
            <v:shape style="position:absolute;left:2280;top:392;width:2938;height:2573" type="#_x0000_t75" stroked="false">
              <v:imagedata r:id="rId19" o:title=""/>
            </v:shape>
            <v:shape style="position:absolute;left:2659;top:621;width:270;height:228" type="#_x0000_t202" filled="false" stroked="false">
              <v:textbox inset="0,0,0,0">
                <w:txbxContent>
                  <w:p>
                    <w:pPr>
                      <w:spacing w:line="151" w:lineRule="auto" w:before="26"/>
                      <w:ind w:left="0" w:right="0" w:firstLine="0"/>
                      <w:jc w:val="left"/>
                      <w:rPr>
                        <w:sz w:val="12"/>
                      </w:rPr>
                    </w:pPr>
                    <w:r>
                      <w:rPr>
                        <w:position w:val="-7"/>
                        <w:sz w:val="18"/>
                      </w:rPr>
                      <w:t>M</w:t>
                    </w:r>
                    <w:r>
                      <w:rPr>
                        <w:sz w:val="12"/>
                      </w:rPr>
                      <w:t>D</w:t>
                    </w:r>
                  </w:p>
                </w:txbxContent>
              </v:textbox>
              <w10:wrap type="none"/>
            </v:shape>
            <v:shape style="position:absolute;left:3379;top:439;width:387;height:228" type="#_x0000_t202" filled="false" stroked="false">
              <v:textbox inset="0,0,0,0">
                <w:txbxContent>
                  <w:p>
                    <w:pPr>
                      <w:spacing w:line="151" w:lineRule="auto" w:before="26"/>
                      <w:ind w:left="0" w:right="0" w:firstLine="0"/>
                      <w:jc w:val="left"/>
                      <w:rPr>
                        <w:sz w:val="12"/>
                      </w:rPr>
                    </w:pPr>
                    <w:r>
                      <w:rPr>
                        <w:position w:val="-7"/>
                        <w:sz w:val="18"/>
                      </w:rPr>
                      <w:t>M</w:t>
                    </w:r>
                    <w:r>
                      <w:rPr>
                        <w:sz w:val="12"/>
                      </w:rPr>
                      <w:t>S(1)</w:t>
                    </w:r>
                  </w:p>
                </w:txbxContent>
              </v:textbox>
              <w10:wrap type="none"/>
            </v:shape>
            <v:shape style="position:absolute;left:4214;top:439;width:387;height:228" type="#_x0000_t202" filled="false" stroked="false">
              <v:textbox inset="0,0,0,0">
                <w:txbxContent>
                  <w:p>
                    <w:pPr>
                      <w:spacing w:line="151" w:lineRule="auto" w:before="26"/>
                      <w:ind w:left="0" w:right="0" w:firstLine="0"/>
                      <w:jc w:val="left"/>
                      <w:rPr>
                        <w:sz w:val="12"/>
                      </w:rPr>
                    </w:pPr>
                    <w:r>
                      <w:rPr>
                        <w:position w:val="-7"/>
                        <w:sz w:val="18"/>
                      </w:rPr>
                      <w:t>M</w:t>
                    </w:r>
                    <w:r>
                      <w:rPr>
                        <w:sz w:val="12"/>
                      </w:rPr>
                      <w:t>S(1)</w:t>
                    </w:r>
                  </w:p>
                </w:txbxContent>
              </v:textbox>
              <w10:wrap type="none"/>
            </v:shape>
            <v:shape style="position:absolute;left:3561;top:1159;width:185;height:228" type="#_x0000_t202" filled="false" stroked="false">
              <v:textbox inset="0,0,0,0">
                <w:txbxContent>
                  <w:p>
                    <w:pPr>
                      <w:spacing w:line="151" w:lineRule="auto" w:before="26"/>
                      <w:ind w:left="0" w:right="0" w:firstLine="0"/>
                      <w:jc w:val="left"/>
                      <w:rPr>
                        <w:sz w:val="12"/>
                      </w:rPr>
                    </w:pPr>
                    <w:r>
                      <w:rPr>
                        <w:position w:val="-7"/>
                        <w:sz w:val="18"/>
                      </w:rPr>
                      <w:t>A</w:t>
                    </w:r>
                    <w:r>
                      <w:rPr>
                        <w:sz w:val="12"/>
                      </w:rPr>
                      <w:t>’</w:t>
                    </w:r>
                  </w:p>
                </w:txbxContent>
              </v:textbox>
              <w10:wrap type="none"/>
            </v:shape>
            <v:shape style="position:absolute;left:4214;top:1519;width:180;height:228" type="#_x0000_t202" filled="false" stroked="false">
              <v:textbox inset="0,0,0,0">
                <w:txbxContent>
                  <w:p>
                    <w:pPr>
                      <w:spacing w:line="151" w:lineRule="auto" w:before="26"/>
                      <w:ind w:left="0" w:right="0" w:firstLine="0"/>
                      <w:jc w:val="left"/>
                      <w:rPr>
                        <w:sz w:val="12"/>
                      </w:rPr>
                    </w:pPr>
                    <w:r>
                      <w:rPr>
                        <w:position w:val="-7"/>
                        <w:sz w:val="18"/>
                      </w:rPr>
                      <w:t>B</w:t>
                    </w:r>
                    <w:r>
                      <w:rPr>
                        <w:sz w:val="12"/>
                      </w:rPr>
                      <w:t>’</w:t>
                    </w:r>
                  </w:p>
                </w:txbxContent>
              </v:textbox>
              <w10:wrap type="none"/>
            </v:shape>
            <v:shape style="position:absolute;left:3561;top:2807;width:244;height:218" type="#_x0000_t202" filled="false" stroked="false">
              <v:textbox inset="0,0,0,0">
                <w:txbxContent>
                  <w:p>
                    <w:pPr>
                      <w:spacing w:line="201" w:lineRule="exact" w:before="0"/>
                      <w:ind w:left="0" w:right="0" w:firstLine="0"/>
                      <w:jc w:val="left"/>
                      <w:rPr>
                        <w:sz w:val="18"/>
                      </w:rPr>
                    </w:pPr>
                    <w:r>
                      <w:rPr>
                        <w:sz w:val="18"/>
                      </w:rPr>
                      <w:t>M</w:t>
                    </w:r>
                    <w:r>
                      <w:rPr>
                        <w:sz w:val="18"/>
                        <w:vertAlign w:val="subscript"/>
                      </w:rPr>
                      <w:t>1</w:t>
                    </w:r>
                  </w:p>
                </w:txbxContent>
              </v:textbox>
              <w10:wrap type="none"/>
            </v:shape>
            <v:shape style="position:absolute;left:4099;top:2807;width:244;height:218" type="#_x0000_t202" filled="false" stroked="false">
              <v:textbox inset="0,0,0,0">
                <w:txbxContent>
                  <w:p>
                    <w:pPr>
                      <w:spacing w:line="201" w:lineRule="exact" w:before="0"/>
                      <w:ind w:left="0" w:right="0" w:firstLine="0"/>
                      <w:jc w:val="left"/>
                      <w:rPr>
                        <w:sz w:val="18"/>
                      </w:rPr>
                    </w:pPr>
                    <w:r>
                      <w:rPr>
                        <w:sz w:val="18"/>
                      </w:rPr>
                      <w:t>M</w:t>
                    </w:r>
                    <w:r>
                      <w:rPr>
                        <w:sz w:val="18"/>
                        <w:vertAlign w:val="subscript"/>
                      </w:rPr>
                      <w:t>2</w:t>
                    </w:r>
                  </w:p>
                </w:txbxContent>
              </v:textbox>
              <w10:wrap type="none"/>
            </v:shape>
            <v:shape style="position:absolute;left:4819;top:2800;width:469;height:176" type="#_x0000_t202" filled="false" stroked="false">
              <v:textbox inset="0,0,0,0">
                <w:txbxContent>
                  <w:p>
                    <w:pPr>
                      <w:spacing w:line="175" w:lineRule="exact" w:before="0"/>
                      <w:ind w:left="0" w:right="0" w:firstLine="0"/>
                      <w:jc w:val="left"/>
                      <w:rPr>
                        <w:sz w:val="16"/>
                      </w:rPr>
                    </w:pPr>
                    <w:r>
                      <w:rPr>
                        <w:sz w:val="16"/>
                      </w:rPr>
                      <w:t>Money</w:t>
                    </w:r>
                  </w:p>
                </w:txbxContent>
              </v:textbox>
              <w10:wrap type="none"/>
            </v:shape>
            <w10:wrap type="none"/>
          </v:group>
        </w:pict>
      </w:r>
      <w:r>
        <w:rPr>
          <w:i/>
          <w:position w:val="3"/>
          <w:sz w:val="18"/>
        </w:rPr>
        <w:t>i</w:t>
      </w:r>
      <w:r>
        <w:rPr>
          <w:i/>
          <w:sz w:val="12"/>
        </w:rPr>
        <w:t>wholesale</w:t>
      </w:r>
    </w:p>
    <w:p>
      <w:pPr>
        <w:pStyle w:val="BodyText"/>
        <w:rPr>
          <w:i/>
          <w:sz w:val="22"/>
        </w:rPr>
      </w:pPr>
    </w:p>
    <w:p>
      <w:pPr>
        <w:pStyle w:val="BodyText"/>
        <w:rPr>
          <w:i/>
          <w:sz w:val="22"/>
        </w:rPr>
      </w:pPr>
    </w:p>
    <w:p>
      <w:pPr>
        <w:pStyle w:val="BodyText"/>
        <w:spacing w:before="5"/>
        <w:rPr>
          <w:i/>
          <w:sz w:val="30"/>
        </w:rPr>
      </w:pPr>
    </w:p>
    <w:p>
      <w:pPr>
        <w:spacing w:before="0"/>
        <w:ind w:left="799" w:right="0" w:firstLine="0"/>
        <w:jc w:val="left"/>
        <w:rPr>
          <w:i/>
          <w:sz w:val="12"/>
        </w:rPr>
      </w:pPr>
      <w:r>
        <w:rPr/>
        <w:drawing>
          <wp:anchor distT="0" distB="0" distL="0" distR="0" allowOverlap="1" layoutInCell="1" locked="0" behindDoc="0" simplePos="0" relativeHeight="65">
            <wp:simplePos x="0" y="0"/>
            <wp:positionH relativeFrom="page">
              <wp:posOffset>1207008</wp:posOffset>
            </wp:positionH>
            <wp:positionV relativeFrom="paragraph">
              <wp:posOffset>186719</wp:posOffset>
            </wp:positionV>
            <wp:extent cx="98012" cy="98012"/>
            <wp:effectExtent l="0" t="0" r="0" b="0"/>
            <wp:wrapTopAndBottom/>
            <wp:docPr id="11" name="image14.png"/>
            <wp:cNvGraphicFramePr>
              <a:graphicFrameLocks noChangeAspect="1"/>
            </wp:cNvGraphicFramePr>
            <a:graphic>
              <a:graphicData uri="http://schemas.openxmlformats.org/drawingml/2006/picture">
                <pic:pic>
                  <pic:nvPicPr>
                    <pic:cNvPr id="12" name="image14.png"/>
                    <pic:cNvPicPr/>
                  </pic:nvPicPr>
                  <pic:blipFill>
                    <a:blip r:embed="rId20" cstate="print"/>
                    <a:stretch>
                      <a:fillRect/>
                    </a:stretch>
                  </pic:blipFill>
                  <pic:spPr>
                    <a:xfrm>
                      <a:off x="0" y="0"/>
                      <a:ext cx="98012" cy="98012"/>
                    </a:xfrm>
                    <a:prstGeom prst="rect">
                      <a:avLst/>
                    </a:prstGeom>
                  </pic:spPr>
                </pic:pic>
              </a:graphicData>
            </a:graphic>
          </wp:anchor>
        </w:drawing>
      </w:r>
      <w:r>
        <w:rPr>
          <w:i/>
          <w:position w:val="3"/>
          <w:sz w:val="18"/>
        </w:rPr>
        <w:t>i</w:t>
      </w:r>
      <w:r>
        <w:rPr>
          <w:i/>
          <w:sz w:val="12"/>
        </w:rPr>
        <w:t>w(1)</w:t>
      </w:r>
    </w:p>
    <w:p>
      <w:pPr>
        <w:spacing w:before="0"/>
        <w:ind w:left="799" w:right="0" w:firstLine="0"/>
        <w:jc w:val="left"/>
        <w:rPr>
          <w:i/>
          <w:sz w:val="12"/>
        </w:rPr>
      </w:pPr>
      <w:r>
        <w:rPr>
          <w:i/>
          <w:position w:val="3"/>
          <w:sz w:val="18"/>
        </w:rPr>
        <w:t>i</w:t>
      </w:r>
      <w:r>
        <w:rPr>
          <w:i/>
          <w:sz w:val="12"/>
        </w:rPr>
        <w:t>w(2)</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4"/>
        <w:rPr>
          <w:i/>
          <w:sz w:val="17"/>
        </w:rPr>
      </w:pPr>
    </w:p>
    <w:p>
      <w:pPr>
        <w:pStyle w:val="Heading1"/>
        <w:spacing w:before="90"/>
      </w:pPr>
      <w:r>
        <w:rPr/>
        <w:t>Chart 16: Lenders’ margins on UK mortgages</w:t>
      </w:r>
    </w:p>
    <w:p>
      <w:pPr>
        <w:tabs>
          <w:tab w:pos="3568" w:val="left" w:leader="none"/>
        </w:tabs>
        <w:spacing w:before="65"/>
        <w:ind w:left="756" w:right="0" w:firstLine="0"/>
        <w:jc w:val="left"/>
        <w:rPr>
          <w:sz w:val="13"/>
        </w:rPr>
      </w:pPr>
      <w:r>
        <w:rPr>
          <w:sz w:val="13"/>
        </w:rPr>
        <w:t>Basis</w:t>
      </w:r>
      <w:r>
        <w:rPr>
          <w:spacing w:val="-1"/>
          <w:sz w:val="13"/>
        </w:rPr>
        <w:t> </w:t>
      </w:r>
      <w:r>
        <w:rPr>
          <w:spacing w:val="7"/>
          <w:sz w:val="13"/>
        </w:rPr>
        <w:t>point</w:t>
      </w:r>
      <w:r>
        <w:rPr>
          <w:spacing w:val="-17"/>
          <w:sz w:val="13"/>
        </w:rPr>
        <w:t> </w:t>
      </w:r>
      <w:r>
        <w:rPr>
          <w:sz w:val="13"/>
        </w:rPr>
        <w:t>s</w:t>
        <w:tab/>
        <w:t>Basis </w:t>
      </w:r>
      <w:r>
        <w:rPr>
          <w:spacing w:val="7"/>
          <w:sz w:val="13"/>
        </w:rPr>
        <w:t>point</w:t>
      </w:r>
      <w:r>
        <w:rPr>
          <w:spacing w:val="-11"/>
          <w:sz w:val="13"/>
        </w:rPr>
        <w:t> </w:t>
      </w:r>
      <w:r>
        <w:rPr>
          <w:sz w:val="13"/>
        </w:rPr>
        <w:t>s</w:t>
      </w:r>
    </w:p>
    <w:p>
      <w:pPr>
        <w:spacing w:after="0"/>
        <w:jc w:val="left"/>
        <w:rPr>
          <w:sz w:val="13"/>
        </w:rPr>
        <w:sectPr>
          <w:pgSz w:w="11910" w:h="16840"/>
          <w:pgMar w:header="713" w:footer="0" w:top="1340" w:bottom="280" w:left="1140" w:right="1180"/>
        </w:sectPr>
      </w:pPr>
    </w:p>
    <w:p>
      <w:pPr>
        <w:spacing w:before="42"/>
        <w:ind w:left="0" w:right="38" w:firstLine="0"/>
        <w:jc w:val="right"/>
        <w:rPr>
          <w:sz w:val="13"/>
        </w:rPr>
      </w:pPr>
      <w:r>
        <w:rPr>
          <w:spacing w:val="7"/>
          <w:w w:val="95"/>
          <w:sz w:val="13"/>
        </w:rPr>
        <w:t>140</w:t>
      </w:r>
    </w:p>
    <w:p>
      <w:pPr>
        <w:pStyle w:val="BodyText"/>
        <w:rPr>
          <w:sz w:val="15"/>
        </w:rPr>
      </w:pPr>
    </w:p>
    <w:p>
      <w:pPr>
        <w:spacing w:before="0"/>
        <w:ind w:left="0" w:right="38" w:firstLine="0"/>
        <w:jc w:val="right"/>
        <w:rPr>
          <w:sz w:val="13"/>
        </w:rPr>
      </w:pPr>
      <w:r>
        <w:rPr>
          <w:spacing w:val="7"/>
          <w:w w:val="95"/>
          <w:sz w:val="13"/>
        </w:rPr>
        <w:t>120</w:t>
      </w:r>
    </w:p>
    <w:p>
      <w:pPr>
        <w:pStyle w:val="BodyText"/>
        <w:spacing w:before="4"/>
        <w:rPr>
          <w:sz w:val="15"/>
        </w:rPr>
      </w:pPr>
    </w:p>
    <w:p>
      <w:pPr>
        <w:spacing w:before="0"/>
        <w:ind w:left="0" w:right="38" w:firstLine="0"/>
        <w:jc w:val="right"/>
        <w:rPr>
          <w:sz w:val="13"/>
        </w:rPr>
      </w:pPr>
      <w:r>
        <w:rPr>
          <w:spacing w:val="7"/>
          <w:w w:val="95"/>
          <w:sz w:val="13"/>
        </w:rPr>
        <w:t>100</w:t>
      </w:r>
    </w:p>
    <w:p>
      <w:pPr>
        <w:pStyle w:val="BodyText"/>
        <w:rPr>
          <w:sz w:val="15"/>
        </w:rPr>
      </w:pPr>
    </w:p>
    <w:p>
      <w:pPr>
        <w:spacing w:before="0"/>
        <w:ind w:left="0" w:right="38" w:firstLine="0"/>
        <w:jc w:val="right"/>
        <w:rPr>
          <w:sz w:val="13"/>
        </w:rPr>
      </w:pPr>
      <w:r>
        <w:rPr>
          <w:spacing w:val="4"/>
          <w:w w:val="95"/>
          <w:sz w:val="13"/>
        </w:rPr>
        <w:t>80</w:t>
      </w:r>
    </w:p>
    <w:p>
      <w:pPr>
        <w:pStyle w:val="BodyText"/>
        <w:spacing w:before="6"/>
        <w:rPr>
          <w:sz w:val="14"/>
        </w:rPr>
      </w:pPr>
    </w:p>
    <w:p>
      <w:pPr>
        <w:spacing w:before="0"/>
        <w:ind w:left="0" w:right="38" w:firstLine="0"/>
        <w:jc w:val="right"/>
        <w:rPr>
          <w:sz w:val="13"/>
        </w:rPr>
      </w:pPr>
      <w:r>
        <w:rPr>
          <w:spacing w:val="4"/>
          <w:w w:val="95"/>
          <w:sz w:val="13"/>
        </w:rPr>
        <w:t>60</w:t>
      </w:r>
    </w:p>
    <w:p>
      <w:pPr>
        <w:pStyle w:val="BodyText"/>
        <w:rPr>
          <w:sz w:val="15"/>
        </w:rPr>
      </w:pPr>
    </w:p>
    <w:p>
      <w:pPr>
        <w:spacing w:before="0"/>
        <w:ind w:left="0" w:right="38" w:firstLine="0"/>
        <w:jc w:val="right"/>
        <w:rPr>
          <w:sz w:val="13"/>
        </w:rPr>
      </w:pPr>
      <w:r>
        <w:rPr>
          <w:spacing w:val="4"/>
          <w:w w:val="95"/>
          <w:sz w:val="13"/>
        </w:rPr>
        <w:t>40</w:t>
      </w:r>
    </w:p>
    <w:p>
      <w:pPr>
        <w:pStyle w:val="BodyText"/>
        <w:spacing w:before="6"/>
        <w:rPr>
          <w:sz w:val="14"/>
        </w:rPr>
      </w:pPr>
    </w:p>
    <w:p>
      <w:pPr>
        <w:spacing w:before="0"/>
        <w:ind w:left="0" w:right="38" w:firstLine="0"/>
        <w:jc w:val="right"/>
        <w:rPr>
          <w:sz w:val="13"/>
        </w:rPr>
      </w:pPr>
      <w:r>
        <w:rPr>
          <w:spacing w:val="4"/>
          <w:w w:val="95"/>
          <w:sz w:val="13"/>
        </w:rPr>
        <w:t>20</w:t>
      </w:r>
    </w:p>
    <w:p>
      <w:pPr>
        <w:spacing w:before="42"/>
        <w:ind w:left="789" w:right="0" w:firstLine="0"/>
        <w:jc w:val="left"/>
        <w:rPr>
          <w:sz w:val="13"/>
        </w:rPr>
      </w:pPr>
      <w:r>
        <w:rPr/>
        <w:br w:type="column"/>
      </w:r>
      <w:r>
        <w:rPr>
          <w:spacing w:val="7"/>
          <w:sz w:val="13"/>
        </w:rPr>
        <w:t>600</w:t>
      </w:r>
    </w:p>
    <w:p>
      <w:pPr>
        <w:pStyle w:val="BodyText"/>
        <w:rPr>
          <w:sz w:val="20"/>
        </w:rPr>
      </w:pPr>
    </w:p>
    <w:p>
      <w:pPr>
        <w:spacing w:before="0"/>
        <w:ind w:left="789" w:right="0" w:firstLine="0"/>
        <w:jc w:val="left"/>
        <w:rPr>
          <w:sz w:val="13"/>
        </w:rPr>
      </w:pPr>
      <w:r>
        <w:rPr/>
        <w:pict>
          <v:group style="position:absolute;margin-left:110.639999pt;margin-top:-14.582077pt;width:150.85pt;height:112.8pt;mso-position-horizontal-relative:page;mso-position-vertical-relative:paragraph;z-index:-253031424" coordorigin="2213,-292" coordsize="3017,2256">
            <v:shape style="position:absolute;left:9380;top:-23926;width:12400;height:9380" coordorigin="9380,-23925" coordsize="12400,9380" path="m5189,-289l5189,1962,5227,1962m5189,1592l5227,1592m5189,1213l5227,1213m5189,844l5227,844m5189,460l5227,460m5189,90l5227,90m5189,-289l5227,-289m2251,1962l5189,1962m2251,1962l2251,1924m2918,1962l2918,1924m3595,1962l3595,1924m4262,1962l4262,1924m4939,1962l4939,1924e" filled="false" stroked="true" strokeweight=".24pt" strokecolor="#000000">
              <v:path arrowok="t"/>
              <v:stroke dashstyle="solid"/>
            </v:shape>
            <v:line style="position:absolute" from="2251,-40" to="2275,-112" stroked="true" strokeweight="1.2pt" strokecolor="#ff00ff">
              <v:stroke dashstyle="solid"/>
            </v:line>
            <v:shape style="position:absolute;left:2275;top:-160;width:2890;height:860" coordorigin="2275,-160" coordsize="2890,860" path="m2275,-112l2314,-49,2338,-73,2362,-64,2386,-73,2424,-160,2448,-136,2472,-112,2501,-112,2534,-73,2558,-25,2587,18,2611,-97,2645,32,2674,8,2698,32,2731,-6,2755,90,2784,90,2808,90,2842,152,2870,128,2894,224,2918,80,2957,42,2981,90,3005,128,3029,114,3067,114,3091,152,3115,152,3154,200,3178,162,3202,186,3226,234,3264,234,3288,200,3312,224,3336,224,3374,248,3398,258,3422,234,3446,258,3485,258,3509,306,3533,306,3571,306,3595,296,3619,282,3648,306,3682,306,3706,296,3734,282,3758,282,3792,296,3821,258,3845,258,3869,306,3907,282,3931,234,3955,248,3994,248,4018,248,4042,272,4066,282,4104,340,4128,388,4152,412,4176,436,4214,450,4238,436,4262,460,4286,460,4325,436,4349,460,4373,484,4411,498,4435,522,4459,498,4483,508,4522,556,4546,546,4570,556,4594,570,4632,580,4656,580,4680,604,4709,613,4742,594,4766,613,4795,613,4829,613,4853,628,4882,628,4906,637,4939,652,4968,652,4992,637,5016,661,5054,661,5078,700,5102,685,5126,685,5165,685e" filled="false" stroked="true" strokeweight="1.2pt" strokecolor="#ff00ff">
              <v:path arrowok="t"/>
              <v:stroke dashstyle="solid"/>
            </v:shape>
            <v:line style="position:absolute" from="5165,685" to="5189,685" stroked="true" strokeweight="1.2pt" strokecolor="#ff00ff">
              <v:stroke dashstyle="solid"/>
            </v:line>
            <v:shape style="position:absolute;left:9220;top:-23926;width:320;height:9380" coordorigin="9220,-23925" coordsize="320,9380" path="m2251,-289l2251,1962m2213,1962l2290,1962m2213,1640l2290,1640m2213,1319l2290,1319m2213,997l2290,997m2213,676l2290,676m2213,354l2290,354m2213,32l2290,32m2213,-289l2290,-289e" filled="false" stroked="true" strokeweight=".24pt" strokecolor="#000000">
              <v:path arrowok="t"/>
              <v:stroke dashstyle="solid"/>
            </v:shape>
            <v:line style="position:absolute" from="2263,-124" to="2263,174" stroked="true" strokeweight="2.4pt" strokecolor="#000080">
              <v:stroke dashstyle="solid"/>
            </v:line>
            <v:shape style="position:absolute;left:2275;top:-112;width:2890;height:1440" coordorigin="2275,-112" coordsize="2890,1440" path="m2275,-112l2314,296,2338,32,2362,200,2386,114,2424,-16,2448,8,2472,234,2501,200,2534,354,2558,114,2587,128,2611,340,2645,340,2674,272,2698,316,2731,296,2755,316,2784,316,2808,306,2842,364,2870,364,2894,460,2918,498,2957,330,2981,508,3005,306,3029,330,3067,508,3091,532,3115,282,3154,378,3178,176,3202,-25,3226,248,3264,306,3288,272,3312,364,3336,412,3374,354,3398,316,3422,498,3446,474,3485,474,3509,426,3533,412,3571,412,3595,474,3619,224,3648,364,3682,412,3706,436,3734,412,3758,272,3792,340,3821,364,3845,364,3869,637,3907,532,3931,474,3955,580,3994,508,4018,546,4042,781,4066,748,4104,570,4128,772,4152,594,4176,604,4214,594,4238,613,4262,676,4286,700,4325,733,4349,796,4373,829,4411,805,4435,805,4459,604,4483,796,4522,844,4546,844,4570,901,4594,901,4632,892,4656,935,4680,925,4709,949,4742,959,4766,973,4795,1175,4829,997,4853,1007,4882,1165,4906,1045,4939,1199,4968,1093,4992,1093,5016,1127,5054,1280,5078,1151,5102,1328,5126,1256,5165,1304e" filled="false" stroked="true" strokeweight="1.2pt" strokecolor="#000080">
              <v:path arrowok="t"/>
              <v:stroke dashstyle="solid"/>
            </v:shape>
            <v:line style="position:absolute" from="5165,1304" to="5189,1376" stroked="true" strokeweight="1.2pt" strokecolor="#000080">
              <v:stroke dashstyle="solid"/>
            </v:line>
            <v:shape style="position:absolute;left:3595;top:-162;width:1224;height:143" type="#_x0000_t202" filled="false" stroked="false">
              <v:textbox inset="0,0,0,0">
                <w:txbxContent>
                  <w:p>
                    <w:pPr>
                      <w:spacing w:line="142" w:lineRule="exact" w:before="0"/>
                      <w:ind w:left="0" w:right="0" w:firstLine="0"/>
                      <w:jc w:val="left"/>
                      <w:rPr>
                        <w:sz w:val="13"/>
                      </w:rPr>
                    </w:pPr>
                    <w:r>
                      <w:rPr>
                        <w:color w:val="FF00FF"/>
                        <w:sz w:val="13"/>
                      </w:rPr>
                      <w:t>P ersonal loans (RHS)</w:t>
                    </w:r>
                  </w:p>
                </w:txbxContent>
              </v:textbox>
              <w10:wrap type="none"/>
            </v:shape>
            <v:shape style="position:absolute;left:2956;top:827;width:984;height:143" type="#_x0000_t202" filled="false" stroked="false">
              <v:textbox inset="0,0,0,0">
                <w:txbxContent>
                  <w:p>
                    <w:pPr>
                      <w:spacing w:line="142" w:lineRule="exact" w:before="0"/>
                      <w:ind w:left="0" w:right="0" w:firstLine="0"/>
                      <w:jc w:val="left"/>
                      <w:rPr>
                        <w:sz w:val="13"/>
                      </w:rPr>
                    </w:pPr>
                    <w:r>
                      <w:rPr>
                        <w:color w:val="000080"/>
                        <w:sz w:val="13"/>
                      </w:rPr>
                      <w:t>Mortgages (LHS)</w:t>
                    </w:r>
                  </w:p>
                </w:txbxContent>
              </v:textbox>
              <w10:wrap type="none"/>
            </v:shape>
            <w10:wrap type="none"/>
          </v:group>
        </w:pict>
      </w:r>
      <w:r>
        <w:rPr>
          <w:spacing w:val="7"/>
          <w:sz w:val="13"/>
        </w:rPr>
        <w:t>500</w:t>
      </w:r>
    </w:p>
    <w:p>
      <w:pPr>
        <w:pStyle w:val="BodyText"/>
        <w:spacing w:before="2"/>
        <w:rPr>
          <w:sz w:val="19"/>
        </w:rPr>
      </w:pPr>
    </w:p>
    <w:p>
      <w:pPr>
        <w:spacing w:before="0"/>
        <w:ind w:left="789" w:right="0" w:firstLine="0"/>
        <w:jc w:val="left"/>
        <w:rPr>
          <w:sz w:val="13"/>
        </w:rPr>
      </w:pPr>
      <w:r>
        <w:rPr>
          <w:spacing w:val="7"/>
          <w:sz w:val="13"/>
        </w:rPr>
        <w:t>400</w:t>
      </w:r>
    </w:p>
    <w:p>
      <w:pPr>
        <w:pStyle w:val="BodyText"/>
        <w:spacing w:before="4"/>
        <w:rPr>
          <w:sz w:val="20"/>
        </w:rPr>
      </w:pPr>
    </w:p>
    <w:p>
      <w:pPr>
        <w:spacing w:before="0"/>
        <w:ind w:left="789" w:right="0" w:firstLine="0"/>
        <w:jc w:val="left"/>
        <w:rPr>
          <w:sz w:val="13"/>
        </w:rPr>
      </w:pPr>
      <w:r>
        <w:rPr>
          <w:spacing w:val="7"/>
          <w:sz w:val="13"/>
        </w:rPr>
        <w:t>300</w:t>
      </w:r>
    </w:p>
    <w:p>
      <w:pPr>
        <w:pStyle w:val="BodyText"/>
        <w:spacing w:before="8"/>
        <w:rPr>
          <w:sz w:val="18"/>
        </w:rPr>
      </w:pPr>
    </w:p>
    <w:p>
      <w:pPr>
        <w:spacing w:before="1"/>
        <w:ind w:left="789" w:right="0" w:firstLine="0"/>
        <w:jc w:val="left"/>
        <w:rPr>
          <w:sz w:val="13"/>
        </w:rPr>
      </w:pPr>
      <w:r>
        <w:rPr>
          <w:spacing w:val="7"/>
          <w:sz w:val="13"/>
        </w:rPr>
        <w:t>200</w:t>
      </w:r>
    </w:p>
    <w:p>
      <w:pPr>
        <w:pStyle w:val="BodyText"/>
        <w:spacing w:before="4"/>
        <w:rPr>
          <w:sz w:val="20"/>
        </w:rPr>
      </w:pPr>
    </w:p>
    <w:p>
      <w:pPr>
        <w:spacing w:before="0"/>
        <w:ind w:left="789" w:right="0" w:firstLine="0"/>
        <w:jc w:val="left"/>
        <w:rPr>
          <w:sz w:val="13"/>
        </w:rPr>
      </w:pPr>
      <w:r>
        <w:rPr>
          <w:spacing w:val="7"/>
          <w:sz w:val="13"/>
        </w:rPr>
        <w:t>100</w:t>
      </w:r>
    </w:p>
    <w:p>
      <w:pPr>
        <w:spacing w:after="0"/>
        <w:jc w:val="left"/>
        <w:rPr>
          <w:sz w:val="13"/>
        </w:rPr>
        <w:sectPr>
          <w:type w:val="continuous"/>
          <w:pgSz w:w="11910" w:h="16840"/>
          <w:pgMar w:top="1180" w:bottom="280" w:left="1140" w:right="1180"/>
          <w:cols w:num="2" w:equalWidth="0">
            <w:col w:w="1041" w:space="2314"/>
            <w:col w:w="6235"/>
          </w:cols>
        </w:sectPr>
      </w:pPr>
    </w:p>
    <w:p>
      <w:pPr>
        <w:pStyle w:val="BodyText"/>
        <w:rPr>
          <w:sz w:val="15"/>
        </w:rPr>
      </w:pPr>
    </w:p>
    <w:p>
      <w:pPr>
        <w:tabs>
          <w:tab w:pos="4144" w:val="left" w:leader="none"/>
        </w:tabs>
        <w:spacing w:before="0"/>
        <w:ind w:left="938" w:right="0" w:firstLine="0"/>
        <w:jc w:val="left"/>
        <w:rPr>
          <w:sz w:val="13"/>
        </w:rPr>
      </w:pPr>
      <w:r>
        <w:rPr>
          <w:sz w:val="13"/>
        </w:rPr>
        <w:t>0</w:t>
        <w:tab/>
        <w:t>0</w:t>
      </w:r>
    </w:p>
    <w:p>
      <w:pPr>
        <w:tabs>
          <w:tab w:pos="1629" w:val="left" w:leader="none"/>
          <w:tab w:pos="2306" w:val="left" w:leader="none"/>
          <w:tab w:pos="2973" w:val="left" w:leader="none"/>
          <w:tab w:pos="3655" w:val="left" w:leader="none"/>
        </w:tabs>
        <w:spacing w:before="42"/>
        <w:ind w:left="962" w:right="0" w:firstLine="0"/>
        <w:jc w:val="left"/>
        <w:rPr>
          <w:sz w:val="13"/>
        </w:rPr>
      </w:pPr>
      <w:r>
        <w:rPr>
          <w:spacing w:val="9"/>
          <w:sz w:val="13"/>
        </w:rPr>
        <w:t>1999</w:t>
        <w:tab/>
      </w:r>
      <w:r>
        <w:rPr>
          <w:spacing w:val="8"/>
          <w:sz w:val="13"/>
        </w:rPr>
        <w:t>2001</w:t>
        <w:tab/>
      </w:r>
      <w:r>
        <w:rPr>
          <w:spacing w:val="9"/>
          <w:sz w:val="13"/>
        </w:rPr>
        <w:t>2003</w:t>
        <w:tab/>
      </w:r>
      <w:r>
        <w:rPr>
          <w:spacing w:val="8"/>
          <w:sz w:val="13"/>
        </w:rPr>
        <w:t>2005</w:t>
        <w:tab/>
        <w:t>2007</w:t>
      </w:r>
    </w:p>
    <w:p>
      <w:pPr>
        <w:pStyle w:val="BodyText"/>
        <w:spacing w:before="7"/>
        <w:rPr>
          <w:sz w:val="9"/>
        </w:rPr>
      </w:pPr>
    </w:p>
    <w:p>
      <w:pPr>
        <w:spacing w:line="207" w:lineRule="exact" w:before="94"/>
        <w:ind w:left="655" w:right="0" w:firstLine="0"/>
        <w:jc w:val="left"/>
        <w:rPr>
          <w:sz w:val="18"/>
        </w:rPr>
      </w:pPr>
      <w:r>
        <w:rPr>
          <w:sz w:val="18"/>
        </w:rPr>
        <w:t>Source: Bank of England</w:t>
      </w:r>
    </w:p>
    <w:p>
      <w:pPr>
        <w:spacing w:line="207" w:lineRule="exact" w:before="0"/>
        <w:ind w:left="655" w:right="0" w:firstLine="0"/>
        <w:jc w:val="left"/>
        <w:rPr>
          <w:sz w:val="18"/>
        </w:rPr>
      </w:pPr>
      <w:r>
        <w:rPr>
          <w:sz w:val="18"/>
        </w:rPr>
        <w:t>Note: spreads of effective rates on stocks of lending over appropriate funding costs.</w:t>
      </w:r>
    </w:p>
    <w:p>
      <w:pPr>
        <w:spacing w:after="0" w:line="207" w:lineRule="exact"/>
        <w:jc w:val="left"/>
        <w:rPr>
          <w:sz w:val="18"/>
        </w:rPr>
        <w:sectPr>
          <w:type w:val="continuous"/>
          <w:pgSz w:w="11910" w:h="16840"/>
          <w:pgMar w:top="1180" w:bottom="280" w:left="1140" w:right="1180"/>
        </w:sectPr>
      </w:pPr>
    </w:p>
    <w:p>
      <w:pPr>
        <w:pStyle w:val="BodyText"/>
        <w:spacing w:before="3"/>
        <w:rPr>
          <w:sz w:val="23"/>
        </w:rPr>
      </w:pPr>
    </w:p>
    <w:p>
      <w:pPr>
        <w:pStyle w:val="Heading1"/>
        <w:tabs>
          <w:tab w:pos="5008" w:val="left" w:leader="none"/>
        </w:tabs>
        <w:spacing w:before="90"/>
      </w:pPr>
      <w:r>
        <w:rPr/>
        <w:t>Chart 17: </w:t>
      </w:r>
      <w:r>
        <w:rPr>
          <w:spacing w:val="-3"/>
        </w:rPr>
        <w:t>UK </w:t>
      </w:r>
      <w:r>
        <w:rPr/>
        <w:t>wholesale</w:t>
      </w:r>
      <w:r>
        <w:rPr>
          <w:spacing w:val="1"/>
        </w:rPr>
        <w:t> </w:t>
      </w:r>
      <w:r>
        <w:rPr>
          <w:spacing w:val="2"/>
        </w:rPr>
        <w:t>M4</w:t>
      </w:r>
      <w:r>
        <w:rPr>
          <w:spacing w:val="-2"/>
        </w:rPr>
        <w:t> </w:t>
      </w:r>
      <w:r>
        <w:rPr/>
        <w:t>growth</w:t>
        <w:tab/>
        <w:t>Chart 18: 10­year rolling averages</w:t>
      </w:r>
      <w:r>
        <w:rPr>
          <w:spacing w:val="-1"/>
        </w:rPr>
        <w:t> </w:t>
      </w:r>
      <w:r>
        <w:rPr/>
        <w:t>of</w:t>
      </w:r>
    </w:p>
    <w:p>
      <w:pPr>
        <w:spacing w:before="3"/>
        <w:ind w:left="5008" w:right="0" w:firstLine="0"/>
        <w:jc w:val="left"/>
        <w:rPr>
          <w:b/>
          <w:sz w:val="24"/>
        </w:rPr>
      </w:pPr>
      <w:r>
        <w:rPr>
          <w:b/>
          <w:sz w:val="24"/>
        </w:rPr>
        <w:t>UK broad money growth and inflation</w:t>
      </w:r>
    </w:p>
    <w:p>
      <w:pPr>
        <w:spacing w:after="0"/>
        <w:jc w:val="left"/>
        <w:rPr>
          <w:sz w:val="24"/>
        </w:rPr>
        <w:sectPr>
          <w:pgSz w:w="11910" w:h="16840"/>
          <w:pgMar w:header="713" w:footer="0" w:top="1340" w:bottom="280" w:left="1140" w:right="1180"/>
        </w:sectPr>
      </w:pPr>
    </w:p>
    <w:p>
      <w:pPr>
        <w:spacing w:before="75"/>
        <w:ind w:left="0" w:right="24" w:firstLine="0"/>
        <w:jc w:val="right"/>
        <w:rPr>
          <w:sz w:val="13"/>
        </w:rPr>
      </w:pPr>
      <w:r>
        <w:rPr/>
        <w:pict>
          <v:group style="position:absolute;margin-left:101.879997pt;margin-top:2.931698pt;width:182.55pt;height:132.85pt;mso-position-horizontal-relative:page;mso-position-vertical-relative:paragraph;z-index:-253011968" coordorigin="2038,59" coordsize="3651,2657">
            <v:shape style="position:absolute;left:8500;top:-44651;width:13980;height:9820" coordorigin="8500,-44651" coordsize="13980,9820" path="m5347,356l5347,2713,5395,2713m5347,2478l5395,2478m5347,2243l5395,2243m5347,2007l5395,2007m5347,1777l5395,1777m5347,1542l5395,1542m5347,1297l5395,1297m5347,1062l5395,1062m5347,827l5395,827m5347,591l5395,591m5347,356l5395,356m2040,2713l5347,2713m2040,2713l2040,2660m2525,2713l2525,2660m3005,2713l3005,2660m3475,2713l3475,2660m3955,2713l3955,2660m4435,2713l4435,2660m4915,2713l4915,2660e" filled="false" stroked="true" strokeweight=".24pt" strokecolor="#000000">
              <v:path arrowok="t"/>
              <v:stroke dashstyle="solid"/>
            </v:shape>
            <v:shape style="position:absolute;left:2054;top:615;width:3293;height:1839" coordorigin="2054,615" coordsize="3293,1839" path="m2054,1196l2069,1158,2078,1148,2093,1009,2102,1235,2117,1211,2126,841,2155,803,2165,803,2179,740,2189,975,2203,615,2213,755,2227,927,2242,875,2251,1047,2266,1095,2275,999,2290,999,2314,1110,2328,1071,2338,1307,2352,1172,2362,1331,2376,1110,2386,1071,2400,1110,2414,1095,2424,1023,2438,812,2448,1062,2462,951,2472,975,2501,899,2510,951,2525,764,2534,702,2549,630,2558,788,2573,803,2587,779,2597,951,2611,1038,2621,1095,2635,1220,2645,1259,2674,1220,2683,1580,2698,1748,2707,1811,2722,1911,2731,1950,2746,2046,2755,2118,2770,2132,2784,2219,2794,2219,2808,2267,2818,2353,2842,2171,2856,2180,2870,2156,2880,2108,2894,2046,2904,2070,2918,2070,2928,2007,2942,2070,2957,2007,2966,1950,2981,2060,2990,2233,3014,2243,3029,2291,3043,2233,3053,2329,3067,2367,3077,2367,3091,2343,3101,2281,3115,2343,3130,2291,3139,2243,3154,2084,3163,2007,3178,2007,3202,2007,3216,1950,3226,1887,3240,1863,3250,2007,3264,1959,3274,1921,3288,2007,3302,1935,3312,1998,3326,1998,3336,1935,3350,1811,3374,1911,3389,1811,3398,1763,3413,1503,3422,1542,3437,1614,3446,1518,3461,1479,3475,1355,3485,1235,3499,1355,3509,1455,3523,1307,3547,1345,3562,1355,3571,1417,3586,1393,3595,1244,3610,1182,3619,1134,3634,1355,3648,1379,3658,1211,3672,1220,3682,1321,3696,1235,3720,1268,3734,1259,3744,1244,3758,1235,3768,1441,3782,1479,3792,1259,3806,1345,3821,1393,3830,1417,3845,1379,3854,1479,3869,1393,3893,1321,3907,1518,3917,1479,3931,1441,3941,1566,3955,1652,3965,1724,3979,1739,3994,1811,4003,1777,4018,1863,4027,2084,4042,2319,4066,2243,4075,2454,4090,2391,4104,2367,4114,2377,4128,2377,4138,2367,4152,2147,4162,2171,4176,2070,4190,1911,4200,1835,4224,1614,4238,1662,4248,1676,4262,1715,4277,1724,4286,1604,4301,1715,4310,1873,4325,1983,4334,2070,4349,2132,4363,2060,4373,2156,4387,1974,4411,1974,4421,2070,4435,2147,4450,2257,4459,2171,4474,2329,4483,2204,4498,2257,4507,2171,4522,2195,4536,2156,4546,2195,4560,2204,4584,2171,4594,2007,4608,2156,4622,2180,4632,1998,4646,1983,4656,1950,4670,1950,4680,2094,4694,2291,4709,2233,4718,2329,4733,2171,4757,2243,4766,1974,4781,1983,4795,2070,4805,2180,4819,2060,4829,2060,4843,1935,4853,1801,4867,1911,4882,1777,4891,1849,4906,1777,4930,1811,4939,1724,4954,1614,4968,1503,4978,1503,4992,1604,5002,1542,5016,1652,5026,1441,5040,1355,5054,1259,5064,1235,5078,1268,5088,1321,5112,1345,5126,1297,5141,1431,5150,1095,5165,1148,5174,1009,5189,899,5198,975,5213,1134,5227,1172,5237,1148,5251,1134,5261,1071,5285,1038,5299,937,5314,1124,5323,1110,5338,985,5347,1134e" filled="false" stroked="true" strokeweight="1.2pt" strokecolor="#0e0080">
              <v:path arrowok="t"/>
              <v:stroke dashstyle="solid"/>
            </v:shape>
            <v:line style="position:absolute" from="5347,1134" to="5362,1244" stroked="true" strokeweight="1.2pt" strokecolor="#0e0080">
              <v:stroke dashstyle="solid"/>
            </v:line>
            <v:shape style="position:absolute;left:2054;top:2233;width:3284;height:15" coordorigin="2054,2233" coordsize="3284,15" path="m2083,2233l2069,2233,2054,2233,2054,2247,2069,2247,2083,2247,2083,2233m2150,2233l2126,2233,2126,2247,2150,2247,2150,2233m2227,2233l2218,2233,2213,2233,2203,2233,2203,2247,2213,2247,2218,2247,2227,2247,2227,2233m2304,2233l2290,2233,2275,2233,2275,2247,2290,2247,2304,2247,2304,2233m2376,2233l2366,2233,2362,2233,2352,2233,2352,2247,2362,2247,2366,2247,2376,2247,2376,2233m2453,2233l2438,2233,2424,2233,2424,2247,2438,2247,2453,2247,2453,2233m2525,2233l2515,2233,2510,2233,2501,2233,2501,2247,2510,2247,2515,2247,2525,2247,2525,2233m2602,2233l2587,2233,2573,2233,2573,2247,2587,2247,2602,2247,2602,2233m2669,2233l2645,2233,2645,2247,2669,2247,2669,2233m2746,2233l2736,2233,2731,2233,2722,2233,2722,2247,2731,2247,2736,2247,2746,2247,2746,2233m2822,2233l2808,2233,2794,2233,2794,2247,2808,2247,2822,2247,2822,2233m2894,2233l2885,2233,2880,2233,2870,2233,2870,2247,2880,2247,2885,2247,2894,2247,2894,2233m2971,2233l2957,2233,2942,2233,2942,2247,2957,2247,2971,2247,2971,2233m3043,2233l3029,2233,3014,2233,3014,2247,3029,2247,3043,2247,3043,2233m3115,2233l3106,2233,3101,2233,3091,2233,3091,2247,3101,2247,3106,2247,3115,2247,3115,2233m3192,2233l3178,2233,3163,2233,3163,2247,3178,2247,3192,2247,3192,2233m3264,2233l3254,2233,3250,2233,3240,2233,3240,2247,3250,2247,3254,2247,3264,2247,3264,2233m3341,2233l3326,2233,3312,2233,3312,2247,3326,2247,3341,2247,3341,2233m3413,2233l3403,2233,3398,2233,3389,2233,3389,2247,3398,2247,3403,2247,3413,2247,3413,2233m3490,2233l3475,2233,3461,2233,3461,2247,3475,2247,3490,2247,3490,2233m3562,2233l3547,2233,3533,2233,3533,2247,3547,2247,3562,2247,3562,2233m3634,2233l3624,2233,3619,2233,3610,2233,3610,2247,3619,2247,3624,2247,3634,2247,3634,2233m3710,2233l3696,2233,3682,2233,3682,2247,3696,2247,3710,2247,3710,2233m3782,2233l3773,2233,3768,2233,3758,2233,3758,2247,3768,2247,3773,2247,3782,2247,3782,2233m3859,2233l3845,2233,3830,2233,3830,2247,3845,2247,3859,2247,3859,2233m3931,2233l3922,2233,3917,2233,3907,2233,3907,2247,3917,2247,3922,2247,3931,2247,3931,2233m4008,2233l3994,2233,3979,2233,3979,2247,3994,2247,4008,2247,4008,2233m4080,2233l4066,2233,4051,2233,4051,2247,4066,2247,4080,2247,4080,2233m4152,2233l4142,2233,4138,2233,4128,2233,4128,2247,4138,2247,4142,2247,4152,2247,4152,2233m4224,2233l4200,2233,4200,2247,4224,2247,4224,2233m4301,2233l4291,2233,4286,2233,4277,2233,4277,2247,4286,2247,4291,2247,4301,2247,4301,2233m4378,2233l4363,2233,4349,2233,4349,2247,4363,2247,4378,2247,4378,2233m4450,2233l4435,2233,4421,2233,4421,2247,4435,2247,4450,2247,4450,2233m4522,2233l4512,2233,4507,2233,4498,2233,4498,2247,4507,2247,4512,2247,4522,2247,4522,2233m4598,2233l4584,2233,4570,2233,4570,2247,4584,2247,4598,2247,4598,2233m4670,2233l4661,2233,4656,2233,4646,2233,4646,2247,4656,2247,4661,2247,4670,2247,4670,2233m4747,2233l4733,2233,4718,2233,4718,2247,4733,2247,4747,2247,4747,2233m4819,2233l4810,2233,4805,2233,4795,2233,4795,2247,4805,2247,4810,2247,4819,2247,4819,2233m4896,2233l4882,2233,4867,2233,4867,2247,4882,2247,4896,2247,4896,2233m4968,2233l4954,2233,4939,2233,4939,2247,4954,2247,4968,2247,4968,2233m5040,2233l5030,2233,5026,2233,5016,2233,5016,2247,5026,2247,5030,2247,5040,2247,5040,2233m5112,2233l5088,2233,5088,2247,5112,2247,5112,2233m5189,2233l5179,2233,5174,2233,5165,2233,5165,2247,5174,2247,5179,2247,5189,2247,5189,2233m5266,2233l5251,2233,5237,2233,5237,2247,5251,2247,5266,2247,5266,2233m5338,2233l5328,2233,5323,2233,5314,2233,5314,2247,5323,2247,5328,2247,5338,2247,5338,2233e" filled="true" fillcolor="#000000" stroked="false">
              <v:path arrowok="t"/>
              <v:fill type="solid"/>
            </v:shape>
            <v:rect style="position:absolute;left:4060;top:58;width:1628;height:236" filled="true" fillcolor="#ffffff" stroked="false">
              <v:fill type="solid"/>
            </v:rect>
            <w10:wrap type="none"/>
          </v:group>
        </w:pict>
      </w:r>
      <w:r>
        <w:rPr>
          <w:sz w:val="13"/>
        </w:rPr>
        <w:t>% </w:t>
      </w:r>
      <w:r>
        <w:rPr>
          <w:spacing w:val="6"/>
          <w:sz w:val="13"/>
        </w:rPr>
        <w:t>change </w:t>
      </w:r>
      <w:r>
        <w:rPr>
          <w:spacing w:val="7"/>
          <w:sz w:val="13"/>
        </w:rPr>
        <w:t>on </w:t>
      </w:r>
      <w:r>
        <w:rPr>
          <w:sz w:val="13"/>
        </w:rPr>
        <w:t>a </w:t>
      </w:r>
      <w:r>
        <w:rPr>
          <w:spacing w:val="5"/>
          <w:sz w:val="13"/>
        </w:rPr>
        <w:t>year</w:t>
      </w:r>
      <w:r>
        <w:rPr>
          <w:spacing w:val="3"/>
          <w:sz w:val="13"/>
        </w:rPr>
        <w:t> </w:t>
      </w:r>
      <w:r>
        <w:rPr>
          <w:spacing w:val="2"/>
          <w:sz w:val="13"/>
        </w:rPr>
        <w:t>ago</w:t>
      </w:r>
    </w:p>
    <w:p>
      <w:pPr>
        <w:spacing w:before="33"/>
        <w:ind w:left="0" w:right="50" w:firstLine="0"/>
        <w:jc w:val="right"/>
        <w:rPr>
          <w:sz w:val="16"/>
        </w:rPr>
      </w:pPr>
      <w:r>
        <w:rPr>
          <w:spacing w:val="-2"/>
          <w:w w:val="90"/>
          <w:sz w:val="16"/>
        </w:rPr>
        <w:t>40</w:t>
      </w:r>
    </w:p>
    <w:p>
      <w:pPr>
        <w:spacing w:before="52"/>
        <w:ind w:left="0" w:right="50" w:firstLine="0"/>
        <w:jc w:val="right"/>
        <w:rPr>
          <w:sz w:val="16"/>
        </w:rPr>
      </w:pPr>
      <w:r>
        <w:rPr>
          <w:spacing w:val="-2"/>
          <w:w w:val="90"/>
          <w:sz w:val="16"/>
        </w:rPr>
        <w:t>35</w:t>
      </w:r>
    </w:p>
    <w:p>
      <w:pPr>
        <w:spacing w:before="51"/>
        <w:ind w:left="0" w:right="50" w:firstLine="0"/>
        <w:jc w:val="right"/>
        <w:rPr>
          <w:sz w:val="16"/>
        </w:rPr>
      </w:pPr>
      <w:r>
        <w:rPr>
          <w:spacing w:val="-2"/>
          <w:w w:val="90"/>
          <w:sz w:val="16"/>
        </w:rPr>
        <w:t>30</w:t>
      </w:r>
    </w:p>
    <w:p>
      <w:pPr>
        <w:spacing w:before="51"/>
        <w:ind w:left="0" w:right="50" w:firstLine="0"/>
        <w:jc w:val="right"/>
        <w:rPr>
          <w:sz w:val="16"/>
        </w:rPr>
      </w:pPr>
      <w:r>
        <w:rPr>
          <w:spacing w:val="-2"/>
          <w:w w:val="90"/>
          <w:sz w:val="16"/>
        </w:rPr>
        <w:t>25</w:t>
      </w:r>
    </w:p>
    <w:p>
      <w:pPr>
        <w:spacing w:before="51"/>
        <w:ind w:left="0" w:right="50" w:firstLine="0"/>
        <w:jc w:val="right"/>
        <w:rPr>
          <w:sz w:val="16"/>
        </w:rPr>
      </w:pPr>
      <w:r>
        <w:rPr>
          <w:spacing w:val="-2"/>
          <w:w w:val="90"/>
          <w:sz w:val="16"/>
        </w:rPr>
        <w:t>20</w:t>
      </w:r>
    </w:p>
    <w:p>
      <w:pPr>
        <w:spacing w:before="61"/>
        <w:ind w:left="0" w:right="50" w:firstLine="0"/>
        <w:jc w:val="right"/>
        <w:rPr>
          <w:sz w:val="16"/>
        </w:rPr>
      </w:pPr>
      <w:r>
        <w:rPr>
          <w:spacing w:val="-2"/>
          <w:w w:val="90"/>
          <w:sz w:val="16"/>
        </w:rPr>
        <w:t>15</w:t>
      </w:r>
    </w:p>
    <w:p>
      <w:pPr>
        <w:spacing w:before="51"/>
        <w:ind w:left="0" w:right="50" w:firstLine="0"/>
        <w:jc w:val="right"/>
        <w:rPr>
          <w:sz w:val="16"/>
        </w:rPr>
      </w:pPr>
      <w:r>
        <w:rPr>
          <w:spacing w:val="-2"/>
          <w:w w:val="90"/>
          <w:sz w:val="16"/>
        </w:rPr>
        <w:t>10</w:t>
      </w:r>
    </w:p>
    <w:p>
      <w:pPr>
        <w:spacing w:before="47"/>
        <w:ind w:left="0" w:right="122" w:firstLine="0"/>
        <w:jc w:val="right"/>
        <w:rPr>
          <w:sz w:val="16"/>
        </w:rPr>
      </w:pPr>
      <w:r>
        <w:rPr>
          <w:w w:val="93"/>
          <w:sz w:val="16"/>
        </w:rPr>
        <w:t>5</w:t>
      </w:r>
    </w:p>
    <w:p>
      <w:pPr>
        <w:spacing w:before="51"/>
        <w:ind w:left="0" w:right="122" w:firstLine="0"/>
        <w:jc w:val="right"/>
        <w:rPr>
          <w:sz w:val="16"/>
        </w:rPr>
      </w:pPr>
      <w:r>
        <w:rPr>
          <w:w w:val="93"/>
          <w:sz w:val="16"/>
        </w:rPr>
        <w:t>0</w:t>
      </w:r>
    </w:p>
    <w:p>
      <w:pPr>
        <w:spacing w:before="51"/>
        <w:ind w:left="0" w:right="74" w:firstLine="0"/>
        <w:jc w:val="right"/>
        <w:rPr>
          <w:sz w:val="16"/>
        </w:rPr>
      </w:pPr>
      <w:r>
        <w:rPr>
          <w:spacing w:val="-2"/>
          <w:w w:val="90"/>
          <w:sz w:val="16"/>
        </w:rPr>
        <w:t>­5</w:t>
      </w:r>
    </w:p>
    <w:p>
      <w:pPr>
        <w:spacing w:before="51"/>
        <w:ind w:left="0" w:right="0" w:firstLine="0"/>
        <w:jc w:val="right"/>
        <w:rPr>
          <w:sz w:val="16"/>
        </w:rPr>
      </w:pPr>
      <w:r>
        <w:rPr>
          <w:w w:val="90"/>
          <w:sz w:val="16"/>
        </w:rPr>
        <w:t>­10</w:t>
      </w:r>
    </w:p>
    <w:p>
      <w:pPr>
        <w:spacing w:before="47"/>
        <w:ind w:left="756" w:right="0" w:firstLine="0"/>
        <w:jc w:val="left"/>
        <w:rPr>
          <w:sz w:val="16"/>
        </w:rPr>
      </w:pPr>
      <w:r>
        <w:rPr>
          <w:sz w:val="16"/>
        </w:rPr>
        <w:t>1987 1990 1993 1996 1999 2002 2005</w:t>
      </w:r>
    </w:p>
    <w:p>
      <w:pPr>
        <w:spacing w:before="125"/>
        <w:ind w:left="655" w:right="0" w:firstLine="0"/>
        <w:jc w:val="left"/>
        <w:rPr>
          <w:sz w:val="18"/>
        </w:rPr>
      </w:pPr>
      <w:r>
        <w:rPr>
          <w:sz w:val="18"/>
        </w:rPr>
        <w:t>Source: Bank of England</w:t>
      </w:r>
    </w:p>
    <w:p>
      <w:pPr>
        <w:spacing w:before="90"/>
        <w:ind w:left="0" w:right="740" w:firstLine="0"/>
        <w:jc w:val="right"/>
        <w:rPr>
          <w:sz w:val="16"/>
        </w:rPr>
      </w:pPr>
      <w:r>
        <w:rPr/>
        <w:br w:type="column"/>
      </w:r>
      <w:r>
        <w:rPr>
          <w:w w:val="95"/>
          <w:sz w:val="16"/>
        </w:rPr>
        <w:t>% average annual growth</w:t>
      </w:r>
    </w:p>
    <w:p>
      <w:pPr>
        <w:spacing w:before="27"/>
        <w:ind w:left="0" w:right="682" w:firstLine="0"/>
        <w:jc w:val="right"/>
        <w:rPr>
          <w:sz w:val="16"/>
        </w:rPr>
      </w:pPr>
      <w:r>
        <w:rPr/>
        <w:pict>
          <v:group style="position:absolute;margin-left:306.239990pt;margin-top:5.399645pt;width:184.7pt;height:129.6pt;mso-position-horizontal-relative:page;mso-position-vertical-relative:paragraph;z-index:251751424" coordorigin="6125,108" coordsize="3694,2592">
            <v:shape style="position:absolute;left:26080;top:-44806;width:14820;height:10780" coordorigin="26080,-44806" coordsize="14820,10780" path="m9768,110l9768,2698,9816,2698m9768,2174l9816,2174m9768,1656l9816,1656m9768,1152l9816,1152m9768,629l9816,629m9768,110l9816,110m6259,2174l9768,2174m6259,2174l6259,2126m6816,2174l6816,2126m7363,2174l7363,2126m7920,2174l7920,2126m8467,2174l8467,2126m9024,2174l9024,2126m9571,2174l9571,2126e" filled="false" stroked="true" strokeweight=".24pt" strokecolor="#000000">
              <v:path arrowok="t"/>
              <v:stroke dashstyle="solid"/>
            </v:shape>
            <v:shape style="position:absolute;left:6273;top:715;width:3485;height:1844" coordorigin="6274,715" coordsize="3485,1844" path="m6274,2189l6298,2203,6336,2237,6360,2290,6384,2275,6408,2290,6432,2299,6470,2299,6494,2266,6523,2213,6547,2251,6581,2227,6610,2237,6634,2237,6658,2227,6696,2203,6720,2203,6744,2165,6768,2174,6792,2174,6830,2126,6854,2141,6878,2141,6907,2117,6941,2102,6965,2102,6994,2088,7018,2102,7056,2102,7080,2102,7104,2141,7128,2141,7152,2102,7190,2126,7214,2126,7238,2002,7262,1805,7301,1560,7325,1334,7354,1238,7378,1090,7402,1176,7440,1349,7464,1411,7488,1411,7512,1531,7550,1733,7574,2016,7598,2251,7622,2362,7661,2558,7685,2510,7709,2386,7738,2352,7762,2352,7800,2338,7824,2323,7848,2266,7872,2251,7910,2203,7934,2002,7958,1843,7982,1742,8021,1694,8045,1656,8069,1646,8093,1608,8122,1584,8155,1507,8184,1507,8208,1656,8232,1670,8270,1656,8294,1656,8318,1670,8342,1646,8366,1632,8405,1656,8429,1709,8453,1733,8482,1757,8515,1819,8539,1867,8568,1882,8592,1867,8630,1853,8654,1867,8678,1882,8702,1867,8726,1819,8765,1757,8789,1694,8813,1670,8837,1594,8875,1459,8899,1262,8928,1123,8952,989,8976,950,9014,864,9038,754,9062,730,9086,715,9125,754,9149,878,9173,1061,9197,1200,9235,1310,9259,1349,9283,1411,9312,1498,9336,1560,9398,1646,9422,1670,9446,1694,9485,1709,9509,1718,9533,1733,9557,1795,9595,1867,9619,1906,9643,1930,9667,1915,9696,1906,9730,1915,9758,1891e" filled="false" stroked="true" strokeweight="1.2pt" strokecolor="#000080">
              <v:path arrowok="t"/>
              <v:stroke dashstyle="solid"/>
            </v:shape>
            <v:shape style="position:absolute;left:6297;top:542;width:3461;height:1772" coordorigin="6298,542" coordsize="3461,1772" path="m6298,2078l6336,2126,6360,2141,6384,2165,6408,2189,6432,2203,6470,2150,6494,2102,6523,2030,6547,2002,6581,1978,6610,1978,6634,1992,6658,1992,6696,1944,6720,1891,6744,1867,6768,1867,6792,1867,6830,1882,6854,1915,6878,1930,6907,1944,6941,1968,6965,2002,6994,2030,7018,2054,7056,2064,7080,2078,7104,2064,7128,2040,7152,2030,7190,1978,7214,1882,7238,1742,7262,1656,7301,1546,7325,1334,7354,1123,7378,1027,7402,1051,7440,1162,7464,1272,7488,1373,7512,1522,7550,1632,7574,1757,7598,1968,7622,2174,7661,2299,7685,2314,7709,2213,7738,2054,7762,2064,7800,2002,7824,1915,7848,1891,7872,1906,7910,1930,7934,1829,7958,1670,7982,1560,8021,1483,8045,1325,8069,1248,8093,1238,8122,1162,8155,1162,8184,1138,8208,1238,8232,1373,8270,1507,8294,1632,8318,1718,8342,1853,8366,1954,8405,2040,8429,2030,8453,1992,8482,1968,8515,1954,8539,1915,8568,1906,8592,1867,8630,1781,8654,1680,8678,1608,8702,1531,8726,1507,8765,1459,8789,1334,8813,1123,8837,950,8875,888,8899,840,8928,816,8952,792,8976,730,9014,643,9038,566,9062,542,9086,590,9125,682,9149,691,9173,682,9197,653,9235,605,9259,590,9283,557,9312,557,9336,667,9370,792,9398,902,9422,974,9446,1037,9485,1099,9509,1176,9533,1296,9557,1435,9595,1522,9619,1507,9643,1498,9667,1445,9696,1421,9730,1373,9758,1349e" filled="false" stroked="true" strokeweight="1.2pt" strokecolor="#ff00ff">
              <v:path arrowok="t"/>
              <v:stroke dashstyle="solid"/>
            </v:shape>
            <v:shape style="position:absolute;left:8006;top:327;width:892;height:176" type="#_x0000_t202" filled="false" stroked="false">
              <v:textbox inset="0,0,0,0">
                <w:txbxContent>
                  <w:p>
                    <w:pPr>
                      <w:spacing w:line="175" w:lineRule="exact" w:before="0"/>
                      <w:ind w:left="0" w:right="0" w:firstLine="0"/>
                      <w:jc w:val="left"/>
                      <w:rPr>
                        <w:sz w:val="16"/>
                      </w:rPr>
                    </w:pPr>
                    <w:r>
                      <w:rPr>
                        <w:color w:val="FF00FF"/>
                        <w:w w:val="95"/>
                        <w:sz w:val="16"/>
                      </w:rPr>
                      <w:t>Broad money</w:t>
                    </w:r>
                  </w:p>
                </w:txbxContent>
              </v:textbox>
              <w10:wrap type="none"/>
            </v:shape>
            <v:shape style="position:absolute;left:8865;top:1676;width:252;height:176" type="#_x0000_t202" filled="false" stroked="false">
              <v:textbox inset="0,0,0,0">
                <w:txbxContent>
                  <w:p>
                    <w:pPr>
                      <w:spacing w:line="175" w:lineRule="exact" w:before="0"/>
                      <w:ind w:left="0" w:right="0" w:firstLine="0"/>
                      <w:jc w:val="left"/>
                      <w:rPr>
                        <w:sz w:val="16"/>
                      </w:rPr>
                    </w:pPr>
                    <w:r>
                      <w:rPr>
                        <w:color w:val="0E0080"/>
                        <w:w w:val="95"/>
                        <w:sz w:val="16"/>
                      </w:rPr>
                      <w:t>CPI</w:t>
                    </w:r>
                  </w:p>
                </w:txbxContent>
              </v:textbox>
              <w10:wrap type="none"/>
            </v:shape>
            <v:shape style="position:absolute;left:6124;top:2329;width:3637;height:176" type="#_x0000_t202" filled="false" stroked="false">
              <v:textbox inset="0,0,0,0">
                <w:txbxContent>
                  <w:p>
                    <w:pPr>
                      <w:tabs>
                        <w:tab w:pos="556" w:val="left" w:leader="none"/>
                        <w:tab w:pos="1103" w:val="left" w:leader="none"/>
                        <w:tab w:pos="1660" w:val="left" w:leader="none"/>
                        <w:tab w:pos="2207" w:val="left" w:leader="none"/>
                        <w:tab w:pos="2764" w:val="left" w:leader="none"/>
                        <w:tab w:pos="3321" w:val="left" w:leader="none"/>
                      </w:tabs>
                      <w:spacing w:line="175" w:lineRule="exact" w:before="0"/>
                      <w:ind w:left="0" w:right="0" w:firstLine="0"/>
                      <w:jc w:val="left"/>
                      <w:rPr>
                        <w:sz w:val="16"/>
                      </w:rPr>
                    </w:pPr>
                    <w:r>
                      <w:rPr>
                        <w:sz w:val="16"/>
                      </w:rPr>
                      <w:t>1880</w:t>
                      <w:tab/>
                      <w:t>1900</w:t>
                      <w:tab/>
                      <w:t>1920</w:t>
                      <w:tab/>
                      <w:t>1940</w:t>
                      <w:tab/>
                      <w:t>1960</w:t>
                      <w:tab/>
                      <w:t>1980</w:t>
                      <w:tab/>
                    </w:r>
                    <w:r>
                      <w:rPr>
                        <w:w w:val="95"/>
                        <w:sz w:val="16"/>
                      </w:rPr>
                      <w:t>2000</w:t>
                    </w:r>
                  </w:p>
                </w:txbxContent>
              </v:textbox>
              <w10:wrap type="none"/>
            </v:shape>
            <w10:wrap type="none"/>
          </v:group>
        </w:pict>
      </w:r>
      <w:r>
        <w:rPr>
          <w:spacing w:val="-2"/>
          <w:w w:val="90"/>
          <w:sz w:val="16"/>
        </w:rPr>
        <w:t>20</w:t>
      </w:r>
    </w:p>
    <w:p>
      <w:pPr>
        <w:pStyle w:val="BodyText"/>
        <w:rPr>
          <w:sz w:val="18"/>
        </w:rPr>
      </w:pPr>
    </w:p>
    <w:p>
      <w:pPr>
        <w:spacing w:before="123"/>
        <w:ind w:left="0" w:right="682" w:firstLine="0"/>
        <w:jc w:val="right"/>
        <w:rPr>
          <w:sz w:val="16"/>
        </w:rPr>
      </w:pPr>
      <w:r>
        <w:rPr>
          <w:spacing w:val="-2"/>
          <w:w w:val="90"/>
          <w:sz w:val="16"/>
        </w:rPr>
        <w:t>15</w:t>
      </w:r>
    </w:p>
    <w:p>
      <w:pPr>
        <w:pStyle w:val="BodyText"/>
        <w:rPr>
          <w:sz w:val="18"/>
        </w:rPr>
      </w:pPr>
    </w:p>
    <w:p>
      <w:pPr>
        <w:spacing w:before="132"/>
        <w:ind w:left="0" w:right="682" w:firstLine="0"/>
        <w:jc w:val="right"/>
        <w:rPr>
          <w:sz w:val="16"/>
        </w:rPr>
      </w:pPr>
      <w:r>
        <w:rPr>
          <w:spacing w:val="-2"/>
          <w:w w:val="90"/>
          <w:sz w:val="16"/>
        </w:rPr>
        <w:t>10</w:t>
      </w:r>
    </w:p>
    <w:p>
      <w:pPr>
        <w:pStyle w:val="BodyText"/>
        <w:rPr>
          <w:sz w:val="18"/>
        </w:rPr>
      </w:pPr>
    </w:p>
    <w:p>
      <w:pPr>
        <w:spacing w:before="113"/>
        <w:ind w:left="0" w:right="754" w:firstLine="0"/>
        <w:jc w:val="right"/>
        <w:rPr>
          <w:sz w:val="16"/>
        </w:rPr>
      </w:pPr>
      <w:r>
        <w:rPr>
          <w:w w:val="93"/>
          <w:sz w:val="16"/>
        </w:rPr>
        <w:t>5</w:t>
      </w:r>
    </w:p>
    <w:p>
      <w:pPr>
        <w:pStyle w:val="BodyText"/>
        <w:rPr>
          <w:sz w:val="18"/>
        </w:rPr>
      </w:pPr>
    </w:p>
    <w:p>
      <w:pPr>
        <w:spacing w:before="132"/>
        <w:ind w:left="0" w:right="754" w:firstLine="0"/>
        <w:jc w:val="right"/>
        <w:rPr>
          <w:sz w:val="16"/>
        </w:rPr>
      </w:pPr>
      <w:r>
        <w:rPr>
          <w:w w:val="93"/>
          <w:sz w:val="16"/>
        </w:rPr>
        <w:t>0</w:t>
      </w:r>
    </w:p>
    <w:p>
      <w:pPr>
        <w:pStyle w:val="BodyText"/>
        <w:rPr>
          <w:sz w:val="18"/>
        </w:rPr>
      </w:pPr>
    </w:p>
    <w:p>
      <w:pPr>
        <w:spacing w:before="128"/>
        <w:ind w:left="4181" w:right="0" w:firstLine="0"/>
        <w:jc w:val="left"/>
        <w:rPr>
          <w:sz w:val="16"/>
        </w:rPr>
      </w:pPr>
      <w:r>
        <w:rPr>
          <w:sz w:val="16"/>
        </w:rPr>
        <w:t>­5</w:t>
      </w:r>
    </w:p>
    <w:p>
      <w:pPr>
        <w:spacing w:before="101"/>
        <w:ind w:left="437" w:right="611" w:firstLine="0"/>
        <w:jc w:val="left"/>
        <w:rPr>
          <w:sz w:val="18"/>
        </w:rPr>
      </w:pPr>
      <w:r>
        <w:rPr>
          <w:sz w:val="18"/>
        </w:rPr>
        <w:t>Source: Capie, F and Webber, A (1985), ‘A monetary history of the United Kingdom, 1870­1982’, and ONS.</w:t>
      </w:r>
    </w:p>
    <w:p>
      <w:pPr>
        <w:spacing w:after="0"/>
        <w:jc w:val="left"/>
        <w:rPr>
          <w:sz w:val="18"/>
        </w:rPr>
        <w:sectPr>
          <w:type w:val="continuous"/>
          <w:pgSz w:w="11910" w:h="16840"/>
          <w:pgMar w:top="1180" w:bottom="280" w:left="1140" w:right="1180"/>
          <w:cols w:num="2" w:equalWidth="0">
            <w:col w:w="4532" w:space="40"/>
            <w:col w:w="5018"/>
          </w:cols>
        </w:sectPr>
      </w:pPr>
    </w:p>
    <w:p>
      <w:pPr>
        <w:pStyle w:val="Heading1"/>
        <w:spacing w:before="84"/>
        <w:ind w:left="112"/>
      </w:pPr>
      <w:r>
        <w:rPr/>
        <w:t>ENDNOTES</w:t>
      </w:r>
    </w:p>
    <w:p>
      <w:pPr>
        <w:pStyle w:val="BodyText"/>
        <w:rPr>
          <w:b/>
          <w:sz w:val="20"/>
        </w:rPr>
      </w:pPr>
    </w:p>
    <w:p>
      <w:pPr>
        <w:pStyle w:val="BodyText"/>
        <w:spacing w:before="3"/>
        <w:rPr>
          <w:b/>
          <w:sz w:val="14"/>
        </w:rPr>
      </w:pPr>
      <w:r>
        <w:rPr/>
        <w:pict>
          <v:shape style="position:absolute;margin-left:89.760002pt;margin-top:10.415484pt;width:144pt;height:.1pt;mso-position-horizontal-relative:page;mso-position-vertical-relative:paragraph;z-index:-251564032;mso-wrap-distance-left:0;mso-wrap-distance-right:0" coordorigin="1795,208" coordsize="2880,0" path="m1795,208l4675,208e" filled="false" stroked="true" strokeweight=".48pt" strokecolor="#000000">
            <v:path arrowok="t"/>
            <v:stroke dashstyle="solid"/>
            <w10:wrap type="topAndBottom"/>
          </v:shape>
        </w:pict>
      </w:r>
    </w:p>
    <w:p>
      <w:pPr>
        <w:spacing w:before="47"/>
        <w:ind w:left="655" w:right="684" w:firstLine="0"/>
        <w:jc w:val="left"/>
        <w:rPr>
          <w:sz w:val="20"/>
        </w:rPr>
      </w:pPr>
      <w:r>
        <w:rPr>
          <w:position w:val="9"/>
          <w:sz w:val="13"/>
        </w:rPr>
        <w:t>1 </w:t>
      </w:r>
      <w:r>
        <w:rPr>
          <w:sz w:val="20"/>
        </w:rPr>
        <w:t>‘The transmission mechanism of monetary policy’, a paper by the Monetary Policy Committee at the Bank of England, April 1999 and Harrison R., K. Nikolov, M. Quinn, G. Ramsay, A Scott and R. Thomas, ‘The Bank of England Quarterly Model’, Bank of England 2005. The Bank’s wider ‘suite of models’ does include richer asset price channels.</w:t>
      </w:r>
    </w:p>
    <w:p>
      <w:pPr>
        <w:spacing w:line="230" w:lineRule="exact" w:before="5"/>
        <w:ind w:left="655" w:right="793" w:firstLine="0"/>
        <w:jc w:val="left"/>
        <w:rPr>
          <w:sz w:val="20"/>
        </w:rPr>
      </w:pPr>
      <w:r>
        <w:rPr>
          <w:position w:val="9"/>
          <w:sz w:val="13"/>
        </w:rPr>
        <w:t>2 </w:t>
      </w:r>
      <w:r>
        <w:rPr>
          <w:sz w:val="20"/>
        </w:rPr>
        <w:t>Stiglitz, J. E. and A. Weiss (1981), ‘Credit rationing in markets with imperfect information’, </w:t>
      </w:r>
      <w:r>
        <w:rPr>
          <w:i/>
          <w:sz w:val="20"/>
        </w:rPr>
        <w:t>The </w:t>
      </w:r>
      <w:r>
        <w:rPr>
          <w:i/>
          <w:sz w:val="20"/>
        </w:rPr>
        <w:t>American Economic Review, </w:t>
      </w:r>
      <w:r>
        <w:rPr>
          <w:sz w:val="20"/>
        </w:rPr>
        <w:t>Vol. 71, No. 3, pp 393­410.</w:t>
      </w:r>
    </w:p>
    <w:p>
      <w:pPr>
        <w:spacing w:line="230" w:lineRule="exact" w:before="0"/>
        <w:ind w:left="655" w:right="793" w:firstLine="0"/>
        <w:jc w:val="left"/>
        <w:rPr>
          <w:sz w:val="20"/>
        </w:rPr>
      </w:pPr>
      <w:r>
        <w:rPr>
          <w:position w:val="9"/>
          <w:sz w:val="13"/>
        </w:rPr>
        <w:t>3 </w:t>
      </w:r>
      <w:r>
        <w:rPr>
          <w:sz w:val="20"/>
        </w:rPr>
        <w:t>Bernanke, B. and M. Gertler (1989), ‘Agency cost, net worth, and business fluctuations’, </w:t>
      </w:r>
      <w:r>
        <w:rPr>
          <w:i/>
          <w:sz w:val="20"/>
        </w:rPr>
        <w:t>The </w:t>
      </w:r>
      <w:r>
        <w:rPr>
          <w:i/>
          <w:sz w:val="20"/>
        </w:rPr>
        <w:t>American Economic Review</w:t>
      </w:r>
      <w:r>
        <w:rPr>
          <w:sz w:val="20"/>
        </w:rPr>
        <w:t>, March 1989, pp 14­31.</w:t>
      </w:r>
    </w:p>
    <w:p>
      <w:pPr>
        <w:spacing w:line="228" w:lineRule="exact" w:before="0"/>
        <w:ind w:left="655" w:right="0" w:firstLine="0"/>
        <w:jc w:val="left"/>
        <w:rPr>
          <w:sz w:val="20"/>
        </w:rPr>
      </w:pPr>
      <w:r>
        <w:rPr>
          <w:position w:val="9"/>
          <w:sz w:val="13"/>
        </w:rPr>
        <w:t>4 </w:t>
      </w:r>
      <w:r>
        <w:rPr>
          <w:sz w:val="20"/>
        </w:rPr>
        <w:t>See Churm R., and L. Webber (2007), ‘Decomposing corporate bond spreads’, Bank of England</w:t>
      </w:r>
    </w:p>
    <w:p>
      <w:pPr>
        <w:spacing w:line="218" w:lineRule="exact" w:before="1"/>
        <w:ind w:left="655" w:right="0" w:firstLine="0"/>
        <w:jc w:val="left"/>
        <w:rPr>
          <w:sz w:val="20"/>
        </w:rPr>
      </w:pPr>
      <w:r>
        <w:rPr>
          <w:i/>
          <w:sz w:val="20"/>
        </w:rPr>
        <w:t>Quarterly Bulletin, </w:t>
      </w:r>
      <w:r>
        <w:rPr>
          <w:sz w:val="20"/>
        </w:rPr>
        <w:t>Q4 2007 (forthcoming).</w:t>
      </w:r>
    </w:p>
    <w:p>
      <w:pPr>
        <w:spacing w:line="230" w:lineRule="exact" w:before="0"/>
        <w:ind w:left="655" w:right="0" w:firstLine="0"/>
        <w:jc w:val="left"/>
        <w:rPr>
          <w:sz w:val="20"/>
        </w:rPr>
      </w:pPr>
      <w:r>
        <w:rPr>
          <w:position w:val="9"/>
          <w:sz w:val="13"/>
        </w:rPr>
        <w:t>5 </w:t>
      </w:r>
      <w:r>
        <w:rPr>
          <w:sz w:val="20"/>
        </w:rPr>
        <w:t>Alan Greenspan made this point a few times.</w:t>
      </w:r>
    </w:p>
    <w:p>
      <w:pPr>
        <w:spacing w:line="226" w:lineRule="exact" w:before="18"/>
        <w:ind w:left="655" w:right="152" w:firstLine="0"/>
        <w:jc w:val="left"/>
        <w:rPr>
          <w:sz w:val="20"/>
        </w:rPr>
      </w:pPr>
      <w:r>
        <w:rPr>
          <w:position w:val="9"/>
          <w:sz w:val="13"/>
        </w:rPr>
        <w:t>6 </w:t>
      </w:r>
      <w:r>
        <w:rPr>
          <w:sz w:val="20"/>
        </w:rPr>
        <w:t>For example see Tucker P M W (2007), ‘A perspective on recent monetary and financial system developments’, speech at Merrill Lynch Conference on Hedge Funds, Bank of England Quarterly</w:t>
      </w:r>
    </w:p>
    <w:p>
      <w:pPr>
        <w:spacing w:line="216" w:lineRule="exact" w:before="0"/>
        <w:ind w:left="655" w:right="0" w:firstLine="0"/>
        <w:jc w:val="left"/>
        <w:rPr>
          <w:sz w:val="20"/>
        </w:rPr>
      </w:pPr>
      <w:r>
        <w:rPr>
          <w:sz w:val="20"/>
        </w:rPr>
        <w:t>Bulletin, Q3 2007, pp 310­16.</w:t>
      </w:r>
    </w:p>
    <w:p>
      <w:pPr>
        <w:spacing w:line="230" w:lineRule="exact" w:before="15"/>
        <w:ind w:left="655" w:right="684" w:firstLine="0"/>
        <w:jc w:val="left"/>
        <w:rPr>
          <w:sz w:val="20"/>
        </w:rPr>
      </w:pPr>
      <w:r>
        <w:rPr>
          <w:position w:val="9"/>
          <w:sz w:val="13"/>
        </w:rPr>
        <w:t>7 </w:t>
      </w:r>
      <w:r>
        <w:rPr>
          <w:sz w:val="20"/>
        </w:rPr>
        <w:t>Adrian, Tobias, and H. S. Shin (2007), ‘Liquidity, Monetary Policy and Financial Cycles’, paper prepared for </w:t>
      </w:r>
      <w:r>
        <w:rPr>
          <w:i/>
          <w:sz w:val="20"/>
        </w:rPr>
        <w:t>Current Issues in Economics and Finance</w:t>
      </w:r>
      <w:r>
        <w:rPr>
          <w:sz w:val="20"/>
        </w:rPr>
        <w:t>. Adrian, Tobias and H S Shin, (2007), ‘Liquidity and Financial Cycles’, paper presented at the 6</w:t>
      </w:r>
      <w:r>
        <w:rPr>
          <w:sz w:val="20"/>
          <w:vertAlign w:val="superscript"/>
        </w:rPr>
        <w:t>th</w:t>
      </w:r>
      <w:r>
        <w:rPr>
          <w:sz w:val="20"/>
          <w:vertAlign w:val="baseline"/>
        </w:rPr>
        <w:t> BIS annual conference on “Financial System and Macroeconomic Resilience”. Analytically, the argument, </w:t>
      </w:r>
      <w:r>
        <w:rPr>
          <w:i/>
          <w:sz w:val="20"/>
          <w:vertAlign w:val="baseline"/>
        </w:rPr>
        <w:t>as summarised in the main text</w:t>
      </w:r>
      <w:r>
        <w:rPr>
          <w:sz w:val="20"/>
          <w:vertAlign w:val="baseline"/>
        </w:rPr>
        <w:t>, needs to be supplemented with a mechanism that somehow impedes checks and balances from preventing the overshooting of fundamentals.</w:t>
      </w:r>
    </w:p>
    <w:p>
      <w:pPr>
        <w:spacing w:line="230" w:lineRule="exact" w:before="3"/>
        <w:ind w:left="655" w:right="793" w:firstLine="0"/>
        <w:jc w:val="left"/>
        <w:rPr>
          <w:sz w:val="20"/>
        </w:rPr>
      </w:pPr>
      <w:r>
        <w:rPr>
          <w:position w:val="9"/>
          <w:sz w:val="13"/>
        </w:rPr>
        <w:t>8 </w:t>
      </w:r>
      <w:r>
        <w:rPr>
          <w:sz w:val="20"/>
        </w:rPr>
        <w:t>Loutskina E. and P. E. Strahan (2006), ‘Securitisation and the declining impact of bank finance on loan supply: evidence from mortgage acceptance rates’, National Bureau of Economic Research</w:t>
      </w:r>
    </w:p>
    <w:p>
      <w:pPr>
        <w:spacing w:line="235" w:lineRule="auto" w:before="2"/>
        <w:ind w:left="655" w:right="793" w:firstLine="0"/>
        <w:jc w:val="left"/>
        <w:rPr>
          <w:sz w:val="20"/>
        </w:rPr>
      </w:pPr>
      <w:r>
        <w:rPr>
          <w:sz w:val="20"/>
        </w:rPr>
        <w:t>(NBER) </w:t>
      </w:r>
      <w:r>
        <w:rPr>
          <w:i/>
          <w:sz w:val="20"/>
        </w:rPr>
        <w:t>Working Papers</w:t>
      </w:r>
      <w:r>
        <w:rPr>
          <w:sz w:val="20"/>
        </w:rPr>
        <w:t>, No. 11983. And Estrella, A. (2002), ‘Securitization and the efficiacy of monetary policy’, </w:t>
      </w:r>
      <w:r>
        <w:rPr>
          <w:i/>
          <w:sz w:val="20"/>
        </w:rPr>
        <w:t>Economic Policy Review</w:t>
      </w:r>
      <w:r>
        <w:rPr>
          <w:sz w:val="20"/>
        </w:rPr>
        <w:t>, Vol. 8, No.1.</w:t>
      </w:r>
    </w:p>
    <w:p>
      <w:pPr>
        <w:spacing w:line="230" w:lineRule="exact" w:before="4"/>
        <w:ind w:left="655" w:right="152" w:firstLine="0"/>
        <w:jc w:val="left"/>
        <w:rPr>
          <w:sz w:val="20"/>
        </w:rPr>
      </w:pPr>
      <w:r>
        <w:rPr>
          <w:position w:val="9"/>
          <w:sz w:val="13"/>
        </w:rPr>
        <w:t>9 </w:t>
      </w:r>
      <w:r>
        <w:rPr>
          <w:sz w:val="20"/>
        </w:rPr>
        <w:t>For an overview of early work see Kashyap, A. K. and J. C. Stein (1994),’Monetary policy and bank lending’, in G. N. Mankiw, ed., Monetary policy, </w:t>
      </w:r>
      <w:r>
        <w:rPr>
          <w:i/>
          <w:sz w:val="20"/>
        </w:rPr>
        <w:t>Studies in Business Cycles</w:t>
      </w:r>
      <w:r>
        <w:rPr>
          <w:sz w:val="20"/>
        </w:rPr>
        <w:t>, vol. 29. pp. 221­56.</w:t>
      </w:r>
    </w:p>
    <w:p>
      <w:pPr>
        <w:spacing w:line="230" w:lineRule="exact" w:before="1"/>
        <w:ind w:left="655" w:right="630" w:firstLine="0"/>
        <w:jc w:val="left"/>
        <w:rPr>
          <w:sz w:val="20"/>
        </w:rPr>
      </w:pPr>
      <w:r>
        <w:rPr>
          <w:position w:val="9"/>
          <w:sz w:val="13"/>
        </w:rPr>
        <w:t>10 </w:t>
      </w:r>
      <w:r>
        <w:rPr>
          <w:sz w:val="20"/>
        </w:rPr>
        <w:t>In a Modigliani­Miller world of perfect capital markets, a bank’s overall cost of funds is independent of its capital and funding structure. As a result the level of bank capital and the balance of wholesale and retail funding are not relevant to bank lending decisions and so do not affect the monetary transmission mechanism.</w:t>
      </w:r>
    </w:p>
    <w:p>
      <w:pPr>
        <w:spacing w:line="230" w:lineRule="exact" w:before="1"/>
        <w:ind w:left="655" w:right="793" w:firstLine="0"/>
        <w:jc w:val="left"/>
        <w:rPr>
          <w:sz w:val="20"/>
        </w:rPr>
      </w:pPr>
      <w:r>
        <w:rPr>
          <w:position w:val="9"/>
          <w:sz w:val="13"/>
        </w:rPr>
        <w:t>11 </w:t>
      </w:r>
      <w:r>
        <w:rPr>
          <w:sz w:val="20"/>
        </w:rPr>
        <w:t>Bernanke, B. S. and C. S. Lown (1991), ‘The credit crunch’, </w:t>
      </w:r>
      <w:r>
        <w:rPr>
          <w:i/>
          <w:sz w:val="20"/>
        </w:rPr>
        <w:t>Brookings Papers on Economic </w:t>
      </w:r>
      <w:r>
        <w:rPr>
          <w:i/>
          <w:sz w:val="20"/>
        </w:rPr>
        <w:t>Activity</w:t>
      </w:r>
      <w:r>
        <w:rPr>
          <w:sz w:val="20"/>
        </w:rPr>
        <w:t>, No. 2, pp. 204­39.</w:t>
      </w:r>
    </w:p>
    <w:p>
      <w:pPr>
        <w:spacing w:line="230" w:lineRule="exact" w:before="1"/>
        <w:ind w:left="655" w:right="824" w:firstLine="0"/>
        <w:jc w:val="both"/>
        <w:rPr>
          <w:sz w:val="20"/>
        </w:rPr>
      </w:pPr>
      <w:r>
        <w:rPr>
          <w:position w:val="9"/>
          <w:sz w:val="13"/>
        </w:rPr>
        <w:t>12 </w:t>
      </w:r>
      <w:r>
        <w:rPr>
          <w:sz w:val="20"/>
        </w:rPr>
        <w:t>Ashcraft, A. B., and M. Campello (2002), ‘Borrowers' financial constraints and the transmission of monetary policy: evidence from financial conglomerates’, Federal Reserve Bank of New York, Staff Reports: 153.</w:t>
      </w:r>
    </w:p>
    <w:p>
      <w:pPr>
        <w:spacing w:line="224" w:lineRule="exact" w:before="0"/>
        <w:ind w:left="655" w:right="0" w:firstLine="0"/>
        <w:jc w:val="both"/>
        <w:rPr>
          <w:sz w:val="20"/>
        </w:rPr>
      </w:pPr>
      <w:r>
        <w:rPr>
          <w:position w:val="9"/>
          <w:sz w:val="13"/>
        </w:rPr>
        <w:t>13 </w:t>
      </w:r>
      <w:r>
        <w:rPr>
          <w:sz w:val="20"/>
        </w:rPr>
        <w:t>Akerlof, G. A. (1970), ‘The market for ‘lemons’: quality uncertainty and the market mechanism’,</w:t>
      </w:r>
    </w:p>
    <w:p>
      <w:pPr>
        <w:spacing w:before="1"/>
        <w:ind w:left="655" w:right="666" w:firstLine="0"/>
        <w:jc w:val="left"/>
        <w:rPr>
          <w:sz w:val="20"/>
        </w:rPr>
      </w:pPr>
      <w:r>
        <w:rPr>
          <w:i/>
          <w:sz w:val="20"/>
        </w:rPr>
        <w:t>Quarterly Journal </w:t>
      </w:r>
      <w:r>
        <w:rPr>
          <w:i/>
          <w:spacing w:val="-3"/>
          <w:sz w:val="20"/>
        </w:rPr>
        <w:t>of </w:t>
      </w:r>
      <w:r>
        <w:rPr>
          <w:i/>
          <w:sz w:val="20"/>
        </w:rPr>
        <w:t>Economics</w:t>
      </w:r>
      <w:r>
        <w:rPr>
          <w:sz w:val="20"/>
        </w:rPr>
        <w:t>, Vol. 84, </w:t>
      </w:r>
      <w:r>
        <w:rPr>
          <w:spacing w:val="-3"/>
          <w:sz w:val="20"/>
        </w:rPr>
        <w:t>No. 3, </w:t>
      </w:r>
      <w:r>
        <w:rPr>
          <w:sz w:val="20"/>
        </w:rPr>
        <w:t>pp. 488­500. A market </w:t>
      </w:r>
      <w:r>
        <w:rPr>
          <w:spacing w:val="-4"/>
          <w:sz w:val="20"/>
        </w:rPr>
        <w:t>for </w:t>
      </w:r>
      <w:r>
        <w:rPr>
          <w:sz w:val="20"/>
        </w:rPr>
        <w:t>‘lemons’ issue arises when informational deficiencies give rise to uncertainty about the true quality </w:t>
      </w:r>
      <w:r>
        <w:rPr>
          <w:spacing w:val="-3"/>
          <w:sz w:val="20"/>
        </w:rPr>
        <w:t>of </w:t>
      </w:r>
      <w:r>
        <w:rPr>
          <w:sz w:val="20"/>
        </w:rPr>
        <w:t>a product. </w:t>
      </w:r>
      <w:r>
        <w:rPr>
          <w:spacing w:val="-3"/>
          <w:sz w:val="20"/>
        </w:rPr>
        <w:t>In </w:t>
      </w:r>
      <w:r>
        <w:rPr>
          <w:sz w:val="20"/>
        </w:rPr>
        <w:t>such circumstances, buyers choose to pay only average </w:t>
      </w:r>
      <w:r>
        <w:rPr>
          <w:spacing w:val="-2"/>
          <w:sz w:val="20"/>
        </w:rPr>
        <w:t>prices </w:t>
      </w:r>
      <w:r>
        <w:rPr>
          <w:sz w:val="20"/>
        </w:rPr>
        <w:t>for goods that carry the risk </w:t>
      </w:r>
      <w:r>
        <w:rPr>
          <w:spacing w:val="-3"/>
          <w:sz w:val="20"/>
        </w:rPr>
        <w:t>of </w:t>
      </w:r>
      <w:r>
        <w:rPr>
          <w:sz w:val="20"/>
        </w:rPr>
        <w:t>sellers overstating their true quality. As a result, sellers </w:t>
      </w:r>
      <w:r>
        <w:rPr>
          <w:spacing w:val="-3"/>
          <w:sz w:val="20"/>
        </w:rPr>
        <w:t>of </w:t>
      </w:r>
      <w:r>
        <w:rPr>
          <w:sz w:val="20"/>
        </w:rPr>
        <w:t>good products, having little incentive to participate in </w:t>
      </w:r>
      <w:r>
        <w:rPr>
          <w:spacing w:val="-3"/>
          <w:sz w:val="20"/>
        </w:rPr>
        <w:t>such </w:t>
      </w:r>
      <w:r>
        <w:rPr>
          <w:sz w:val="20"/>
        </w:rPr>
        <w:t>markets, are driven out by those sellers </w:t>
      </w:r>
      <w:r>
        <w:rPr>
          <w:spacing w:val="-3"/>
          <w:sz w:val="20"/>
        </w:rPr>
        <w:t>of </w:t>
      </w:r>
      <w:r>
        <w:rPr>
          <w:sz w:val="20"/>
        </w:rPr>
        <w:t>poor quality products. The most common example </w:t>
      </w:r>
      <w:r>
        <w:rPr>
          <w:spacing w:val="-3"/>
          <w:sz w:val="20"/>
        </w:rPr>
        <w:t>of </w:t>
      </w:r>
      <w:r>
        <w:rPr>
          <w:sz w:val="20"/>
        </w:rPr>
        <w:t>the problem is the market </w:t>
      </w:r>
      <w:r>
        <w:rPr>
          <w:spacing w:val="-4"/>
          <w:sz w:val="20"/>
        </w:rPr>
        <w:t>for </w:t>
      </w:r>
      <w:r>
        <w:rPr>
          <w:sz w:val="20"/>
        </w:rPr>
        <w:t>used new cars. Rationing in the interbank markets is discussed by Freixas, X. and J. Jorge (2007) in ‘The role </w:t>
      </w:r>
      <w:r>
        <w:rPr>
          <w:spacing w:val="-3"/>
          <w:sz w:val="20"/>
        </w:rPr>
        <w:t>of </w:t>
      </w:r>
      <w:r>
        <w:rPr>
          <w:sz w:val="20"/>
        </w:rPr>
        <w:t>interbank markets in monetary policy: a model </w:t>
      </w:r>
      <w:r>
        <w:rPr>
          <w:spacing w:val="-3"/>
          <w:sz w:val="20"/>
        </w:rPr>
        <w:t>with </w:t>
      </w:r>
      <w:r>
        <w:rPr>
          <w:sz w:val="20"/>
        </w:rPr>
        <w:t>rationing’, Universitat Pompeu Fabra, </w:t>
      </w:r>
      <w:r>
        <w:rPr>
          <w:i/>
          <w:sz w:val="20"/>
        </w:rPr>
        <w:t>Economics Working</w:t>
      </w:r>
      <w:r>
        <w:rPr>
          <w:i/>
          <w:spacing w:val="-3"/>
          <w:sz w:val="20"/>
        </w:rPr>
        <w:t> </w:t>
      </w:r>
      <w:r>
        <w:rPr>
          <w:i/>
          <w:sz w:val="20"/>
        </w:rPr>
        <w:t>Papers</w:t>
      </w:r>
      <w:r>
        <w:rPr>
          <w:sz w:val="20"/>
        </w:rPr>
        <w:t>.</w:t>
      </w:r>
    </w:p>
    <w:p>
      <w:pPr>
        <w:spacing w:line="230" w:lineRule="exact" w:before="6"/>
        <w:ind w:left="655" w:right="152" w:firstLine="0"/>
        <w:jc w:val="left"/>
        <w:rPr>
          <w:sz w:val="20"/>
        </w:rPr>
      </w:pPr>
      <w:r>
        <w:rPr>
          <w:position w:val="9"/>
          <w:sz w:val="13"/>
        </w:rPr>
        <w:t>14 </w:t>
      </w:r>
      <w:r>
        <w:rPr>
          <w:sz w:val="20"/>
        </w:rPr>
        <w:t>Kashyap, A. K. and J. C. Stein (2000), ‘What do a million observations say about the transmission of monetary policy’, </w:t>
      </w:r>
      <w:r>
        <w:rPr>
          <w:i/>
          <w:sz w:val="20"/>
        </w:rPr>
        <w:t>The American Economic Review</w:t>
      </w:r>
      <w:r>
        <w:rPr>
          <w:sz w:val="20"/>
        </w:rPr>
        <w:t>, Vol. 90, No. 3, pp. 407­28.</w:t>
      </w:r>
    </w:p>
    <w:p>
      <w:pPr>
        <w:spacing w:line="223" w:lineRule="exact" w:before="0"/>
        <w:ind w:left="655" w:right="0" w:firstLine="0"/>
        <w:jc w:val="left"/>
        <w:rPr>
          <w:sz w:val="20"/>
        </w:rPr>
      </w:pPr>
      <w:r>
        <w:rPr>
          <w:position w:val="9"/>
          <w:sz w:val="13"/>
        </w:rPr>
        <w:t>15 </w:t>
      </w:r>
      <w:r>
        <w:rPr>
          <w:sz w:val="20"/>
        </w:rPr>
        <w:t>See Kashyap, A. K., R. Rajan and J. C Stein (2002), ‘Banks as liquidity providers: an explanation for</w:t>
      </w:r>
    </w:p>
    <w:p>
      <w:pPr>
        <w:spacing w:line="218" w:lineRule="exact" w:before="0"/>
        <w:ind w:left="655" w:right="0" w:firstLine="0"/>
        <w:jc w:val="left"/>
        <w:rPr>
          <w:sz w:val="20"/>
        </w:rPr>
      </w:pPr>
      <w:r>
        <w:rPr>
          <w:sz w:val="20"/>
        </w:rPr>
        <w:t>the coexistence of lending and deposit­taking’, </w:t>
      </w:r>
      <w:r>
        <w:rPr>
          <w:i/>
          <w:sz w:val="20"/>
        </w:rPr>
        <w:t>The Journal of Finance</w:t>
      </w:r>
      <w:r>
        <w:rPr>
          <w:sz w:val="20"/>
        </w:rPr>
        <w:t>, Vol. 57, No. 1, pp 33–73.</w:t>
      </w:r>
    </w:p>
    <w:p>
      <w:pPr>
        <w:spacing w:line="243" w:lineRule="exact" w:before="0"/>
        <w:ind w:left="655" w:right="0" w:firstLine="0"/>
        <w:jc w:val="left"/>
        <w:rPr>
          <w:sz w:val="20"/>
        </w:rPr>
      </w:pPr>
      <w:r>
        <w:rPr>
          <w:position w:val="9"/>
          <w:sz w:val="13"/>
        </w:rPr>
        <w:t>16 </w:t>
      </w:r>
      <w:r>
        <w:rPr>
          <w:sz w:val="20"/>
        </w:rPr>
        <w:t>Acharya, V. V., H. S. Shin and T. Yorulmazer (2007), ‘Fire sales, foreign entry and bank liquidity’,</w:t>
      </w:r>
    </w:p>
    <w:p>
      <w:pPr>
        <w:spacing w:line="218" w:lineRule="exact" w:before="0"/>
        <w:ind w:left="655" w:right="0" w:firstLine="0"/>
        <w:jc w:val="left"/>
        <w:rPr>
          <w:sz w:val="20"/>
        </w:rPr>
      </w:pPr>
      <w:r>
        <w:rPr>
          <w:i/>
          <w:sz w:val="20"/>
        </w:rPr>
        <w:t>C.E.P.R Discussion Paper</w:t>
      </w:r>
      <w:r>
        <w:rPr>
          <w:sz w:val="20"/>
        </w:rPr>
        <w:t>, No. 6309.</w:t>
      </w:r>
    </w:p>
    <w:p>
      <w:pPr>
        <w:spacing w:line="230" w:lineRule="exact" w:before="16"/>
        <w:ind w:left="655" w:right="234" w:firstLine="0"/>
        <w:jc w:val="left"/>
        <w:rPr>
          <w:sz w:val="20"/>
        </w:rPr>
      </w:pPr>
      <w:r>
        <w:rPr>
          <w:position w:val="9"/>
          <w:sz w:val="13"/>
        </w:rPr>
        <w:t>17 </w:t>
      </w:r>
      <w:r>
        <w:rPr>
          <w:sz w:val="20"/>
        </w:rPr>
        <w:t>See Goodhart, C. A. E. (2007), “Whatever Became of the Monetary Aggregates?”, Peston Lecture at Queen Mary College, London; King M. A. (2007), ‘The MPC ten years on’, lecture to the</w:t>
      </w:r>
    </w:p>
    <w:p>
      <w:pPr>
        <w:spacing w:before="0"/>
        <w:ind w:left="655" w:right="811" w:firstLine="0"/>
        <w:jc w:val="left"/>
        <w:rPr>
          <w:sz w:val="20"/>
        </w:rPr>
      </w:pPr>
      <w:r>
        <w:rPr>
          <w:sz w:val="20"/>
        </w:rPr>
        <w:t>Society of Business Economists, Bank of England </w:t>
      </w:r>
      <w:r>
        <w:rPr>
          <w:i/>
          <w:sz w:val="20"/>
        </w:rPr>
        <w:t>Quarterly Bulletin</w:t>
      </w:r>
      <w:r>
        <w:rPr>
          <w:sz w:val="20"/>
        </w:rPr>
        <w:t>, Summer 2007, pp 272­85; and Tucker P. M. W. (2007), ‘Central banking and political economy: the example of the UK’s Monetary Policy Committee’ speech at the Inflation Targeting, Central Bank Independence and Transparency Conference, Cambridge, Bank of England </w:t>
      </w:r>
      <w:r>
        <w:rPr>
          <w:i/>
          <w:sz w:val="20"/>
        </w:rPr>
        <w:t>Quarterly Bulletin</w:t>
      </w:r>
      <w:r>
        <w:rPr>
          <w:sz w:val="20"/>
        </w:rPr>
        <w:t>, Autumn 2007, pp445­52.</w:t>
      </w:r>
    </w:p>
    <w:p>
      <w:pPr>
        <w:spacing w:after="0"/>
        <w:jc w:val="left"/>
        <w:rPr>
          <w:sz w:val="20"/>
        </w:rPr>
        <w:sectPr>
          <w:pgSz w:w="11910" w:h="16840"/>
          <w:pgMar w:header="713" w:footer="0" w:top="1340" w:bottom="280" w:left="1140" w:right="1180"/>
        </w:sectPr>
      </w:pPr>
    </w:p>
    <w:p>
      <w:pPr>
        <w:pStyle w:val="BodyText"/>
        <w:spacing w:before="11"/>
        <w:rPr>
          <w:sz w:val="20"/>
        </w:rPr>
      </w:pPr>
    </w:p>
    <w:p>
      <w:pPr>
        <w:pStyle w:val="BodyText"/>
        <w:spacing w:line="20" w:lineRule="exact"/>
        <w:ind w:left="650"/>
        <w:rPr>
          <w:sz w:val="2"/>
        </w:rPr>
      </w:pPr>
      <w:r>
        <w:rPr>
          <w:sz w:val="2"/>
        </w:rPr>
        <w:pict>
          <v:group style="width:415.7pt;height:.5pt;mso-position-horizontal-relative:char;mso-position-vertical-relative:line" coordorigin="0,0" coordsize="8314,10">
            <v:line style="position:absolute" from="0,5" to="8314,5" stroked="true" strokeweight=".48pt" strokecolor="#000000">
              <v:stroke dashstyle="solid"/>
            </v:line>
          </v:group>
        </w:pict>
      </w:r>
      <w:r>
        <w:rPr>
          <w:sz w:val="2"/>
        </w:rPr>
      </w:r>
    </w:p>
    <w:p>
      <w:pPr>
        <w:spacing w:before="66"/>
        <w:ind w:left="655" w:right="684" w:firstLine="0"/>
        <w:jc w:val="left"/>
        <w:rPr>
          <w:sz w:val="20"/>
        </w:rPr>
      </w:pPr>
      <w:r>
        <w:rPr>
          <w:position w:val="9"/>
          <w:sz w:val="13"/>
        </w:rPr>
        <w:t>18 </w:t>
      </w:r>
      <w:r>
        <w:rPr>
          <w:sz w:val="20"/>
        </w:rPr>
        <w:t>There is an echo here of a channel stressed by Brunner &amp; Melter, but with the impulse coming from the central bank’s short­term interest rate rather than the quantity of reserves, and the transmission into risk premia and so other asset prices coming via the expected path of the policy rate and broad money rather than via narrow money.</w:t>
      </w:r>
    </w:p>
    <w:p>
      <w:pPr>
        <w:spacing w:line="230" w:lineRule="exact" w:before="5"/>
        <w:ind w:left="655" w:right="648" w:firstLine="0"/>
        <w:jc w:val="left"/>
        <w:rPr>
          <w:sz w:val="20"/>
        </w:rPr>
      </w:pPr>
      <w:r>
        <w:rPr>
          <w:position w:val="9"/>
          <w:sz w:val="13"/>
        </w:rPr>
        <w:t>19 </w:t>
      </w:r>
      <w:r>
        <w:rPr>
          <w:sz w:val="20"/>
        </w:rPr>
        <w:t>Perhaps nothing illustrates this as cleanly as the advent </w:t>
      </w:r>
      <w:r>
        <w:rPr>
          <w:spacing w:val="-3"/>
          <w:sz w:val="20"/>
        </w:rPr>
        <w:t>of </w:t>
      </w:r>
      <w:r>
        <w:rPr>
          <w:sz w:val="20"/>
        </w:rPr>
        <w:t>credit derivatives. Derivatives of any kind unbundle funding (and so liquidity risk) from the underlying risk to which an agent is seeking exposure via a particular contract. So a credit derivative unbundles credit risk from funding. This further complicates interpretation </w:t>
      </w:r>
      <w:r>
        <w:rPr>
          <w:spacing w:val="-3"/>
          <w:sz w:val="20"/>
        </w:rPr>
        <w:t>of </w:t>
      </w:r>
      <w:r>
        <w:rPr>
          <w:sz w:val="20"/>
        </w:rPr>
        <w:t>the bank lending data (M4L). Imagine that, due to their customer networks and screening </w:t>
      </w:r>
      <w:r>
        <w:rPr>
          <w:spacing w:val="-3"/>
          <w:sz w:val="20"/>
        </w:rPr>
        <w:t>capability, </w:t>
      </w:r>
      <w:r>
        <w:rPr>
          <w:sz w:val="20"/>
        </w:rPr>
        <w:t>banks originate all credit, but that they use credit­default swaps to shed a great portion </w:t>
      </w:r>
      <w:r>
        <w:rPr>
          <w:spacing w:val="-3"/>
          <w:sz w:val="20"/>
        </w:rPr>
        <w:t>of </w:t>
      </w:r>
      <w:r>
        <w:rPr>
          <w:sz w:val="20"/>
        </w:rPr>
        <w:t>the </w:t>
      </w:r>
      <w:r>
        <w:rPr>
          <w:spacing w:val="-2"/>
          <w:sz w:val="20"/>
        </w:rPr>
        <w:t>credit </w:t>
      </w:r>
      <w:r>
        <w:rPr>
          <w:sz w:val="20"/>
        </w:rPr>
        <w:t>risk via CDS to non­bank financial institutions.  </w:t>
      </w:r>
      <w:r>
        <w:rPr>
          <w:spacing w:val="-3"/>
          <w:sz w:val="20"/>
        </w:rPr>
        <w:t>In </w:t>
      </w:r>
      <w:r>
        <w:rPr>
          <w:sz w:val="20"/>
        </w:rPr>
        <w:t>the limit, this would </w:t>
      </w:r>
      <w:r>
        <w:rPr>
          <w:spacing w:val="-3"/>
          <w:sz w:val="20"/>
        </w:rPr>
        <w:t>be </w:t>
      </w:r>
      <w:r>
        <w:rPr>
          <w:sz w:val="20"/>
        </w:rPr>
        <w:t>a world in </w:t>
      </w:r>
      <w:r>
        <w:rPr>
          <w:spacing w:val="-3"/>
          <w:sz w:val="20"/>
        </w:rPr>
        <w:t>which </w:t>
      </w:r>
      <w:r>
        <w:rPr>
          <w:sz w:val="20"/>
        </w:rPr>
        <w:t>M4L correctly measured (bank) lending and M4 was one useful measure</w:t>
      </w:r>
      <w:r>
        <w:rPr>
          <w:spacing w:val="-3"/>
          <w:sz w:val="20"/>
        </w:rPr>
        <w:t> of</w:t>
      </w:r>
    </w:p>
    <w:p>
      <w:pPr>
        <w:spacing w:line="237" w:lineRule="auto" w:before="1"/>
        <w:ind w:left="655" w:right="630" w:firstLine="0"/>
        <w:jc w:val="left"/>
        <w:rPr>
          <w:sz w:val="20"/>
        </w:rPr>
      </w:pPr>
      <w:r>
        <w:rPr>
          <w:sz w:val="20"/>
        </w:rPr>
        <w:t>‘liquidity’. But it would also be a world in which shocks to credit conditions from capital and risk appetite worked largely through non­bank lenders, and in which shocks to liquidity worked largely through depositor confidence in the banking system. In the real world, this story underlines the need to look at total credit, and to analyse the monetary data with finesse.</w:t>
      </w:r>
    </w:p>
    <w:p>
      <w:pPr>
        <w:spacing w:line="230" w:lineRule="exact" w:before="7"/>
        <w:ind w:left="655" w:right="793" w:firstLine="0"/>
        <w:jc w:val="left"/>
        <w:rPr>
          <w:sz w:val="20"/>
        </w:rPr>
      </w:pPr>
      <w:r>
        <w:rPr>
          <w:position w:val="9"/>
          <w:sz w:val="13"/>
        </w:rPr>
        <w:t>20 </w:t>
      </w:r>
      <w:r>
        <w:rPr>
          <w:spacing w:val="-2"/>
          <w:sz w:val="20"/>
        </w:rPr>
        <w:t>See </w:t>
      </w:r>
      <w:r>
        <w:rPr>
          <w:sz w:val="20"/>
        </w:rPr>
        <w:t>Bank </w:t>
      </w:r>
      <w:r>
        <w:rPr>
          <w:spacing w:val="-3"/>
          <w:sz w:val="20"/>
        </w:rPr>
        <w:t>of </w:t>
      </w:r>
      <w:r>
        <w:rPr>
          <w:sz w:val="20"/>
        </w:rPr>
        <w:t>England </w:t>
      </w:r>
      <w:r>
        <w:rPr>
          <w:i/>
          <w:sz w:val="20"/>
        </w:rPr>
        <w:t>Inflation Report</w:t>
      </w:r>
      <w:r>
        <w:rPr>
          <w:sz w:val="20"/>
        </w:rPr>
        <w:t>, </w:t>
      </w:r>
      <w:r>
        <w:rPr>
          <w:spacing w:val="-3"/>
          <w:sz w:val="20"/>
        </w:rPr>
        <w:t>November </w:t>
      </w:r>
      <w:r>
        <w:rPr>
          <w:sz w:val="20"/>
        </w:rPr>
        <w:t>2007, Section 1 </w:t>
      </w:r>
      <w:r>
        <w:rPr>
          <w:spacing w:val="-3"/>
          <w:sz w:val="20"/>
        </w:rPr>
        <w:t>on </w:t>
      </w:r>
      <w:r>
        <w:rPr>
          <w:sz w:val="20"/>
        </w:rPr>
        <w:t>‘Money and Asset Prices’, pages</w:t>
      </w:r>
      <w:r>
        <w:rPr>
          <w:spacing w:val="1"/>
          <w:sz w:val="20"/>
        </w:rPr>
        <w:t> </w:t>
      </w:r>
      <w:r>
        <w:rPr>
          <w:sz w:val="20"/>
        </w:rPr>
        <w:t>16­17.</w:t>
      </w:r>
    </w:p>
    <w:p>
      <w:pPr>
        <w:spacing w:line="230" w:lineRule="exact" w:before="1"/>
        <w:ind w:left="655" w:right="684" w:firstLine="0"/>
        <w:jc w:val="left"/>
        <w:rPr>
          <w:sz w:val="20"/>
        </w:rPr>
      </w:pPr>
      <w:r>
        <w:rPr>
          <w:position w:val="9"/>
          <w:sz w:val="13"/>
        </w:rPr>
        <w:t>21 </w:t>
      </w:r>
      <w:r>
        <w:rPr>
          <w:sz w:val="20"/>
        </w:rPr>
        <w:t>“…households have increased their debt….more </w:t>
      </w:r>
      <w:r>
        <w:rPr>
          <w:spacing w:val="-3"/>
          <w:sz w:val="20"/>
        </w:rPr>
        <w:t>debt </w:t>
      </w:r>
      <w:r>
        <w:rPr>
          <w:sz w:val="20"/>
        </w:rPr>
        <w:t>unavoidably leaves them more vulnerable to bad luck, eg adverse economic shocks”, Tucker, P. M. W. (2003), ‘Credit conditions and monetary policy’, </w:t>
      </w:r>
      <w:r>
        <w:rPr>
          <w:spacing w:val="-3"/>
          <w:sz w:val="20"/>
        </w:rPr>
        <w:t>speech </w:t>
      </w:r>
      <w:r>
        <w:rPr>
          <w:sz w:val="20"/>
        </w:rPr>
        <w:t>at the </w:t>
      </w:r>
      <w:r>
        <w:rPr>
          <w:spacing w:val="-3"/>
          <w:sz w:val="20"/>
        </w:rPr>
        <w:t>Leeds </w:t>
      </w:r>
      <w:r>
        <w:rPr>
          <w:sz w:val="20"/>
        </w:rPr>
        <w:t>Financial </w:t>
      </w:r>
      <w:r>
        <w:rPr>
          <w:spacing w:val="-3"/>
          <w:sz w:val="20"/>
        </w:rPr>
        <w:t>Services </w:t>
      </w:r>
      <w:r>
        <w:rPr>
          <w:sz w:val="20"/>
        </w:rPr>
        <w:t>Initiative, Bank </w:t>
      </w:r>
      <w:r>
        <w:rPr>
          <w:spacing w:val="-3"/>
          <w:sz w:val="20"/>
        </w:rPr>
        <w:t>of </w:t>
      </w:r>
      <w:r>
        <w:rPr>
          <w:sz w:val="20"/>
        </w:rPr>
        <w:t>England </w:t>
      </w:r>
      <w:r>
        <w:rPr>
          <w:i/>
          <w:sz w:val="20"/>
        </w:rPr>
        <w:t>Quarterly Bulletin</w:t>
      </w:r>
      <w:r>
        <w:rPr>
          <w:sz w:val="20"/>
        </w:rPr>
        <w:t>, Autumn 2003, </w:t>
      </w:r>
      <w:r>
        <w:rPr>
          <w:spacing w:val="-3"/>
          <w:sz w:val="20"/>
        </w:rPr>
        <w:t>p.</w:t>
      </w:r>
      <w:r>
        <w:rPr>
          <w:spacing w:val="5"/>
          <w:sz w:val="20"/>
        </w:rPr>
        <w:t> </w:t>
      </w:r>
      <w:r>
        <w:rPr>
          <w:sz w:val="20"/>
        </w:rPr>
        <w:t>373.</w:t>
      </w:r>
    </w:p>
    <w:p>
      <w:pPr>
        <w:spacing w:line="230" w:lineRule="exact" w:before="2"/>
        <w:ind w:left="655" w:right="152" w:firstLine="0"/>
        <w:jc w:val="left"/>
        <w:rPr>
          <w:sz w:val="20"/>
        </w:rPr>
      </w:pPr>
      <w:r>
        <w:rPr>
          <w:position w:val="9"/>
          <w:sz w:val="13"/>
        </w:rPr>
        <w:t>22 </w:t>
      </w:r>
      <w:r>
        <w:rPr>
          <w:sz w:val="20"/>
        </w:rPr>
        <w:t>I argued this in Tucker, P. M. W. (2006), ‘Reflections on operating inflation targeting, speech at the Chicago Graduate School of Business, Bank of England </w:t>
      </w:r>
      <w:r>
        <w:rPr>
          <w:i/>
          <w:sz w:val="20"/>
        </w:rPr>
        <w:t>Quarterly Bulletin</w:t>
      </w:r>
      <w:r>
        <w:rPr>
          <w:sz w:val="20"/>
        </w:rPr>
        <w:t>, Summer 2006, p. 220.</w:t>
      </w:r>
    </w:p>
    <w:sectPr>
      <w:pgSz w:w="11910" w:h="16840"/>
      <w:pgMar w:header="713" w:footer="0" w:top="1340" w:bottom="280" w:left="114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9.959991pt;margin-top:34.626633pt;width:18pt;height:15.3pt;mso-position-horizontal-relative:page;mso-position-vertical-relative:page;z-index:-25310105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589" w:hanging="218"/>
        <w:jc w:val="left"/>
      </w:pPr>
      <w:rPr>
        <w:rFonts w:hint="default" w:ascii="Times New Roman" w:hAnsi="Times New Roman" w:eastAsia="Times New Roman" w:cs="Times New Roman"/>
        <w:w w:val="99"/>
        <w:sz w:val="16"/>
        <w:szCs w:val="16"/>
      </w:rPr>
    </w:lvl>
    <w:lvl w:ilvl="1">
      <w:start w:val="0"/>
      <w:numFmt w:val="bullet"/>
      <w:lvlText w:val="•"/>
      <w:lvlJc w:val="left"/>
      <w:pPr>
        <w:ind w:left="1038" w:hanging="218"/>
      </w:pPr>
      <w:rPr>
        <w:rFonts w:hint="default"/>
      </w:rPr>
    </w:lvl>
    <w:lvl w:ilvl="2">
      <w:start w:val="0"/>
      <w:numFmt w:val="bullet"/>
      <w:lvlText w:val="•"/>
      <w:lvlJc w:val="left"/>
      <w:pPr>
        <w:ind w:left="1497" w:hanging="218"/>
      </w:pPr>
      <w:rPr>
        <w:rFonts w:hint="default"/>
      </w:rPr>
    </w:lvl>
    <w:lvl w:ilvl="3">
      <w:start w:val="0"/>
      <w:numFmt w:val="bullet"/>
      <w:lvlText w:val="•"/>
      <w:lvlJc w:val="left"/>
      <w:pPr>
        <w:ind w:left="1955" w:hanging="218"/>
      </w:pPr>
      <w:rPr>
        <w:rFonts w:hint="default"/>
      </w:rPr>
    </w:lvl>
    <w:lvl w:ilvl="4">
      <w:start w:val="0"/>
      <w:numFmt w:val="bullet"/>
      <w:lvlText w:val="•"/>
      <w:lvlJc w:val="left"/>
      <w:pPr>
        <w:ind w:left="2414" w:hanging="218"/>
      </w:pPr>
      <w:rPr>
        <w:rFonts w:hint="default"/>
      </w:rPr>
    </w:lvl>
    <w:lvl w:ilvl="5">
      <w:start w:val="0"/>
      <w:numFmt w:val="bullet"/>
      <w:lvlText w:val="•"/>
      <w:lvlJc w:val="left"/>
      <w:pPr>
        <w:ind w:left="2872" w:hanging="218"/>
      </w:pPr>
      <w:rPr>
        <w:rFonts w:hint="default"/>
      </w:rPr>
    </w:lvl>
    <w:lvl w:ilvl="6">
      <w:start w:val="0"/>
      <w:numFmt w:val="bullet"/>
      <w:lvlText w:val="•"/>
      <w:lvlJc w:val="left"/>
      <w:pPr>
        <w:ind w:left="3331" w:hanging="218"/>
      </w:pPr>
      <w:rPr>
        <w:rFonts w:hint="default"/>
      </w:rPr>
    </w:lvl>
    <w:lvl w:ilvl="7">
      <w:start w:val="0"/>
      <w:numFmt w:val="bullet"/>
      <w:lvlText w:val="•"/>
      <w:lvlJc w:val="left"/>
      <w:pPr>
        <w:ind w:left="3789" w:hanging="218"/>
      </w:pPr>
      <w:rPr>
        <w:rFonts w:hint="default"/>
      </w:rPr>
    </w:lvl>
    <w:lvl w:ilvl="8">
      <w:start w:val="0"/>
      <w:numFmt w:val="bullet"/>
      <w:lvlText w:val="•"/>
      <w:lvlJc w:val="left"/>
      <w:pPr>
        <w:ind w:left="4248" w:hanging="21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5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3"/>
      <w:ind w:left="589" w:right="4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Money and Credit:  Banking and the Macroeconomy</dc:subject>
  <dc:title>Speech by Paul Tucker, Executive Director, Markets and Member of the Monetary Policy Committee at the Monetary Policy and the Markets Conference in London, 13 December 2007</dc:title>
  <dcterms:created xsi:type="dcterms:W3CDTF">2020-06-02T18:04:14Z</dcterms:created>
  <dcterms:modified xsi:type="dcterms:W3CDTF">2020-06-02T18:04:14Z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2007-12-13T00:00:00Z</vt:filetime>
  </property>
  <property fmtid="{D5CDD505-2E9C-101B-9397-08002B2CF9AE}" pid="3" name="LastSaved">
    <vt:filetime>2020-06-02T00:00:00Z</vt:filetime>
  </property>
</Properties>
</file>