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816"/>
        <w:rPr>
          <w:sz w:val="20"/>
        </w:rPr>
      </w:pP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spacing w:before="5"/>
        <w:rPr>
          <w:sz w:val="9"/>
        </w:rPr>
      </w:pPr>
    </w:p>
    <w:p>
      <w:pPr>
        <w:pStyle w:val="BodyText"/>
        <w:spacing w:line="30" w:lineRule="exact"/>
        <w:ind w:left="755"/>
        <w:rPr>
          <w:sz w:val="3"/>
        </w:rPr>
      </w:pPr>
      <w:r>
        <w:rPr>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position w:val="0"/>
          <w:sz w:val="3"/>
        </w:rPr>
      </w:r>
    </w:p>
    <w:p>
      <w:pPr>
        <w:pStyle w:val="BodyText"/>
        <w:rPr>
          <w:sz w:val="20"/>
        </w:rPr>
      </w:pPr>
    </w:p>
    <w:p>
      <w:pPr>
        <w:pStyle w:val="BodyText"/>
        <w:spacing w:before="7"/>
        <w:rPr>
          <w:sz w:val="15"/>
        </w:rPr>
      </w:pPr>
    </w:p>
    <w:p>
      <w:pPr>
        <w:spacing w:before="89"/>
        <w:ind w:left="892" w:right="0" w:firstLine="0"/>
        <w:jc w:val="left"/>
        <w:rPr>
          <w:rFonts w:ascii="Arial"/>
          <w:b/>
          <w:sz w:val="32"/>
        </w:rPr>
      </w:pPr>
      <w:r>
        <w:rPr>
          <w:rFonts w:ascii="Arial"/>
          <w:b/>
          <w:color w:val="6A719F"/>
          <w:sz w:val="32"/>
        </w:rPr>
        <w:t>Money, Banks and Quantitative Easing</w:t>
      </w:r>
    </w:p>
    <w:p>
      <w:pPr>
        <w:pStyle w:val="BodyText"/>
        <w:spacing w:before="281"/>
        <w:ind w:left="892"/>
        <w:rPr>
          <w:rFonts w:ascii="Arial"/>
        </w:rPr>
      </w:pPr>
      <w:r>
        <w:rPr>
          <w:rFonts w:ascii="Arial"/>
        </w:rPr>
        <w:t>Speech given by</w:t>
      </w:r>
    </w:p>
    <w:p>
      <w:pPr>
        <w:pStyle w:val="BodyText"/>
        <w:spacing w:before="137"/>
        <w:ind w:left="892"/>
        <w:rPr>
          <w:rFonts w:ascii="Arial"/>
        </w:rPr>
      </w:pPr>
      <w:r>
        <w:rPr>
          <w:rFonts w:ascii="Arial"/>
        </w:rPr>
        <w:t>David Miles, Member of the Monetary Policy Committee, Bank of England</w:t>
      </w:r>
    </w:p>
    <w:p>
      <w:pPr>
        <w:pStyle w:val="BodyText"/>
        <w:rPr>
          <w:rFonts w:ascii="Arial"/>
          <w:sz w:val="26"/>
        </w:rPr>
      </w:pPr>
    </w:p>
    <w:p>
      <w:pPr>
        <w:pStyle w:val="BodyText"/>
        <w:rPr>
          <w:rFonts w:ascii="Arial"/>
          <w:sz w:val="22"/>
        </w:rPr>
      </w:pPr>
    </w:p>
    <w:p>
      <w:pPr>
        <w:pStyle w:val="BodyText"/>
        <w:spacing w:line="360" w:lineRule="auto"/>
        <w:ind w:left="892" w:right="4309"/>
        <w:rPr>
          <w:rFonts w:ascii="Arial"/>
        </w:rPr>
      </w:pPr>
      <w:r>
        <w:rPr>
          <w:rFonts w:ascii="Arial"/>
        </w:rPr>
        <w:t>At the 14</w:t>
      </w:r>
      <w:r>
        <w:rPr>
          <w:rFonts w:ascii="Arial"/>
          <w:vertAlign w:val="superscript"/>
        </w:rPr>
        <w:t>th</w:t>
      </w:r>
      <w:r>
        <w:rPr>
          <w:rFonts w:ascii="Arial"/>
          <w:vertAlign w:val="baseline"/>
        </w:rPr>
        <w:t> Northern Ireland Economic Conference, Belfast 30 September 2009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spacing w:before="93"/>
        <w:ind w:left="892" w:right="1580" w:firstLine="0"/>
        <w:jc w:val="left"/>
        <w:rPr>
          <w:rFonts w:ascii="Arial"/>
          <w:sz w:val="20"/>
        </w:rPr>
      </w:pPr>
      <w:r>
        <w:rPr>
          <w:rFonts w:ascii="Arial"/>
          <w:sz w:val="20"/>
        </w:rPr>
        <w:t>I would like to thank Conall Maccoille and Helen Lawton for research assistance, and others for helpful comments. The views expressed are my own and do not necessarily reflect those of the Bank of England or other members of the Monetary Policy Committee.</w:t>
      </w:r>
    </w:p>
    <w:p>
      <w:pPr>
        <w:pStyle w:val="BodyText"/>
        <w:spacing w:before="8"/>
        <w:rPr>
          <w:rFonts w:ascii="Arial"/>
          <w:sz w:val="16"/>
        </w:rPr>
      </w:pPr>
      <w:r>
        <w:rPr/>
        <w:pict>
          <v:group style="position:absolute;margin-left:38.880001pt;margin-top:11.618466pt;width:517.4500pt;height:.25pt;mso-position-horizontal-relative:page;mso-position-vertical-relative:paragraph;z-index:-251657216;mso-wrap-distance-left:0;mso-wrap-distance-right:0" coordorigin="778,232" coordsize="10349,5">
            <v:line style="position:absolute" from="778,235" to="10418,235" stroked="true" strokeweight=".24pt" strokecolor="#000000">
              <v:stroke dashstyle="solid"/>
            </v:line>
            <v:rect style="position:absolute;left:10418;top:232;width:5;height:5" filled="true" fillcolor="#000000" stroked="false">
              <v:fill type="solid"/>
            </v:rect>
            <v:line style="position:absolute" from="10423,235" to="11126,235" stroked="true" strokeweight=".24pt" strokecolor="#000000">
              <v:stroke dashstyle="solid"/>
            </v:line>
            <w10:wrap type="topAndBottom"/>
          </v:group>
        </w:pict>
      </w:r>
    </w:p>
    <w:p>
      <w:pPr>
        <w:spacing w:line="9" w:lineRule="exact" w:before="0"/>
        <w:ind w:left="0" w:right="1105"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5"/>
        <w:rPr>
          <w:rFonts w:ascii="Arial"/>
          <w:sz w:val="2"/>
        </w:rPr>
      </w:pPr>
    </w:p>
    <w:p>
      <w:pPr>
        <w:spacing w:before="0"/>
        <w:ind w:left="648"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240" w:right="262"/>
        </w:sectPr>
      </w:pPr>
    </w:p>
    <w:p>
      <w:pPr>
        <w:pStyle w:val="Heading1"/>
        <w:spacing w:before="76"/>
        <w:ind w:left="1551" w:right="1200" w:firstLine="0"/>
        <w:jc w:val="center"/>
      </w:pPr>
      <w:r>
        <w:rPr/>
        <w:t>MONEY, BANKS AND QUANTITATIVE EASING</w:t>
      </w:r>
    </w:p>
    <w:p>
      <w:pPr>
        <w:pStyle w:val="BodyText"/>
        <w:spacing w:before="1"/>
        <w:rPr>
          <w:b/>
          <w:sz w:val="28"/>
        </w:rPr>
      </w:pPr>
    </w:p>
    <w:p>
      <w:pPr>
        <w:pStyle w:val="ListParagraph"/>
        <w:numPr>
          <w:ilvl w:val="0"/>
          <w:numId w:val="1"/>
        </w:numPr>
        <w:tabs>
          <w:tab w:pos="1798" w:val="left" w:leader="none"/>
        </w:tabs>
        <w:spacing w:line="240" w:lineRule="auto" w:before="90" w:after="0"/>
        <w:ind w:left="1797" w:right="0" w:hanging="241"/>
        <w:jc w:val="left"/>
        <w:rPr>
          <w:b/>
          <w:sz w:val="24"/>
        </w:rPr>
      </w:pPr>
      <w:r>
        <w:rPr>
          <w:b/>
          <w:sz w:val="24"/>
        </w:rPr>
        <w:t>Introduction</w:t>
      </w:r>
    </w:p>
    <w:p>
      <w:pPr>
        <w:pStyle w:val="BodyText"/>
        <w:spacing w:before="9"/>
        <w:rPr>
          <w:b/>
          <w:sz w:val="35"/>
        </w:rPr>
      </w:pPr>
    </w:p>
    <w:p>
      <w:pPr>
        <w:pStyle w:val="BodyText"/>
        <w:spacing w:line="360" w:lineRule="auto"/>
        <w:ind w:left="1557" w:right="1200"/>
        <w:jc w:val="both"/>
      </w:pPr>
      <w:r>
        <w:rPr/>
        <w:t>We have just seen across the UK falls in output and rises in unemployment of a severity that is exceptional. Since the first quarter of 2008 the level of UK GDP has fallen by around 5.5%, the sharpest contraction of economic activity in the post-war period; on the Labour Force Survey measure around 2.5 million people in UK are now unemployed. Northern Ireland, which in some ways has a very different economy from much of the rest of the UK, nonetheless experienced a similarly painful period of sharply falling production, rising unemployment and very big declines in property prices.  The latest  data from the Office of National Statistics (ONS) indicate that in the three months May- July the employment rate in Northern Ireland had fallen by just over 4pp compared with the same period in 2008, the sharpest rate of decline in the United Kingdom. The contraction of economic activity across the UK has been extraordinary, relative to  history, but typical of what has happened over the past year in developed countries. This has been a global economic crisis. And as with another global economic crisis of the last century – the Great Depression – this crisis had its origins in the financial sector, and more specifically in the banking</w:t>
      </w:r>
      <w:r>
        <w:rPr>
          <w:spacing w:val="-5"/>
        </w:rPr>
        <w:t> </w:t>
      </w:r>
      <w:r>
        <w:rPr/>
        <w:t>sector.</w:t>
      </w:r>
    </w:p>
    <w:p>
      <w:pPr>
        <w:pStyle w:val="BodyText"/>
        <w:spacing w:before="1"/>
      </w:pPr>
    </w:p>
    <w:p>
      <w:pPr>
        <w:pStyle w:val="BodyText"/>
        <w:spacing w:line="360" w:lineRule="auto"/>
        <w:ind w:left="1557" w:right="1199"/>
        <w:jc w:val="both"/>
      </w:pPr>
      <w:r>
        <w:rPr/>
        <w:t>What I want to focus on is how monetary policy can be used to help us to emerge from a very deep recession and prevent inflation from deviating from target. The key challenge is to achieve this when banks remain severely damaged, and in such a way that makes a repeat of the instability of the last two years less likely. That is exceptionally difficult – but it is what is required. To throw any light upon it one needs to think how we got into the mess from which we are beginning to emerge. So I want to begin by standing back  for a moment and briefly describing some of the features of the banking sector and household and corporate balance sheets as they were as we entered the crisis. When viewed with the benefits of hindsight, and seen also in the light of the longer historical record, some of those features look both remarkable and</w:t>
      </w:r>
      <w:r>
        <w:rPr>
          <w:spacing w:val="-7"/>
        </w:rPr>
        <w:t> </w:t>
      </w:r>
      <w:r>
        <w:rPr/>
        <w:t>ominous.</w:t>
      </w:r>
    </w:p>
    <w:p>
      <w:pPr>
        <w:pStyle w:val="BodyText"/>
        <w:spacing w:before="3"/>
      </w:pPr>
    </w:p>
    <w:p>
      <w:pPr>
        <w:pStyle w:val="Heading1"/>
        <w:numPr>
          <w:ilvl w:val="0"/>
          <w:numId w:val="1"/>
        </w:numPr>
        <w:tabs>
          <w:tab w:pos="1798" w:val="left" w:leader="none"/>
        </w:tabs>
        <w:spacing w:line="240" w:lineRule="auto" w:before="0" w:after="0"/>
        <w:ind w:left="1797" w:right="0" w:hanging="241"/>
        <w:jc w:val="left"/>
      </w:pPr>
      <w:r>
        <w:rPr/>
        <w:t>The lead-up to the crisis</w:t>
      </w:r>
    </w:p>
    <w:p>
      <w:pPr>
        <w:pStyle w:val="BodyText"/>
        <w:spacing w:before="9"/>
        <w:rPr>
          <w:b/>
          <w:sz w:val="35"/>
        </w:rPr>
      </w:pPr>
    </w:p>
    <w:p>
      <w:pPr>
        <w:pStyle w:val="BodyText"/>
        <w:spacing w:line="360" w:lineRule="auto"/>
        <w:ind w:left="1557" w:right="1200"/>
        <w:jc w:val="both"/>
      </w:pPr>
      <w:r>
        <w:rPr/>
        <w:t>On the eve of the crisis banks in the UK (and elsewhere) had less capital and less highly liquid assets – relative to the size of their balance sheets – than they had typically held in the past. Bank capital and liquidity at the start of this century were a fraction of what had</w:t>
      </w:r>
    </w:p>
    <w:p>
      <w:pPr>
        <w:spacing w:after="0" w:line="360" w:lineRule="auto"/>
        <w:jc w:val="both"/>
        <w:sectPr>
          <w:footerReference w:type="default" r:id="rId7"/>
          <w:pgSz w:w="11910" w:h="16840"/>
          <w:pgMar w:footer="779" w:header="0" w:top="1000" w:bottom="960" w:left="240" w:right="260"/>
          <w:pgNumType w:start="2"/>
        </w:sectPr>
      </w:pPr>
    </w:p>
    <w:p>
      <w:pPr>
        <w:pStyle w:val="BodyText"/>
        <w:spacing w:line="360" w:lineRule="auto" w:before="74"/>
        <w:ind w:left="1557" w:right="1199"/>
        <w:jc w:val="both"/>
      </w:pPr>
      <w:r>
        <w:rPr/>
        <w:t>been normal for most of the previous century (</w:t>
      </w:r>
      <w:r>
        <w:rPr>
          <w:b/>
        </w:rPr>
        <w:t>Charts 1 and 2</w:t>
      </w:r>
      <w:r>
        <w:rPr/>
        <w:t>). In the middle of the twentieth century UK banks typically held about twice as much capital, relative to their assets, than has been the case in recent years. In the US banks capital ratios have been on a downward trajectory for much of the past 150 years. A more recent phenomenon in the UK is the extent to which banks have come to rely heavily upon wholesale funding, rather than deposits from customers. The so-called customer funding gap of the major  UK banks (that is lending to customers not matched by customer deposits) rose from close to zero in 2000 to around £800 billion by 2008 (</w:t>
      </w:r>
      <w:r>
        <w:rPr>
          <w:b/>
        </w:rPr>
        <w:t>Chart 3</w:t>
      </w:r>
      <w:r>
        <w:rPr/>
        <w:t>). A substantial part of this wholesale funding proved footloose and hard to replace once fears about the strength of the banking sector</w:t>
      </w:r>
      <w:r>
        <w:rPr>
          <w:spacing w:val="-4"/>
        </w:rPr>
        <w:t> </w:t>
      </w:r>
      <w:r>
        <w:rPr/>
        <w:t>emerged.</w:t>
      </w:r>
    </w:p>
    <w:p>
      <w:pPr>
        <w:pStyle w:val="BodyText"/>
        <w:spacing w:before="11"/>
        <w:rPr>
          <w:sz w:val="35"/>
        </w:rPr>
      </w:pPr>
    </w:p>
    <w:p>
      <w:pPr>
        <w:pStyle w:val="BodyText"/>
        <w:spacing w:line="360" w:lineRule="auto"/>
        <w:ind w:left="1557" w:right="1202"/>
        <w:jc w:val="both"/>
      </w:pPr>
      <w:r>
        <w:rPr/>
        <w:t>An underlying problem was that UK banks had a great many assets that had </w:t>
      </w:r>
      <w:r>
        <w:rPr>
          <w:spacing w:val="-3"/>
        </w:rPr>
        <w:t>been </w:t>
      </w:r>
      <w:r>
        <w:rPr/>
        <w:t>acquired on the wrong terms; the interest rates charged on them, or the yields implicit in their purchase price, did not allow for their risks. When those risks became clear the fall in many asset values was severe. A similar problem has affected banks in many</w:t>
      </w:r>
      <w:r>
        <w:rPr>
          <w:spacing w:val="46"/>
        </w:rPr>
        <w:t> </w:t>
      </w:r>
      <w:r>
        <w:rPr/>
        <w:t>countries</w:t>
      </w:r>
    </w:p>
    <w:p>
      <w:pPr>
        <w:pStyle w:val="ListParagraph"/>
        <w:numPr>
          <w:ilvl w:val="0"/>
          <w:numId w:val="2"/>
        </w:numPr>
        <w:tabs>
          <w:tab w:pos="1800" w:val="left" w:leader="none"/>
        </w:tabs>
        <w:spacing w:line="360" w:lineRule="auto" w:before="0" w:after="0"/>
        <w:ind w:left="1557" w:right="1203" w:firstLine="0"/>
        <w:jc w:val="both"/>
        <w:rPr>
          <w:sz w:val="24"/>
        </w:rPr>
      </w:pPr>
      <w:r>
        <w:rPr>
          <w:sz w:val="24"/>
        </w:rPr>
        <w:t>including banks based in the Irish Republic, which are particularly important </w:t>
      </w:r>
      <w:r>
        <w:rPr>
          <w:spacing w:val="-4"/>
          <w:sz w:val="24"/>
        </w:rPr>
        <w:t>for </w:t>
      </w:r>
      <w:r>
        <w:rPr>
          <w:sz w:val="24"/>
        </w:rPr>
        <w:t>Northern Ireland.</w:t>
      </w:r>
    </w:p>
    <w:p>
      <w:pPr>
        <w:pStyle w:val="BodyText"/>
        <w:rPr>
          <w:sz w:val="36"/>
        </w:rPr>
      </w:pPr>
    </w:p>
    <w:p>
      <w:pPr>
        <w:pStyle w:val="BodyText"/>
        <w:spacing w:line="360" w:lineRule="auto"/>
        <w:ind w:left="1557" w:right="1199"/>
        <w:jc w:val="both"/>
      </w:pPr>
      <w:r>
        <w:rPr/>
        <w:t>A symptom of these problems - admittedly clearer in retrospect than it might have been at the time - was the exceptionally low levels to which the risk premia on many of banks’ recently acquired assets had fallen. For example, the spread over Bank Rate of the effective rate of interest paid on the stock and flow of mortgage lending in the UK became unusually compressed (</w:t>
      </w:r>
      <w:r>
        <w:rPr>
          <w:b/>
        </w:rPr>
        <w:t>Chart 4</w:t>
      </w:r>
      <w:r>
        <w:rPr/>
        <w:t>). Falling risk premia were most marked on the most risky loans. For some years preceding the crisis it had become normal for the interest rates on mortgage loans to new customers to be lower than those for existing customers. This was so even though new loans were generally much larger, relative to the value of houses they were secured against, than loans of existing customers, the great majority of whom had been regularly making payments for years. As house prices</w:t>
      </w:r>
      <w:r>
        <w:rPr>
          <w:spacing w:val="-8"/>
        </w:rPr>
        <w:t> </w:t>
      </w:r>
      <w:r>
        <w:rPr/>
        <w:t>rose,</w:t>
      </w:r>
    </w:p>
    <w:p>
      <w:pPr>
        <w:pStyle w:val="BodyText"/>
        <w:rPr>
          <w:sz w:val="36"/>
        </w:rPr>
      </w:pPr>
    </w:p>
    <w:p>
      <w:pPr>
        <w:pStyle w:val="BodyText"/>
        <w:spacing w:line="360" w:lineRule="auto"/>
        <w:ind w:left="1557" w:right="1201"/>
        <w:jc w:val="both"/>
      </w:pPr>
      <w:r>
        <w:rPr/>
        <w:t>lenders perceived there to be a small probability of losses from defaults in their mortgage lending to UK households. </w:t>
      </w:r>
      <w:r>
        <w:rPr>
          <w:b/>
        </w:rPr>
        <w:t>Chart 5 </w:t>
      </w:r>
      <w:r>
        <w:rPr/>
        <w:t>illustrates there was only a small premium for mortgage lending with a 95% loan-to-value (LTV) ratio relative to lending with a LTV of 75%. More recently this premium has increased sharply as house prices fell and lenders have expected there to be a far greater probability of losses from their mortgage lending.</w:t>
      </w:r>
    </w:p>
    <w:p>
      <w:pPr>
        <w:spacing w:after="0" w:line="360" w:lineRule="auto"/>
        <w:jc w:val="both"/>
        <w:sectPr>
          <w:pgSz w:w="11910" w:h="16840"/>
          <w:pgMar w:header="0" w:footer="779" w:top="1000" w:bottom="960" w:left="240" w:right="260"/>
        </w:sectPr>
      </w:pPr>
    </w:p>
    <w:p>
      <w:pPr>
        <w:pStyle w:val="BodyText"/>
        <w:spacing w:line="360" w:lineRule="auto" w:before="74"/>
        <w:ind w:left="1557" w:right="1203"/>
        <w:jc w:val="both"/>
      </w:pPr>
      <w:r>
        <w:rPr/>
        <w:t>Since the end of 2007 interest rates on new mortgage loans have typically been above rates on the existing stock of mortgages.</w:t>
      </w:r>
    </w:p>
    <w:p>
      <w:pPr>
        <w:pStyle w:val="BodyText"/>
        <w:spacing w:before="10"/>
        <w:rPr>
          <w:sz w:val="35"/>
        </w:rPr>
      </w:pPr>
    </w:p>
    <w:p>
      <w:pPr>
        <w:pStyle w:val="BodyText"/>
        <w:spacing w:line="360" w:lineRule="auto"/>
        <w:ind w:left="1557" w:right="1200"/>
        <w:jc w:val="both"/>
      </w:pPr>
      <w:r>
        <w:rPr/>
        <w:t>A similar phenomenon of shrinking risk premia on more risky debt took place in the corporate bond market (</w:t>
      </w:r>
      <w:r>
        <w:rPr>
          <w:b/>
        </w:rPr>
        <w:t>Chart 6</w:t>
      </w:r>
      <w:r>
        <w:rPr/>
        <w:t>). Companies with poorer credit ratings were able to secure debt finance at ever more favourable interest rates relative to the most credit worthy (triple-A rated) companies. However, as economic circumstances deteriorated  less creditworthy companies have had to offer far higher yields to secure finance as investors have perceived there to be a greater risk of default; many of them have not been able to access capital markets at</w:t>
      </w:r>
      <w:r>
        <w:rPr>
          <w:spacing w:val="-3"/>
        </w:rPr>
        <w:t> </w:t>
      </w:r>
      <w:r>
        <w:rPr/>
        <w:t>all.</w:t>
      </w:r>
    </w:p>
    <w:p>
      <w:pPr>
        <w:pStyle w:val="BodyText"/>
        <w:spacing w:before="1"/>
        <w:rPr>
          <w:sz w:val="36"/>
        </w:rPr>
      </w:pPr>
    </w:p>
    <w:p>
      <w:pPr>
        <w:pStyle w:val="BodyText"/>
        <w:spacing w:line="360" w:lineRule="auto"/>
        <w:ind w:left="1557" w:right="1200"/>
        <w:jc w:val="both"/>
      </w:pPr>
      <w:r>
        <w:rPr/>
        <w:t>During the period when the compensation for the risk of supplying finance shrank, bank lending to households and non financial companies increased substantially. The stock of bank loans of companies, but especially of households, increased significantly relative to their incomes or to the size of the economy (</w:t>
      </w:r>
      <w:r>
        <w:rPr>
          <w:b/>
        </w:rPr>
        <w:t>Chart 7</w:t>
      </w:r>
      <w:r>
        <w:rPr/>
        <w:t>). Households – and to a lesser extent companies – now have levels of debt that are unusually large relative to their  assets (</w:t>
      </w:r>
      <w:r>
        <w:rPr>
          <w:b/>
        </w:rPr>
        <w:t>Chart</w:t>
      </w:r>
      <w:r>
        <w:rPr>
          <w:b/>
          <w:spacing w:val="-2"/>
        </w:rPr>
        <w:t> </w:t>
      </w:r>
      <w:r>
        <w:rPr>
          <w:b/>
        </w:rPr>
        <w:t>8</w:t>
      </w:r>
      <w:r>
        <w:rPr/>
        <w:t>).</w:t>
      </w:r>
    </w:p>
    <w:p>
      <w:pPr>
        <w:pStyle w:val="BodyText"/>
        <w:spacing w:before="2"/>
        <w:rPr>
          <w:sz w:val="36"/>
        </w:rPr>
      </w:pPr>
    </w:p>
    <w:p>
      <w:pPr>
        <w:pStyle w:val="Heading1"/>
        <w:numPr>
          <w:ilvl w:val="0"/>
          <w:numId w:val="1"/>
        </w:numPr>
        <w:tabs>
          <w:tab w:pos="1798" w:val="left" w:leader="none"/>
        </w:tabs>
        <w:spacing w:line="240" w:lineRule="auto" w:before="0" w:after="0"/>
        <w:ind w:left="1797" w:right="0" w:hanging="241"/>
        <w:jc w:val="left"/>
      </w:pPr>
      <w:r>
        <w:rPr/>
        <w:t>The onset of the crisis and the policy</w:t>
      </w:r>
      <w:r>
        <w:rPr>
          <w:spacing w:val="-1"/>
        </w:rPr>
        <w:t> </w:t>
      </w:r>
      <w:r>
        <w:rPr/>
        <w:t>response</w:t>
      </w:r>
    </w:p>
    <w:p>
      <w:pPr>
        <w:pStyle w:val="BodyText"/>
        <w:spacing w:before="9"/>
        <w:rPr>
          <w:b/>
          <w:sz w:val="35"/>
        </w:rPr>
      </w:pPr>
    </w:p>
    <w:p>
      <w:pPr>
        <w:pStyle w:val="BodyText"/>
        <w:spacing w:line="360" w:lineRule="auto" w:before="1"/>
        <w:ind w:left="1557" w:right="1200"/>
        <w:jc w:val="both"/>
      </w:pPr>
      <w:r>
        <w:rPr/>
        <w:t>Households and companies had become, over a period of many years, more reliant upon banks to finance their activities. But now banks’ ability and willingness to lend has been reduced. In part that is just a return to a more usual, and therefore probably more sustainable, structure for the price and availability of credit – which will be painful and seem unfair for those who got credit too readily and too cheaply in the past</w:t>
      </w:r>
      <w:r>
        <w:rPr>
          <w:vertAlign w:val="superscript"/>
        </w:rPr>
        <w:t>1</w:t>
      </w:r>
      <w:r>
        <w:rPr>
          <w:vertAlign w:val="baseline"/>
        </w:rPr>
        <w:t>.</w:t>
      </w:r>
    </w:p>
    <w:p>
      <w:pPr>
        <w:pStyle w:val="BodyText"/>
        <w:rPr>
          <w:sz w:val="36"/>
        </w:rPr>
      </w:pPr>
    </w:p>
    <w:p>
      <w:pPr>
        <w:pStyle w:val="BodyText"/>
        <w:spacing w:line="360" w:lineRule="auto"/>
        <w:ind w:left="1557" w:right="1198"/>
        <w:jc w:val="both"/>
      </w:pPr>
      <w:r>
        <w:rPr/>
        <w:t>But the fallout from the banking problems goes beyond a sharp adjustment to a more sustainable pattern for the price and availability of credit. It reflects a damaged banking infrastructure which means the cost and availability of credit has been affected for a group much larger than those who might have been able to borrow on terms that made little economic sense before the crisis</w:t>
      </w:r>
      <w:r>
        <w:rPr>
          <w:spacing w:val="-7"/>
        </w:rPr>
        <w:t> </w:t>
      </w:r>
      <w:r>
        <w:rPr/>
        <w:t>began.</w:t>
      </w:r>
    </w:p>
    <w:p>
      <w:pPr>
        <w:pStyle w:val="BodyText"/>
        <w:rPr>
          <w:sz w:val="20"/>
        </w:rPr>
      </w:pPr>
    </w:p>
    <w:p>
      <w:pPr>
        <w:pStyle w:val="BodyText"/>
        <w:rPr>
          <w:sz w:val="20"/>
        </w:rPr>
      </w:pPr>
    </w:p>
    <w:p>
      <w:pPr>
        <w:pStyle w:val="BodyText"/>
        <w:rPr>
          <w:sz w:val="20"/>
        </w:rPr>
      </w:pPr>
    </w:p>
    <w:p>
      <w:pPr>
        <w:pStyle w:val="BodyText"/>
        <w:rPr>
          <w:sz w:val="28"/>
        </w:rPr>
      </w:pPr>
      <w:r>
        <w:rPr/>
        <w:pict>
          <v:shape style="position:absolute;margin-left:89.879997pt;margin-top:18.356733pt;width:144pt;height:.1pt;mso-position-horizontal-relative:page;mso-position-vertical-relative:paragraph;z-index:-251656192;mso-wrap-distance-left:0;mso-wrap-distance-right:0" coordorigin="1798,367" coordsize="2880,0" path="m1798,367l4678,367e" filled="false" stroked="true" strokeweight=".600010pt" strokecolor="#000000">
            <v:path arrowok="t"/>
            <v:stroke dashstyle="solid"/>
            <w10:wrap type="topAndBottom"/>
          </v:shape>
        </w:pict>
      </w:r>
    </w:p>
    <w:p>
      <w:pPr>
        <w:spacing w:before="49"/>
        <w:ind w:left="1557" w:right="1191" w:firstLine="0"/>
        <w:jc w:val="left"/>
        <w:rPr>
          <w:sz w:val="20"/>
        </w:rPr>
      </w:pPr>
      <w:r>
        <w:rPr>
          <w:position w:val="9"/>
          <w:sz w:val="13"/>
        </w:rPr>
        <w:t>1 </w:t>
      </w:r>
      <w:r>
        <w:rPr>
          <w:sz w:val="20"/>
        </w:rPr>
        <w:t>It is likely that there are many who fall into this group. For example, the FSA has estimated that in 2007 close to 50% of those who took out mortgages in the UK had little or no proof of their income.</w:t>
      </w:r>
    </w:p>
    <w:p>
      <w:pPr>
        <w:spacing w:after="0"/>
        <w:jc w:val="left"/>
        <w:rPr>
          <w:sz w:val="20"/>
        </w:rPr>
        <w:sectPr>
          <w:pgSz w:w="11910" w:h="16840"/>
          <w:pgMar w:header="0" w:footer="779" w:top="1000" w:bottom="960" w:left="240" w:right="260"/>
        </w:sectPr>
      </w:pPr>
    </w:p>
    <w:p>
      <w:pPr>
        <w:pStyle w:val="BodyText"/>
        <w:spacing w:line="360" w:lineRule="auto" w:before="74"/>
        <w:ind w:left="1557" w:right="1200"/>
        <w:jc w:val="both"/>
      </w:pPr>
      <w:r>
        <w:rPr/>
        <w:t>It might seem that cuts in interest rates that have taken Bank Rate to, effectively, its floor can offset excessive tightening of credit to households and firms. I think this is a  powerful counter to the recessionary forces at work as banks struggle to fund lending and try to adjust to having made credit too cheaply available while borrowers react to this having higher debt gearing following asset price falls. But reductions in Bank Rate are not likely to be powerful enough. One reason is reflected in the observations of D M Frederiksen:</w:t>
      </w:r>
    </w:p>
    <w:p>
      <w:pPr>
        <w:pStyle w:val="BodyText"/>
        <w:rPr>
          <w:sz w:val="36"/>
        </w:rPr>
      </w:pPr>
    </w:p>
    <w:p>
      <w:pPr>
        <w:spacing w:line="360" w:lineRule="auto" w:before="0"/>
        <w:ind w:left="1557" w:right="1200" w:firstLine="0"/>
        <w:jc w:val="both"/>
        <w:rPr>
          <w:i/>
          <w:sz w:val="24"/>
        </w:rPr>
      </w:pPr>
      <w:r>
        <w:rPr>
          <w:i/>
          <w:sz w:val="24"/>
        </w:rPr>
        <w:t>“We see money accumulating at the centers, with difficulty of finding safe investment for </w:t>
      </w:r>
      <w:r>
        <w:rPr>
          <w:i/>
          <w:sz w:val="24"/>
        </w:rPr>
        <w:t>it; interest rates dropping down lower than ever before; money available in great plenty for things that are obviously safe, but not available at all for things that are in fact safe, and which under normal conditions would be entirely safe….but which are now viewed with suspicion by lenders”</w:t>
      </w:r>
      <w:r>
        <w:rPr>
          <w:i/>
          <w:sz w:val="24"/>
          <w:vertAlign w:val="superscript"/>
        </w:rPr>
        <w:t>2</w:t>
      </w:r>
    </w:p>
    <w:p>
      <w:pPr>
        <w:pStyle w:val="BodyText"/>
        <w:spacing w:before="11"/>
        <w:rPr>
          <w:i/>
          <w:sz w:val="35"/>
        </w:rPr>
      </w:pPr>
    </w:p>
    <w:p>
      <w:pPr>
        <w:pStyle w:val="BodyText"/>
        <w:spacing w:line="360" w:lineRule="auto"/>
        <w:ind w:left="1557" w:right="1199"/>
        <w:jc w:val="both"/>
      </w:pPr>
      <w:r>
        <w:rPr/>
        <w:t>He was describing what he saw happening in the US in at the start of the 1930s, but he might have been describing how things looked to many here in the UK at the end of  2008. Such problems came on top of a necessary adjustment in the cost and availability  of credit. This meant that the most likely path for demand and economic activity in the UK, even at (effectively) a zero Bank of England interest rate, made it more likely than not that inflation would be below the target in the medium term. This is why monetary policy has gone beyond reducing Bank Rate to its</w:t>
      </w:r>
      <w:r>
        <w:rPr>
          <w:spacing w:val="-1"/>
        </w:rPr>
        <w:t> </w:t>
      </w:r>
      <w:r>
        <w:rPr/>
        <w:t>floor.</w:t>
      </w:r>
    </w:p>
    <w:p>
      <w:pPr>
        <w:pStyle w:val="BodyText"/>
        <w:rPr>
          <w:sz w:val="36"/>
        </w:rPr>
      </w:pPr>
    </w:p>
    <w:p>
      <w:pPr>
        <w:pStyle w:val="BodyText"/>
        <w:spacing w:line="360" w:lineRule="auto"/>
        <w:ind w:left="1557" w:right="1200"/>
        <w:jc w:val="both"/>
      </w:pPr>
      <w:r>
        <w:rPr/>
        <w:t>The overall economic policy issue now is how we get through a transition to an economic system that is more sustainable without exacerbating a recession and doing lasting harm to productive capacity.</w:t>
      </w:r>
    </w:p>
    <w:p>
      <w:pPr>
        <w:pStyle w:val="BodyText"/>
        <w:rPr>
          <w:sz w:val="36"/>
        </w:rPr>
      </w:pPr>
    </w:p>
    <w:p>
      <w:pPr>
        <w:pStyle w:val="BodyText"/>
        <w:spacing w:line="360" w:lineRule="auto"/>
        <w:ind w:left="1557" w:right="1199"/>
        <w:jc w:val="both"/>
      </w:pPr>
      <w:r>
        <w:rPr/>
        <w:t>Conventional monetary and fiscal policy are doing a lot – but have reached the limits of effectiveness. Less conventional policy is also playing a role: and for monetary policy that means quantitative easing (or QE), the rather arcane term used for the central bank policy of buying assets from the private sector financed by the creation of reserves, or central bank money. It is QE that I want to focus on. I want to explore how it might play  a</w:t>
      </w:r>
      <w:r>
        <w:rPr>
          <w:spacing w:val="5"/>
        </w:rPr>
        <w:t> </w:t>
      </w:r>
      <w:r>
        <w:rPr/>
        <w:t>role</w:t>
      </w:r>
      <w:r>
        <w:rPr>
          <w:spacing w:val="5"/>
        </w:rPr>
        <w:t> </w:t>
      </w:r>
      <w:r>
        <w:rPr/>
        <w:t>in</w:t>
      </w:r>
      <w:r>
        <w:rPr>
          <w:spacing w:val="5"/>
        </w:rPr>
        <w:t> </w:t>
      </w:r>
      <w:r>
        <w:rPr/>
        <w:t>helping</w:t>
      </w:r>
      <w:r>
        <w:rPr>
          <w:spacing w:val="5"/>
        </w:rPr>
        <w:t> </w:t>
      </w:r>
      <w:r>
        <w:rPr/>
        <w:t>engineer</w:t>
      </w:r>
      <w:r>
        <w:rPr>
          <w:spacing w:val="5"/>
        </w:rPr>
        <w:t> </w:t>
      </w:r>
      <w:r>
        <w:rPr/>
        <w:t>a</w:t>
      </w:r>
      <w:r>
        <w:rPr>
          <w:spacing w:val="6"/>
        </w:rPr>
        <w:t> </w:t>
      </w:r>
      <w:r>
        <w:rPr/>
        <w:t>transition</w:t>
      </w:r>
      <w:r>
        <w:rPr>
          <w:spacing w:val="5"/>
        </w:rPr>
        <w:t> </w:t>
      </w:r>
      <w:r>
        <w:rPr/>
        <w:t>to</w:t>
      </w:r>
      <w:r>
        <w:rPr>
          <w:spacing w:val="5"/>
        </w:rPr>
        <w:t> </w:t>
      </w:r>
      <w:r>
        <w:rPr/>
        <w:t>a</w:t>
      </w:r>
      <w:r>
        <w:rPr>
          <w:spacing w:val="5"/>
        </w:rPr>
        <w:t> </w:t>
      </w:r>
      <w:r>
        <w:rPr/>
        <w:t>more</w:t>
      </w:r>
      <w:r>
        <w:rPr>
          <w:spacing w:val="5"/>
        </w:rPr>
        <w:t> </w:t>
      </w:r>
      <w:r>
        <w:rPr/>
        <w:t>stable</w:t>
      </w:r>
      <w:r>
        <w:rPr>
          <w:spacing w:val="6"/>
        </w:rPr>
        <w:t> </w:t>
      </w:r>
      <w:r>
        <w:rPr/>
        <w:t>long</w:t>
      </w:r>
      <w:r>
        <w:rPr>
          <w:spacing w:val="5"/>
        </w:rPr>
        <w:t> </w:t>
      </w:r>
      <w:r>
        <w:rPr/>
        <w:t>run</w:t>
      </w:r>
      <w:r>
        <w:rPr>
          <w:spacing w:val="5"/>
        </w:rPr>
        <w:t> </w:t>
      </w:r>
      <w:r>
        <w:rPr/>
        <w:t>and</w:t>
      </w:r>
      <w:r>
        <w:rPr>
          <w:spacing w:val="4"/>
        </w:rPr>
        <w:t> </w:t>
      </w:r>
      <w:r>
        <w:rPr>
          <w:b/>
        </w:rPr>
        <w:t>also</w:t>
      </w:r>
      <w:r>
        <w:rPr>
          <w:b/>
          <w:spacing w:val="5"/>
        </w:rPr>
        <w:t> </w:t>
      </w:r>
      <w:r>
        <w:rPr/>
        <w:t>head</w:t>
      </w:r>
      <w:r>
        <w:rPr>
          <w:spacing w:val="4"/>
        </w:rPr>
        <w:t> </w:t>
      </w:r>
      <w:r>
        <w:rPr/>
        <w:t>off</w:t>
      </w:r>
      <w:r>
        <w:rPr>
          <w:spacing w:val="5"/>
        </w:rPr>
        <w:t> </w:t>
      </w:r>
      <w:r>
        <w:rPr/>
        <w:t>risks</w:t>
      </w:r>
      <w:r>
        <w:rPr>
          <w:spacing w:val="4"/>
        </w:rPr>
        <w:t> </w:t>
      </w:r>
      <w:r>
        <w:rPr/>
        <w:t>of</w:t>
      </w:r>
    </w:p>
    <w:p>
      <w:pPr>
        <w:pStyle w:val="BodyText"/>
        <w:rPr>
          <w:sz w:val="20"/>
        </w:rPr>
      </w:pPr>
    </w:p>
    <w:p>
      <w:pPr>
        <w:pStyle w:val="BodyText"/>
        <w:rPr>
          <w:sz w:val="23"/>
        </w:rPr>
      </w:pPr>
    </w:p>
    <w:p>
      <w:pPr>
        <w:spacing w:before="95"/>
        <w:ind w:left="1557" w:right="1191" w:firstLine="0"/>
        <w:jc w:val="left"/>
        <w:rPr>
          <w:sz w:val="20"/>
        </w:rPr>
      </w:pPr>
      <w:r>
        <w:rPr>
          <w:position w:val="9"/>
          <w:sz w:val="13"/>
        </w:rPr>
        <w:t>2 </w:t>
      </w:r>
      <w:r>
        <w:rPr>
          <w:sz w:val="20"/>
        </w:rPr>
        <w:t>D.M. Frederiksen “Two Financial Roads Leading Out of Depression”, Harvard Business Review, October 1931, 10. Quoted in Bernanke “Essays on The Great Depression”, Princeton, 2000.</w:t>
      </w:r>
    </w:p>
    <w:p>
      <w:pPr>
        <w:spacing w:after="0"/>
        <w:jc w:val="left"/>
        <w:rPr>
          <w:sz w:val="20"/>
        </w:rPr>
        <w:sectPr>
          <w:footerReference w:type="default" r:id="rId8"/>
          <w:pgSz w:w="11910" w:h="16840"/>
          <w:pgMar w:footer="1165" w:header="0" w:top="1000" w:bottom="1360" w:left="240" w:right="260"/>
        </w:sectPr>
      </w:pPr>
    </w:p>
    <w:p>
      <w:pPr>
        <w:pStyle w:val="BodyText"/>
        <w:spacing w:line="360" w:lineRule="auto" w:before="74"/>
        <w:ind w:left="1557" w:right="1202"/>
        <w:jc w:val="both"/>
      </w:pPr>
      <w:r>
        <w:rPr/>
        <w:t>a prolonged recession that would likely see inflation stay persistently below target. I also want to consider the issue of how the policy is reversed.</w:t>
      </w:r>
    </w:p>
    <w:p>
      <w:pPr>
        <w:pStyle w:val="BodyText"/>
        <w:spacing w:before="1"/>
        <w:rPr>
          <w:sz w:val="36"/>
        </w:rPr>
      </w:pPr>
    </w:p>
    <w:p>
      <w:pPr>
        <w:pStyle w:val="Heading1"/>
        <w:ind w:left="1557" w:firstLine="0"/>
        <w:jc w:val="both"/>
      </w:pPr>
      <w:r>
        <w:rPr/>
        <w:t>4: QE: -what is it?</w:t>
      </w:r>
    </w:p>
    <w:p>
      <w:pPr>
        <w:pStyle w:val="BodyText"/>
        <w:rPr>
          <w:b/>
          <w:sz w:val="26"/>
        </w:rPr>
      </w:pPr>
    </w:p>
    <w:p>
      <w:pPr>
        <w:pStyle w:val="BodyText"/>
        <w:spacing w:before="9"/>
        <w:rPr>
          <w:b/>
          <w:sz w:val="21"/>
        </w:rPr>
      </w:pPr>
    </w:p>
    <w:p>
      <w:pPr>
        <w:pStyle w:val="BodyText"/>
        <w:spacing w:line="360" w:lineRule="auto" w:before="1"/>
        <w:ind w:left="1557" w:right="1199"/>
        <w:jc w:val="both"/>
      </w:pPr>
      <w:r>
        <w:rPr/>
        <w:t>This focus on central bank operations in buying paper claims from financial institutions in exchange for instantly created claims upon the central bank may seem rather removed from what is happening in the economy; it can look like a bit of financial engineering – even alchemy – that is less significant to businesses and households than the much </w:t>
      </w:r>
      <w:r>
        <w:rPr>
          <w:spacing w:val="-3"/>
        </w:rPr>
        <w:t>more </w:t>
      </w:r>
      <w:r>
        <w:rPr/>
        <w:t>concrete action of changing Bank Rate. Changes in Bank Rate trigger shifts in the cost of debt to many households and businesses which are often rapid and substantial. In the UK there is a lot of bank debt and much of it pays interest rates that normally move in line with Bank Rate. Shifts in central bank purchases of existing financial claims like government bonds (and that is essentially what QE is) seem much less tangible and significant, even if the scale of the transactions is extraordinarily large. Indeed there are economists – or maybe I should say economic models – that chime with the view that QE is not really relevant. I want to take issue with that because I believe the evidence is that QE is having an impact and that it is relevant to economic conditions right across the country. And not just in financial markets in London but in high streets and factories and homes throughout the</w:t>
      </w:r>
      <w:r>
        <w:rPr>
          <w:spacing w:val="-1"/>
        </w:rPr>
        <w:t> </w:t>
      </w:r>
      <w:r>
        <w:rPr/>
        <w:t>UK.</w:t>
      </w:r>
    </w:p>
    <w:p>
      <w:pPr>
        <w:pStyle w:val="BodyText"/>
        <w:rPr>
          <w:sz w:val="36"/>
        </w:rPr>
      </w:pPr>
    </w:p>
    <w:p>
      <w:pPr>
        <w:pStyle w:val="BodyText"/>
        <w:spacing w:line="360" w:lineRule="auto"/>
        <w:ind w:left="1557" w:right="1200" w:firstLine="60"/>
        <w:jc w:val="both"/>
      </w:pPr>
      <w:r>
        <w:rPr/>
        <w:t>“Quantitative easing” is a piece of jargon for what is in many ways a fairly standard central bank operation, namely the purchases of assets from the private sector in</w:t>
      </w:r>
    </w:p>
    <w:p>
      <w:pPr>
        <w:pStyle w:val="BodyText"/>
        <w:rPr>
          <w:sz w:val="36"/>
        </w:rPr>
      </w:pPr>
    </w:p>
    <w:p>
      <w:pPr>
        <w:pStyle w:val="BodyText"/>
        <w:spacing w:line="360" w:lineRule="auto"/>
        <w:ind w:left="1557" w:right="1200"/>
        <w:jc w:val="both"/>
      </w:pPr>
      <w:r>
        <w:rPr/>
        <w:t>exchange for money. It is often described as “printing money” and sometimes, far more misleadingly, described as “helicopter drops” of money. (That makes it sound as if the central bank is literally giving away money whereas what the Bank of England has been doing is buying assets – largely gilts.) This policy is being pursued on a large scale; the Bank has purchased around £160 billion of assets (over 10% of GDP) and is currently on a trajectory to have purchased around £175 billion by the end of October.</w:t>
      </w:r>
    </w:p>
    <w:p>
      <w:pPr>
        <w:pStyle w:val="BodyText"/>
        <w:rPr>
          <w:sz w:val="36"/>
        </w:rPr>
      </w:pPr>
    </w:p>
    <w:p>
      <w:pPr>
        <w:pStyle w:val="BodyText"/>
        <w:spacing w:line="360" w:lineRule="auto"/>
        <w:ind w:left="1557" w:right="1201"/>
        <w:jc w:val="both"/>
      </w:pPr>
      <w:r>
        <w:rPr/>
        <w:t>The aim of this operation is to increase nominal demand so as to ensure inflation is on target. The ultimate objective of QE is </w:t>
      </w:r>
      <w:r>
        <w:rPr>
          <w:b/>
        </w:rPr>
        <w:t>not </w:t>
      </w:r>
      <w:r>
        <w:rPr/>
        <w:t>to increase some measure of the money  supply</w:t>
      </w:r>
      <w:r>
        <w:rPr>
          <w:spacing w:val="41"/>
        </w:rPr>
        <w:t> </w:t>
      </w:r>
      <w:r>
        <w:rPr/>
        <w:t>(though</w:t>
      </w:r>
      <w:r>
        <w:rPr>
          <w:spacing w:val="42"/>
        </w:rPr>
        <w:t> </w:t>
      </w:r>
      <w:r>
        <w:rPr/>
        <w:t>that</w:t>
      </w:r>
      <w:r>
        <w:rPr>
          <w:spacing w:val="41"/>
        </w:rPr>
        <w:t> </w:t>
      </w:r>
      <w:r>
        <w:rPr/>
        <w:t>may</w:t>
      </w:r>
      <w:r>
        <w:rPr>
          <w:spacing w:val="42"/>
        </w:rPr>
        <w:t> </w:t>
      </w:r>
      <w:r>
        <w:rPr/>
        <w:t>well</w:t>
      </w:r>
      <w:r>
        <w:rPr>
          <w:spacing w:val="42"/>
        </w:rPr>
        <w:t> </w:t>
      </w:r>
      <w:r>
        <w:rPr/>
        <w:t>happen).</w:t>
      </w:r>
      <w:r>
        <w:rPr>
          <w:spacing w:val="23"/>
        </w:rPr>
        <w:t> </w:t>
      </w:r>
      <w:r>
        <w:rPr/>
        <w:t>Let</w:t>
      </w:r>
      <w:r>
        <w:rPr>
          <w:spacing w:val="42"/>
        </w:rPr>
        <w:t> </w:t>
      </w:r>
      <w:r>
        <w:rPr/>
        <w:t>me</w:t>
      </w:r>
      <w:r>
        <w:rPr>
          <w:spacing w:val="40"/>
        </w:rPr>
        <w:t> </w:t>
      </w:r>
      <w:r>
        <w:rPr/>
        <w:t>be</w:t>
      </w:r>
      <w:r>
        <w:rPr>
          <w:spacing w:val="41"/>
        </w:rPr>
        <w:t> </w:t>
      </w:r>
      <w:r>
        <w:rPr/>
        <w:t>clear</w:t>
      </w:r>
      <w:r>
        <w:rPr>
          <w:spacing w:val="41"/>
        </w:rPr>
        <w:t> </w:t>
      </w:r>
      <w:r>
        <w:rPr/>
        <w:t>that</w:t>
      </w:r>
      <w:r>
        <w:rPr>
          <w:spacing w:val="40"/>
        </w:rPr>
        <w:t> </w:t>
      </w:r>
      <w:r>
        <w:rPr/>
        <w:t>in</w:t>
      </w:r>
      <w:r>
        <w:rPr>
          <w:spacing w:val="41"/>
        </w:rPr>
        <w:t> </w:t>
      </w:r>
      <w:r>
        <w:rPr/>
        <w:t>my</w:t>
      </w:r>
      <w:r>
        <w:rPr>
          <w:spacing w:val="41"/>
        </w:rPr>
        <w:t> </w:t>
      </w:r>
      <w:r>
        <w:rPr/>
        <w:t>view</w:t>
      </w:r>
      <w:r>
        <w:rPr>
          <w:spacing w:val="40"/>
        </w:rPr>
        <w:t> </w:t>
      </w:r>
      <w:r>
        <w:rPr/>
        <w:t>there</w:t>
      </w:r>
      <w:r>
        <w:rPr>
          <w:spacing w:val="41"/>
        </w:rPr>
        <w:t> </w:t>
      </w:r>
      <w:r>
        <w:rPr/>
        <w:t>is</w:t>
      </w:r>
      <w:r>
        <w:rPr>
          <w:spacing w:val="41"/>
        </w:rPr>
        <w:t> </w:t>
      </w:r>
      <w:r>
        <w:rPr/>
        <w:t>no</w:t>
      </w:r>
    </w:p>
    <w:p>
      <w:pPr>
        <w:spacing w:after="0" w:line="360" w:lineRule="auto"/>
        <w:jc w:val="both"/>
        <w:sectPr>
          <w:footerReference w:type="default" r:id="rId9"/>
          <w:pgSz w:w="11910" w:h="16840"/>
          <w:pgMar w:footer="699" w:header="0" w:top="1000" w:bottom="880" w:left="240" w:right="260"/>
          <w:pgNumType w:start="6"/>
        </w:sectPr>
      </w:pPr>
    </w:p>
    <w:p>
      <w:pPr>
        <w:pStyle w:val="BodyText"/>
        <w:spacing w:line="360" w:lineRule="auto" w:before="74"/>
        <w:ind w:left="1557" w:right="1201"/>
        <w:jc w:val="both"/>
      </w:pPr>
      <w:r>
        <w:rPr/>
        <w:t>intermediate money supply target by reference to which one can definitively (or even reliably) judge whether QE is working or not. How the money supply is evolving is one indicator of the channels through which QE is affecting the economy; it is not a good measure of success. QE can work even if it has very little impact on the money supply. Conversely it might have a substantial impact on the money supply and fail to achieve its real purpose which is to increase the level of demand in the economy. It is worth considering why this is the case, before looking at the evidence on how QE is actually working.</w:t>
      </w:r>
    </w:p>
    <w:p>
      <w:pPr>
        <w:pStyle w:val="BodyText"/>
        <w:spacing w:before="1"/>
        <w:rPr>
          <w:sz w:val="36"/>
        </w:rPr>
      </w:pPr>
    </w:p>
    <w:p>
      <w:pPr>
        <w:pStyle w:val="Heading1"/>
        <w:spacing w:before="1"/>
        <w:ind w:left="1557" w:firstLine="0"/>
      </w:pPr>
      <w:r>
        <w:rPr/>
        <w:t>5 QE: - how might it work?</w:t>
      </w:r>
    </w:p>
    <w:p>
      <w:pPr>
        <w:pStyle w:val="BodyText"/>
        <w:rPr>
          <w:b/>
          <w:sz w:val="26"/>
        </w:rPr>
      </w:pPr>
    </w:p>
    <w:p>
      <w:pPr>
        <w:pStyle w:val="BodyText"/>
        <w:spacing w:before="9"/>
        <w:rPr>
          <w:b/>
          <w:sz w:val="21"/>
        </w:rPr>
      </w:pPr>
    </w:p>
    <w:p>
      <w:pPr>
        <w:pStyle w:val="BodyText"/>
        <w:spacing w:line="360" w:lineRule="auto"/>
        <w:ind w:left="1557" w:right="1201"/>
        <w:jc w:val="both"/>
      </w:pPr>
      <w:r>
        <w:rPr/>
        <w:t>A simplistic view of how QE works is as follows: Asset purchases by the central bank result in a rise in money held at banks as people who have sold assets cash the cheques the Bank of England has written. This shows up in a measure of the money supply that includes bank deposits – like M4</w:t>
      </w:r>
      <w:r>
        <w:rPr>
          <w:vertAlign w:val="superscript"/>
        </w:rPr>
        <w:t>3</w:t>
      </w:r>
      <w:r>
        <w:rPr>
          <w:vertAlign w:val="baseline"/>
        </w:rPr>
        <w:t>. The relation between money and nominal demand can be expressed by the well known equation:</w:t>
      </w:r>
    </w:p>
    <w:p>
      <w:pPr>
        <w:pStyle w:val="BodyText"/>
        <w:rPr>
          <w:sz w:val="36"/>
        </w:rPr>
      </w:pPr>
    </w:p>
    <w:p>
      <w:pPr>
        <w:pStyle w:val="BodyText"/>
        <w:ind w:left="1551" w:right="1198"/>
        <w:jc w:val="center"/>
      </w:pPr>
      <w:r>
        <w:rPr/>
        <w:t>MV=PT</w:t>
      </w:r>
    </w:p>
    <w:p>
      <w:pPr>
        <w:pStyle w:val="BodyText"/>
        <w:rPr>
          <w:sz w:val="26"/>
        </w:rPr>
      </w:pPr>
    </w:p>
    <w:p>
      <w:pPr>
        <w:pStyle w:val="BodyText"/>
        <w:rPr>
          <w:sz w:val="22"/>
        </w:rPr>
      </w:pPr>
    </w:p>
    <w:p>
      <w:pPr>
        <w:pStyle w:val="BodyText"/>
        <w:ind w:left="1557"/>
      </w:pPr>
      <w:r>
        <w:rPr/>
        <w:t>where:</w:t>
      </w:r>
    </w:p>
    <w:p>
      <w:pPr>
        <w:pStyle w:val="BodyText"/>
        <w:spacing w:before="138"/>
        <w:ind w:left="1557"/>
      </w:pPr>
      <w:r>
        <w:rPr/>
        <w:t>M is the measure of the money supply (say M4);</w:t>
      </w:r>
    </w:p>
    <w:p>
      <w:pPr>
        <w:pStyle w:val="BodyText"/>
        <w:spacing w:line="360" w:lineRule="auto" w:before="138"/>
        <w:ind w:left="1557" w:right="1191"/>
      </w:pPr>
      <w:r>
        <w:rPr/>
        <w:t>PT is nominal demand (or output) – the product of prices (P) and volumes of transactions (T);</w:t>
      </w:r>
    </w:p>
    <w:p>
      <w:pPr>
        <w:pStyle w:val="BodyText"/>
        <w:ind w:left="1557"/>
      </w:pPr>
      <w:r>
        <w:rPr/>
        <w:t>V is the velocity of money – the ratio of nominal transactions (PT) to money (M).</w:t>
      </w:r>
    </w:p>
    <w:p>
      <w:pPr>
        <w:pStyle w:val="BodyText"/>
        <w:spacing w:line="360" w:lineRule="auto" w:before="138"/>
        <w:ind w:left="1557" w:right="1191"/>
      </w:pPr>
      <w:r>
        <w:rPr/>
        <w:t>If that velocity is fairly constant, then a change in M brought about by QE will be associated with a boost to nominal spending.</w:t>
      </w:r>
    </w:p>
    <w:p>
      <w:pPr>
        <w:pStyle w:val="BodyText"/>
        <w:rPr>
          <w:sz w:val="36"/>
        </w:rPr>
      </w:pPr>
    </w:p>
    <w:p>
      <w:pPr>
        <w:pStyle w:val="BodyText"/>
        <w:spacing w:line="360" w:lineRule="auto"/>
        <w:ind w:left="1557" w:right="1201"/>
        <w:jc w:val="both"/>
      </w:pPr>
      <w:r>
        <w:rPr/>
        <w:t>However, it is important to realise that there is very little economic content in MV=PT, and there is no message from it about economic behaviour. It is a bad mistake to think that this relation is analogous to, say, another more famous equation: E=MC</w:t>
      </w:r>
      <w:r>
        <w:rPr>
          <w:vertAlign w:val="superscript"/>
        </w:rPr>
        <w:t>2</w:t>
      </w:r>
      <w:r>
        <w:rPr>
          <w:vertAlign w:val="baseline"/>
        </w:rPr>
        <w:t>, which almost</w:t>
      </w:r>
      <w:r>
        <w:rPr>
          <w:spacing w:val="35"/>
          <w:vertAlign w:val="baseline"/>
        </w:rPr>
        <w:t> </w:t>
      </w:r>
      <w:r>
        <w:rPr>
          <w:vertAlign w:val="baseline"/>
        </w:rPr>
        <w:t>certainly</w:t>
      </w:r>
      <w:r>
        <w:rPr>
          <w:spacing w:val="35"/>
          <w:vertAlign w:val="baseline"/>
        </w:rPr>
        <w:t> </w:t>
      </w:r>
      <w:r>
        <w:rPr>
          <w:vertAlign w:val="baseline"/>
        </w:rPr>
        <w:t>embodies</w:t>
      </w:r>
      <w:r>
        <w:rPr>
          <w:spacing w:val="36"/>
          <w:vertAlign w:val="baseline"/>
        </w:rPr>
        <w:t> </w:t>
      </w:r>
      <w:r>
        <w:rPr>
          <w:vertAlign w:val="baseline"/>
        </w:rPr>
        <w:t>some</w:t>
      </w:r>
      <w:r>
        <w:rPr>
          <w:spacing w:val="35"/>
          <w:vertAlign w:val="baseline"/>
        </w:rPr>
        <w:t> </w:t>
      </w:r>
      <w:r>
        <w:rPr>
          <w:vertAlign w:val="baseline"/>
        </w:rPr>
        <w:t>profound</w:t>
      </w:r>
      <w:r>
        <w:rPr>
          <w:spacing w:val="36"/>
          <w:vertAlign w:val="baseline"/>
        </w:rPr>
        <w:t> </w:t>
      </w:r>
      <w:r>
        <w:rPr>
          <w:vertAlign w:val="baseline"/>
        </w:rPr>
        <w:t>truth</w:t>
      </w:r>
      <w:r>
        <w:rPr>
          <w:spacing w:val="35"/>
          <w:vertAlign w:val="baseline"/>
        </w:rPr>
        <w:t> </w:t>
      </w:r>
      <w:r>
        <w:rPr>
          <w:vertAlign w:val="baseline"/>
        </w:rPr>
        <w:t>about</w:t>
      </w:r>
      <w:r>
        <w:rPr>
          <w:spacing w:val="36"/>
          <w:vertAlign w:val="baseline"/>
        </w:rPr>
        <w:t> </w:t>
      </w:r>
      <w:r>
        <w:rPr>
          <w:vertAlign w:val="baseline"/>
        </w:rPr>
        <w:t>the</w:t>
      </w:r>
      <w:r>
        <w:rPr>
          <w:spacing w:val="35"/>
          <w:vertAlign w:val="baseline"/>
        </w:rPr>
        <w:t> </w:t>
      </w:r>
      <w:r>
        <w:rPr>
          <w:vertAlign w:val="baseline"/>
        </w:rPr>
        <w:t>universe.</w:t>
      </w:r>
      <w:r>
        <w:rPr>
          <w:spacing w:val="36"/>
          <w:vertAlign w:val="baseline"/>
        </w:rPr>
        <w:t> </w:t>
      </w:r>
      <w:r>
        <w:rPr>
          <w:vertAlign w:val="baseline"/>
        </w:rPr>
        <w:t>But</w:t>
      </w:r>
      <w:r>
        <w:rPr>
          <w:spacing w:val="35"/>
          <w:vertAlign w:val="baseline"/>
        </w:rPr>
        <w:t> </w:t>
      </w:r>
      <w:r>
        <w:rPr>
          <w:vertAlign w:val="baseline"/>
        </w:rPr>
        <w:t>MV=PT</w:t>
      </w:r>
      <w:r>
        <w:rPr>
          <w:spacing w:val="36"/>
          <w:vertAlign w:val="baseline"/>
        </w:rPr>
        <w:t> </w:t>
      </w:r>
      <w:r>
        <w:rPr>
          <w:vertAlign w:val="baseline"/>
        </w:rPr>
        <w:t>is</w:t>
      </w:r>
      <w:r>
        <w:rPr>
          <w:spacing w:val="35"/>
          <w:vertAlign w:val="baseline"/>
        </w:rPr>
        <w:t> </w:t>
      </w:r>
      <w:r>
        <w:rPr>
          <w:vertAlign w:val="baseline"/>
        </w:rPr>
        <w:t>no</w:t>
      </w:r>
    </w:p>
    <w:p>
      <w:pPr>
        <w:pStyle w:val="BodyText"/>
        <w:rPr>
          <w:sz w:val="16"/>
        </w:rPr>
      </w:pPr>
      <w:r>
        <w:rPr/>
        <w:pict>
          <v:shape style="position:absolute;margin-left:89.879997pt;margin-top:11.47768pt;width:144pt;height:.1pt;mso-position-horizontal-relative:page;mso-position-vertical-relative:paragraph;z-index:-251655168;mso-wrap-distance-left:0;mso-wrap-distance-right:0" coordorigin="1798,230" coordsize="2880,0" path="m1798,230l4678,230e" filled="false" stroked="true" strokeweight=".600010pt" strokecolor="#000000">
            <v:path arrowok="t"/>
            <v:stroke dashstyle="solid"/>
            <w10:wrap type="topAndBottom"/>
          </v:shape>
        </w:pict>
      </w:r>
    </w:p>
    <w:p>
      <w:pPr>
        <w:spacing w:before="49"/>
        <w:ind w:left="1557" w:right="1191" w:firstLine="50"/>
        <w:jc w:val="left"/>
        <w:rPr>
          <w:sz w:val="20"/>
        </w:rPr>
      </w:pPr>
      <w:r>
        <w:rPr>
          <w:position w:val="9"/>
          <w:sz w:val="13"/>
        </w:rPr>
        <w:t>3 </w:t>
      </w:r>
      <w:r>
        <w:rPr>
          <w:sz w:val="20"/>
        </w:rPr>
        <w:t>M4 is a measure of the broad money supply and is more likely to reflect nominal spending and demand in the economy than a very narrow measure.  The narrowest measure – sometimes called high powered</w:t>
      </w:r>
      <w:r>
        <w:rPr>
          <w:spacing w:val="-33"/>
          <w:sz w:val="20"/>
        </w:rPr>
        <w:t> </w:t>
      </w:r>
      <w:r>
        <w:rPr>
          <w:sz w:val="20"/>
        </w:rPr>
        <w:t>money</w:t>
      </w:r>
    </w:p>
    <w:p>
      <w:pPr>
        <w:pStyle w:val="ListParagraph"/>
        <w:numPr>
          <w:ilvl w:val="0"/>
          <w:numId w:val="2"/>
        </w:numPr>
        <w:tabs>
          <w:tab w:pos="1709" w:val="left" w:leader="none"/>
        </w:tabs>
        <w:spacing w:line="240" w:lineRule="auto" w:before="0" w:after="0"/>
        <w:ind w:left="1557" w:right="1288" w:firstLine="0"/>
        <w:jc w:val="left"/>
        <w:rPr>
          <w:sz w:val="20"/>
        </w:rPr>
      </w:pPr>
      <w:r>
        <w:rPr>
          <w:sz w:val="20"/>
        </w:rPr>
        <w:t>is notes and coin and bank reserves held at the central bank. That money supply measure is more directly affected by QE because bank reserves are created to fund the asset purchases. M4 does not include bank reserves.</w:t>
      </w:r>
    </w:p>
    <w:p>
      <w:pPr>
        <w:spacing w:after="0" w:line="240" w:lineRule="auto"/>
        <w:jc w:val="left"/>
        <w:rPr>
          <w:sz w:val="20"/>
        </w:rPr>
        <w:sectPr>
          <w:pgSz w:w="11910" w:h="16840"/>
          <w:pgMar w:header="0" w:footer="699" w:top="1000" w:bottom="960" w:left="240" w:right="260"/>
        </w:sectPr>
      </w:pPr>
    </w:p>
    <w:p>
      <w:pPr>
        <w:pStyle w:val="BodyText"/>
        <w:spacing w:line="360" w:lineRule="auto" w:before="74"/>
        <w:ind w:left="1557" w:right="1200"/>
        <w:jc w:val="both"/>
      </w:pPr>
      <w:r>
        <w:rPr/>
        <w:t>such thing. It is an identity. It simply defines a ratio, called V; and V can be volatile, unstable or simply move in ways which prevent a shift in M from having any impact upon</w:t>
      </w:r>
      <w:r>
        <w:rPr>
          <w:spacing w:val="-2"/>
        </w:rPr>
        <w:t> </w:t>
      </w:r>
      <w:r>
        <w:rPr/>
        <w:t>PT.</w:t>
      </w:r>
    </w:p>
    <w:p>
      <w:pPr>
        <w:pStyle w:val="BodyText"/>
        <w:spacing w:before="10"/>
        <w:rPr>
          <w:sz w:val="35"/>
        </w:rPr>
      </w:pPr>
    </w:p>
    <w:p>
      <w:pPr>
        <w:pStyle w:val="BodyText"/>
        <w:spacing w:line="360" w:lineRule="auto"/>
        <w:ind w:left="1557" w:right="1199"/>
        <w:jc w:val="both"/>
      </w:pPr>
      <w:r>
        <w:rPr/>
        <w:t>There are two main reasons why the equation is not likely to be a reliable guide to what QE can be expected to do: first, QE has no automatic or predictable impact upon a measure of money like M4, which may not change much; second, even if M moves, V may make offsetting changes. In fact both those things are likely. The evidence of the evolution of M4 (the most widely used measure of the UK money supply</w:t>
      </w:r>
      <w:r>
        <w:rPr>
          <w:vertAlign w:val="superscript"/>
        </w:rPr>
        <w:t>4</w:t>
      </w:r>
      <w:r>
        <w:rPr>
          <w:vertAlign w:val="baseline"/>
        </w:rPr>
        <w:t>) and its velocity, V, bears some of this out.</w:t>
      </w:r>
    </w:p>
    <w:p>
      <w:pPr>
        <w:pStyle w:val="BodyText"/>
        <w:spacing w:before="1"/>
        <w:rPr>
          <w:sz w:val="36"/>
        </w:rPr>
      </w:pPr>
    </w:p>
    <w:p>
      <w:pPr>
        <w:pStyle w:val="BodyText"/>
        <w:spacing w:line="360" w:lineRule="auto"/>
        <w:ind w:left="1557" w:right="1201"/>
        <w:jc w:val="both"/>
      </w:pPr>
      <w:r>
        <w:rPr/>
        <w:t>Since QE began, the broad money supply has moved by relatively little and far less than the scale of purchases. Indeed M4 is little changed since QE began back in March. Even when we adjust M4 for transactions between banks and near-banks, the rise in its stock is</w:t>
      </w:r>
    </w:p>
    <w:p>
      <w:pPr>
        <w:pStyle w:val="BodyText"/>
        <w:rPr>
          <w:sz w:val="36"/>
        </w:rPr>
      </w:pPr>
    </w:p>
    <w:p>
      <w:pPr>
        <w:pStyle w:val="BodyText"/>
        <w:spacing w:line="360" w:lineRule="auto"/>
        <w:ind w:left="1557" w:right="1200"/>
        <w:jc w:val="both"/>
      </w:pPr>
      <w:r>
        <w:rPr/>
        <w:t>much smaller than the scale of asset purchases (though the change would very likely have been even smaller without central bank asset purchases).</w:t>
      </w:r>
    </w:p>
    <w:p>
      <w:pPr>
        <w:pStyle w:val="BodyText"/>
        <w:rPr>
          <w:sz w:val="36"/>
        </w:rPr>
      </w:pPr>
    </w:p>
    <w:p>
      <w:pPr>
        <w:pStyle w:val="BodyText"/>
        <w:spacing w:line="360" w:lineRule="auto"/>
        <w:ind w:left="1557" w:right="1198"/>
        <w:jc w:val="both"/>
      </w:pPr>
      <w:r>
        <w:rPr>
          <w:b/>
        </w:rPr>
        <w:t>Charts 9 </w:t>
      </w:r>
      <w:r>
        <w:rPr/>
        <w:t>show velocity and </w:t>
      </w:r>
      <w:r>
        <w:rPr>
          <w:b/>
        </w:rPr>
        <w:t>chart 10 </w:t>
      </w:r>
      <w:r>
        <w:rPr/>
        <w:t>its rate of change over a relatively long period. </w:t>
      </w:r>
      <w:r>
        <w:rPr>
          <w:b/>
        </w:rPr>
        <w:t>Chart 10 </w:t>
      </w:r>
      <w:r>
        <w:rPr/>
        <w:t>also shows how shifts in velocity have reflected the relative changes in M and PT (which we measure by nominal GDP).</w:t>
      </w:r>
    </w:p>
    <w:p>
      <w:pPr>
        <w:pStyle w:val="BodyText"/>
        <w:rPr>
          <w:sz w:val="36"/>
        </w:rPr>
      </w:pPr>
    </w:p>
    <w:p>
      <w:pPr>
        <w:pStyle w:val="BodyText"/>
        <w:ind w:left="1557"/>
        <w:jc w:val="both"/>
      </w:pPr>
      <w:r>
        <w:rPr/>
        <w:t>The data reveal several things about velocity:</w:t>
      </w:r>
    </w:p>
    <w:p>
      <w:pPr>
        <w:pStyle w:val="BodyText"/>
        <w:rPr>
          <w:sz w:val="26"/>
        </w:rPr>
      </w:pPr>
    </w:p>
    <w:p>
      <w:pPr>
        <w:pStyle w:val="BodyText"/>
        <w:rPr>
          <w:sz w:val="22"/>
        </w:rPr>
      </w:pPr>
    </w:p>
    <w:p>
      <w:pPr>
        <w:pStyle w:val="ListParagraph"/>
        <w:numPr>
          <w:ilvl w:val="0"/>
          <w:numId w:val="3"/>
        </w:numPr>
        <w:tabs>
          <w:tab w:pos="2278" w:val="left" w:leader="none"/>
        </w:tabs>
        <w:spacing w:line="240" w:lineRule="auto" w:before="0" w:after="0"/>
        <w:ind w:left="2277" w:right="0" w:hanging="361"/>
        <w:jc w:val="left"/>
        <w:rPr>
          <w:sz w:val="24"/>
        </w:rPr>
      </w:pPr>
      <w:r>
        <w:rPr>
          <w:sz w:val="24"/>
        </w:rPr>
        <w:t>Over the long run V has been far from constant.</w:t>
      </w:r>
    </w:p>
    <w:p>
      <w:pPr>
        <w:pStyle w:val="ListParagraph"/>
        <w:numPr>
          <w:ilvl w:val="0"/>
          <w:numId w:val="3"/>
        </w:numPr>
        <w:tabs>
          <w:tab w:pos="2278" w:val="left" w:leader="none"/>
        </w:tabs>
        <w:spacing w:line="240" w:lineRule="auto" w:before="138" w:after="0"/>
        <w:ind w:left="2277" w:right="0" w:hanging="361"/>
        <w:jc w:val="left"/>
        <w:rPr>
          <w:sz w:val="24"/>
        </w:rPr>
      </w:pPr>
      <w:r>
        <w:rPr>
          <w:sz w:val="24"/>
        </w:rPr>
        <w:t>The </w:t>
      </w:r>
      <w:r>
        <w:rPr>
          <w:i/>
          <w:sz w:val="24"/>
        </w:rPr>
        <w:t>change </w:t>
      </w:r>
      <w:r>
        <w:rPr>
          <w:sz w:val="24"/>
        </w:rPr>
        <w:t>in velocity has been highly</w:t>
      </w:r>
      <w:r>
        <w:rPr>
          <w:spacing w:val="-6"/>
          <w:sz w:val="24"/>
        </w:rPr>
        <w:t> </w:t>
      </w:r>
      <w:r>
        <w:rPr>
          <w:sz w:val="24"/>
        </w:rPr>
        <w:t>variable.</w:t>
      </w:r>
    </w:p>
    <w:p>
      <w:pPr>
        <w:pStyle w:val="ListParagraph"/>
        <w:numPr>
          <w:ilvl w:val="0"/>
          <w:numId w:val="3"/>
        </w:numPr>
        <w:tabs>
          <w:tab w:pos="2278" w:val="left" w:leader="none"/>
        </w:tabs>
        <w:spacing w:line="360" w:lineRule="auto" w:before="138" w:after="0"/>
        <w:ind w:left="2277" w:right="1203" w:hanging="360"/>
        <w:jc w:val="left"/>
        <w:rPr>
          <w:sz w:val="24"/>
        </w:rPr>
      </w:pPr>
      <w:r>
        <w:rPr>
          <w:sz w:val="24"/>
        </w:rPr>
        <w:t>The variability in the change in velocity has been about as great as the variability in the change in money itself and of nominal GDP (</w:t>
      </w:r>
      <w:r>
        <w:rPr>
          <w:b/>
          <w:sz w:val="24"/>
        </w:rPr>
        <w:t>Table</w:t>
      </w:r>
      <w:r>
        <w:rPr>
          <w:b/>
          <w:spacing w:val="-2"/>
          <w:sz w:val="24"/>
        </w:rPr>
        <w:t> </w:t>
      </w:r>
      <w:r>
        <w:rPr>
          <w:b/>
          <w:sz w:val="24"/>
        </w:rPr>
        <w:t>A</w:t>
      </w:r>
      <w:r>
        <w:rPr>
          <w:sz w:val="24"/>
        </w:rPr>
        <w:t>)</w:t>
      </w:r>
    </w:p>
    <w:p>
      <w:pPr>
        <w:pStyle w:val="BodyText"/>
        <w:rPr>
          <w:sz w:val="20"/>
        </w:rPr>
      </w:pPr>
    </w:p>
    <w:p>
      <w:pPr>
        <w:pStyle w:val="BodyText"/>
        <w:spacing w:before="1"/>
      </w:pPr>
      <w:r>
        <w:rPr/>
        <w:pict>
          <v:shape style="position:absolute;margin-left:89.879997pt;margin-top:16.113970pt;width:144pt;height:.1pt;mso-position-horizontal-relative:page;mso-position-vertical-relative:paragraph;z-index:-251654144;mso-wrap-distance-left:0;mso-wrap-distance-right:0" coordorigin="1798,322" coordsize="2880,0" path="m1798,322l4678,322e" filled="false" stroked="true" strokeweight=".600010pt" strokecolor="#000000">
            <v:path arrowok="t"/>
            <v:stroke dashstyle="solid"/>
            <w10:wrap type="topAndBottom"/>
          </v:shape>
        </w:pict>
      </w:r>
    </w:p>
    <w:p>
      <w:pPr>
        <w:spacing w:before="73"/>
        <w:ind w:left="1557" w:right="1285" w:firstLine="0"/>
        <w:jc w:val="left"/>
        <w:rPr>
          <w:sz w:val="20"/>
        </w:rPr>
      </w:pPr>
      <w:r>
        <w:rPr>
          <w:sz w:val="20"/>
        </w:rPr>
        <w:t>4 Although M4 is the most widely used measure of broad money it is not clear it is best suited as a measure of money to reflect liquid holdings of assets linked to transactions. M4 excludes non resident sterling deposits with UK banks; it excludes money placed with money market funds and it draws a line between money and non-money by reference to the original (not residual) maturity of bonds issued by banks. This raises a long standing issue in economics about where you draw the line between things you count as money and things which you do not. Obviously there is no definitive answer to that – and it is one reason why focusing on the effectiveness of QE by reference to what happens to a particular measure of money is</w:t>
      </w:r>
      <w:r>
        <w:rPr>
          <w:spacing w:val="-2"/>
          <w:sz w:val="20"/>
        </w:rPr>
        <w:t> </w:t>
      </w:r>
      <w:r>
        <w:rPr>
          <w:sz w:val="20"/>
        </w:rPr>
        <w:t>problematic.</w:t>
      </w:r>
    </w:p>
    <w:p>
      <w:pPr>
        <w:spacing w:after="0"/>
        <w:jc w:val="left"/>
        <w:rPr>
          <w:sz w:val="20"/>
        </w:rPr>
        <w:sectPr>
          <w:pgSz w:w="11910" w:h="16840"/>
          <w:pgMar w:header="0" w:footer="699" w:top="1000" w:bottom="960" w:left="240" w:right="260"/>
        </w:sectPr>
      </w:pPr>
    </w:p>
    <w:p>
      <w:pPr>
        <w:pStyle w:val="BodyText"/>
        <w:spacing w:line="360" w:lineRule="auto" w:before="74"/>
        <w:ind w:left="1557" w:right="1199"/>
        <w:jc w:val="both"/>
        <w:rPr>
          <w:i/>
        </w:rPr>
      </w:pPr>
      <w:r>
        <w:rPr/>
        <w:t>So past history shows V is something of a will-o-the-wisp. And even if it were stable in the past, in the exceptional conditions of QE – with close to zero interest rates – it is very unlikely V would be constant. There are in fact good reasons to expect that V will fall if, as a result of central bank purchases, M rises. This is because it is not obvious why people should spend more because they hold less of one asset (say, a gilt) and more of a bank deposit (money). Their wealth has not changed and the liquidity of their portfolio may be little altered. So we might see a change in a measure of broad M but that </w:t>
      </w:r>
      <w:r>
        <w:rPr>
          <w:i/>
        </w:rPr>
        <w:t>in</w:t>
      </w:r>
      <w:r>
        <w:rPr>
          <w:i/>
          <w:spacing w:val="4"/>
        </w:rPr>
        <w:t> </w:t>
      </w:r>
      <w:r>
        <w:rPr>
          <w:i/>
        </w:rPr>
        <w:t>itself</w:t>
      </w:r>
    </w:p>
    <w:p>
      <w:pPr>
        <w:pStyle w:val="ListParagraph"/>
        <w:numPr>
          <w:ilvl w:val="0"/>
          <w:numId w:val="2"/>
        </w:numPr>
        <w:tabs>
          <w:tab w:pos="1743" w:val="left" w:leader="none"/>
        </w:tabs>
        <w:spacing w:line="360" w:lineRule="auto" w:before="0" w:after="0"/>
        <w:ind w:left="1557" w:right="1201" w:firstLine="0"/>
        <w:jc w:val="both"/>
        <w:rPr>
          <w:sz w:val="24"/>
        </w:rPr>
      </w:pPr>
      <w:r>
        <w:rPr>
          <w:sz w:val="24"/>
        </w:rPr>
        <w:t>and in isolation from other impacts of the portfolio switch that brought it about – might mean little for demand and PT. If that were so V would just</w:t>
      </w:r>
      <w:r>
        <w:rPr>
          <w:spacing w:val="-4"/>
          <w:sz w:val="24"/>
        </w:rPr>
        <w:t> </w:t>
      </w:r>
      <w:r>
        <w:rPr>
          <w:sz w:val="24"/>
        </w:rPr>
        <w:t>fall</w:t>
      </w:r>
      <w:r>
        <w:rPr>
          <w:sz w:val="24"/>
          <w:vertAlign w:val="superscript"/>
        </w:rPr>
        <w:t>5</w:t>
      </w:r>
      <w:r>
        <w:rPr>
          <w:sz w:val="24"/>
          <w:vertAlign w:val="baseline"/>
        </w:rPr>
        <w:t>.</w:t>
      </w:r>
    </w:p>
    <w:p>
      <w:pPr>
        <w:pStyle w:val="BodyText"/>
        <w:spacing w:before="10"/>
        <w:rPr>
          <w:sz w:val="35"/>
        </w:rPr>
      </w:pPr>
    </w:p>
    <w:p>
      <w:pPr>
        <w:pStyle w:val="BodyText"/>
        <w:spacing w:line="360" w:lineRule="auto" w:before="1"/>
        <w:ind w:left="1557" w:right="1201"/>
        <w:jc w:val="both"/>
      </w:pPr>
      <w:r>
        <w:rPr/>
        <w:t>All this would mean </w:t>
      </w:r>
      <w:r>
        <w:rPr>
          <w:i/>
        </w:rPr>
        <w:t>that if there are no other impacts of the private sector portfolio </w:t>
      </w:r>
      <w:r>
        <w:rPr>
          <w:i/>
        </w:rPr>
        <w:t>switch </w:t>
      </w:r>
      <w:r>
        <w:rPr/>
        <w:t>that central bank purchases requires, then QE would be ineffective in boosting demand in the economy – not harmful, but just irrelevant. But it is a mistake to conclude from this that QE is not working; QE can work through channels that do not require  either a substantial impact upon M or a stable V. And it is not very plausible that there would be no impacts of the portfolio switches that QE requires. To a large extent it</w:t>
      </w:r>
      <w:r>
        <w:rPr>
          <w:spacing w:val="-12"/>
        </w:rPr>
        <w:t> </w:t>
      </w:r>
      <w:r>
        <w:rPr/>
        <w:t>is</w:t>
      </w:r>
    </w:p>
    <w:p>
      <w:pPr>
        <w:pStyle w:val="BodyText"/>
        <w:rPr>
          <w:sz w:val="36"/>
        </w:rPr>
      </w:pPr>
    </w:p>
    <w:p>
      <w:pPr>
        <w:pStyle w:val="BodyText"/>
        <w:spacing w:line="360" w:lineRule="auto"/>
        <w:ind w:left="1557" w:right="1202"/>
        <w:jc w:val="both"/>
      </w:pPr>
      <w:r>
        <w:rPr/>
        <w:t>those other effects which can make QE effective. I want to consider how they might be working.</w:t>
      </w:r>
    </w:p>
    <w:p>
      <w:pPr>
        <w:pStyle w:val="BodyText"/>
        <w:spacing w:before="2"/>
        <w:rPr>
          <w:sz w:val="36"/>
        </w:rPr>
      </w:pPr>
    </w:p>
    <w:p>
      <w:pPr>
        <w:pStyle w:val="Heading1"/>
        <w:numPr>
          <w:ilvl w:val="0"/>
          <w:numId w:val="4"/>
        </w:numPr>
        <w:tabs>
          <w:tab w:pos="1798" w:val="left" w:leader="none"/>
        </w:tabs>
        <w:spacing w:line="240" w:lineRule="auto" w:before="0" w:after="0"/>
        <w:ind w:left="1797" w:right="0" w:hanging="241"/>
        <w:jc w:val="left"/>
      </w:pPr>
      <w:r>
        <w:rPr/>
        <w:t>QE: - how might it actually be</w:t>
      </w:r>
      <w:r>
        <w:rPr>
          <w:spacing w:val="-3"/>
        </w:rPr>
        <w:t> </w:t>
      </w:r>
      <w:r>
        <w:rPr/>
        <w:t>working?</w:t>
      </w:r>
    </w:p>
    <w:p>
      <w:pPr>
        <w:pStyle w:val="BodyText"/>
        <w:rPr>
          <w:b/>
          <w:sz w:val="26"/>
        </w:rPr>
      </w:pPr>
    </w:p>
    <w:p>
      <w:pPr>
        <w:pStyle w:val="BodyText"/>
        <w:spacing w:before="9"/>
        <w:rPr>
          <w:b/>
          <w:sz w:val="21"/>
        </w:rPr>
      </w:pPr>
    </w:p>
    <w:p>
      <w:pPr>
        <w:pStyle w:val="BodyText"/>
        <w:spacing w:line="360" w:lineRule="auto" w:before="1"/>
        <w:ind w:left="1557" w:right="1199"/>
        <w:jc w:val="both"/>
      </w:pPr>
      <w:r>
        <w:rPr/>
        <w:t>So movements in a measure of the broad money supply are neither necessary nor sufficient for asset purchases to influence nominal demand in the economy. Clearly that in itself does not tell you whether QE is effective or not. I think the evidence suggests there are some significant effects of QE </w:t>
      </w:r>
      <w:r>
        <w:rPr>
          <w:i/>
        </w:rPr>
        <w:t>and they are ones which help us travel on a path </w:t>
      </w:r>
      <w:r>
        <w:rPr>
          <w:i/>
        </w:rPr>
        <w:t>towards a more sustainable banking structure </w:t>
      </w:r>
      <w:r>
        <w:rPr/>
        <w:t>– one where reliance upon bank debt by the private sector will likely be lower and where the banks are better capitalised and better able to handle fluctuations in their sources of</w:t>
      </w:r>
      <w:r>
        <w:rPr>
          <w:spacing w:val="-9"/>
        </w:rPr>
        <w:t> </w:t>
      </w:r>
      <w:r>
        <w:rPr/>
        <w:t>funding.</w:t>
      </w:r>
    </w:p>
    <w:p>
      <w:pPr>
        <w:pStyle w:val="BodyText"/>
        <w:rPr>
          <w:sz w:val="36"/>
        </w:rPr>
      </w:pPr>
    </w:p>
    <w:p>
      <w:pPr>
        <w:pStyle w:val="BodyText"/>
        <w:spacing w:line="360" w:lineRule="auto"/>
        <w:ind w:left="1557" w:right="1201"/>
        <w:jc w:val="both"/>
      </w:pPr>
      <w:r>
        <w:rPr/>
        <w:t>There are several different mechanisms at work here which reflect the portfolio shifts brought about by the central bank purchases.</w:t>
      </w:r>
    </w:p>
    <w:p>
      <w:pPr>
        <w:pStyle w:val="BodyText"/>
        <w:rPr>
          <w:sz w:val="20"/>
        </w:rPr>
      </w:pPr>
    </w:p>
    <w:p>
      <w:pPr>
        <w:pStyle w:val="BodyText"/>
        <w:rPr>
          <w:sz w:val="20"/>
        </w:rPr>
      </w:pPr>
    </w:p>
    <w:p>
      <w:pPr>
        <w:pStyle w:val="BodyText"/>
        <w:rPr>
          <w:sz w:val="20"/>
        </w:rPr>
      </w:pPr>
      <w:r>
        <w:rPr/>
        <w:pict>
          <v:shape style="position:absolute;margin-left:89.879997pt;margin-top:13.7781pt;width:144pt;height:.1pt;mso-position-horizontal-relative:page;mso-position-vertical-relative:paragraph;z-index:-251653120;mso-wrap-distance-left:0;mso-wrap-distance-right:0" coordorigin="1798,276" coordsize="2880,0" path="m1798,276l4678,276e" filled="false" stroked="true" strokeweight=".600010pt" strokecolor="#000000">
            <v:path arrowok="t"/>
            <v:stroke dashstyle="solid"/>
            <w10:wrap type="topAndBottom"/>
          </v:shape>
        </w:pict>
      </w:r>
    </w:p>
    <w:p>
      <w:pPr>
        <w:spacing w:before="49"/>
        <w:ind w:left="1551" w:right="1711" w:firstLine="0"/>
        <w:jc w:val="center"/>
        <w:rPr>
          <w:sz w:val="20"/>
        </w:rPr>
      </w:pPr>
      <w:r>
        <w:rPr>
          <w:position w:val="9"/>
          <w:sz w:val="13"/>
        </w:rPr>
        <w:t>5 </w:t>
      </w:r>
      <w:r>
        <w:rPr>
          <w:sz w:val="20"/>
        </w:rPr>
        <w:t>On some theories velocity falls exponentially as the level of nominal interest rates fall towards zero.</w:t>
      </w:r>
    </w:p>
    <w:p>
      <w:pPr>
        <w:spacing w:after="0"/>
        <w:jc w:val="center"/>
        <w:rPr>
          <w:sz w:val="20"/>
        </w:rPr>
        <w:sectPr>
          <w:pgSz w:w="11910" w:h="16840"/>
          <w:pgMar w:header="0" w:footer="699" w:top="1000" w:bottom="960" w:left="240" w:right="260"/>
        </w:sectPr>
      </w:pPr>
    </w:p>
    <w:p>
      <w:pPr>
        <w:pStyle w:val="BodyText"/>
        <w:spacing w:line="360" w:lineRule="auto" w:before="74"/>
        <w:ind w:left="1557" w:right="1200"/>
        <w:jc w:val="both"/>
      </w:pPr>
      <w:r>
        <w:rPr/>
        <w:t>QE likely increases the incentives for non-financial companies (PNFCs) to issue non- bank debt and equities – which can be used both as a source of funding for expenditure and as a means to reduce reliance on bank debt.</w:t>
      </w:r>
    </w:p>
    <w:p>
      <w:pPr>
        <w:pStyle w:val="BodyText"/>
        <w:spacing w:before="10"/>
        <w:rPr>
          <w:sz w:val="35"/>
        </w:rPr>
      </w:pPr>
    </w:p>
    <w:p>
      <w:pPr>
        <w:pStyle w:val="BodyText"/>
        <w:spacing w:line="360" w:lineRule="auto"/>
        <w:ind w:left="1557" w:right="1199"/>
        <w:jc w:val="both"/>
      </w:pPr>
      <w:r>
        <w:rPr/>
        <w:t>I use the word “likely” here because it is not self-evident – not an obvious implication of fundamental economic laws – that QE helps non financial companies raise funds. But I think it is likely. It happens as sellers of gilts to the Bank of England (who are </w:t>
      </w:r>
      <w:r>
        <w:rPr>
          <w:b/>
        </w:rPr>
        <w:t>not </w:t>
      </w:r>
      <w:r>
        <w:rPr/>
        <w:t>likely to be PNFCs or banks</w:t>
      </w:r>
      <w:r>
        <w:rPr>
          <w:vertAlign w:val="superscript"/>
        </w:rPr>
        <w:t>6</w:t>
      </w:r>
      <w:r>
        <w:rPr>
          <w:vertAlign w:val="baseline"/>
        </w:rPr>
        <w:t>) look for substitutes that are more natural places to invest than leaving the funds from the asset sales as bank deposits. Key here is the degree of substitutability between different assets. In some models of the economy these portfolio effects are not significant</w:t>
      </w:r>
      <w:r>
        <w:rPr>
          <w:vertAlign w:val="superscript"/>
        </w:rPr>
        <w:t>7</w:t>
      </w:r>
      <w:r>
        <w:rPr>
          <w:vertAlign w:val="baseline"/>
        </w:rPr>
        <w:t>. But realistically calibrated models suggest that the asset price</w:t>
      </w:r>
    </w:p>
    <w:p>
      <w:pPr>
        <w:pStyle w:val="BodyText"/>
        <w:spacing w:before="1"/>
        <w:rPr>
          <w:sz w:val="36"/>
        </w:rPr>
      </w:pPr>
    </w:p>
    <w:p>
      <w:pPr>
        <w:pStyle w:val="BodyText"/>
        <w:spacing w:line="360" w:lineRule="auto"/>
        <w:ind w:left="1557" w:right="1202"/>
        <w:jc w:val="both"/>
      </w:pPr>
      <w:r>
        <w:rPr/>
        <w:t>effects stemming from portfolio re-allocation can be substantial. For example, pension funds are major holders of gilts. Calibrated portfolio models suggest to me that to induce them to sell substantial amounts of gilts the yields on those gilts will move by significant amounts.</w:t>
      </w:r>
      <w:r>
        <w:rPr>
          <w:vertAlign w:val="superscript"/>
        </w:rPr>
        <w:t>8</w:t>
      </w:r>
    </w:p>
    <w:p>
      <w:pPr>
        <w:pStyle w:val="BodyText"/>
        <w:rPr>
          <w:sz w:val="20"/>
        </w:rPr>
      </w:pPr>
    </w:p>
    <w:p>
      <w:pPr>
        <w:pStyle w:val="BodyText"/>
        <w:spacing w:before="1"/>
        <w:rPr>
          <w:sz w:val="10"/>
        </w:rPr>
      </w:pPr>
      <w:r>
        <w:rPr/>
        <w:pict>
          <v:shape style="position:absolute;margin-left:89.879997pt;margin-top:8.054048pt;width:144pt;height:.1pt;mso-position-horizontal-relative:page;mso-position-vertical-relative:paragraph;z-index:-251652096;mso-wrap-distance-left:0;mso-wrap-distance-right:0" coordorigin="1798,161" coordsize="2880,0" path="m1798,161l4678,161e" filled="false" stroked="true" strokeweight=".600010pt" strokecolor="#000000">
            <v:path arrowok="t"/>
            <v:stroke dashstyle="solid"/>
            <w10:wrap type="topAndBottom"/>
          </v:shape>
        </w:pict>
      </w:r>
    </w:p>
    <w:p>
      <w:pPr>
        <w:spacing w:before="49"/>
        <w:ind w:left="1557" w:right="1372" w:firstLine="0"/>
        <w:jc w:val="both"/>
        <w:rPr>
          <w:sz w:val="20"/>
        </w:rPr>
      </w:pPr>
      <w:r>
        <w:rPr>
          <w:position w:val="9"/>
          <w:sz w:val="13"/>
        </w:rPr>
        <w:t>6 </w:t>
      </w:r>
      <w:r>
        <w:rPr>
          <w:sz w:val="20"/>
        </w:rPr>
        <w:t>PNFCs hold relatively few gilts. Banks do hold gilts – largely for liquidity reasons; because of that their holdings tend to be of shorter dated gilts while most of the Bank of England purchases are of medium and longer dated bonds.</w:t>
      </w:r>
    </w:p>
    <w:p>
      <w:pPr>
        <w:spacing w:line="230" w:lineRule="exact" w:before="0"/>
        <w:ind w:left="1557" w:right="0" w:firstLine="0"/>
        <w:jc w:val="both"/>
        <w:rPr>
          <w:sz w:val="20"/>
        </w:rPr>
      </w:pPr>
      <w:r>
        <w:rPr>
          <w:position w:val="9"/>
          <w:sz w:val="13"/>
        </w:rPr>
        <w:t>7 </w:t>
      </w:r>
      <w:r>
        <w:rPr>
          <w:sz w:val="20"/>
        </w:rPr>
        <w:t>For example, in the model developed by Eggertson and Woodford (2003) there are no effects on the</w:t>
      </w:r>
    </w:p>
    <w:p>
      <w:pPr>
        <w:spacing w:before="0"/>
        <w:ind w:left="1557" w:right="1199" w:firstLine="0"/>
        <w:jc w:val="both"/>
        <w:rPr>
          <w:sz w:val="20"/>
        </w:rPr>
      </w:pPr>
      <w:r>
        <w:rPr>
          <w:sz w:val="20"/>
        </w:rPr>
        <w:t>prices of any financial assets when the central bank swaps money for other assets at zero (short-term) nominal interest rates. This is because in that model there is a complete market in financial assets whose values do not reflect their relative supplies but rather depend only upon the exogenous pattern of payouts and how they vary with future shocks that are also assumed exogenous. It is also assumed that nobody  faces any limit on their ability to borrow against future income. That assumption of an efficient and complete set of financial markets might be useful in models designed to estimate the impact of various policies. But it seems ill suited to assess the effectiveness of a policy designed to counter the impacts of a breakdown in the normal operation of many financial markets. See Eggertson and Woodford, “The Zero Bound</w:t>
      </w:r>
      <w:r>
        <w:rPr>
          <w:spacing w:val="-4"/>
          <w:sz w:val="20"/>
        </w:rPr>
        <w:t> </w:t>
      </w:r>
      <w:r>
        <w:rPr>
          <w:sz w:val="20"/>
        </w:rPr>
        <w:t>on</w:t>
      </w:r>
      <w:r>
        <w:rPr>
          <w:spacing w:val="-3"/>
          <w:sz w:val="20"/>
        </w:rPr>
        <w:t> </w:t>
      </w:r>
      <w:r>
        <w:rPr>
          <w:sz w:val="20"/>
        </w:rPr>
        <w:t>Interest</w:t>
      </w:r>
      <w:r>
        <w:rPr>
          <w:spacing w:val="-3"/>
          <w:sz w:val="20"/>
        </w:rPr>
        <w:t> </w:t>
      </w:r>
      <w:r>
        <w:rPr>
          <w:sz w:val="20"/>
        </w:rPr>
        <w:t>Rates</w:t>
      </w:r>
      <w:r>
        <w:rPr>
          <w:spacing w:val="-2"/>
          <w:sz w:val="20"/>
        </w:rPr>
        <w:t> </w:t>
      </w:r>
      <w:r>
        <w:rPr>
          <w:sz w:val="20"/>
        </w:rPr>
        <w:t>and</w:t>
      </w:r>
      <w:r>
        <w:rPr>
          <w:spacing w:val="-3"/>
          <w:sz w:val="20"/>
        </w:rPr>
        <w:t> </w:t>
      </w:r>
      <w:r>
        <w:rPr>
          <w:sz w:val="20"/>
        </w:rPr>
        <w:t>Optimal</w:t>
      </w:r>
      <w:r>
        <w:rPr>
          <w:spacing w:val="-3"/>
          <w:sz w:val="20"/>
        </w:rPr>
        <w:t> </w:t>
      </w:r>
      <w:r>
        <w:rPr>
          <w:sz w:val="20"/>
        </w:rPr>
        <w:t>Monetary</w:t>
      </w:r>
      <w:r>
        <w:rPr>
          <w:spacing w:val="-2"/>
          <w:sz w:val="20"/>
        </w:rPr>
        <w:t> </w:t>
      </w:r>
      <w:r>
        <w:rPr>
          <w:sz w:val="20"/>
        </w:rPr>
        <w:t>Policy”,</w:t>
      </w:r>
      <w:r>
        <w:rPr>
          <w:spacing w:val="-3"/>
          <w:sz w:val="20"/>
        </w:rPr>
        <w:t> </w:t>
      </w:r>
      <w:r>
        <w:rPr>
          <w:sz w:val="20"/>
        </w:rPr>
        <w:t>Brookings</w:t>
      </w:r>
      <w:r>
        <w:rPr>
          <w:spacing w:val="-3"/>
          <w:sz w:val="20"/>
        </w:rPr>
        <w:t> </w:t>
      </w:r>
      <w:r>
        <w:rPr>
          <w:sz w:val="20"/>
        </w:rPr>
        <w:t>Papers</w:t>
      </w:r>
      <w:r>
        <w:rPr>
          <w:spacing w:val="-3"/>
          <w:sz w:val="20"/>
        </w:rPr>
        <w:t> </w:t>
      </w:r>
      <w:r>
        <w:rPr>
          <w:sz w:val="20"/>
        </w:rPr>
        <w:t>on</w:t>
      </w:r>
      <w:r>
        <w:rPr>
          <w:spacing w:val="-2"/>
          <w:sz w:val="20"/>
        </w:rPr>
        <w:t> </w:t>
      </w:r>
      <w:r>
        <w:rPr>
          <w:sz w:val="20"/>
        </w:rPr>
        <w:t>Economic</w:t>
      </w:r>
      <w:r>
        <w:rPr>
          <w:spacing w:val="-2"/>
          <w:sz w:val="20"/>
        </w:rPr>
        <w:t> </w:t>
      </w:r>
      <w:r>
        <w:rPr>
          <w:sz w:val="20"/>
        </w:rPr>
        <w:t>Activity,</w:t>
      </w:r>
      <w:r>
        <w:rPr>
          <w:spacing w:val="-3"/>
          <w:sz w:val="20"/>
        </w:rPr>
        <w:t> </w:t>
      </w:r>
      <w:r>
        <w:rPr>
          <w:sz w:val="20"/>
        </w:rPr>
        <w:t>1:</w:t>
      </w:r>
      <w:r>
        <w:rPr>
          <w:spacing w:val="-4"/>
          <w:sz w:val="20"/>
        </w:rPr>
        <w:t> </w:t>
      </w:r>
      <w:r>
        <w:rPr>
          <w:sz w:val="20"/>
        </w:rPr>
        <w:t>2003.</w:t>
      </w:r>
    </w:p>
    <w:p>
      <w:pPr>
        <w:spacing w:line="230" w:lineRule="exact" w:before="2"/>
        <w:ind w:left="1557" w:right="1201" w:firstLine="0"/>
        <w:jc w:val="both"/>
        <w:rPr>
          <w:sz w:val="20"/>
        </w:rPr>
      </w:pPr>
      <w:r>
        <w:rPr>
          <w:position w:val="9"/>
          <w:sz w:val="13"/>
        </w:rPr>
        <w:t>8 </w:t>
      </w:r>
      <w:r>
        <w:rPr>
          <w:sz w:val="20"/>
        </w:rPr>
        <w:t>McCarthy and Miles (2009) develop such a model of the portfolio decisions of pension funds chosing between short dated bonds (effectively cash), long-dated bonds and equities. (McCarthy, David and Miles,</w:t>
      </w:r>
    </w:p>
    <w:p>
      <w:pPr>
        <w:spacing w:before="0"/>
        <w:ind w:left="1557" w:right="1202" w:firstLine="0"/>
        <w:jc w:val="both"/>
        <w:rPr>
          <w:sz w:val="20"/>
        </w:rPr>
      </w:pPr>
      <w:r>
        <w:rPr>
          <w:sz w:val="20"/>
        </w:rPr>
        <w:t>David Kenneth, “The Optimal Portfolio Allocation for Corporate Pension Funds” (July, 2009)). Available at SSRN:</w:t>
      </w:r>
      <w:r>
        <w:rPr>
          <w:spacing w:val="-3"/>
          <w:sz w:val="20"/>
        </w:rPr>
        <w:t> </w:t>
      </w:r>
      <w:hyperlink r:id="rId10">
        <w:r>
          <w:rPr>
            <w:color w:val="0000FF"/>
            <w:sz w:val="20"/>
            <w:u w:val="single" w:color="0000FF"/>
          </w:rPr>
          <w:t>http://ssrn.com/abstract=1440872</w:t>
        </w:r>
      </w:hyperlink>
    </w:p>
    <w:p>
      <w:pPr>
        <w:pStyle w:val="BodyText"/>
        <w:spacing w:before="9"/>
        <w:rPr>
          <w:sz w:val="11"/>
        </w:rPr>
      </w:pPr>
    </w:p>
    <w:p>
      <w:pPr>
        <w:spacing w:before="92"/>
        <w:ind w:left="1557" w:right="1196" w:firstLine="0"/>
        <w:jc w:val="both"/>
        <w:rPr>
          <w:sz w:val="20"/>
        </w:rPr>
      </w:pPr>
      <w:r>
        <w:rPr>
          <w:sz w:val="20"/>
        </w:rPr>
        <w:t>One version of their model implies that results on optimal portfolios originally derived by Robert Merton hold. In that case, and using an equity risk premium of 4% p.a., an equity return standard deviation of 20% p.a., and a risk-free interest rates of 4% p.a. then to roughly match the observed UK pension portfolios requires </w:t>
      </w:r>
      <w:r>
        <w:rPr>
          <w:color w:val="1F497C"/>
          <w:sz w:val="22"/>
        </w:rPr>
        <w:t>a </w:t>
      </w:r>
      <w:r>
        <w:rPr>
          <w:sz w:val="20"/>
        </w:rPr>
        <w:t>coefficient of relative risk aversion of around 1.8.</w:t>
      </w:r>
    </w:p>
    <w:p>
      <w:pPr>
        <w:pStyle w:val="BodyText"/>
        <w:spacing w:before="11"/>
        <w:rPr>
          <w:sz w:val="21"/>
        </w:rPr>
      </w:pPr>
    </w:p>
    <w:p>
      <w:pPr>
        <w:spacing w:before="0"/>
        <w:ind w:left="1557" w:right="1203" w:firstLine="0"/>
        <w:jc w:val="both"/>
        <w:rPr>
          <w:sz w:val="20"/>
        </w:rPr>
      </w:pPr>
      <w:r>
        <w:rPr>
          <w:sz w:val="20"/>
        </w:rPr>
        <w:t>With those parameters, if long-term interest rates fall from 4% to 3.5%, then this changes the optimal portfolio from 55% invested in equities to 62.5% equities. Given UK pension funds hold around £800 billion of assets that would imply roughly £60bn of sales of bonds.</w:t>
      </w:r>
    </w:p>
    <w:p>
      <w:pPr>
        <w:pStyle w:val="BodyText"/>
        <w:rPr>
          <w:sz w:val="20"/>
        </w:rPr>
      </w:pPr>
    </w:p>
    <w:p>
      <w:pPr>
        <w:spacing w:before="1"/>
        <w:ind w:left="1557" w:right="1200" w:firstLine="0"/>
        <w:jc w:val="both"/>
        <w:rPr>
          <w:sz w:val="22"/>
        </w:rPr>
      </w:pPr>
      <w:r>
        <w:rPr>
          <w:sz w:val="20"/>
        </w:rPr>
        <w:t>Other versions of the model McCarthy and Miles use generate slightly smaller shifts out of bonds for a 50bp fall in bond yields (holding the absolute expected return on equities constant). Overall they find that somewhere between £30 billion and £60 billion of bonds might be sold if yields fell by around 50 bp. Put another way, to induce pension funds to sell that many bonds yields might have to fall by around</w:t>
      </w:r>
      <w:r>
        <w:rPr>
          <w:spacing w:val="-29"/>
          <w:sz w:val="20"/>
        </w:rPr>
        <w:t> </w:t>
      </w:r>
      <w:r>
        <w:rPr>
          <w:sz w:val="20"/>
        </w:rPr>
        <w:t>50bp</w:t>
      </w:r>
      <w:r>
        <w:rPr>
          <w:color w:val="1F497C"/>
          <w:sz w:val="22"/>
        </w:rPr>
        <w:t>.</w:t>
      </w:r>
    </w:p>
    <w:p>
      <w:pPr>
        <w:spacing w:after="0"/>
        <w:jc w:val="both"/>
        <w:rPr>
          <w:sz w:val="22"/>
        </w:rPr>
        <w:sectPr>
          <w:pgSz w:w="11910" w:h="16840"/>
          <w:pgMar w:header="0" w:footer="699" w:top="1000" w:bottom="960" w:left="240" w:right="260"/>
        </w:sectPr>
      </w:pPr>
    </w:p>
    <w:p>
      <w:pPr>
        <w:pStyle w:val="BodyText"/>
        <w:spacing w:line="360" w:lineRule="auto" w:before="74"/>
        <w:ind w:left="1557" w:right="1202"/>
        <w:jc w:val="both"/>
      </w:pPr>
      <w:r>
        <w:rPr/>
        <w:t>Given the scale of purchases by the Bank of England, there are three things we would expect to see in the UK if these portfolio effects were significant:</w:t>
      </w:r>
    </w:p>
    <w:p>
      <w:pPr>
        <w:pStyle w:val="BodyText"/>
        <w:spacing w:before="10"/>
        <w:rPr>
          <w:sz w:val="35"/>
        </w:rPr>
      </w:pPr>
    </w:p>
    <w:p>
      <w:pPr>
        <w:pStyle w:val="ListParagraph"/>
        <w:numPr>
          <w:ilvl w:val="0"/>
          <w:numId w:val="5"/>
        </w:numPr>
        <w:tabs>
          <w:tab w:pos="1828" w:val="left" w:leader="none"/>
        </w:tabs>
        <w:spacing w:line="360" w:lineRule="auto" w:before="0" w:after="0"/>
        <w:ind w:left="1557" w:right="1202" w:firstLine="0"/>
        <w:jc w:val="both"/>
        <w:rPr>
          <w:sz w:val="24"/>
        </w:rPr>
      </w:pPr>
      <w:r>
        <w:rPr>
          <w:sz w:val="24"/>
        </w:rPr>
        <w:t>Gilt yields should fall in a way that went beyond what you would expect as people change their views on the evolution of the policy rate (Bank</w:t>
      </w:r>
      <w:r>
        <w:rPr>
          <w:spacing w:val="-10"/>
          <w:sz w:val="24"/>
        </w:rPr>
        <w:t> </w:t>
      </w:r>
      <w:r>
        <w:rPr>
          <w:sz w:val="24"/>
        </w:rPr>
        <w:t>Rate).</w:t>
      </w:r>
    </w:p>
    <w:p>
      <w:pPr>
        <w:pStyle w:val="ListParagraph"/>
        <w:numPr>
          <w:ilvl w:val="0"/>
          <w:numId w:val="5"/>
        </w:numPr>
        <w:tabs>
          <w:tab w:pos="1798" w:val="left" w:leader="none"/>
        </w:tabs>
        <w:spacing w:line="240" w:lineRule="auto" w:before="1" w:after="0"/>
        <w:ind w:left="1797" w:right="0" w:hanging="241"/>
        <w:jc w:val="both"/>
        <w:rPr>
          <w:sz w:val="24"/>
        </w:rPr>
      </w:pPr>
      <w:r>
        <w:rPr>
          <w:sz w:val="24"/>
        </w:rPr>
        <w:t>That was reflected in a lower cost of issuing corporate bonds for</w:t>
      </w:r>
      <w:r>
        <w:rPr>
          <w:spacing w:val="-7"/>
          <w:sz w:val="24"/>
        </w:rPr>
        <w:t> </w:t>
      </w:r>
      <w:r>
        <w:rPr>
          <w:sz w:val="24"/>
        </w:rPr>
        <w:t>companies</w:t>
      </w:r>
    </w:p>
    <w:p>
      <w:pPr>
        <w:pStyle w:val="ListParagraph"/>
        <w:numPr>
          <w:ilvl w:val="0"/>
          <w:numId w:val="5"/>
        </w:numPr>
        <w:tabs>
          <w:tab w:pos="1826" w:val="left" w:leader="none"/>
        </w:tabs>
        <w:spacing w:line="360" w:lineRule="auto" w:before="138" w:after="0"/>
        <w:ind w:left="1557" w:right="1201" w:firstLine="0"/>
        <w:jc w:val="both"/>
        <w:rPr>
          <w:sz w:val="24"/>
        </w:rPr>
      </w:pPr>
      <w:r>
        <w:rPr>
          <w:sz w:val="24"/>
        </w:rPr>
        <w:t>And as a result issuance of bonds (and also equities) by companies increased as the sellers of gilts looked to alternative assets with a maturity that was closer to the assets they sold than bank deposits paying rates linked to short term interest</w:t>
      </w:r>
      <w:r>
        <w:rPr>
          <w:spacing w:val="-13"/>
          <w:sz w:val="24"/>
        </w:rPr>
        <w:t> </w:t>
      </w:r>
      <w:r>
        <w:rPr>
          <w:sz w:val="24"/>
        </w:rPr>
        <w:t>rates.</w:t>
      </w:r>
    </w:p>
    <w:p>
      <w:pPr>
        <w:pStyle w:val="BodyText"/>
        <w:spacing w:before="11"/>
        <w:rPr>
          <w:sz w:val="35"/>
        </w:rPr>
      </w:pPr>
    </w:p>
    <w:p>
      <w:pPr>
        <w:pStyle w:val="BodyText"/>
        <w:ind w:left="1557"/>
        <w:jc w:val="both"/>
      </w:pPr>
      <w:r>
        <w:rPr/>
        <w:t>The evidence is consistent with each of these.</w:t>
      </w:r>
    </w:p>
    <w:p>
      <w:pPr>
        <w:pStyle w:val="BodyText"/>
        <w:rPr>
          <w:sz w:val="26"/>
        </w:rPr>
      </w:pPr>
    </w:p>
    <w:p>
      <w:pPr>
        <w:pStyle w:val="BodyText"/>
        <w:rPr>
          <w:sz w:val="22"/>
        </w:rPr>
      </w:pPr>
    </w:p>
    <w:p>
      <w:pPr>
        <w:pStyle w:val="BodyText"/>
        <w:spacing w:line="360" w:lineRule="auto"/>
        <w:ind w:left="1557" w:right="1200"/>
        <w:jc w:val="both"/>
      </w:pPr>
      <w:r>
        <w:rPr>
          <w:b/>
        </w:rPr>
        <w:t>Chart 11 </w:t>
      </w:r>
      <w:r>
        <w:rPr/>
        <w:t>shows what has happened to the gilt-OIS spread. Changes in this</w:t>
      </w:r>
      <w:r>
        <w:rPr>
          <w:spacing w:val="13"/>
        </w:rPr>
        <w:t> </w:t>
      </w:r>
      <w:r>
        <w:rPr/>
        <w:t>spread indicate movements in bond prices that are not likely to be affected by changes</w:t>
      </w:r>
      <w:r>
        <w:rPr>
          <w:spacing w:val="14"/>
        </w:rPr>
        <w:t> </w:t>
      </w:r>
      <w:r>
        <w:rPr/>
        <w:t>in expectations of where Bank Rate is going. Since QE began that spread has fallen by almost 70 bps – far more than in the euro area, where over the same period the spread has fallen by about 15bps, and in the US, where the spread is little</w:t>
      </w:r>
      <w:r>
        <w:rPr>
          <w:spacing w:val="-9"/>
        </w:rPr>
        <w:t> </w:t>
      </w:r>
      <w:r>
        <w:rPr/>
        <w:t>changed.</w:t>
      </w:r>
    </w:p>
    <w:p>
      <w:pPr>
        <w:pStyle w:val="BodyText"/>
        <w:rPr>
          <w:sz w:val="36"/>
        </w:rPr>
      </w:pPr>
    </w:p>
    <w:p>
      <w:pPr>
        <w:pStyle w:val="BodyText"/>
        <w:spacing w:line="360" w:lineRule="auto"/>
        <w:ind w:left="1557" w:right="1201"/>
        <w:jc w:val="both"/>
      </w:pPr>
      <w:r>
        <w:rPr>
          <w:b/>
        </w:rPr>
        <w:t>Chart 12 </w:t>
      </w:r>
      <w:r>
        <w:rPr/>
        <w:t>shows that the spread of corporate bond yields over gilts has also fallen. This means that the decline in corporate bond yields has </w:t>
      </w:r>
      <w:r>
        <w:rPr>
          <w:i/>
        </w:rPr>
        <w:t>exceeded </w:t>
      </w:r>
      <w:r>
        <w:rPr/>
        <w:t>the fall in gilt yields. Both investment and non-investment grade bond spreads have fallen sharply since the beginning of 2009 though still remain elevated relative to levels prior to the credit crisis.</w:t>
      </w:r>
    </w:p>
    <w:p>
      <w:pPr>
        <w:pStyle w:val="BodyText"/>
        <w:rPr>
          <w:sz w:val="36"/>
        </w:rPr>
      </w:pPr>
    </w:p>
    <w:p>
      <w:pPr>
        <w:pStyle w:val="BodyText"/>
        <w:spacing w:line="360" w:lineRule="auto" w:before="1"/>
        <w:ind w:left="1557" w:right="1200"/>
        <w:jc w:val="both"/>
      </w:pPr>
      <w:r>
        <w:rPr/>
        <w:t>The reduction in corporate bond spreads has helped to encourage increasing gross and net corporate bond issuance (</w:t>
      </w:r>
      <w:r>
        <w:rPr>
          <w:b/>
        </w:rPr>
        <w:t>Chart 13</w:t>
      </w:r>
      <w:r>
        <w:rPr/>
        <w:t>). Issuance of bonds by UK non-financial companies increased sharply in the first half of 2009</w:t>
      </w:r>
      <w:r>
        <w:rPr>
          <w:b/>
        </w:rPr>
        <w:t>. </w:t>
      </w:r>
      <w:r>
        <w:rPr/>
        <w:t>Companies have also increasingly turned to equity issuance as a source of finance. (And stock prices are up sharply – though this </w:t>
      </w:r>
      <w:r>
        <w:rPr>
          <w:spacing w:val="-8"/>
        </w:rPr>
        <w:t>is </w:t>
      </w:r>
      <w:r>
        <w:rPr/>
        <w:t>true for all major stock markets and the link to asset purchases by the Bank of England,  or indeed other central banks, is hard to</w:t>
      </w:r>
      <w:r>
        <w:rPr>
          <w:spacing w:val="-1"/>
        </w:rPr>
        <w:t> </w:t>
      </w:r>
      <w:r>
        <w:rPr/>
        <w:t>assess).</w:t>
      </w:r>
    </w:p>
    <w:p>
      <w:pPr>
        <w:pStyle w:val="BodyText"/>
        <w:rPr>
          <w:sz w:val="36"/>
        </w:rPr>
      </w:pPr>
    </w:p>
    <w:p>
      <w:pPr>
        <w:pStyle w:val="BodyText"/>
        <w:spacing w:line="360" w:lineRule="auto"/>
        <w:ind w:left="1557" w:right="1198"/>
        <w:jc w:val="both"/>
      </w:pPr>
      <w:r>
        <w:rPr/>
        <w:t>But although corporate bond and equity issuance has increased sharply, overall net finance raised by companies remains exceptionally weak. Companies have raised increasing amounts of finance in the capital market but have made more than offsetting net</w:t>
      </w:r>
      <w:r>
        <w:rPr>
          <w:spacing w:val="14"/>
        </w:rPr>
        <w:t> </w:t>
      </w:r>
      <w:r>
        <w:rPr/>
        <w:t>repayments</w:t>
      </w:r>
      <w:r>
        <w:rPr>
          <w:spacing w:val="15"/>
        </w:rPr>
        <w:t> </w:t>
      </w:r>
      <w:r>
        <w:rPr/>
        <w:t>of</w:t>
      </w:r>
      <w:r>
        <w:rPr>
          <w:spacing w:val="15"/>
        </w:rPr>
        <w:t> </w:t>
      </w:r>
      <w:r>
        <w:rPr/>
        <w:t>bank</w:t>
      </w:r>
      <w:r>
        <w:rPr>
          <w:spacing w:val="15"/>
        </w:rPr>
        <w:t> </w:t>
      </w:r>
      <w:r>
        <w:rPr/>
        <w:t>debt</w:t>
      </w:r>
      <w:r>
        <w:rPr>
          <w:spacing w:val="14"/>
        </w:rPr>
        <w:t> </w:t>
      </w:r>
      <w:r>
        <w:rPr/>
        <w:t>(</w:t>
      </w:r>
      <w:r>
        <w:rPr>
          <w:b/>
        </w:rPr>
        <w:t>chart</w:t>
      </w:r>
      <w:r>
        <w:rPr>
          <w:b/>
          <w:spacing w:val="15"/>
        </w:rPr>
        <w:t> </w:t>
      </w:r>
      <w:r>
        <w:rPr>
          <w:b/>
        </w:rPr>
        <w:t>14</w:t>
      </w:r>
      <w:r>
        <w:rPr/>
        <w:t>).</w:t>
      </w:r>
      <w:r>
        <w:rPr>
          <w:spacing w:val="31"/>
        </w:rPr>
        <w:t> </w:t>
      </w:r>
      <w:r>
        <w:rPr/>
        <w:t>So</w:t>
      </w:r>
      <w:r>
        <w:rPr>
          <w:spacing w:val="14"/>
        </w:rPr>
        <w:t> </w:t>
      </w:r>
      <w:r>
        <w:rPr/>
        <w:t>non-financial</w:t>
      </w:r>
      <w:r>
        <w:rPr>
          <w:spacing w:val="15"/>
        </w:rPr>
        <w:t> </w:t>
      </w:r>
      <w:r>
        <w:rPr/>
        <w:t>companies</w:t>
      </w:r>
      <w:r>
        <w:rPr>
          <w:spacing w:val="15"/>
        </w:rPr>
        <w:t> </w:t>
      </w:r>
      <w:r>
        <w:rPr/>
        <w:t>are</w:t>
      </w:r>
      <w:r>
        <w:rPr>
          <w:spacing w:val="15"/>
        </w:rPr>
        <w:t> </w:t>
      </w:r>
      <w:r>
        <w:rPr/>
        <w:t>adjusting</w:t>
      </w:r>
      <w:r>
        <w:rPr>
          <w:spacing w:val="15"/>
        </w:rPr>
        <w:t> </w:t>
      </w:r>
      <w:r>
        <w:rPr/>
        <w:t>their</w:t>
      </w:r>
    </w:p>
    <w:p>
      <w:pPr>
        <w:spacing w:after="0" w:line="360" w:lineRule="auto"/>
        <w:jc w:val="both"/>
        <w:sectPr>
          <w:pgSz w:w="11910" w:h="16840"/>
          <w:pgMar w:header="0" w:footer="699" w:top="1000" w:bottom="960" w:left="240" w:right="260"/>
        </w:sectPr>
      </w:pPr>
    </w:p>
    <w:p>
      <w:pPr>
        <w:pStyle w:val="BodyText"/>
        <w:spacing w:line="360" w:lineRule="auto" w:before="74"/>
        <w:ind w:left="1557" w:right="1201"/>
        <w:jc w:val="both"/>
      </w:pPr>
      <w:r>
        <w:rPr/>
        <w:t>finance away from banks towards the capital market, but not increasing their overall borrowing to finance investment</w:t>
      </w:r>
      <w:r>
        <w:rPr>
          <w:vertAlign w:val="superscript"/>
        </w:rPr>
        <w:t>9</w:t>
      </w:r>
      <w:r>
        <w:rPr>
          <w:vertAlign w:val="baseline"/>
        </w:rPr>
        <w:t>.</w:t>
      </w:r>
    </w:p>
    <w:p>
      <w:pPr>
        <w:pStyle w:val="BodyText"/>
        <w:spacing w:before="10"/>
        <w:rPr>
          <w:sz w:val="35"/>
        </w:rPr>
      </w:pPr>
    </w:p>
    <w:p>
      <w:pPr>
        <w:pStyle w:val="BodyText"/>
        <w:spacing w:line="360" w:lineRule="auto"/>
        <w:ind w:left="1557" w:right="1200"/>
        <w:jc w:val="both"/>
      </w:pPr>
      <w:r>
        <w:rPr/>
        <w:t>Can we expect this adjustment – which I believe has been influenced by QE – to do any good if all that happens is that non-financial companies switch the structure of their liabilities? First, to the extent that some companies are held back by fear that bank loans will not be rolled over, or that fees/charges will be increased, then they may be more willing to spend as they substitute from reliance on banks to other sources. Second – and</w:t>
      </w:r>
    </w:p>
    <w:p>
      <w:pPr>
        <w:pStyle w:val="BodyText"/>
        <w:rPr>
          <w:sz w:val="36"/>
        </w:rPr>
      </w:pPr>
    </w:p>
    <w:p>
      <w:pPr>
        <w:pStyle w:val="BodyText"/>
        <w:spacing w:line="360" w:lineRule="auto" w:before="1"/>
        <w:ind w:left="1557" w:right="1198"/>
        <w:jc w:val="both"/>
      </w:pPr>
      <w:r>
        <w:rPr/>
        <w:t>perhaps more significant – the process of reducing reliance upon bank debt would likely have been harder without QE because central bank purchases has made raising alternative finance easier. Without QE it is plausible that more companies would have reduced their reliance on banks by cutting spending rather than raising other forms of finance. Third,  as some companies reduce reliance upon bank lending others who are less able to switch may find it easier to borrow from banks that have seen some of their loans liquidated. Fourth, companies that may have limited incentives to spend more now may be creating more head room to respond quickly to future investment opportunities by paying down bank debt</w:t>
      </w:r>
      <w:r>
        <w:rPr>
          <w:vertAlign w:val="superscript"/>
        </w:rPr>
        <w:t>10</w:t>
      </w:r>
      <w:r>
        <w:rPr>
          <w:vertAlign w:val="baseline"/>
        </w:rPr>
        <w:t>. Finally, a rise in bond prices generates an increase in wealth to their owners and that is likely to have some positive impact on their spending; to the extent that asset purchases by the Bank have had a positive impact on stock prices that will also generate some boost to</w:t>
      </w:r>
      <w:r>
        <w:rPr>
          <w:spacing w:val="-3"/>
          <w:vertAlign w:val="baseline"/>
        </w:rPr>
        <w:t> </w:t>
      </w:r>
      <w:r>
        <w:rPr>
          <w:vertAlign w:val="baseline"/>
        </w:rPr>
        <w:t>spending.</w:t>
      </w:r>
    </w:p>
    <w:p>
      <w:pPr>
        <w:pStyle w:val="BodyText"/>
        <w:spacing w:before="2"/>
        <w:rPr>
          <w:sz w:val="36"/>
        </w:rPr>
      </w:pPr>
    </w:p>
    <w:p>
      <w:pPr>
        <w:pStyle w:val="Heading1"/>
        <w:numPr>
          <w:ilvl w:val="0"/>
          <w:numId w:val="4"/>
        </w:numPr>
        <w:tabs>
          <w:tab w:pos="1798" w:val="left" w:leader="none"/>
        </w:tabs>
        <w:spacing w:line="240" w:lineRule="auto" w:before="1" w:after="0"/>
        <w:ind w:left="1797" w:right="0" w:hanging="241"/>
        <w:jc w:val="left"/>
      </w:pPr>
      <w:r>
        <w:rPr/>
        <w:t>The Impact of QE on Banks</w:t>
      </w:r>
    </w:p>
    <w:p>
      <w:pPr>
        <w:pStyle w:val="BodyText"/>
        <w:rPr>
          <w:b/>
          <w:sz w:val="26"/>
        </w:rPr>
      </w:pPr>
    </w:p>
    <w:p>
      <w:pPr>
        <w:pStyle w:val="BodyText"/>
        <w:spacing w:before="8"/>
        <w:rPr>
          <w:b/>
          <w:sz w:val="21"/>
        </w:rPr>
      </w:pPr>
    </w:p>
    <w:p>
      <w:pPr>
        <w:pStyle w:val="BodyText"/>
        <w:spacing w:line="360" w:lineRule="auto" w:before="1"/>
        <w:ind w:left="1557" w:right="1199"/>
        <w:jc w:val="both"/>
      </w:pPr>
      <w:r>
        <w:rPr/>
        <w:t>I noted earlier that on the eve of this crisis banks had come to hold less capital and less liquid portfolios than had been normal in the past. I believe this was one of the crucial factors behind the crisis. Having banks become better able to issue equity and longer- term debt, and less reliant on short term wholesale funding, is essential to stopping this happening again</w:t>
      </w:r>
      <w:r>
        <w:rPr>
          <w:vertAlign w:val="superscript"/>
        </w:rPr>
        <w:t>11</w:t>
      </w:r>
      <w:r>
        <w:rPr>
          <w:vertAlign w:val="baseline"/>
        </w:rPr>
        <w:t>. Making their portfolios of assets more liquid is also crucial.  There  are ways this can happen which could exacerbate the recession; for example, banks</w:t>
      </w:r>
      <w:r>
        <w:rPr>
          <w:spacing w:val="22"/>
          <w:vertAlign w:val="baseline"/>
        </w:rPr>
        <w:t> </w:t>
      </w:r>
      <w:r>
        <w:rPr>
          <w:vertAlign w:val="baseline"/>
        </w:rPr>
        <w:t>might</w:t>
      </w:r>
    </w:p>
    <w:p>
      <w:pPr>
        <w:pStyle w:val="BodyText"/>
        <w:rPr>
          <w:sz w:val="12"/>
        </w:rPr>
      </w:pPr>
      <w:r>
        <w:rPr/>
        <w:pict>
          <v:shape style="position:absolute;margin-left:89.879997pt;margin-top:9.172631pt;width:144pt;height:.1pt;mso-position-horizontal-relative:page;mso-position-vertical-relative:paragraph;z-index:-251651072;mso-wrap-distance-left:0;mso-wrap-distance-right:0" coordorigin="1798,183" coordsize="2880,0" path="m1798,183l4678,183e" filled="false" stroked="true" strokeweight=".600010pt" strokecolor="#000000">
            <v:path arrowok="t"/>
            <v:stroke dashstyle="solid"/>
            <w10:wrap type="topAndBottom"/>
          </v:shape>
        </w:pict>
      </w:r>
    </w:p>
    <w:p>
      <w:pPr>
        <w:spacing w:before="49"/>
        <w:ind w:left="1557" w:right="1191" w:firstLine="0"/>
        <w:jc w:val="left"/>
        <w:rPr>
          <w:b/>
          <w:sz w:val="20"/>
        </w:rPr>
      </w:pPr>
      <w:r>
        <w:rPr>
          <w:position w:val="9"/>
          <w:sz w:val="13"/>
        </w:rPr>
        <w:t>9 </w:t>
      </w:r>
      <w:r>
        <w:rPr>
          <w:sz w:val="20"/>
        </w:rPr>
        <w:t>It is worth noting that many PNFC’s now have better credit ratings than the banks themselves and so should be able to access credit more cheaply through the capital markets</w:t>
      </w:r>
      <w:r>
        <w:rPr>
          <w:b/>
          <w:sz w:val="20"/>
        </w:rPr>
        <w:t>.</w:t>
      </w:r>
    </w:p>
    <w:p>
      <w:pPr>
        <w:spacing w:line="230" w:lineRule="exact" w:before="2"/>
        <w:ind w:left="1557" w:right="1191" w:firstLine="0"/>
        <w:jc w:val="left"/>
        <w:rPr>
          <w:sz w:val="20"/>
        </w:rPr>
      </w:pPr>
      <w:r>
        <w:rPr>
          <w:position w:val="9"/>
          <w:sz w:val="13"/>
        </w:rPr>
        <w:t>10 </w:t>
      </w:r>
      <w:r>
        <w:rPr>
          <w:sz w:val="20"/>
        </w:rPr>
        <w:t>The scale of the repayments of bank debt by PNFCs is large, recently around £10 billion a month. Given the outstanding stock of such bank debt is roughly £550 billion this pace of repayment is having a substantial impact on gearing.</w:t>
      </w:r>
    </w:p>
    <w:p>
      <w:pPr>
        <w:spacing w:line="227" w:lineRule="exact" w:before="0"/>
        <w:ind w:left="1557" w:right="0" w:firstLine="0"/>
        <w:jc w:val="left"/>
        <w:rPr>
          <w:sz w:val="20"/>
        </w:rPr>
      </w:pPr>
      <w:r>
        <w:rPr>
          <w:position w:val="9"/>
          <w:sz w:val="13"/>
        </w:rPr>
        <w:t>11</w:t>
      </w:r>
      <w:r>
        <w:rPr>
          <w:sz w:val="20"/>
        </w:rPr>
        <w:t>In the most recent quarter for which we have data (2009 Q2) net equity issuance by Other Financial</w:t>
      </w:r>
    </w:p>
    <w:p>
      <w:pPr>
        <w:spacing w:before="0"/>
        <w:ind w:left="1557" w:right="0" w:firstLine="0"/>
        <w:jc w:val="left"/>
        <w:rPr>
          <w:sz w:val="20"/>
        </w:rPr>
      </w:pPr>
      <w:r>
        <w:rPr>
          <w:sz w:val="20"/>
        </w:rPr>
        <w:t>companies (95% of which is accounted for by bank holding companies) was close to £11 billion.</w:t>
      </w:r>
    </w:p>
    <w:p>
      <w:pPr>
        <w:spacing w:after="0"/>
        <w:jc w:val="left"/>
        <w:rPr>
          <w:sz w:val="20"/>
        </w:rPr>
        <w:sectPr>
          <w:pgSz w:w="11910" w:h="16840"/>
          <w:pgMar w:header="0" w:footer="699" w:top="1000" w:bottom="960" w:left="240" w:right="260"/>
        </w:sectPr>
      </w:pPr>
    </w:p>
    <w:p>
      <w:pPr>
        <w:pStyle w:val="BodyText"/>
        <w:spacing w:line="360" w:lineRule="auto" w:before="74"/>
        <w:ind w:left="1557" w:right="1201"/>
        <w:jc w:val="both"/>
      </w:pPr>
      <w:r>
        <w:rPr/>
        <w:t>see the quickest way to acquire liquid assets (like gilts and reserves at the Bank of England) by trying to reduce their holdings of less liquid assets – like bank loans. As a result of QE banks have very quickly come to hold substantially more reserves, so their holdings of liquid assets are far higher. This has happened without banks needing to liquidate less liquid assets. The build up in reserves means that banks are less reliant on raising wholesale funds to manage liquidity in the event of a shock. It is no accident that the cost of very short term wholesale funds has fallen a lot as banks’ reserves at the Bank</w:t>
      </w:r>
    </w:p>
    <w:p>
      <w:pPr>
        <w:pStyle w:val="BodyText"/>
        <w:spacing w:before="10"/>
        <w:rPr>
          <w:sz w:val="35"/>
        </w:rPr>
      </w:pPr>
    </w:p>
    <w:p>
      <w:pPr>
        <w:pStyle w:val="BodyText"/>
        <w:spacing w:line="360" w:lineRule="auto" w:before="1"/>
        <w:ind w:left="1557" w:right="1200"/>
        <w:jc w:val="both"/>
        <w:rPr>
          <w:b/>
          <w:i/>
        </w:rPr>
      </w:pPr>
      <w:r>
        <w:rPr/>
        <w:t>of England have gone up massively</w:t>
      </w:r>
      <w:r>
        <w:rPr>
          <w:b/>
          <w:i/>
        </w:rPr>
        <w:t>. </w:t>
      </w:r>
      <w:r>
        <w:rPr/>
        <w:t>The 3-month LIBOR-OIS spread has fallen to close to 30 basis points, its lowest level since January 2008, though still above spreads of close to 10 basis points around the beginning of 2007 (</w:t>
      </w:r>
      <w:r>
        <w:rPr>
          <w:b/>
        </w:rPr>
        <w:t>Chart 15</w:t>
      </w:r>
      <w:r>
        <w:rPr/>
        <w:t>)</w:t>
      </w:r>
      <w:r>
        <w:rPr>
          <w:b/>
          <w:i/>
        </w:rPr>
        <w:t>.</w:t>
      </w:r>
    </w:p>
    <w:p>
      <w:pPr>
        <w:pStyle w:val="BodyText"/>
        <w:rPr>
          <w:b/>
          <w:i/>
          <w:sz w:val="36"/>
        </w:rPr>
      </w:pPr>
    </w:p>
    <w:p>
      <w:pPr>
        <w:pStyle w:val="BodyText"/>
        <w:spacing w:line="360" w:lineRule="auto"/>
        <w:ind w:left="1557" w:right="1201"/>
        <w:jc w:val="both"/>
      </w:pPr>
      <w:r>
        <w:rPr/>
        <w:t>Holding more high quality liquid assets is what banks will ultimately need to do. New FSA rules on bank liquidity will come into force gradually over the next few years. They seem likely to mean that UK banks will need to hold significantly more highly liquid assets than they held before the crisis: perhaps in the tens of billions of pounds, or possibly even more. Some City analysts have put the figure in the hundreds of billions rather than tens of billions. For UK banks with largely sterling business it would be natural that a significant proportion of those liquid assets would be in the form  </w:t>
      </w:r>
      <w:r>
        <w:rPr>
          <w:spacing w:val="-6"/>
        </w:rPr>
        <w:t>of </w:t>
      </w:r>
      <w:r>
        <w:rPr/>
        <w:t>reserves at the Bank of England and gilts. So far sterling liquid assets have been accumulated most rapidly in the form of reserves at the Bank. Further down the road banks may well want to hold more of their sterling liquid assets in gilts and rather less as reserves. This is one way in which QE can naturally roll-off as banks reduce their reserves by buying gilts from the Bank of</w:t>
      </w:r>
      <w:r>
        <w:rPr>
          <w:spacing w:val="-7"/>
        </w:rPr>
        <w:t> </w:t>
      </w:r>
      <w:r>
        <w:rPr/>
        <w:t>England.</w:t>
      </w:r>
    </w:p>
    <w:p>
      <w:pPr>
        <w:pStyle w:val="BodyText"/>
        <w:spacing w:before="2"/>
        <w:rPr>
          <w:sz w:val="36"/>
        </w:rPr>
      </w:pPr>
    </w:p>
    <w:p>
      <w:pPr>
        <w:pStyle w:val="Heading1"/>
        <w:spacing w:before="1"/>
        <w:ind w:left="1557" w:firstLine="0"/>
      </w:pPr>
      <w:r>
        <w:rPr/>
        <w:t>Conclusion:</w:t>
      </w:r>
    </w:p>
    <w:p>
      <w:pPr>
        <w:pStyle w:val="BodyText"/>
        <w:rPr>
          <w:b/>
          <w:sz w:val="26"/>
        </w:rPr>
      </w:pPr>
    </w:p>
    <w:p>
      <w:pPr>
        <w:pStyle w:val="BodyText"/>
        <w:spacing w:before="9"/>
        <w:rPr>
          <w:b/>
          <w:sz w:val="21"/>
        </w:rPr>
      </w:pPr>
    </w:p>
    <w:p>
      <w:pPr>
        <w:pStyle w:val="BodyText"/>
        <w:spacing w:line="360" w:lineRule="auto"/>
        <w:ind w:left="1557" w:right="1200"/>
        <w:jc w:val="both"/>
      </w:pPr>
      <w:r>
        <w:rPr/>
        <w:t>In this speech I have discussed the potential channels through which QE can affect the economy. It is not possible to feel very confident about the precise impact of QE upon  the economy. There are economic models which would imply that the impact is small – though I believe they rely upon unrealistic assumptions, specifically about the efficiency and completeness of financial markets. The evidence suggests to me that large purchases by</w:t>
      </w:r>
      <w:r>
        <w:rPr>
          <w:spacing w:val="26"/>
        </w:rPr>
        <w:t> </w:t>
      </w:r>
      <w:r>
        <w:rPr/>
        <w:t>the</w:t>
      </w:r>
      <w:r>
        <w:rPr>
          <w:spacing w:val="27"/>
        </w:rPr>
        <w:t> </w:t>
      </w:r>
      <w:r>
        <w:rPr/>
        <w:t>Bank</w:t>
      </w:r>
      <w:r>
        <w:rPr>
          <w:spacing w:val="27"/>
        </w:rPr>
        <w:t> </w:t>
      </w:r>
      <w:r>
        <w:rPr/>
        <w:t>of</w:t>
      </w:r>
      <w:r>
        <w:rPr>
          <w:spacing w:val="27"/>
        </w:rPr>
        <w:t> </w:t>
      </w:r>
      <w:r>
        <w:rPr/>
        <w:t>England</w:t>
      </w:r>
      <w:r>
        <w:rPr>
          <w:spacing w:val="26"/>
        </w:rPr>
        <w:t> </w:t>
      </w:r>
      <w:r>
        <w:rPr/>
        <w:t>will</w:t>
      </w:r>
      <w:r>
        <w:rPr>
          <w:spacing w:val="27"/>
        </w:rPr>
        <w:t> </w:t>
      </w:r>
      <w:r>
        <w:rPr/>
        <w:t>help</w:t>
      </w:r>
      <w:r>
        <w:rPr>
          <w:spacing w:val="27"/>
        </w:rPr>
        <w:t> </w:t>
      </w:r>
      <w:r>
        <w:rPr/>
        <w:t>support</w:t>
      </w:r>
      <w:r>
        <w:rPr>
          <w:spacing w:val="27"/>
        </w:rPr>
        <w:t> </w:t>
      </w:r>
      <w:r>
        <w:rPr/>
        <w:t>spending</w:t>
      </w:r>
      <w:r>
        <w:rPr>
          <w:spacing w:val="26"/>
        </w:rPr>
        <w:t> </w:t>
      </w:r>
      <w:r>
        <w:rPr/>
        <w:t>and</w:t>
      </w:r>
      <w:r>
        <w:rPr>
          <w:spacing w:val="27"/>
        </w:rPr>
        <w:t> </w:t>
      </w:r>
      <w:r>
        <w:rPr/>
        <w:t>do</w:t>
      </w:r>
      <w:r>
        <w:rPr>
          <w:spacing w:val="26"/>
        </w:rPr>
        <w:t> </w:t>
      </w:r>
      <w:r>
        <w:rPr/>
        <w:t>so</w:t>
      </w:r>
      <w:r>
        <w:rPr>
          <w:spacing w:val="27"/>
        </w:rPr>
        <w:t> </w:t>
      </w:r>
      <w:r>
        <w:rPr/>
        <w:t>in</w:t>
      </w:r>
      <w:r>
        <w:rPr>
          <w:spacing w:val="27"/>
        </w:rPr>
        <w:t> </w:t>
      </w:r>
      <w:r>
        <w:rPr/>
        <w:t>a</w:t>
      </w:r>
      <w:r>
        <w:rPr>
          <w:spacing w:val="26"/>
        </w:rPr>
        <w:t> </w:t>
      </w:r>
      <w:r>
        <w:rPr/>
        <w:t>way</w:t>
      </w:r>
      <w:r>
        <w:rPr>
          <w:spacing w:val="27"/>
        </w:rPr>
        <w:t> </w:t>
      </w:r>
      <w:r>
        <w:rPr/>
        <w:t>that</w:t>
      </w:r>
      <w:r>
        <w:rPr>
          <w:spacing w:val="27"/>
        </w:rPr>
        <w:t> </w:t>
      </w:r>
      <w:r>
        <w:rPr/>
        <w:t>helps</w:t>
      </w:r>
      <w:r>
        <w:rPr>
          <w:spacing w:val="26"/>
        </w:rPr>
        <w:t> </w:t>
      </w:r>
      <w:r>
        <w:rPr/>
        <w:t>in</w:t>
      </w:r>
      <w:r>
        <w:rPr>
          <w:spacing w:val="26"/>
        </w:rPr>
        <w:t> </w:t>
      </w:r>
      <w:r>
        <w:rPr/>
        <w:t>a</w:t>
      </w:r>
    </w:p>
    <w:p>
      <w:pPr>
        <w:spacing w:after="0" w:line="360" w:lineRule="auto"/>
        <w:jc w:val="both"/>
        <w:sectPr>
          <w:pgSz w:w="11910" w:h="16840"/>
          <w:pgMar w:header="0" w:footer="699" w:top="1000" w:bottom="960" w:left="240" w:right="260"/>
        </w:sectPr>
      </w:pPr>
    </w:p>
    <w:p>
      <w:pPr>
        <w:pStyle w:val="BodyText"/>
        <w:spacing w:line="360" w:lineRule="auto" w:before="74"/>
        <w:ind w:left="1557" w:right="1201"/>
        <w:jc w:val="both"/>
      </w:pPr>
      <w:r>
        <w:rPr/>
        <w:t>transition to a more stable situation where banks may well play less of a role than they have in the recent past</w:t>
      </w:r>
      <w:r>
        <w:rPr>
          <w:vertAlign w:val="superscript"/>
        </w:rPr>
        <w:t>12</w:t>
      </w:r>
      <w:r>
        <w:rPr>
          <w:vertAlign w:val="baseline"/>
        </w:rPr>
        <w:t>.</w:t>
      </w:r>
    </w:p>
    <w:p>
      <w:pPr>
        <w:pStyle w:val="BodyText"/>
        <w:spacing w:before="10"/>
        <w:rPr>
          <w:sz w:val="35"/>
        </w:rPr>
      </w:pPr>
    </w:p>
    <w:p>
      <w:pPr>
        <w:pStyle w:val="BodyText"/>
        <w:spacing w:line="360" w:lineRule="auto"/>
        <w:ind w:left="1557" w:right="1200"/>
        <w:jc w:val="both"/>
      </w:pPr>
      <w:r>
        <w:rPr/>
        <w:t>It is however hard to decide what the appropriate scale of purchases is when the power of the mechanisms at work are difficult to gauge. Were the policy of asset purchases to be irreversible – or even very costly to reverse – that uncertainty would be a powerful reason to proceed slowly and to err on the side of doing too little QE because the costs of doing too much are large. But QE is not irreversible. The very large build up of commercial bank reserves at the Bank of England – in large part the counterpart of asset purchases (that is QE) – will likely be reversed. To the extent that commercial banks, needing to hold more liquid assets, decide to hold more gilts there is a natural way in which QE will be reversed. The Bank of England would sell gilts to banks and their reserves at the Bank of England would fall.</w:t>
      </w:r>
    </w:p>
    <w:p>
      <w:pPr>
        <w:pStyle w:val="BodyText"/>
        <w:spacing w:before="1"/>
        <w:rPr>
          <w:sz w:val="36"/>
        </w:rPr>
      </w:pPr>
    </w:p>
    <w:p>
      <w:pPr>
        <w:pStyle w:val="BodyText"/>
        <w:spacing w:line="360" w:lineRule="auto"/>
        <w:ind w:left="1557" w:right="1201"/>
        <w:jc w:val="both"/>
      </w:pPr>
      <w:r>
        <w:rPr/>
        <w:t>QE helps a transition to something more stable; quite possibly a world where banks do less intermediating between savers and investors and where bank assets are more liquid and their funding more predictable; and they are better capitalised. There are signs that  all this is happening – it might have happened anyway but QE is making it</w:t>
      </w:r>
      <w:r>
        <w:rPr>
          <w:spacing w:val="-11"/>
        </w:rPr>
        <w:t> </w:t>
      </w:r>
      <w:r>
        <w:rPr/>
        <w:t>easier.</w:t>
      </w:r>
    </w:p>
    <w:p>
      <w:pPr>
        <w:pStyle w:val="BodyText"/>
        <w:spacing w:line="360" w:lineRule="auto"/>
        <w:ind w:left="1557" w:right="1201"/>
        <w:jc w:val="both"/>
      </w:pPr>
      <w:r>
        <w:rPr/>
        <w:t>How do we know how much to do? There is a deceptively simple answer – by reference to the forecast for inflation. It is deceptively simple because in assessing the profile for inflation it is necessary to assess how all the channels we have discussed here might be working, their impact on nominal demand and how that interacts with the supply  potential of the economy to generate inflationary (or deflationary) pressures. But that deceptively simple answer is also important because it reflects the centrality of what is happening in the real economy to the timing of a reversal of the exceptional monetary easing we are seeing.</w:t>
      </w:r>
    </w:p>
    <w:p>
      <w:pPr>
        <w:pStyle w:val="BodyText"/>
        <w:rPr>
          <w:sz w:val="36"/>
        </w:rPr>
      </w:pPr>
    </w:p>
    <w:p>
      <w:pPr>
        <w:pStyle w:val="BodyText"/>
        <w:spacing w:line="360" w:lineRule="auto"/>
        <w:ind w:left="1557" w:right="1201"/>
        <w:jc w:val="both"/>
      </w:pPr>
      <w:r>
        <w:rPr/>
        <w:pict>
          <v:shape style="position:absolute;margin-left:89.879997pt;margin-top:105.763412pt;width:144pt;height:.1pt;mso-position-horizontal-relative:page;mso-position-vertical-relative:paragraph;z-index:-251650048;mso-wrap-distance-left:0;mso-wrap-distance-right:0" coordorigin="1798,2115" coordsize="2880,0" path="m1798,2115l4678,2115e" filled="false" stroked="true" strokeweight=".600010pt" strokecolor="#000000">
            <v:path arrowok="t"/>
            <v:stroke dashstyle="solid"/>
            <w10:wrap type="topAndBottom"/>
          </v:shape>
        </w:pict>
      </w:r>
      <w:r>
        <w:rPr/>
        <w:t>Clearly there is no necessity to reverse QE at the same pace at which the stock of purchases was built up and neither is there any need to start reversing it immediately after the Bank of England has stopped buying assets. Both the timing and the means of reversing the monetary easing depend on the economic outlook, which in turn depends on conditions in financial markets in general and with banks in particular.</w:t>
      </w:r>
    </w:p>
    <w:p>
      <w:pPr>
        <w:spacing w:before="49"/>
        <w:ind w:left="1557" w:right="1191" w:firstLine="0"/>
        <w:jc w:val="left"/>
        <w:rPr>
          <w:sz w:val="20"/>
        </w:rPr>
      </w:pPr>
      <w:r>
        <w:rPr>
          <w:position w:val="9"/>
          <w:sz w:val="13"/>
        </w:rPr>
        <w:t>12 </w:t>
      </w:r>
      <w:r>
        <w:rPr>
          <w:sz w:val="20"/>
        </w:rPr>
        <w:t>Bernanke, Reinhart and Sack (2004) report the results of very extensive analysis of whether non-standard central bank open market operations have affected bond prices (which is one of the key transmission mechanisms for QE). They conclude that there was an impact. (“Monetary Policy Alternatives at the Zero Bound”), Brookings Papers on Economic Activity, 2004.</w:t>
      </w:r>
    </w:p>
    <w:p>
      <w:pPr>
        <w:spacing w:after="0"/>
        <w:jc w:val="left"/>
        <w:rPr>
          <w:sz w:val="20"/>
        </w:rPr>
        <w:sectPr>
          <w:pgSz w:w="11910" w:h="16840"/>
          <w:pgMar w:header="0" w:footer="699" w:top="1000" w:bottom="960" w:left="240" w:right="260"/>
        </w:sectPr>
      </w:pPr>
    </w:p>
    <w:p>
      <w:pPr>
        <w:pStyle w:val="BodyText"/>
        <w:spacing w:before="5"/>
        <w:rPr>
          <w:sz w:val="2"/>
        </w:rPr>
      </w:pPr>
      <w:r>
        <w:rPr/>
        <w:pict>
          <v:group style="position:absolute;margin-left:37.049999pt;margin-top:129.929993pt;width:238.2pt;height:140.050pt;mso-position-horizontal-relative:page;mso-position-vertical-relative:page;z-index:-252594176" coordorigin="741,2599" coordsize="4764,2801">
            <v:shape style="position:absolute;left:741;top:2599;width:4763;height:2800" coordorigin="742,2599" coordsize="4763,2800" path="m5444,2599l5444,5399m5444,5399l5504,5399m5444,5149l5504,5149m5444,4885l5504,4885m5444,4637l5504,4637m5444,4387l5504,4387m5444,4123l5504,4123m5444,3875l5504,3875m5444,3611l5504,3611m5444,3361l5504,3361m5444,3113l5504,3113m5444,2849l5504,2849m5444,2599l5504,2599m742,5399l5444,5399m742,5399l742,5354m1022,5399l1022,5354m1303,5399l1303,5354m1585,5399l1585,5354m1866,5399l1866,5354m2148,5399l2148,5354m2429,5399l2429,5354m2711,5399l2711,5354m2972,5399l2972,5354m3253,5399l3253,5354m3535,5399l3535,5354m3816,5399l3816,5354m4097,5399l4097,5354m4379,5399l4379,5354m4660,5399l4660,5354m4942,5399l4942,5354m5222,5399l5222,5354e" filled="false" stroked="true" strokeweight=".06pt" strokecolor="#000000">
              <v:path arrowok="t"/>
              <v:stroke dashstyle="solid"/>
            </v:shape>
            <v:shape style="position:absolute;left:649;top:30601;width:2609;height:2866" coordorigin="650,30602" coordsize="2609,2866" path="m761,2644l781,2702m781,2702l802,2747m802,2747l841,2849m841,2849l862,2908m862,2908l901,2995m901,2995l922,3054m922,3054l942,3156m942,3156l982,3215m982,3215l1002,3259m1002,3259l1043,3332m1043,3332l1062,3347m1062,3347l1082,3347,1123,3347m1123,3347l1142,3361m1142,3361l1183,3361m1183,3361l1204,3332m1204,3332l1223,3318m1223,3318l1264,3288m1264,3288l1284,3259m1284,3259l1324,3259m1324,3259l1344,3361m1344,3361l1364,3464m1364,3464l1404,3566m1404,3566l1424,3670m1424,3670l1464,3713m1464,3713l1484,3698m1484,3698l1505,3670m1505,3670l1544,3640m1544,3640l1565,3611m1565,3611l1585,3566m1585,3566l1625,3670m1625,3670l1645,3772m1645,3772l1686,3875m1686,3875l1705,3977m1705,3977l1726,4080m1726,4080l1766,4094m1766,4094l1786,4123m1786,4123l1826,4138m1826,4138l1847,4168m1847,4168l1866,4182m1866,4182l1907,4182m1907,4182l1927,4196m1927,4196l1967,4212m1967,4212l1987,4212m1987,4212l2008,4226m2008,4226l2047,4212m2047,4212l2068,4212m2068,4212l2107,4196m2107,4196l2128,4182m2128,4182l2148,4182,2188,4182m2188,4182l2208,4196m2208,4196l2249,4212m2249,4212l2268,4212m2268,4212l2288,4226m2288,4226l2329,4285m2329,4285l2348,4328m2348,4328l2369,4387m2369,4387l2410,4432m2410,4432l2429,4475m2429,4475l2470,4490m2470,4490l2490,4490m2490,4490l2509,4505m2509,4505l2550,4505,2570,4505m2570,4505l2610,4519m2610,4519l2630,4519,2651,4519m2651,4519l2690,4534m2690,4534l2711,4534m2711,4534l2750,4548m2750,4548l2771,4548m2771,4548l2791,4564m2791,4564l2831,4578m2831,4578l2851,4578m2851,4578l2892,4637m2892,4637l2911,4680m2911,4680l2932,4739m2932,4739l2972,4783m2972,4783l2992,4842m2992,4842l3032,4826m3032,4826l3053,4812m3053,4812l3072,4812m3072,4812l3113,4798m3113,4798l3133,4783m3133,4783l3152,4769m3152,4769l3193,4753m3193,4753l3214,4724m3214,4724l3253,4710m3253,4710l3274,4680m3274,4680l3294,4694m3294,4694l3334,4710m3334,4710l3354,4710m3354,4710l3394,4724m3394,4724l3414,4739m3414,4739l3434,4769m3434,4769l3474,4812m3474,4812l3494,4842m3494,4842l3535,4885m3535,4885l3554,4885m3554,4885l3575,4944m3575,4944l3614,4988m3614,4988l3635,5047m3635,5047l3676,5062m3676,5062l3695,5090m3695,5090l3715,5076m3715,5076l3756,5076m3756,5076l3775,5062m3775,5062l3816,5047e" filled="false" stroked="true" strokeweight=".868742pt" strokecolor="#9a3365">
              <v:path arrowok="t"/>
              <v:stroke dashstyle="solid"/>
            </v:shape>
            <v:line style="position:absolute" from="3806,5047" to="3946,5047" stroked="true" strokeweight=".732548pt" strokecolor="#9a3365">
              <v:stroke dashstyle="solid"/>
            </v:line>
            <v:shape style="position:absolute;left:3360;top:30516;width:584;height:172" coordorigin="3361,30516" coordsize="584,172" path="m3936,5047l3977,5032m3977,5032l3997,5032,4037,5032,4057,5032,4078,5032m4078,5032l4117,5017m4117,5017l4138,5017,4177,5017,4198,5017,4218,5017m4218,5017l4258,5032m4258,5032l4278,5032,4319,5032,4338,5032,4358,5032m4358,5032l4399,5047m4399,5047l4418,5062m4418,5062l4459,5090m4459,5090l4480,5120m4480,5120l4499,5149m4499,5149l4540,5149,4560,5149,4600,5149m4600,5149l4620,5164e" filled="false" stroked="true" strokeweight=".868742pt" strokecolor="#9a3365">
              <v:path arrowok="t"/>
              <v:stroke dashstyle="solid"/>
            </v:shape>
            <v:line style="position:absolute" from="4610,5164" to="4931,5164" stroked="true" strokeweight=".732548pt" strokecolor="#9a3365">
              <v:stroke dashstyle="solid"/>
            </v:line>
            <v:shape style="position:absolute;left:4201;top:30516;width:155;height:172" coordorigin="4202,30516" coordsize="155,172" path="m4921,5164l4962,5149m4962,5149l4981,5120m4981,5120l5002,5090m5002,5090l5042,5062m5042,5062l5062,5047m5062,5047l5102,5017e" filled="false" stroked="true" strokeweight=".868742pt" strokecolor="#9a3365">
              <v:path arrowok="t"/>
              <v:stroke dashstyle="solid"/>
            </v:shape>
            <v:shape style="position:absolute;left:2554;top:30927;width:584;height:686" coordorigin="2554,30928" coordsize="584,686" path="m2992,4798l3032,4812m3032,4812l3053,4694m3053,4694l3072,4710m3072,4710l3113,4694m3113,4694l3133,4694m3133,4694l3152,4710m3152,4710l3193,4694m3193,4694l3214,4710m3214,4710l3253,4710m3253,4710l3274,4739m3274,4739l3294,4694m3294,4694l3334,4739m3334,4739l3354,4651m3354,4651l3394,4621m3394,4621l3414,4651m3414,4651l3434,4651m3434,4651l3474,4694m3474,4694l3494,4666m3494,4666l3535,4739m3535,4739l3554,4621m3554,4621l3575,4460m3575,4460l3614,4387m3614,4387l3635,4226m3635,4226l3676,4285e" filled="false" stroked="true" strokeweight=".868742pt" strokecolor="#3365ff">
              <v:path arrowok="t"/>
              <v:stroke dashstyle="solid"/>
            </v:shape>
            <v:line style="position:absolute" from="3685,4275" to="3685,4544" stroked="true" strokeweight="1.963332pt" strokecolor="#3365ff">
              <v:stroke dashstyle="solid"/>
            </v:line>
            <v:shape style="position:absolute;left:3154;top:30618;width:1477;height:636" coordorigin="3155,30619" coordsize="1477,636" path="m3695,4534l3715,4710m3715,4710l3756,4812m3756,4812l3775,4826m3775,4826l3816,4915m3816,4915l3836,4944m3836,4944l3856,4900m3856,4900l3896,4930m3896,4930l3917,4930m3917,4930l3936,4900m3936,4900l3977,4871m3977,4871l3997,4842m3997,4842l4037,4826m4037,4826l4057,4812m4057,4812l4078,4842m4078,4842l4117,4842m4117,4842l4138,4783m4138,4783l4177,4739m4177,4739l4198,4783m4198,4783l4218,4753m4218,4753l4258,4710m4258,4710l4278,4666m4278,4666l4319,4694m4901,5047l4921,5047m4921,5047l4962,5076m4962,5076l4981,5062m4981,5062l5002,5076m5002,5076l5042,5032m5042,5032l5062,4988m5062,4988l5102,4988m5102,4988l5123,4973m5123,4973l5142,4915m5142,4915l5183,4930m5183,4930l5203,4944m5203,4944l5243,4973m5243,4973l5263,4958m5263,4958l5284,4958m5284,4958l5323,4973m5323,4973l5344,4988m5344,4988l5383,4988m5383,4988l5404,4973m5404,4973l5424,4988e" filled="false" stroked="true" strokeweight=".868742pt" strokecolor="#3365ff">
              <v:path arrowok="t"/>
              <v:stroke dashstyle="solid"/>
            </v:shape>
            <w10:wrap type="none"/>
          </v:group>
        </w:pict>
      </w:r>
      <w:r>
        <w:rPr/>
        <w:pict>
          <v:group style="position:absolute;margin-left:313.980011pt;margin-top:113.339996pt;width:236pt;height:159.1pt;mso-position-horizontal-relative:page;mso-position-vertical-relative:page;z-index:-252593152" coordorigin="6280,2267" coordsize="4720,3182">
            <v:shape style="position:absolute;left:6428;top:2583;width:4571;height:2865" coordorigin="6428,2584" coordsize="4571,2865" path="m10943,2584l10943,5448m10943,5448l10999,5448m10943,5036l10999,5036m10943,4625l10999,4625m10943,4213l10999,4213m10943,3818l10999,3818m10943,3407l10999,3407m10943,2995l10999,2995m10943,2584l10999,2584m6428,5448l10943,5448m6428,5448l6428,5400m6972,5448l6972,5400m7534,5448l7534,5400m8077,5448l8077,5400m8639,5448l8639,5400m9182,5448l9182,5400m9726,5448l9726,5400m10288,5448l10288,5400m10830,5448l10830,5400e" filled="false" stroked="true" strokeweight=".06pt" strokecolor="#000000">
              <v:path arrowok="t"/>
              <v:stroke dashstyle="solid"/>
            </v:shape>
            <v:line style="position:absolute" from="6428,2964" to="6541,3264" stroked="true" strokeweight=".918723pt" strokecolor="#3365ff">
              <v:stroke dashstyle="solid"/>
            </v:line>
            <v:shape style="position:absolute;left:6012;top:29286;width:4046;height:2324" coordorigin="6012,29286" coordsize="4046,2324" path="m6541,3264l6654,3944m6654,3944l6766,4103m6766,4103l6878,4134m6878,4134l6972,4609m6972,4609l7085,4735m7085,4735l7196,4847m7196,4847l7309,4909m7309,4909l7422,4988m7422,4988l7534,4957m7534,4957l7646,5021m7646,5021l7759,5083m7759,5083l7853,5068m7853,5068l7964,5195m7964,5195l8077,5242m8077,5242l8190,5210m8190,5210l8302,5242m8302,5242l8414,5226m8527,5226l8639,5210m8639,5210l8732,5226m8958,5226l9070,5242m9070,5242l9182,5274m9182,5274l9295,5242m9295,5242l9407,5226m9407,5226l9520,5210m9520,5210l9613,5242m9613,5242l9726,5257m9726,5257l9838,5305m9838,5305l9950,5321m9950,5321l10062,5384m10062,5384l10175,5369,10288,5353m10288,5353l10399,5400m10399,5400l10493,5400,10606,5400m10606,5400l10718,5384m10718,5384l10830,5400m10830,5400l10943,5290e" filled="false" stroked="true" strokeweight=".86406pt" strokecolor="#3365ff">
              <v:path arrowok="t"/>
              <v:stroke dashstyle="solid"/>
            </v:shape>
            <v:line style="position:absolute" from="6428,4198" to="6541,4261" stroked="true" strokeweight=".826443pt" strokecolor="#9a3365">
              <v:stroke dashstyle="solid"/>
            </v:line>
            <v:shape style="position:absolute;left:6012;top:29269;width:4046;height:1256" coordorigin="6012,29269" coordsize="4046,1256" path="m6541,4261l6654,4625m6654,4625l6766,4625m6766,4625l6878,4799m6878,4799l6972,5004m6972,5004l7085,5004m7085,5004l7196,5068m7196,5068l7309,5116m7309,5116l7422,5147m7422,5147l7534,5131m7534,5131l7646,5195m7646,5195l7759,5210m7853,5210l7964,5305m7964,5305l8077,5336m8077,5336l8190,5321m8190,5321l8302,5336m8302,5336l8414,5321m8414,5321l8527,5336m8527,5336l8639,5305m8639,5305l8732,5290m8732,5290l8845,5290m8845,5290l8958,5274m8958,5274l9070,5290m9070,5290l9182,5336m9182,5336l9295,5353m9295,5353l9407,5336m9407,5336l9520,5305m9520,5305l9613,5353m9613,5353l9726,5369m9726,5369l9838,5384m9838,5384l9950,5384m9950,5384l10062,5416m10062,5416l10175,5384m10175,5384l10288,5369m10288,5369l10399,5384m10399,5384l10493,5400m10493,5400l10606,5400m10606,5400l10718,5384m10718,5384l10830,5400m10830,5400l10943,5305e" filled="false" stroked="true" strokeweight=".86406pt" strokecolor="#9a3365">
              <v:path arrowok="t"/>
              <v:stroke dashstyle="solid"/>
            </v:shape>
            <v:line style="position:absolute" from="6428,4499" to="6541,4514" stroked="true" strokeweight=".794128pt" strokecolor="#ff9a00">
              <v:stroke dashstyle="solid"/>
            </v:line>
            <v:shape style="position:absolute;left:6012;top:29303;width:4046;height:947" coordorigin="6012,29303" coordsize="4046,947" path="m6541,4514l6654,4830m6654,4830l6766,4878m6766,4878l6878,4988m6878,4988l6972,5147m6972,5147l7085,5116m7085,5116l7196,5162m7196,5162l7309,5162m7309,5162l7422,5178m7422,5178l7534,5195m7534,5195l7646,5257m7646,5257l7759,5274m7759,5274l7853,5305m7853,5305l7964,5353m7964,5353l8077,5384m8077,5384l8190,5369m8190,5369l8302,5384m8302,5384l8414,5369m8414,5369l8527,5369m8527,5369l8639,5336m8639,5336l8732,5336m8732,5336l8845,5321m8845,5321l8958,5321,9070,5321m9070,5321l9182,5353m9182,5353l9295,5353,9407,5353m9407,5353l9520,5321m9520,5321l9613,5353m9613,5353l9726,5336m9726,5336l9838,5353m9838,5353l9950,5353m9950,5353l10062,5384m10062,5384l10175,5369,10288,5353m10288,5353l10399,5369m10399,5369l10493,5384m10493,5384l10606,5384m10606,5384l10718,5369m10718,5369l10830,5384m10830,5384l10943,5305e" filled="false" stroked="true" strokeweight=".86406pt" strokecolor="#ff9a00">
              <v:path arrowok="t"/>
              <v:stroke dashstyle="solid"/>
            </v:shape>
            <v:shape style="position:absolute;left:6747;top:3706;width:2772;height:1742" coordorigin="6748,3707" coordsize="2772,1742" path="m6766,5416l6748,5416,6748,5448,6766,5448,6766,5416m6766,5321l6748,5321,6748,5353,6766,5353,6766,5321m6766,5226l6748,5226,6748,5257,6766,5257,6766,5226m6766,5131l6748,5131,6748,5162,6766,5162,6766,5131m6766,5036l6748,5036,6748,5068,6766,5068,6766,5036m6766,4942l6748,4942,6748,4973,6766,4973,6766,4942m6766,4847l6748,4847,6748,4878,6766,4878,6766,4847m6766,4751l6748,4751,6748,4783,6766,4783,6766,4751m6766,4656l6748,4656,6748,4688,6766,4688,6766,4656m6766,4561l6748,4561,6748,4594,6766,4594,6766,4561m6766,4466l6748,4466,6748,4499,6766,4499,6766,4466m6766,4372l6748,4372,6748,4403,6766,4403,6766,4372m6766,4277l6748,4277,6748,4308,6766,4308,6766,4277m6766,4182l6748,4182,6748,4213,6766,4213,6766,4182m6766,4087l6748,4087,6748,4118,6766,4118,6766,4087m6766,3992l6748,3992,6748,4024,6766,4024,6766,3992m6766,3896l6748,3896,6748,3929,6766,3929,6766,3896m6766,3802l6748,3802,6748,3834,6766,3834,6766,3802m6766,3707l6748,3707,6748,3739,6766,3739,6766,3707m7853,5416l7834,5416,7834,5448,7853,5448,7853,5416m7853,5321l7834,5321,7834,5353,7853,5353,7853,5321m7853,5226l7834,5226,7834,5257,7853,5257,7853,5226m7853,5131l7834,5131,7834,5162,7853,5162,7853,5131m7853,5036l7834,5036,7834,5068,7853,5068,7853,5036m7853,4942l7834,4942,7834,4973,7853,4973,7853,4942m7853,4847l7834,4847,7834,4878,7853,4878,7853,4847m7853,4751l7834,4751,7834,4783,7853,4783,7853,4751m7853,4656l7834,4656,7834,4688,7853,4688,7853,4656m7853,4561l7834,4561,7834,4594,7853,4594,7853,4561m7853,4466l7834,4466,7834,4499,7853,4499,7853,4466m7853,4387l7834,4387,7834,4403,7853,4403,7853,4387m9520,5416l9500,5416,9500,5448,9520,5448,9520,5416m9520,5321l9500,5321,9500,5353,9520,5353,9520,5321m9520,5226l9500,5226,9500,5257,9520,5257,9520,5226m9520,5131l9500,5131,9500,5162,9520,5162,9520,5131m9520,5036l9500,5036,9500,5068,9520,5068,9520,5036m9520,4942l9500,4942,9500,4973,9520,4973,9520,4942m9520,4847l9500,4847,9500,4878,9520,4878,9520,4847e" filled="true" fillcolor="#010000" stroked="false">
              <v:path arrowok="t"/>
              <v:fill type="solid"/>
            </v:shape>
            <v:rect style="position:absolute;left:6279;top:2266;width:2042;height:760" filled="true" fillcolor="#ffffff" stroked="false">
              <v:fill type="solid"/>
            </v:rect>
            <w10:wrap type="none"/>
          </v:group>
        </w:pict>
      </w:r>
      <w:r>
        <w:rPr/>
        <w:pict>
          <v:group style="position:absolute;margin-left:28.110001pt;margin-top:372.419983pt;width:238.05pt;height:148.550pt;mso-position-horizontal-relative:page;mso-position-vertical-relative:page;z-index:-252592128" coordorigin="562,7448" coordsize="4761,2971">
            <v:rect style="position:absolute;left:738;top:9728;width:234;height:225" filled="true" fillcolor="#ffcc00" stroked="false">
              <v:fill type="solid"/>
            </v:rect>
            <v:shape style="position:absolute;left:739;top:9624;width:234;height:106" type="#_x0000_t75" stroked="false">
              <v:imagedata r:id="rId11" o:title=""/>
            </v:shape>
            <v:rect style="position:absolute;left:738;top:9622;width:234;height:106" filled="false" stroked="true" strokeweight=".787765pt" strokecolor="#ffcc00">
              <v:stroke dashstyle="solid"/>
            </v:rect>
            <v:rect style="position:absolute;left:738;top:9548;width:234;height:75" filled="true" fillcolor="#9a3365" stroked="false">
              <v:fill type="solid"/>
            </v:rect>
            <v:shape style="position:absolute;left:739;top:9534;width:234;height:16" type="#_x0000_t75" stroked="false">
              <v:imagedata r:id="rId12" o:title=""/>
            </v:shape>
            <v:rect style="position:absolute;left:728;top:9525;width:254;height:31" filled="true" fillcolor="#9a3365" stroked="false">
              <v:fill type="solid"/>
            </v:rect>
            <v:rect style="position:absolute;left:738;top:9952;width:234;height:256" filled="true" fillcolor="#3365ff" stroked="false">
              <v:fill type="solid"/>
            </v:rect>
            <v:rect style="position:absolute;left:1323;top:9652;width:234;height:300" filled="true" fillcolor="#ffcc00" stroked="false">
              <v:fill type="solid"/>
            </v:rect>
            <v:shape style="position:absolute;left:1324;top:9534;width:234;height:120" type="#_x0000_t75" stroked="false">
              <v:imagedata r:id="rId13" o:title=""/>
            </v:shape>
            <v:rect style="position:absolute;left:1323;top:9532;width:234;height:120" filled="false" stroked="true" strokeweight=".796572pt" strokecolor="#ffcc00">
              <v:stroke dashstyle="solid"/>
            </v:rect>
            <v:rect style="position:absolute;left:1323;top:9428;width:234;height:105" filled="true" fillcolor="#9a3365" stroked="false">
              <v:fill type="solid"/>
            </v:rect>
            <v:shape style="position:absolute;left:1324;top:9399;width:234;height:30" type="#_x0000_t75" stroked="false">
              <v:imagedata r:id="rId14" o:title=""/>
            </v:shape>
            <v:rect style="position:absolute;left:1313;top:9390;width:254;height:45" filled="true" fillcolor="#9a3365" stroked="false">
              <v:fill type="solid"/>
            </v:rect>
            <v:rect style="position:absolute;left:1323;top:9952;width:234;height:150" filled="true" fillcolor="#3365ff" stroked="false">
              <v:fill type="solid"/>
            </v:rect>
            <v:rect style="position:absolute;left:1909;top:9608;width:234;height:345" filled="true" fillcolor="#ffcc00" stroked="false">
              <v:fill type="solid"/>
            </v:rect>
            <v:shape style="position:absolute;left:1910;top:9444;width:234;height:166" type="#_x0000_t75" stroked="false">
              <v:imagedata r:id="rId15" o:title=""/>
            </v:shape>
            <v:rect style="position:absolute;left:1909;top:9442;width:234;height:166" filled="false" stroked="true" strokeweight=".824889pt" strokecolor="#ffcc00">
              <v:stroke dashstyle="solid"/>
            </v:rect>
            <v:rect style="position:absolute;left:1909;top:9338;width:234;height:105" filled="true" fillcolor="#9a3365" stroked="false">
              <v:fill type="solid"/>
            </v:rect>
            <v:shape style="position:absolute;left:1910;top:9309;width:234;height:30" type="#_x0000_t75" stroked="false">
              <v:imagedata r:id="rId16" o:title=""/>
            </v:shape>
            <v:rect style="position:absolute;left:1899;top:9300;width:254;height:45" filled="true" fillcolor="#9a3365" stroked="false">
              <v:fill type="solid"/>
            </v:rect>
            <v:rect style="position:absolute;left:1909;top:9248;width:234;height:60" filled="true" fillcolor="#3365ff" stroked="false">
              <v:fill type="solid"/>
            </v:rect>
            <v:rect style="position:absolute;left:2493;top:9562;width:255;height:390" filled="true" fillcolor="#ffcc00" stroked="false">
              <v:fill type="solid"/>
            </v:rect>
            <v:shape style="position:absolute;left:2494;top:9294;width:255;height:270" type="#_x0000_t75" stroked="false">
              <v:imagedata r:id="rId17" o:title=""/>
            </v:shape>
            <v:rect style="position:absolute;left:2493;top:9292;width:255;height:270" filled="false" stroked="true" strokeweight=".86912pt" strokecolor="#ffcc00">
              <v:stroke dashstyle="solid"/>
            </v:rect>
            <v:rect style="position:absolute;left:2493;top:9158;width:255;height:135" filled="true" fillcolor="#9a3365" stroked="false">
              <v:fill type="solid"/>
            </v:rect>
            <v:shape style="position:absolute;left:2494;top:9129;width:255;height:30" type="#_x0000_t75" stroked="false">
              <v:imagedata r:id="rId18" o:title=""/>
            </v:shape>
            <v:rect style="position:absolute;left:2483;top:9120;width:274;height:45" filled="true" fillcolor="#9a3365" stroked="false">
              <v:fill type="solid"/>
            </v:rect>
            <v:rect style="position:absolute;left:2493;top:8992;width:255;height:136" filled="true" fillcolor="#3365ff" stroked="false">
              <v:fill type="solid"/>
            </v:rect>
            <v:rect style="position:absolute;left:3098;top:9592;width:236;height:360" filled="true" fillcolor="#ffcc00" stroked="false">
              <v:fill type="solid"/>
            </v:rect>
            <v:shape style="position:absolute;left:3099;top:9204;width:236;height:390" type="#_x0000_t75" stroked="false">
              <v:imagedata r:id="rId19" o:title=""/>
            </v:shape>
            <v:rect style="position:absolute;left:3098;top:9202;width:236;height:390" filled="false" stroked="true" strokeweight=".915059pt" strokecolor="#ffcc00">
              <v:stroke dashstyle="solid"/>
            </v:rect>
            <v:rect style="position:absolute;left:3098;top:9008;width:236;height:195" filled="true" fillcolor="#9a3365" stroked="false">
              <v:fill type="solid"/>
            </v:rect>
            <v:shape style="position:absolute;left:3099;top:8964;width:236;height:46" type="#_x0000_t75" stroked="false">
              <v:imagedata r:id="rId20" o:title=""/>
            </v:shape>
            <v:rect style="position:absolute;left:3098;top:8962;width:236;height:46" filled="false" stroked="true" strokeweight=".757755pt" strokecolor="#9a3365">
              <v:stroke dashstyle="solid"/>
            </v:rect>
            <v:rect style="position:absolute;left:3098;top:8752;width:236;height:210" filled="true" fillcolor="#3365ff" stroked="false">
              <v:fill type="solid"/>
            </v:rect>
            <v:rect style="position:absolute;left:3683;top:9622;width:234;height:330" filled="true" fillcolor="#ffcc00" stroked="false">
              <v:fill type="solid"/>
            </v:rect>
            <v:shape style="position:absolute;left:3685;top:9069;width:234;height:555" type="#_x0000_t75" stroked="false">
              <v:imagedata r:id="rId21" o:title=""/>
            </v:shape>
            <v:rect style="position:absolute;left:3684;top:9068;width:234;height:555" filled="false" stroked="true" strokeweight=".941126pt" strokecolor="#ffcc00">
              <v:stroke dashstyle="solid"/>
            </v:rect>
            <v:rect style="position:absolute;left:3683;top:8842;width:234;height:226" filled="true" fillcolor="#9a3365" stroked="false">
              <v:fill type="solid"/>
            </v:rect>
            <v:shape style="position:absolute;left:3685;top:8784;width:234;height:60" type="#_x0000_t75" stroked="false">
              <v:imagedata r:id="rId22" o:title=""/>
            </v:shape>
            <v:rect style="position:absolute;left:3684;top:8782;width:234;height:60" filled="false" stroked="true" strokeweight=".763503pt" strokecolor="#9a3365">
              <v:stroke dashstyle="solid"/>
            </v:rect>
            <v:rect style="position:absolute;left:3683;top:8542;width:234;height:240" filled="true" fillcolor="#3365ff" stroked="false">
              <v:fill type="solid"/>
            </v:rect>
            <v:rect style="position:absolute;left:4269;top:9652;width:234;height:300" filled="true" fillcolor="#ffcc00" stroked="false">
              <v:fill type="solid"/>
            </v:rect>
            <v:shape style="position:absolute;left:4270;top:9009;width:234;height:645" type="#_x0000_t75" stroked="false">
              <v:imagedata r:id="rId23" o:title=""/>
            </v:shape>
            <v:rect style="position:absolute;left:4269;top:9008;width:234;height:645" filled="false" stroked="true" strokeweight=".948958pt" strokecolor="#ffcc00">
              <v:stroke dashstyle="solid"/>
            </v:rect>
            <v:rect style="position:absolute;left:4269;top:8738;width:234;height:270" filled="true" fillcolor="#9a3365" stroked="false">
              <v:fill type="solid"/>
            </v:rect>
            <v:shape style="position:absolute;left:4270;top:8664;width:234;height:76" type="#_x0000_t75" stroked="false">
              <v:imagedata r:id="rId24" o:title=""/>
            </v:shape>
            <v:rect style="position:absolute;left:4269;top:8662;width:234;height:76" filled="false" stroked="true" strokeweight=".77091pt" strokecolor="#9a3365">
              <v:stroke dashstyle="solid"/>
            </v:rect>
            <v:rect style="position:absolute;left:4269;top:8242;width:234;height:420" filled="true" fillcolor="#3365ff" stroked="false">
              <v:fill type="solid"/>
            </v:rect>
            <v:rect style="position:absolute;left:4855;top:9848;width:234;height:105" filled="true" fillcolor="#ffcc00" stroked="false">
              <v:fill type="solid"/>
            </v:rect>
            <v:shape style="position:absolute;left:4856;top:9024;width:234;height:826" type="#_x0000_t75" stroked="false">
              <v:imagedata r:id="rId25" o:title=""/>
            </v:shape>
            <v:rect style="position:absolute;left:4855;top:9022;width:234;height:826" filled="false" stroked="true" strokeweight=".958467pt" strokecolor="#ffcc00">
              <v:stroke dashstyle="solid"/>
            </v:rect>
            <v:rect style="position:absolute;left:4855;top:8648;width:234;height:375" filled="true" fillcolor="#9a3365" stroked="false">
              <v:fill type="solid"/>
            </v:rect>
            <v:shape style="position:absolute;left:4856;top:8574;width:234;height:76" type="#_x0000_t75" stroked="false">
              <v:imagedata r:id="rId26" o:title=""/>
            </v:shape>
            <v:rect style="position:absolute;left:4855;top:8572;width:234;height:76" filled="false" stroked="true" strokeweight=".77091pt" strokecolor="#9a3365">
              <v:stroke dashstyle="solid"/>
            </v:rect>
            <v:rect style="position:absolute;left:4855;top:8002;width:234;height:570" filled="true" fillcolor="#3365ff" stroked="false">
              <v:fill type="solid"/>
            </v:rect>
            <v:shape style="position:absolute;left:562;top:7628;width:4761;height:2790" coordorigin="563,7628" coordsize="4761,2790" path="m5264,7628l5264,10418m5264,10418l5323,10418m5264,9953l5323,9953m5264,9488l5323,9488m5264,9023l5323,9023m5264,8558l5323,8558m5264,8093l5323,8093m5264,7628l5323,7628m563,9953l5264,9953m563,9998l563,9953m1148,9998l1148,9953m1733,9998l1733,9953m2318,9998l2318,9953m2923,9998l2923,9953m3509,9998l3509,9953m4094,9998l4094,9953m4679,9998l4679,9953m5264,9998l5264,9953e" filled="false" stroked="true" strokeweight=".06pt" strokecolor="#000000">
              <v:path arrowok="t"/>
              <v:stroke dashstyle="solid"/>
            </v:shape>
            <v:shape style="position:absolute;left:750;top:24883;width:3609;height:2037" coordorigin="750,24883" coordsize="3609,2037" path="m856,9788l1440,9563m1440,9563l2026,9248m2026,9248l2611,8993m2611,8993l3216,8753m3216,8753l3802,8543m3802,8543l4387,8243m4387,8243l4972,8003e" filled="false" stroked="true" strokeweight=".862413pt" strokecolor="#9acc00">
              <v:path arrowok="t"/>
              <v:stroke dashstyle="solid"/>
            </v:shape>
            <v:line style="position:absolute" from="856,7493" to="1362,7493" stroked="true" strokeweight="4.500024pt" strokecolor="#3365ff">
              <v:stroke dashstyle="solid"/>
            </v:line>
            <v:shape style="position:absolute;left:856;top:7599;width:507;height:90" type="#_x0000_t75" stroked="false">
              <v:imagedata r:id="rId27" o:title=""/>
            </v:shape>
            <v:rect style="position:absolute;left:855;top:7598;width:507;height:90" filled="false" stroked="true" strokeweight=".75649pt" strokecolor="#9a3365">
              <v:stroke dashstyle="solid"/>
            </v:rect>
            <v:line style="position:absolute" from="856,7778" to="1362,7778" stroked="true" strokeweight="4.500024pt" strokecolor="#9a3365">
              <v:stroke dashstyle="solid"/>
            </v:line>
            <v:shape style="position:absolute;left:856;top:7884;width:507;height:90" type="#_x0000_t75" stroked="false">
              <v:imagedata r:id="rId28" o:title=""/>
            </v:shape>
            <v:rect style="position:absolute;left:855;top:7882;width:507;height:90" filled="false" stroked="true" strokeweight=".75649pt" strokecolor="#ffcc00">
              <v:stroke dashstyle="solid"/>
            </v:rect>
            <v:line style="position:absolute" from="856,8063" to="1362,8063" stroked="true" strokeweight="4.500024pt" strokecolor="#ffcc00">
              <v:stroke dashstyle="solid"/>
            </v:line>
            <v:line style="position:absolute" from="856,8213" to="1382,8213" stroked="true" strokeweight=".74958pt" strokecolor="#9acc00">
              <v:stroke dashstyle="solid"/>
            </v:line>
            <w10:wrap type="none"/>
          </v:group>
        </w:pict>
      </w:r>
      <w:r>
        <w:rPr/>
        <w:pict>
          <v:group style="position:absolute;margin-left:326.970001pt;margin-top:381.329987pt;width:225.95pt;height:145.1pt;mso-position-horizontal-relative:page;mso-position-vertical-relative:page;z-index:-252591104" coordorigin="6539,7627" coordsize="4519,2902">
            <v:shape style="position:absolute;left:6540;top:7627;width:4518;height:2901" coordorigin="6540,7627" coordsize="4518,2901" path="m11014,7627l11014,10528m11014,10528l11058,10528m11014,10205l11058,10205m11014,9883l11058,9883m11014,9560l11058,9560m11014,9239l11058,9239m11014,8916l11058,8916m11014,8594l11058,8594m11014,8272l11058,8272m11014,7950l11058,7950m11014,7627l11058,7627m6540,10205l11014,10205m6540,10205l6540,10164m6964,10205l6964,10164m7397,10205l7397,10164m7820,10205l7820,10164m8243,10205l8243,10164m8665,10205l8665,10164m9100,10205l9100,10164m9522,10205l9522,10164m9946,10205l9946,10164m10379,10205l10379,10164m10802,10205l10802,10164e" filled="false" stroked="true" strokeweight=".06pt" strokecolor="#000000">
              <v:path arrowok="t"/>
              <v:stroke dashstyle="solid"/>
            </v:shape>
            <v:shape style="position:absolute;left:6343;top:23747;width:3603;height:1205" coordorigin="6343,23747" coordsize="3603,1205" path="m6563,9301l6596,9103m6596,9103l6629,9311m6629,9311l6662,9166m6662,9166l6696,9259m6696,9259l6740,9155m6740,9155l6774,9145m6774,9145l6808,9166m6808,9166l6841,9332m6841,9332l6874,9301m6874,9301l6918,9415m6918,9415l6952,9311m6952,9311l6985,9404m6985,9404l7019,9520m7019,9520l7052,9488,7086,9457m7086,9457l7130,9478m7130,9478l7163,9467m7163,9467l7196,9488m7196,9488l7230,9488,7264,9488m7264,9488l7308,9520m7308,9520l7342,9520m7342,9520l7375,9540m7375,9540l7408,9551m7408,9551l7441,9415m7441,9415l7486,9520m7486,9520l7519,9373m7519,9373l7553,9332m7553,9332l7586,9436m7586,9436l7620,9446m7620,9446l7664,9301m7664,9301l7698,9248m7698,9248l7730,9186m7730,9186l7764,9000m7764,9000l7798,9176m7798,9176l7831,9217m7831,9217l7876,9217m7876,9217l7909,9259m7909,9259l7943,9290m7943,9290l7975,9280m7975,9280l8009,9270m8009,9270l8053,9353m8053,9353l8087,9353m8087,9353l8120,9364m8120,9364l8154,9364,8186,9364m8186,9364l8232,9384m8232,9384l8264,9415m8264,9415l8298,9259m8298,9259l8332,9353m8332,9353l8365,9384m8365,9384l8410,9404m8410,9404l8443,9404m8443,9404l8477,9280m8477,9280l8509,9353m8509,9353l8543,9373m8543,9373l8576,9384m8576,9384l8621,9551m8621,9551l8654,9488m8654,9488l8688,9467m8688,9467l8722,9571m8722,9571l8754,9520m8754,9520l8798,9540m8798,9540l8832,9685m8832,9685l8866,9738m8866,9738l8899,9634m8899,9634l8933,9768m8933,9768l8977,9676m8977,9676l9011,9676,9043,9676,9077,9676m9077,9676l9110,9696m9110,9696l9155,9707m9155,9707l9188,9707m9188,9707l9222,9727m9222,9727l9256,9727m9256,9727l9288,9707m9288,9707l9322,9707m9322,9707l9366,9551m9366,9551l9400,9634m9400,9634l9433,9654m9433,9654l9467,9654m9467,9654l9500,9676m9500,9676l9545,9676m9545,9676l9578,9665m9578,9665l9611,9685m9611,9685l9644,9676m9644,9676l9678,9685m9678,9685l9722,9685m9722,9685l9756,9696m9756,9696l9790,9862m9790,9862l9823,9779m9823,9779l9856,9790m9856,9790l9900,9935m9900,9935l9934,9862m9934,9862l9967,10018m9967,10018l10001,9946m10001,9946l10034,9935m10034,9935l10068,9946m10068,9946l10112,10102m10112,10102l10145,10008m10145,10008l10178,10164m10178,10164l10212,10102m10212,10102l10246,10091m10246,10091l10290,10080e" filled="false" stroked="true" strokeweight="1.075622pt" strokecolor="#000080">
              <v:path arrowok="t"/>
              <v:stroke dashstyle="solid"/>
            </v:shape>
            <v:rect style="position:absolute;left:10290;top:10069;width:34;height:21" filled="true" fillcolor="#000080" stroked="false">
              <v:fill type="solid"/>
            </v:rect>
            <v:shape style="position:absolute;left:9978;top:23834;width:345;height:409" coordorigin="9978,23834" coordsize="345,409" path="m10324,10080l10357,9904m10357,9904l10390,9955m10390,9955l10423,9790m10423,9790l10468,9852m10468,9852l10501,9685m10501,9685l10535,9738m10535,9738l10568,9716m10568,9716l10602,9696m10602,9696l10646,9696m10646,9696l10680,9685e" filled="false" stroked="true" strokeweight="1.075622pt" strokecolor="#000080">
              <v:path arrowok="t"/>
              <v:stroke dashstyle="solid"/>
            </v:shape>
            <v:line style="position:absolute" from="10696,9342" to="10696,9696" stroked="true" strokeweight="2.73183pt" strokecolor="#000080">
              <v:stroke dashstyle="solid"/>
            </v:line>
            <v:line style="position:absolute" from="10712,9353" to="10746,8573" stroked="true" strokeweight="1.112081pt" strokecolor="#000080">
              <v:stroke dashstyle="solid"/>
            </v:line>
            <v:shape style="position:absolute;left:10734;top:8052;width:256;height:531" type="#_x0000_t75" stroked="false">
              <v:imagedata r:id="rId29" o:title=""/>
            </v:shape>
            <v:shape style="position:absolute;left:8397;top:23973;width:409;height:130" coordorigin="8397,23973" coordsize="409,130" path="m8688,9821l8722,9883m8722,9883l8754,9821m8754,9821l8798,9821m8798,9821l8832,9946m8832,9946l8866,9946m8866,9946l8899,9821m8899,9821l8933,9946m8933,9946l8977,9821m8977,9821l9011,9883m9011,9883l9043,9883m9043,9883l9077,9821m9077,9821l9110,9883e" filled="false" stroked="true" strokeweight="1.075622pt" strokecolor="#ff00ff">
              <v:path arrowok="t"/>
              <v:stroke dashstyle="solid"/>
            </v:shape>
            <v:line style="position:absolute" from="9099,9883" to="9333,9883" stroked="true" strokeweight="1.039028pt" strokecolor="#ff00ff">
              <v:stroke dashstyle="solid"/>
            </v:line>
            <v:shape style="position:absolute;left:9009;top:23640;width:936;height:462" coordorigin="9010,23640" coordsize="936,462" path="m9322,9883l9366,9821m9366,9821l9400,9883,9433,9946m9545,9946l9578,9883m9578,9883l9611,9883,9644,9883,9678,9883m9678,9883l9722,9946m9722,9946l9756,9883m9756,9883l9790,10008m9790,10008l9823,9946m9823,9946l9856,9946m9856,9946l9900,10080m9900,10080l9934,10008m9934,10008l9967,10205m9967,10205l10001,10142m10001,10142l10034,10142m10034,10142l10068,10080m10068,10080l10112,10205m10112,10205l10145,10142m10145,10142l10178,10267m10178,10267l10212,10142m10212,10142l10246,10142m10246,10142l10290,10080e" filled="false" stroked="true" strokeweight="1.075622pt" strokecolor="#ff00ff">
              <v:path arrowok="t"/>
              <v:stroke dashstyle="solid"/>
            </v:shape>
            <v:rect style="position:absolute;left:10290;top:10069;width:34;height:21" filled="true" fillcolor="#ff00ff" stroked="false">
              <v:fill type="solid"/>
            </v:rect>
            <v:shape style="position:absolute;left:9978;top:23834;width:645;height:2409" coordorigin="9978,23834" coordsize="645,2409" path="m10324,10080l10357,9883m10357,9883l10390,9946m10390,9946l10423,9821m10423,9821l10468,9883m10468,9883l10501,9685m10501,9685l10535,9685m10535,9685l10568,9623,10602,9560m10602,9560l10646,9498m10646,9498l10680,9498m10680,9498l10712,9301m10712,9301l10746,8719m10746,8719l10780,8532m10780,8532l10813,8532m10813,8532l10858,8147m10858,8147l10891,7888m10891,7888l10925,7825m10925,7825l10957,7752m10957,7752l10991,7825e" filled="false" stroked="true" strokeweight="1.075622pt" strokecolor="#ff00ff">
              <v:path arrowok="t"/>
              <v:stroke dashstyle="solid"/>
            </v:shape>
            <w10:wrap type="none"/>
          </v:group>
        </w:pict>
      </w: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65"/>
        <w:gridCol w:w="5400"/>
      </w:tblGrid>
      <w:tr>
        <w:trPr>
          <w:trHeight w:val="5055" w:hRule="atLeast"/>
        </w:trPr>
        <w:tc>
          <w:tcPr>
            <w:tcW w:w="5765" w:type="dxa"/>
          </w:tcPr>
          <w:p>
            <w:pPr>
              <w:pStyle w:val="TableParagraph"/>
              <w:ind w:left="107" w:right="527"/>
              <w:rPr>
                <w:b/>
                <w:sz w:val="24"/>
              </w:rPr>
            </w:pPr>
            <w:r>
              <w:rPr>
                <w:b/>
                <w:sz w:val="24"/>
              </w:rPr>
              <w:t>Chart 1: Long Run Capital Levels for UK and US Banks</w:t>
            </w:r>
          </w:p>
          <w:p>
            <w:pPr>
              <w:pStyle w:val="TableParagraph"/>
              <w:spacing w:before="82"/>
              <w:ind w:right="202"/>
              <w:jc w:val="right"/>
              <w:rPr>
                <w:sz w:val="16"/>
              </w:rPr>
            </w:pPr>
            <w:r>
              <w:rPr>
                <w:w w:val="140"/>
                <w:sz w:val="16"/>
              </w:rPr>
              <w:t>Per cent</w:t>
            </w:r>
          </w:p>
          <w:p>
            <w:pPr>
              <w:pStyle w:val="TableParagraph"/>
              <w:spacing w:before="35"/>
              <w:ind w:right="263"/>
              <w:jc w:val="right"/>
              <w:rPr>
                <w:sz w:val="16"/>
              </w:rPr>
            </w:pPr>
            <w:r>
              <w:rPr>
                <w:spacing w:val="9"/>
                <w:w w:val="135"/>
                <w:sz w:val="16"/>
              </w:rPr>
              <w:t>55</w:t>
            </w:r>
          </w:p>
          <w:p>
            <w:pPr>
              <w:pStyle w:val="TableParagraph"/>
              <w:spacing w:before="66"/>
              <w:ind w:right="263"/>
              <w:jc w:val="right"/>
              <w:rPr>
                <w:sz w:val="16"/>
              </w:rPr>
            </w:pPr>
            <w:r>
              <w:rPr>
                <w:spacing w:val="9"/>
                <w:w w:val="135"/>
                <w:sz w:val="16"/>
              </w:rPr>
              <w:t>50</w:t>
            </w:r>
          </w:p>
          <w:p>
            <w:pPr>
              <w:pStyle w:val="TableParagraph"/>
              <w:spacing w:before="80"/>
              <w:ind w:right="263"/>
              <w:jc w:val="right"/>
              <w:rPr>
                <w:sz w:val="16"/>
              </w:rPr>
            </w:pPr>
            <w:r>
              <w:rPr>
                <w:spacing w:val="9"/>
                <w:w w:val="135"/>
                <w:sz w:val="16"/>
              </w:rPr>
              <w:t>45</w:t>
            </w:r>
          </w:p>
          <w:p>
            <w:pPr>
              <w:pStyle w:val="TableParagraph"/>
              <w:tabs>
                <w:tab w:pos="5489" w:val="right" w:leader="none"/>
              </w:tabs>
              <w:spacing w:line="250" w:lineRule="exact" w:before="68"/>
              <w:ind w:left="1107"/>
              <w:rPr>
                <w:sz w:val="16"/>
              </w:rPr>
            </w:pPr>
            <w:r>
              <w:rPr>
                <w:spacing w:val="4"/>
                <w:w w:val="140"/>
                <w:sz w:val="16"/>
              </w:rPr>
              <w:t>United</w:t>
            </w:r>
            <w:r>
              <w:rPr>
                <w:spacing w:val="-7"/>
                <w:w w:val="140"/>
                <w:sz w:val="16"/>
              </w:rPr>
              <w:t> </w:t>
            </w:r>
            <w:r>
              <w:rPr>
                <w:spacing w:val="-12"/>
                <w:w w:val="140"/>
                <w:sz w:val="16"/>
              </w:rPr>
              <w:t>St</w:t>
            </w:r>
            <w:r>
              <w:rPr>
                <w:spacing w:val="-38"/>
                <w:w w:val="140"/>
                <w:sz w:val="16"/>
              </w:rPr>
              <w:t> </w:t>
            </w:r>
            <w:r>
              <w:rPr>
                <w:spacing w:val="6"/>
                <w:w w:val="140"/>
                <w:sz w:val="16"/>
              </w:rPr>
              <w:t>ates</w:t>
              <w:tab/>
            </w:r>
            <w:r>
              <w:rPr>
                <w:spacing w:val="10"/>
                <w:w w:val="140"/>
                <w:position w:val="7"/>
                <w:sz w:val="16"/>
              </w:rPr>
              <w:t>40</w:t>
            </w:r>
          </w:p>
          <w:p>
            <w:pPr>
              <w:pStyle w:val="TableParagraph"/>
              <w:spacing w:line="180" w:lineRule="exact"/>
              <w:ind w:left="5247"/>
              <w:rPr>
                <w:sz w:val="16"/>
              </w:rPr>
            </w:pPr>
            <w:r>
              <w:rPr>
                <w:spacing w:val="10"/>
                <w:w w:val="140"/>
                <w:sz w:val="16"/>
              </w:rPr>
              <w:t>35</w:t>
            </w:r>
          </w:p>
          <w:p>
            <w:pPr>
              <w:pStyle w:val="TableParagraph"/>
              <w:spacing w:before="80"/>
              <w:ind w:left="5247"/>
              <w:rPr>
                <w:sz w:val="16"/>
              </w:rPr>
            </w:pPr>
            <w:r>
              <w:rPr>
                <w:spacing w:val="10"/>
                <w:w w:val="140"/>
                <w:sz w:val="16"/>
              </w:rPr>
              <w:t>30</w:t>
            </w:r>
          </w:p>
          <w:p>
            <w:pPr>
              <w:pStyle w:val="TableParagraph"/>
              <w:tabs>
                <w:tab w:pos="5489" w:val="right" w:leader="none"/>
              </w:tabs>
              <w:spacing w:before="21"/>
              <w:ind w:left="3036"/>
              <w:rPr>
                <w:sz w:val="16"/>
              </w:rPr>
            </w:pPr>
            <w:r>
              <w:rPr>
                <w:spacing w:val="4"/>
                <w:w w:val="140"/>
                <w:sz w:val="16"/>
              </w:rPr>
              <w:t>United</w:t>
            </w:r>
            <w:r>
              <w:rPr>
                <w:spacing w:val="-8"/>
                <w:w w:val="140"/>
                <w:sz w:val="16"/>
              </w:rPr>
              <w:t> </w:t>
            </w:r>
            <w:r>
              <w:rPr>
                <w:w w:val="140"/>
                <w:sz w:val="16"/>
              </w:rPr>
              <w:t>Kingdom</w:t>
              <w:tab/>
            </w:r>
            <w:r>
              <w:rPr>
                <w:spacing w:val="10"/>
                <w:w w:val="140"/>
                <w:position w:val="-3"/>
                <w:sz w:val="16"/>
              </w:rPr>
              <w:t>25</w:t>
            </w:r>
          </w:p>
          <w:p>
            <w:pPr>
              <w:pStyle w:val="TableParagraph"/>
              <w:spacing w:before="83"/>
              <w:ind w:left="5247"/>
              <w:rPr>
                <w:sz w:val="16"/>
              </w:rPr>
            </w:pPr>
            <w:r>
              <w:rPr>
                <w:spacing w:val="10"/>
                <w:w w:val="140"/>
                <w:sz w:val="16"/>
              </w:rPr>
              <w:t>20</w:t>
            </w:r>
          </w:p>
          <w:p>
            <w:pPr>
              <w:pStyle w:val="TableParagraph"/>
              <w:spacing w:before="66"/>
              <w:ind w:left="5247"/>
              <w:rPr>
                <w:sz w:val="16"/>
              </w:rPr>
            </w:pPr>
            <w:r>
              <w:rPr>
                <w:spacing w:val="10"/>
                <w:w w:val="140"/>
                <w:sz w:val="16"/>
              </w:rPr>
              <w:t>15</w:t>
            </w:r>
          </w:p>
          <w:p>
            <w:pPr>
              <w:pStyle w:val="TableParagraph"/>
              <w:spacing w:before="64"/>
              <w:ind w:left="5247"/>
              <w:rPr>
                <w:sz w:val="16"/>
              </w:rPr>
            </w:pPr>
            <w:r>
              <w:rPr>
                <w:spacing w:val="10"/>
                <w:w w:val="140"/>
                <w:sz w:val="16"/>
              </w:rPr>
              <w:t>10</w:t>
            </w:r>
          </w:p>
          <w:p>
            <w:pPr>
              <w:pStyle w:val="TableParagraph"/>
              <w:spacing w:before="80"/>
              <w:ind w:left="5247"/>
              <w:rPr>
                <w:sz w:val="16"/>
              </w:rPr>
            </w:pPr>
            <w:r>
              <w:rPr>
                <w:w w:val="138"/>
                <w:sz w:val="16"/>
              </w:rPr>
              <w:t>5</w:t>
            </w:r>
          </w:p>
          <w:p>
            <w:pPr>
              <w:pStyle w:val="TableParagraph"/>
              <w:spacing w:before="66"/>
              <w:ind w:left="5247"/>
              <w:rPr>
                <w:sz w:val="16"/>
              </w:rPr>
            </w:pPr>
            <w:r>
              <w:rPr>
                <w:w w:val="138"/>
                <w:sz w:val="16"/>
              </w:rPr>
              <w:t>0</w:t>
            </w:r>
          </w:p>
          <w:p>
            <w:pPr>
              <w:pStyle w:val="TableParagraph"/>
              <w:tabs>
                <w:tab w:pos="845" w:val="left" w:leader="none"/>
                <w:tab w:pos="1388" w:val="left" w:leader="none"/>
                <w:tab w:pos="1830" w:val="left" w:leader="none"/>
                <w:tab w:pos="2513" w:val="left" w:leader="none"/>
                <w:tab w:pos="3076" w:val="left" w:leader="none"/>
                <w:tab w:pos="3639" w:val="left" w:leader="none"/>
                <w:tab w:pos="4202" w:val="left" w:leader="none"/>
                <w:tab w:pos="4644" w:val="left" w:leader="none"/>
              </w:tabs>
              <w:spacing w:before="50"/>
              <w:ind w:left="163"/>
              <w:rPr>
                <w:sz w:val="16"/>
              </w:rPr>
            </w:pPr>
            <w:r>
              <w:rPr>
                <w:spacing w:val="7"/>
                <w:w w:val="140"/>
                <w:sz w:val="16"/>
              </w:rPr>
              <w:t>1840</w:t>
              <w:tab/>
            </w:r>
            <w:r>
              <w:rPr>
                <w:spacing w:val="5"/>
                <w:w w:val="140"/>
                <w:sz w:val="16"/>
              </w:rPr>
              <w:t>60</w:t>
              <w:tab/>
              <w:t>80</w:t>
              <w:tab/>
            </w:r>
            <w:r>
              <w:rPr>
                <w:spacing w:val="7"/>
                <w:w w:val="140"/>
                <w:sz w:val="16"/>
              </w:rPr>
              <w:t>1900</w:t>
              <w:tab/>
            </w:r>
            <w:r>
              <w:rPr>
                <w:spacing w:val="5"/>
                <w:w w:val="140"/>
                <w:sz w:val="16"/>
              </w:rPr>
              <w:t>20</w:t>
              <w:tab/>
              <w:t>40</w:t>
              <w:tab/>
              <w:t>60</w:t>
              <w:tab/>
              <w:t>80</w:t>
              <w:tab/>
            </w:r>
            <w:r>
              <w:rPr>
                <w:spacing w:val="7"/>
                <w:w w:val="140"/>
                <w:sz w:val="16"/>
              </w:rPr>
              <w:t>2000</w:t>
            </w:r>
          </w:p>
          <w:p>
            <w:pPr>
              <w:pStyle w:val="TableParagraph"/>
              <w:spacing w:before="1"/>
              <w:rPr>
                <w:sz w:val="21"/>
              </w:rPr>
            </w:pPr>
          </w:p>
          <w:p>
            <w:pPr>
              <w:pStyle w:val="TableParagraph"/>
              <w:ind w:left="107"/>
              <w:rPr>
                <w:i/>
                <w:sz w:val="16"/>
              </w:rPr>
            </w:pPr>
            <w:r>
              <w:rPr>
                <w:i/>
                <w:sz w:val="16"/>
              </w:rPr>
              <w:t>Sources: Berger, A. Herring, R. and Szego, G (1995), ‘The role of capital in financial </w:t>
            </w:r>
            <w:r>
              <w:rPr>
                <w:i/>
                <w:sz w:val="16"/>
              </w:rPr>
              <w:t>institutions’, Journal of Banking and Finance. United Kingdom: Billings M and</w:t>
            </w:r>
          </w:p>
          <w:p>
            <w:pPr>
              <w:pStyle w:val="TableParagraph"/>
              <w:spacing w:line="184" w:lineRule="exact" w:before="3"/>
              <w:ind w:left="107" w:right="86"/>
              <w:rPr>
                <w:i/>
                <w:sz w:val="16"/>
              </w:rPr>
            </w:pPr>
            <w:r>
              <w:rPr>
                <w:i/>
                <w:sz w:val="16"/>
              </w:rPr>
              <w:t>Capie, F (2007), ‘Capital in British Banking 1920-1970’, Business History, Vol 49(2); </w:t>
            </w:r>
            <w:r>
              <w:rPr>
                <w:i/>
                <w:sz w:val="16"/>
              </w:rPr>
              <w:t>British Bankers Association ; and published accounts</w:t>
            </w:r>
          </w:p>
        </w:tc>
        <w:tc>
          <w:tcPr>
            <w:tcW w:w="5400" w:type="dxa"/>
          </w:tcPr>
          <w:p>
            <w:pPr>
              <w:pStyle w:val="TableParagraph"/>
              <w:ind w:left="106" w:right="364"/>
              <w:rPr>
                <w:b/>
                <w:sz w:val="24"/>
              </w:rPr>
            </w:pPr>
            <w:r>
              <w:rPr>
                <w:b/>
                <w:sz w:val="24"/>
              </w:rPr>
              <w:t>Chart 2: Sterling Liquid Assets relative to Total Asset Holdings of UK Banking Sector</w:t>
            </w:r>
          </w:p>
          <w:p>
            <w:pPr>
              <w:pStyle w:val="TableParagraph"/>
              <w:tabs>
                <w:tab w:pos="699" w:val="left" w:leader="none"/>
                <w:tab w:pos="3435" w:val="left" w:leader="none"/>
              </w:tabs>
              <w:spacing w:line="219" w:lineRule="exact" w:before="90"/>
              <w:ind w:left="250"/>
              <w:rPr>
                <w:sz w:val="17"/>
              </w:rPr>
            </w:pPr>
            <w:r>
              <w:rPr>
                <w:w w:val="138"/>
                <w:position w:val="2"/>
                <w:sz w:val="16"/>
                <w:u w:val="single" w:color="3365FF"/>
              </w:rPr>
              <w:t> </w:t>
            </w:r>
            <w:r>
              <w:rPr>
                <w:position w:val="2"/>
                <w:sz w:val="16"/>
                <w:u w:val="single" w:color="3365FF"/>
              </w:rPr>
              <w:tab/>
            </w:r>
            <w:r>
              <w:rPr>
                <w:spacing w:val="17"/>
                <w:position w:val="2"/>
                <w:sz w:val="16"/>
              </w:rPr>
              <w:t> </w:t>
            </w:r>
            <w:r>
              <w:rPr>
                <w:w w:val="120"/>
                <w:sz w:val="17"/>
              </w:rPr>
              <w:t>Broad </w:t>
            </w:r>
            <w:r>
              <w:rPr>
                <w:spacing w:val="5"/>
                <w:w w:val="120"/>
                <w:sz w:val="17"/>
              </w:rPr>
              <w:t>ratio(a)</w:t>
              <w:tab/>
            </w:r>
            <w:r>
              <w:rPr>
                <w:spacing w:val="4"/>
                <w:w w:val="120"/>
                <w:position w:val="-4"/>
                <w:sz w:val="17"/>
              </w:rPr>
              <w:t>Percentage</w:t>
            </w:r>
            <w:r>
              <w:rPr>
                <w:spacing w:val="7"/>
                <w:w w:val="120"/>
                <w:position w:val="-4"/>
                <w:sz w:val="17"/>
              </w:rPr>
              <w:t> </w:t>
            </w:r>
            <w:r>
              <w:rPr>
                <w:spacing w:val="4"/>
                <w:w w:val="120"/>
                <w:position w:val="-4"/>
                <w:sz w:val="17"/>
              </w:rPr>
              <w:t>of</w:t>
            </w:r>
          </w:p>
          <w:p>
            <w:pPr>
              <w:pStyle w:val="TableParagraph"/>
              <w:tabs>
                <w:tab w:pos="699" w:val="left" w:leader="none"/>
                <w:tab w:pos="3565" w:val="left" w:leader="none"/>
                <w:tab w:pos="5195" w:val="right" w:leader="none"/>
              </w:tabs>
              <w:ind w:left="250"/>
              <w:rPr>
                <w:sz w:val="17"/>
              </w:rPr>
            </w:pPr>
            <w:r>
              <w:rPr>
                <w:w w:val="138"/>
                <w:position w:val="5"/>
                <w:sz w:val="16"/>
                <w:u w:val="single" w:color="9A3365"/>
              </w:rPr>
              <w:t> </w:t>
            </w:r>
            <w:r>
              <w:rPr>
                <w:position w:val="5"/>
                <w:sz w:val="16"/>
                <w:u w:val="single" w:color="9A3365"/>
              </w:rPr>
              <w:tab/>
            </w:r>
            <w:r>
              <w:rPr>
                <w:spacing w:val="17"/>
                <w:position w:val="5"/>
                <w:sz w:val="16"/>
              </w:rPr>
              <w:t> </w:t>
            </w:r>
            <w:r>
              <w:rPr>
                <w:w w:val="120"/>
                <w:sz w:val="17"/>
              </w:rPr>
              <w:t>Reserve</w:t>
            </w:r>
            <w:r>
              <w:rPr>
                <w:spacing w:val="13"/>
                <w:w w:val="120"/>
                <w:sz w:val="17"/>
              </w:rPr>
              <w:t> </w:t>
            </w:r>
            <w:r>
              <w:rPr>
                <w:spacing w:val="3"/>
                <w:w w:val="120"/>
                <w:sz w:val="17"/>
              </w:rPr>
              <w:t>ratio(b)</w:t>
              <w:tab/>
            </w:r>
            <w:r>
              <w:rPr>
                <w:spacing w:val="9"/>
                <w:w w:val="120"/>
                <w:position w:val="-2"/>
                <w:sz w:val="17"/>
              </w:rPr>
              <w:t>total</w:t>
            </w:r>
            <w:r>
              <w:rPr>
                <w:spacing w:val="6"/>
                <w:w w:val="120"/>
                <w:position w:val="-2"/>
                <w:sz w:val="17"/>
              </w:rPr>
              <w:t> </w:t>
            </w:r>
            <w:r>
              <w:rPr>
                <w:spacing w:val="4"/>
                <w:w w:val="120"/>
                <w:position w:val="-2"/>
                <w:sz w:val="17"/>
              </w:rPr>
              <w:t>assets</w:t>
              <w:tab/>
            </w:r>
            <w:r>
              <w:rPr>
                <w:spacing w:val="9"/>
                <w:w w:val="120"/>
                <w:position w:val="6"/>
                <w:sz w:val="17"/>
              </w:rPr>
              <w:t>35</w:t>
            </w:r>
          </w:p>
          <w:p>
            <w:pPr>
              <w:pStyle w:val="TableParagraph"/>
              <w:tabs>
                <w:tab w:pos="699" w:val="left" w:leader="none"/>
                <w:tab w:pos="3396" w:val="left" w:leader="none"/>
                <w:tab w:pos="5195" w:val="right" w:leader="none"/>
              </w:tabs>
              <w:ind w:left="250"/>
              <w:rPr>
                <w:sz w:val="17"/>
              </w:rPr>
            </w:pPr>
            <w:r>
              <w:rPr>
                <w:w w:val="138"/>
                <w:position w:val="7"/>
                <w:sz w:val="16"/>
                <w:u w:val="single" w:color="FF9A00"/>
              </w:rPr>
              <w:t> </w:t>
            </w:r>
            <w:r>
              <w:rPr>
                <w:position w:val="7"/>
                <w:sz w:val="16"/>
                <w:u w:val="single" w:color="FF9A00"/>
              </w:rPr>
              <w:tab/>
            </w:r>
            <w:r>
              <w:rPr>
                <w:spacing w:val="17"/>
                <w:position w:val="7"/>
                <w:sz w:val="16"/>
              </w:rPr>
              <w:t> </w:t>
            </w:r>
            <w:r>
              <w:rPr>
                <w:spacing w:val="3"/>
                <w:w w:val="120"/>
                <w:position w:val="3"/>
                <w:sz w:val="17"/>
              </w:rPr>
              <w:t>Narrow</w:t>
            </w:r>
            <w:r>
              <w:rPr>
                <w:spacing w:val="-11"/>
                <w:w w:val="120"/>
                <w:position w:val="3"/>
                <w:sz w:val="17"/>
              </w:rPr>
              <w:t> </w:t>
            </w:r>
            <w:r>
              <w:rPr>
                <w:spacing w:val="5"/>
                <w:w w:val="120"/>
                <w:position w:val="3"/>
                <w:sz w:val="17"/>
              </w:rPr>
              <w:t>ratio(c)</w:t>
              <w:tab/>
            </w:r>
            <w:r>
              <w:rPr>
                <w:w w:val="120"/>
                <w:sz w:val="17"/>
              </w:rPr>
              <w:t>(all</w:t>
            </w:r>
            <w:r>
              <w:rPr>
                <w:spacing w:val="7"/>
                <w:w w:val="120"/>
                <w:sz w:val="17"/>
              </w:rPr>
              <w:t> </w:t>
            </w:r>
            <w:r>
              <w:rPr>
                <w:w w:val="120"/>
                <w:sz w:val="17"/>
              </w:rPr>
              <w:t>currencies)</w:t>
              <w:tab/>
            </w:r>
            <w:r>
              <w:rPr>
                <w:spacing w:val="9"/>
                <w:w w:val="120"/>
                <w:position w:val="-7"/>
                <w:sz w:val="17"/>
              </w:rPr>
              <w:t>30</w:t>
            </w:r>
          </w:p>
          <w:p>
            <w:pPr>
              <w:pStyle w:val="TableParagraph"/>
              <w:tabs>
                <w:tab w:pos="5195" w:val="right" w:leader="none"/>
              </w:tabs>
              <w:spacing w:line="182" w:lineRule="auto" w:before="104"/>
              <w:ind w:left="644"/>
              <w:rPr>
                <w:sz w:val="17"/>
              </w:rPr>
            </w:pPr>
            <w:r>
              <w:rPr>
                <w:spacing w:val="4"/>
                <w:w w:val="120"/>
                <w:sz w:val="17"/>
              </w:rPr>
              <w:t>Competit</w:t>
            </w:r>
            <w:r>
              <w:rPr>
                <w:spacing w:val="-34"/>
                <w:w w:val="120"/>
                <w:sz w:val="17"/>
              </w:rPr>
              <w:t> </w:t>
            </w:r>
            <w:r>
              <w:rPr>
                <w:spacing w:val="2"/>
                <w:w w:val="120"/>
                <w:sz w:val="17"/>
              </w:rPr>
              <w:t>ion</w:t>
            </w:r>
            <w:r>
              <w:rPr>
                <w:spacing w:val="16"/>
                <w:w w:val="120"/>
                <w:sz w:val="17"/>
              </w:rPr>
              <w:t> </w:t>
            </w:r>
            <w:r>
              <w:rPr>
                <w:w w:val="120"/>
                <w:sz w:val="17"/>
              </w:rPr>
              <w:t>&amp;</w:t>
              <w:tab/>
            </w:r>
            <w:r>
              <w:rPr>
                <w:spacing w:val="9"/>
                <w:w w:val="120"/>
                <w:position w:val="-10"/>
                <w:sz w:val="17"/>
              </w:rPr>
              <w:t>25</w:t>
            </w:r>
          </w:p>
          <w:p>
            <w:pPr>
              <w:pStyle w:val="TableParagraph"/>
              <w:spacing w:line="162" w:lineRule="exact"/>
              <w:ind w:left="700"/>
              <w:rPr>
                <w:sz w:val="17"/>
              </w:rPr>
            </w:pPr>
            <w:r>
              <w:rPr>
                <w:w w:val="120"/>
                <w:sz w:val="17"/>
              </w:rPr>
              <w:t>credit control</w:t>
            </w:r>
          </w:p>
          <w:p>
            <w:pPr>
              <w:pStyle w:val="TableParagraph"/>
              <w:tabs>
                <w:tab w:pos="4969" w:val="left" w:leader="none"/>
              </w:tabs>
              <w:spacing w:before="90"/>
              <w:ind w:left="811"/>
              <w:rPr>
                <w:sz w:val="17"/>
              </w:rPr>
            </w:pPr>
            <w:r>
              <w:rPr>
                <w:spacing w:val="6"/>
                <w:w w:val="120"/>
                <w:sz w:val="17"/>
              </w:rPr>
              <w:t>1971</w:t>
              <w:tab/>
            </w:r>
            <w:r>
              <w:rPr>
                <w:spacing w:val="9"/>
                <w:w w:val="120"/>
                <w:sz w:val="17"/>
              </w:rPr>
              <w:t>20</w:t>
            </w:r>
          </w:p>
          <w:p>
            <w:pPr>
              <w:pStyle w:val="TableParagraph"/>
              <w:spacing w:line="162" w:lineRule="exact" w:before="74"/>
              <w:ind w:left="1262"/>
              <w:rPr>
                <w:sz w:val="17"/>
              </w:rPr>
            </w:pPr>
            <w:r>
              <w:rPr>
                <w:w w:val="120"/>
                <w:sz w:val="17"/>
              </w:rPr>
              <w:t>Cash ratio deposits</w:t>
            </w:r>
          </w:p>
          <w:p>
            <w:pPr>
              <w:pStyle w:val="TableParagraph"/>
              <w:tabs>
                <w:tab w:pos="3172" w:val="left" w:leader="none"/>
                <w:tab w:pos="4969" w:val="left" w:leader="none"/>
              </w:tabs>
              <w:spacing w:line="182" w:lineRule="auto"/>
              <w:ind w:left="1749"/>
              <w:rPr>
                <w:sz w:val="17"/>
              </w:rPr>
            </w:pPr>
            <w:r>
              <w:rPr>
                <w:spacing w:val="6"/>
                <w:w w:val="120"/>
                <w:position w:val="-10"/>
                <w:sz w:val="17"/>
              </w:rPr>
              <w:t>1981</w:t>
              <w:tab/>
            </w:r>
            <w:r>
              <w:rPr>
                <w:spacing w:val="-11"/>
                <w:w w:val="120"/>
                <w:sz w:val="17"/>
              </w:rPr>
              <w:t>St</w:t>
            </w:r>
            <w:r>
              <w:rPr>
                <w:spacing w:val="-33"/>
                <w:w w:val="120"/>
                <w:sz w:val="17"/>
              </w:rPr>
              <w:t> </w:t>
            </w:r>
            <w:r>
              <w:rPr>
                <w:spacing w:val="2"/>
                <w:w w:val="120"/>
                <w:sz w:val="17"/>
              </w:rPr>
              <w:t>erling</w:t>
            </w:r>
            <w:r>
              <w:rPr>
                <w:spacing w:val="-1"/>
                <w:w w:val="120"/>
                <w:sz w:val="17"/>
              </w:rPr>
              <w:t> </w:t>
            </w:r>
            <w:r>
              <w:rPr>
                <w:spacing w:val="4"/>
                <w:w w:val="120"/>
                <w:sz w:val="17"/>
              </w:rPr>
              <w:t>stock</w:t>
              <w:tab/>
            </w:r>
            <w:r>
              <w:rPr>
                <w:spacing w:val="9"/>
                <w:w w:val="120"/>
                <w:position w:val="3"/>
                <w:sz w:val="17"/>
              </w:rPr>
              <w:t>15</w:t>
            </w:r>
          </w:p>
          <w:p>
            <w:pPr>
              <w:pStyle w:val="TableParagraph"/>
              <w:spacing w:line="137" w:lineRule="exact"/>
              <w:ind w:left="3098"/>
              <w:rPr>
                <w:sz w:val="17"/>
              </w:rPr>
            </w:pPr>
            <w:r>
              <w:rPr>
                <w:w w:val="120"/>
                <w:sz w:val="17"/>
              </w:rPr>
              <w:t>liquidity regime</w:t>
            </w:r>
          </w:p>
          <w:p>
            <w:pPr>
              <w:pStyle w:val="TableParagraph"/>
              <w:tabs>
                <w:tab w:pos="4969" w:val="left" w:leader="none"/>
              </w:tabs>
              <w:spacing w:line="261" w:lineRule="exact"/>
              <w:ind w:left="3490"/>
              <w:rPr>
                <w:sz w:val="17"/>
              </w:rPr>
            </w:pPr>
            <w:r>
              <w:rPr>
                <w:spacing w:val="6"/>
                <w:w w:val="120"/>
                <w:sz w:val="17"/>
              </w:rPr>
              <w:t>1996</w:t>
              <w:tab/>
            </w:r>
            <w:r>
              <w:rPr>
                <w:spacing w:val="9"/>
                <w:w w:val="120"/>
                <w:position w:val="9"/>
                <w:sz w:val="17"/>
              </w:rPr>
              <w:t>10</w:t>
            </w:r>
          </w:p>
          <w:p>
            <w:pPr>
              <w:pStyle w:val="TableParagraph"/>
              <w:tabs>
                <w:tab w:pos="2291" w:val="left" w:leader="none"/>
                <w:tab w:pos="2609" w:val="left" w:leader="none"/>
                <w:tab w:pos="4969" w:val="left" w:leader="none"/>
              </w:tabs>
              <w:spacing w:before="98"/>
              <w:ind w:left="1636"/>
              <w:rPr>
                <w:sz w:val="17"/>
              </w:rPr>
            </w:pPr>
            <w:r>
              <w:rPr>
                <w:w w:val="138"/>
                <w:sz w:val="16"/>
                <w:u w:val="single" w:color="9A3365"/>
              </w:rPr>
              <w:t> </w:t>
            </w:r>
            <w:r>
              <w:rPr>
                <w:spacing w:val="-2"/>
                <w:sz w:val="16"/>
                <w:u w:val="single" w:color="9A3365"/>
              </w:rPr>
              <w:t> </w:t>
            </w:r>
            <w:r>
              <w:rPr>
                <w:sz w:val="16"/>
              </w:rPr>
              <w:tab/>
            </w:r>
            <w:r>
              <w:rPr>
                <w:w w:val="138"/>
                <w:sz w:val="16"/>
                <w:u w:val="single" w:color="3365FF"/>
              </w:rPr>
              <w:t> </w:t>
            </w:r>
            <w:r>
              <w:rPr>
                <w:spacing w:val="17"/>
                <w:sz w:val="16"/>
                <w:u w:val="single" w:color="3365FF"/>
              </w:rPr>
              <w:t> </w:t>
            </w:r>
            <w:r>
              <w:rPr>
                <w:sz w:val="16"/>
              </w:rPr>
              <w:tab/>
            </w:r>
            <w:r>
              <w:rPr>
                <w:w w:val="138"/>
                <w:sz w:val="16"/>
                <w:u w:val="single" w:color="3365FF"/>
              </w:rPr>
              <w:t> </w:t>
            </w:r>
            <w:r>
              <w:rPr>
                <w:sz w:val="16"/>
                <w:u w:val="single" w:color="3365FF"/>
              </w:rPr>
              <w:t>   </w:t>
            </w:r>
            <w:r>
              <w:rPr>
                <w:spacing w:val="10"/>
                <w:sz w:val="16"/>
                <w:u w:val="single" w:color="3365FF"/>
              </w:rPr>
              <w:t> </w:t>
            </w:r>
            <w:r>
              <w:rPr>
                <w:sz w:val="16"/>
              </w:rPr>
              <w:tab/>
            </w:r>
            <w:r>
              <w:rPr>
                <w:w w:val="120"/>
                <w:position w:val="11"/>
                <w:sz w:val="17"/>
              </w:rPr>
              <w:t>5</w:t>
            </w:r>
          </w:p>
          <w:p>
            <w:pPr>
              <w:pStyle w:val="TableParagraph"/>
              <w:spacing w:before="143"/>
              <w:ind w:left="4970"/>
              <w:rPr>
                <w:sz w:val="17"/>
              </w:rPr>
            </w:pPr>
            <w:r>
              <w:rPr>
                <w:w w:val="121"/>
                <w:sz w:val="17"/>
              </w:rPr>
              <w:t>0</w:t>
            </w:r>
          </w:p>
          <w:p>
            <w:pPr>
              <w:pStyle w:val="TableParagraph"/>
              <w:tabs>
                <w:tab w:pos="737" w:val="left" w:leader="none"/>
                <w:tab w:pos="1299" w:val="left" w:leader="none"/>
                <w:tab w:pos="1842" w:val="left" w:leader="none"/>
                <w:tab w:pos="2404" w:val="left" w:leader="none"/>
                <w:tab w:pos="2947" w:val="left" w:leader="none"/>
                <w:tab w:pos="3490" w:val="left" w:leader="none"/>
                <w:tab w:pos="4053" w:val="left" w:leader="none"/>
                <w:tab w:pos="4595" w:val="left" w:leader="none"/>
              </w:tabs>
              <w:spacing w:before="58"/>
              <w:ind w:left="193"/>
              <w:rPr>
                <w:sz w:val="17"/>
              </w:rPr>
            </w:pPr>
            <w:r>
              <w:rPr>
                <w:spacing w:val="4"/>
                <w:w w:val="120"/>
                <w:sz w:val="17"/>
              </w:rPr>
              <w:t>68</w:t>
              <w:tab/>
              <w:t>73</w:t>
              <w:tab/>
              <w:t>78</w:t>
              <w:tab/>
              <w:t>83</w:t>
              <w:tab/>
              <w:t>88</w:t>
              <w:tab/>
              <w:t>93</w:t>
              <w:tab/>
              <w:t>98</w:t>
              <w:tab/>
              <w:t>03</w:t>
              <w:tab/>
            </w:r>
            <w:r>
              <w:rPr>
                <w:spacing w:val="9"/>
                <w:w w:val="120"/>
                <w:sz w:val="17"/>
              </w:rPr>
              <w:t>08</w:t>
            </w:r>
          </w:p>
          <w:p>
            <w:pPr>
              <w:pStyle w:val="TableParagraph"/>
              <w:spacing w:before="8"/>
              <w:rPr>
                <w:sz w:val="22"/>
              </w:rPr>
            </w:pPr>
          </w:p>
          <w:p>
            <w:pPr>
              <w:pStyle w:val="TableParagraph"/>
              <w:spacing w:before="1"/>
              <w:ind w:left="60"/>
              <w:rPr>
                <w:i/>
                <w:sz w:val="16"/>
              </w:rPr>
            </w:pPr>
            <w:r>
              <w:rPr>
                <w:i/>
                <w:sz w:val="16"/>
              </w:rPr>
              <w:t>Note (a) Cash+ Bank of England balances + money at call + eligible bills + UK </w:t>
            </w:r>
            <w:r>
              <w:rPr>
                <w:i/>
                <w:sz w:val="16"/>
              </w:rPr>
              <w:t>gilts (b) Proxied by Bank of England balances + money at call _ eligible bills</w:t>
            </w:r>
          </w:p>
          <w:p>
            <w:pPr>
              <w:pStyle w:val="TableParagraph"/>
              <w:spacing w:line="183" w:lineRule="exact"/>
              <w:ind w:left="60"/>
              <w:rPr>
                <w:i/>
                <w:sz w:val="16"/>
              </w:rPr>
            </w:pPr>
            <w:r>
              <w:rPr>
                <w:i/>
                <w:sz w:val="16"/>
              </w:rPr>
              <w:t>(c) Cash + Bank of England balances + eligible bills</w:t>
            </w:r>
          </w:p>
        </w:tc>
      </w:tr>
      <w:tr>
        <w:trPr>
          <w:trHeight w:val="4568" w:hRule="atLeast"/>
        </w:trPr>
        <w:tc>
          <w:tcPr>
            <w:tcW w:w="5765" w:type="dxa"/>
          </w:tcPr>
          <w:p>
            <w:pPr>
              <w:pStyle w:val="TableParagraph"/>
              <w:ind w:left="107"/>
              <w:rPr>
                <w:b/>
                <w:sz w:val="24"/>
              </w:rPr>
            </w:pPr>
            <w:r>
              <w:rPr>
                <w:b/>
                <w:sz w:val="24"/>
              </w:rPr>
              <w:t>Chart 3: Customer Funding Gap of the Major UK Banks</w:t>
            </w:r>
          </w:p>
          <w:p>
            <w:pPr>
              <w:pStyle w:val="TableParagraph"/>
              <w:tabs>
                <w:tab w:pos="4712" w:val="left" w:leader="none"/>
                <w:tab w:pos="5530" w:val="right" w:leader="none"/>
              </w:tabs>
              <w:spacing w:line="184" w:lineRule="auto" w:before="117"/>
              <w:ind w:left="1083" w:right="215"/>
              <w:rPr>
                <w:sz w:val="16"/>
              </w:rPr>
            </w:pPr>
            <w:r>
              <w:rPr>
                <w:w w:val="135"/>
                <w:sz w:val="16"/>
              </w:rPr>
              <w:t>All </w:t>
            </w:r>
            <w:r>
              <w:rPr>
                <w:spacing w:val="7"/>
                <w:w w:val="135"/>
                <w:sz w:val="16"/>
              </w:rPr>
              <w:t>other</w:t>
            </w:r>
            <w:r>
              <w:rPr>
                <w:spacing w:val="10"/>
                <w:w w:val="135"/>
                <w:sz w:val="16"/>
              </w:rPr>
              <w:t> </w:t>
            </w:r>
            <w:r>
              <w:rPr>
                <w:spacing w:val="4"/>
                <w:w w:val="135"/>
                <w:sz w:val="16"/>
              </w:rPr>
              <w:t>non-bank</w:t>
            </w:r>
            <w:r>
              <w:rPr>
                <w:spacing w:val="13"/>
                <w:w w:val="135"/>
                <w:sz w:val="16"/>
              </w:rPr>
              <w:t> </w:t>
            </w:r>
            <w:r>
              <w:rPr>
                <w:spacing w:val="3"/>
                <w:w w:val="135"/>
                <w:sz w:val="16"/>
              </w:rPr>
              <w:t>customers</w:t>
              <w:tab/>
            </w:r>
            <w:r>
              <w:rPr>
                <w:w w:val="135"/>
                <w:position w:val="5"/>
                <w:sz w:val="16"/>
              </w:rPr>
              <w:t>£ billions </w:t>
            </w:r>
            <w:r>
              <w:rPr>
                <w:spacing w:val="-4"/>
                <w:w w:val="135"/>
                <w:sz w:val="16"/>
              </w:rPr>
              <w:t>Securit </w:t>
            </w:r>
            <w:r>
              <w:rPr>
                <w:w w:val="135"/>
                <w:sz w:val="16"/>
              </w:rPr>
              <w:t>ised</w:t>
            </w:r>
            <w:r>
              <w:rPr>
                <w:spacing w:val="-39"/>
                <w:w w:val="135"/>
                <w:sz w:val="16"/>
              </w:rPr>
              <w:t> </w:t>
            </w:r>
            <w:r>
              <w:rPr>
                <w:spacing w:val="6"/>
                <w:w w:val="135"/>
                <w:sz w:val="16"/>
              </w:rPr>
              <w:t>corporate </w:t>
            </w:r>
            <w:r>
              <w:rPr>
                <w:spacing w:val="3"/>
                <w:w w:val="135"/>
                <w:sz w:val="16"/>
              </w:rPr>
              <w:t>loans</w:t>
              <w:tab/>
              <w:tab/>
            </w:r>
            <w:r>
              <w:rPr>
                <w:spacing w:val="9"/>
                <w:w w:val="135"/>
                <w:position w:val="1"/>
                <w:sz w:val="16"/>
              </w:rPr>
              <w:t>1000</w:t>
            </w:r>
          </w:p>
          <w:p>
            <w:pPr>
              <w:pStyle w:val="TableParagraph"/>
              <w:spacing w:line="124" w:lineRule="exact"/>
              <w:ind w:left="1083"/>
              <w:rPr>
                <w:sz w:val="16"/>
              </w:rPr>
            </w:pPr>
            <w:r>
              <w:rPr>
                <w:w w:val="135"/>
                <w:sz w:val="16"/>
              </w:rPr>
              <w:t>UK private non-financial corporates</w:t>
            </w:r>
          </w:p>
          <w:p>
            <w:pPr>
              <w:pStyle w:val="TableParagraph"/>
              <w:spacing w:line="142" w:lineRule="exact"/>
              <w:ind w:left="1083"/>
              <w:rPr>
                <w:sz w:val="16"/>
              </w:rPr>
            </w:pPr>
            <w:r>
              <w:rPr>
                <w:w w:val="135"/>
                <w:sz w:val="16"/>
              </w:rPr>
              <w:t>Securit ised household loans</w:t>
            </w:r>
          </w:p>
          <w:p>
            <w:pPr>
              <w:pStyle w:val="TableParagraph"/>
              <w:tabs>
                <w:tab w:pos="5405" w:val="right" w:leader="none"/>
              </w:tabs>
              <w:spacing w:line="157" w:lineRule="exact"/>
              <w:ind w:left="1083"/>
              <w:rPr>
                <w:sz w:val="16"/>
              </w:rPr>
            </w:pPr>
            <w:r>
              <w:rPr>
                <w:w w:val="135"/>
                <w:sz w:val="16"/>
              </w:rPr>
              <w:t>UK</w:t>
            </w:r>
            <w:r>
              <w:rPr>
                <w:spacing w:val="5"/>
                <w:w w:val="135"/>
                <w:sz w:val="16"/>
              </w:rPr>
              <w:t> </w:t>
            </w:r>
            <w:r>
              <w:rPr>
                <w:w w:val="135"/>
                <w:sz w:val="16"/>
              </w:rPr>
              <w:t>households</w:t>
              <w:tab/>
            </w:r>
            <w:r>
              <w:rPr>
                <w:spacing w:val="6"/>
                <w:w w:val="135"/>
                <w:position w:val="-2"/>
                <w:sz w:val="16"/>
              </w:rPr>
              <w:t>800</w:t>
            </w:r>
          </w:p>
          <w:p>
            <w:pPr>
              <w:pStyle w:val="TableParagraph"/>
              <w:spacing w:line="152" w:lineRule="exact"/>
              <w:ind w:left="1083"/>
              <w:rPr>
                <w:sz w:val="16"/>
              </w:rPr>
            </w:pPr>
            <w:r>
              <w:rPr>
                <w:w w:val="135"/>
                <w:sz w:val="16"/>
              </w:rPr>
              <w:t>Total</w:t>
            </w:r>
          </w:p>
          <w:p>
            <w:pPr>
              <w:pStyle w:val="TableParagraph"/>
              <w:spacing w:before="161"/>
              <w:ind w:left="5063"/>
              <w:rPr>
                <w:sz w:val="16"/>
              </w:rPr>
            </w:pPr>
            <w:r>
              <w:rPr>
                <w:spacing w:val="6"/>
                <w:w w:val="135"/>
                <w:sz w:val="16"/>
              </w:rPr>
              <w:t>600</w:t>
            </w:r>
          </w:p>
          <w:p>
            <w:pPr>
              <w:pStyle w:val="TableParagraph"/>
              <w:spacing w:before="4"/>
              <w:rPr>
                <w:sz w:val="24"/>
              </w:rPr>
            </w:pPr>
          </w:p>
          <w:p>
            <w:pPr>
              <w:pStyle w:val="TableParagraph"/>
              <w:spacing w:before="1"/>
              <w:ind w:left="5063"/>
              <w:rPr>
                <w:sz w:val="16"/>
              </w:rPr>
            </w:pPr>
            <w:r>
              <w:rPr>
                <w:spacing w:val="6"/>
                <w:w w:val="135"/>
                <w:sz w:val="16"/>
              </w:rPr>
              <w:t>400</w:t>
            </w:r>
          </w:p>
          <w:p>
            <w:pPr>
              <w:pStyle w:val="TableParagraph"/>
              <w:spacing w:before="5"/>
              <w:rPr>
                <w:sz w:val="24"/>
              </w:rPr>
            </w:pPr>
          </w:p>
          <w:p>
            <w:pPr>
              <w:pStyle w:val="TableParagraph"/>
              <w:ind w:left="5063"/>
              <w:rPr>
                <w:sz w:val="16"/>
              </w:rPr>
            </w:pPr>
            <w:r>
              <w:rPr>
                <w:spacing w:val="6"/>
                <w:w w:val="135"/>
                <w:sz w:val="16"/>
              </w:rPr>
              <w:t>200</w:t>
            </w:r>
          </w:p>
          <w:p>
            <w:pPr>
              <w:pStyle w:val="TableParagraph"/>
              <w:spacing w:before="40"/>
              <w:ind w:left="5394"/>
              <w:rPr>
                <w:rFonts w:ascii="Arial"/>
                <w:sz w:val="16"/>
              </w:rPr>
            </w:pPr>
            <w:r>
              <w:rPr>
                <w:rFonts w:ascii="Arial"/>
                <w:w w:val="134"/>
                <w:sz w:val="16"/>
              </w:rPr>
              <w:t>+</w:t>
            </w:r>
          </w:p>
          <w:p>
            <w:pPr>
              <w:pStyle w:val="TableParagraph"/>
              <w:spacing w:line="182" w:lineRule="exact" w:before="57"/>
              <w:ind w:left="5063"/>
              <w:rPr>
                <w:sz w:val="16"/>
              </w:rPr>
            </w:pPr>
            <w:r>
              <w:rPr>
                <w:w w:val="134"/>
                <w:sz w:val="16"/>
              </w:rPr>
              <w:t>0</w:t>
            </w:r>
          </w:p>
          <w:p>
            <w:pPr>
              <w:pStyle w:val="TableParagraph"/>
              <w:spacing w:line="182" w:lineRule="exact"/>
              <w:ind w:left="5434"/>
              <w:rPr>
                <w:rFonts w:ascii="Arial"/>
                <w:sz w:val="16"/>
              </w:rPr>
            </w:pPr>
            <w:r>
              <w:rPr>
                <w:rFonts w:ascii="Arial"/>
                <w:w w:val="134"/>
                <w:sz w:val="16"/>
              </w:rPr>
              <w:t>-</w:t>
            </w:r>
          </w:p>
          <w:p>
            <w:pPr>
              <w:pStyle w:val="TableParagraph"/>
              <w:spacing w:before="102"/>
              <w:ind w:left="5063"/>
              <w:rPr>
                <w:sz w:val="16"/>
              </w:rPr>
            </w:pPr>
            <w:r>
              <w:rPr>
                <w:spacing w:val="6"/>
                <w:w w:val="135"/>
                <w:sz w:val="16"/>
              </w:rPr>
              <w:t>200</w:t>
            </w:r>
          </w:p>
          <w:p>
            <w:pPr>
              <w:pStyle w:val="TableParagraph"/>
              <w:spacing w:before="56"/>
              <w:ind w:left="263"/>
              <w:rPr>
                <w:sz w:val="16"/>
              </w:rPr>
            </w:pPr>
            <w:r>
              <w:rPr>
                <w:w w:val="135"/>
                <w:sz w:val="16"/>
              </w:rPr>
              <w:t>2001 2002 2003 2004 2005 2006 2007 2008</w:t>
            </w:r>
          </w:p>
          <w:p>
            <w:pPr>
              <w:pStyle w:val="TableParagraph"/>
              <w:spacing w:line="184" w:lineRule="exact" w:before="161"/>
              <w:ind w:left="107" w:right="575"/>
              <w:rPr>
                <w:i/>
                <w:sz w:val="16"/>
              </w:rPr>
            </w:pPr>
            <w:r>
              <w:rPr>
                <w:i/>
                <w:sz w:val="16"/>
              </w:rPr>
              <w:t>Source: Dealogic, published accounts and Bank of England calculations. Data </w:t>
            </w:r>
            <w:r>
              <w:rPr>
                <w:i/>
                <w:sz w:val="16"/>
              </w:rPr>
              <w:t>exclude Britannia and Nationwide</w:t>
            </w:r>
          </w:p>
        </w:tc>
        <w:tc>
          <w:tcPr>
            <w:tcW w:w="5400" w:type="dxa"/>
          </w:tcPr>
          <w:p>
            <w:pPr>
              <w:pStyle w:val="TableParagraph"/>
              <w:ind w:left="106" w:right="90"/>
              <w:rPr>
                <w:b/>
                <w:sz w:val="24"/>
              </w:rPr>
            </w:pPr>
            <w:r>
              <w:rPr>
                <w:b/>
                <w:sz w:val="24"/>
              </w:rPr>
              <w:t>Chart 4: Spread over Bank Rate of the Effective Rate on the Stock and Flow of Mortgage Lending*</w:t>
            </w:r>
          </w:p>
          <w:p>
            <w:pPr>
              <w:pStyle w:val="TableParagraph"/>
              <w:spacing w:before="71"/>
              <w:ind w:right="362"/>
              <w:jc w:val="right"/>
              <w:rPr>
                <w:sz w:val="13"/>
              </w:rPr>
            </w:pPr>
            <w:r>
              <w:rPr>
                <w:w w:val="110"/>
                <w:sz w:val="13"/>
              </w:rPr>
              <w:t>percentage points</w:t>
            </w:r>
          </w:p>
          <w:p>
            <w:pPr>
              <w:pStyle w:val="TableParagraph"/>
              <w:spacing w:before="79"/>
              <w:ind w:right="313"/>
              <w:jc w:val="right"/>
              <w:rPr>
                <w:sz w:val="13"/>
              </w:rPr>
            </w:pPr>
            <w:r>
              <w:rPr>
                <w:w w:val="111"/>
                <w:sz w:val="13"/>
              </w:rPr>
              <w:t>4</w:t>
            </w:r>
          </w:p>
          <w:p>
            <w:pPr>
              <w:pStyle w:val="TableParagraph"/>
              <w:spacing w:before="1"/>
              <w:rPr>
                <w:sz w:val="15"/>
              </w:rPr>
            </w:pPr>
          </w:p>
          <w:p>
            <w:pPr>
              <w:pStyle w:val="TableParagraph"/>
              <w:ind w:right="213"/>
              <w:jc w:val="right"/>
              <w:rPr>
                <w:sz w:val="13"/>
              </w:rPr>
            </w:pPr>
            <w:r>
              <w:rPr>
                <w:w w:val="110"/>
                <w:sz w:val="13"/>
              </w:rPr>
              <w:t>3.5</w:t>
            </w:r>
          </w:p>
          <w:p>
            <w:pPr>
              <w:pStyle w:val="TableParagraph"/>
              <w:spacing w:before="11"/>
              <w:rPr>
                <w:sz w:val="14"/>
              </w:rPr>
            </w:pPr>
          </w:p>
          <w:p>
            <w:pPr>
              <w:pStyle w:val="TableParagraph"/>
              <w:ind w:left="5002"/>
              <w:rPr>
                <w:sz w:val="13"/>
              </w:rPr>
            </w:pPr>
            <w:r>
              <w:rPr>
                <w:w w:val="111"/>
                <w:sz w:val="13"/>
              </w:rPr>
              <w:t>3</w:t>
            </w:r>
          </w:p>
          <w:p>
            <w:pPr>
              <w:pStyle w:val="TableParagraph"/>
              <w:tabs>
                <w:tab w:pos="851" w:val="left" w:leader="none"/>
              </w:tabs>
              <w:spacing w:before="17"/>
              <w:ind w:left="584"/>
              <w:rPr>
                <w:sz w:val="12"/>
              </w:rPr>
            </w:pPr>
            <w:r>
              <w:rPr>
                <w:w w:val="111"/>
                <w:sz w:val="12"/>
                <w:u w:val="thick" w:color="000080"/>
              </w:rPr>
              <w:t> </w:t>
            </w:r>
            <w:r>
              <w:rPr>
                <w:sz w:val="12"/>
                <w:u w:val="thick" w:color="000080"/>
              </w:rPr>
              <w:tab/>
            </w:r>
            <w:r>
              <w:rPr>
                <w:spacing w:val="3"/>
                <w:sz w:val="12"/>
              </w:rPr>
              <w:t> </w:t>
            </w:r>
            <w:r>
              <w:rPr>
                <w:w w:val="110"/>
                <w:sz w:val="12"/>
              </w:rPr>
              <w:t>Stock</w:t>
            </w:r>
          </w:p>
          <w:p>
            <w:pPr>
              <w:pStyle w:val="TableParagraph"/>
              <w:tabs>
                <w:tab w:pos="851" w:val="left" w:leader="none"/>
                <w:tab w:pos="5174" w:val="right" w:leader="none"/>
              </w:tabs>
              <w:spacing w:before="20"/>
              <w:ind w:left="584"/>
              <w:rPr>
                <w:sz w:val="13"/>
              </w:rPr>
            </w:pPr>
            <w:r>
              <w:rPr>
                <w:w w:val="134"/>
                <w:position w:val="8"/>
                <w:sz w:val="16"/>
                <w:u w:val="thick" w:color="FF00FF"/>
              </w:rPr>
              <w:t> </w:t>
            </w:r>
            <w:r>
              <w:rPr>
                <w:position w:val="8"/>
                <w:sz w:val="16"/>
                <w:u w:val="thick" w:color="FF00FF"/>
              </w:rPr>
              <w:tab/>
            </w:r>
            <w:r>
              <w:rPr>
                <w:spacing w:val="-7"/>
                <w:position w:val="8"/>
                <w:sz w:val="16"/>
              </w:rPr>
              <w:t> </w:t>
            </w:r>
            <w:r>
              <w:rPr>
                <w:w w:val="110"/>
                <w:sz w:val="12"/>
              </w:rPr>
              <w:t>New</w:t>
            </w:r>
            <w:r>
              <w:rPr>
                <w:spacing w:val="3"/>
                <w:w w:val="110"/>
                <w:sz w:val="12"/>
              </w:rPr>
              <w:t> </w:t>
            </w:r>
            <w:r>
              <w:rPr>
                <w:w w:val="110"/>
                <w:sz w:val="12"/>
              </w:rPr>
              <w:t>Borrowing</w:t>
              <w:tab/>
            </w:r>
            <w:r>
              <w:rPr>
                <w:spacing w:val="-4"/>
                <w:w w:val="110"/>
                <w:position w:val="4"/>
                <w:sz w:val="13"/>
              </w:rPr>
              <w:t>2.5</w:t>
            </w:r>
          </w:p>
          <w:p>
            <w:pPr>
              <w:pStyle w:val="TableParagraph"/>
              <w:spacing w:before="132"/>
              <w:ind w:left="5002"/>
              <w:rPr>
                <w:sz w:val="13"/>
              </w:rPr>
            </w:pPr>
            <w:r>
              <w:rPr>
                <w:w w:val="111"/>
                <w:sz w:val="13"/>
              </w:rPr>
              <w:t>2</w:t>
            </w:r>
          </w:p>
          <w:p>
            <w:pPr>
              <w:pStyle w:val="TableParagraph"/>
              <w:spacing w:before="1"/>
              <w:rPr>
                <w:sz w:val="15"/>
              </w:rPr>
            </w:pPr>
          </w:p>
          <w:p>
            <w:pPr>
              <w:pStyle w:val="TableParagraph"/>
              <w:ind w:left="5002"/>
              <w:rPr>
                <w:sz w:val="13"/>
              </w:rPr>
            </w:pPr>
            <w:r>
              <w:rPr>
                <w:spacing w:val="-4"/>
                <w:w w:val="110"/>
                <w:sz w:val="13"/>
              </w:rPr>
              <w:t>1.5</w:t>
            </w:r>
          </w:p>
          <w:p>
            <w:pPr>
              <w:pStyle w:val="TableParagraph"/>
              <w:rPr>
                <w:sz w:val="15"/>
              </w:rPr>
            </w:pPr>
          </w:p>
          <w:p>
            <w:pPr>
              <w:pStyle w:val="TableParagraph"/>
              <w:ind w:left="5002"/>
              <w:rPr>
                <w:sz w:val="13"/>
              </w:rPr>
            </w:pPr>
            <w:r>
              <w:rPr>
                <w:w w:val="111"/>
                <w:sz w:val="13"/>
              </w:rPr>
              <w:t>1</w:t>
            </w:r>
          </w:p>
          <w:p>
            <w:pPr>
              <w:pStyle w:val="TableParagraph"/>
              <w:spacing w:before="1"/>
              <w:rPr>
                <w:sz w:val="15"/>
              </w:rPr>
            </w:pPr>
          </w:p>
          <w:p>
            <w:pPr>
              <w:pStyle w:val="TableParagraph"/>
              <w:tabs>
                <w:tab w:pos="1691" w:val="left" w:leader="none"/>
              </w:tabs>
              <w:ind w:right="213"/>
              <w:jc w:val="right"/>
              <w:rPr>
                <w:sz w:val="13"/>
              </w:rPr>
            </w:pPr>
            <w:r>
              <w:rPr>
                <w:w w:val="111"/>
                <w:sz w:val="13"/>
                <w:u w:val="thick" w:color="FF00FF"/>
              </w:rPr>
              <w:t> </w:t>
            </w:r>
            <w:r>
              <w:rPr>
                <w:sz w:val="13"/>
                <w:u w:val="thick" w:color="FF00FF"/>
              </w:rPr>
              <w:t> </w:t>
            </w:r>
            <w:r>
              <w:rPr>
                <w:spacing w:val="10"/>
                <w:sz w:val="13"/>
                <w:u w:val="thick" w:color="FF00FF"/>
              </w:rPr>
              <w:t> </w:t>
            </w:r>
            <w:r>
              <w:rPr>
                <w:sz w:val="13"/>
              </w:rPr>
              <w:tab/>
            </w:r>
            <w:r>
              <w:rPr>
                <w:spacing w:val="-4"/>
                <w:w w:val="110"/>
                <w:sz w:val="13"/>
              </w:rPr>
              <w:t>0.5</w:t>
            </w:r>
          </w:p>
          <w:p>
            <w:pPr>
              <w:pStyle w:val="TableParagraph"/>
              <w:spacing w:before="11"/>
              <w:rPr>
                <w:sz w:val="14"/>
              </w:rPr>
            </w:pPr>
          </w:p>
          <w:p>
            <w:pPr>
              <w:pStyle w:val="TableParagraph"/>
              <w:ind w:left="5002"/>
              <w:rPr>
                <w:sz w:val="13"/>
              </w:rPr>
            </w:pPr>
            <w:r>
              <w:rPr>
                <w:w w:val="111"/>
                <w:sz w:val="13"/>
              </w:rPr>
              <w:t>0</w:t>
            </w:r>
          </w:p>
          <w:p>
            <w:pPr>
              <w:pStyle w:val="TableParagraph"/>
              <w:rPr>
                <w:sz w:val="15"/>
              </w:rPr>
            </w:pPr>
          </w:p>
          <w:p>
            <w:pPr>
              <w:pStyle w:val="TableParagraph"/>
              <w:spacing w:before="1"/>
              <w:ind w:left="5002"/>
              <w:rPr>
                <w:sz w:val="13"/>
              </w:rPr>
            </w:pPr>
            <w:r>
              <w:rPr>
                <w:w w:val="110"/>
                <w:sz w:val="13"/>
              </w:rPr>
              <w:t>-0.5</w:t>
            </w:r>
          </w:p>
          <w:p>
            <w:pPr>
              <w:pStyle w:val="TableParagraph"/>
              <w:spacing w:before="47"/>
              <w:ind w:left="306"/>
              <w:rPr>
                <w:sz w:val="13"/>
              </w:rPr>
            </w:pPr>
            <w:r>
              <w:rPr>
                <w:w w:val="110"/>
                <w:sz w:val="13"/>
              </w:rPr>
              <w:t>1999 2000 2001 2002 2003 2004 2005 2006 2007 2008 2009</w:t>
            </w:r>
          </w:p>
          <w:p>
            <w:pPr>
              <w:pStyle w:val="TableParagraph"/>
              <w:spacing w:line="184" w:lineRule="exact" w:before="99"/>
              <w:ind w:left="106" w:right="364"/>
              <w:rPr>
                <w:i/>
                <w:sz w:val="16"/>
              </w:rPr>
            </w:pPr>
            <w:r>
              <w:rPr>
                <w:i/>
                <w:sz w:val="16"/>
              </w:rPr>
              <w:t>*The effective interest rate comprises data from 28 monetary and financial </w:t>
            </w:r>
            <w:r>
              <w:rPr>
                <w:i/>
                <w:sz w:val="16"/>
              </w:rPr>
              <w:t>institutions.</w:t>
            </w:r>
          </w:p>
        </w:tc>
      </w:tr>
    </w:tbl>
    <w:p>
      <w:pPr>
        <w:spacing w:after="0" w:line="184" w:lineRule="exact"/>
        <w:rPr>
          <w:sz w:val="16"/>
        </w:rPr>
        <w:sectPr>
          <w:pgSz w:w="11910" w:h="16840"/>
          <w:pgMar w:header="0" w:footer="699" w:top="1600" w:bottom="880" w:left="240" w:right="260"/>
        </w:sectPr>
      </w:pPr>
    </w:p>
    <w:p>
      <w:pPr>
        <w:pStyle w:val="BodyText"/>
        <w:spacing w:line="20" w:lineRule="exact"/>
        <w:ind w:left="112"/>
        <w:rPr>
          <w:sz w:val="2"/>
        </w:rPr>
      </w:pPr>
      <w:r>
        <w:rPr/>
        <w:drawing>
          <wp:anchor distT="0" distB="0" distL="0" distR="0" allowOverlap="1" layoutInCell="1" locked="0" behindDoc="1" simplePos="0" relativeHeight="250727424">
            <wp:simplePos x="0" y="0"/>
            <wp:positionH relativeFrom="page">
              <wp:posOffset>449961</wp:posOffset>
            </wp:positionH>
            <wp:positionV relativeFrom="page">
              <wp:posOffset>1594485</wp:posOffset>
            </wp:positionV>
            <wp:extent cx="3181078" cy="1652587"/>
            <wp:effectExtent l="0" t="0" r="0" b="0"/>
            <wp:wrapNone/>
            <wp:docPr id="3" name="image21.png"/>
            <wp:cNvGraphicFramePr>
              <a:graphicFrameLocks noChangeAspect="1"/>
            </wp:cNvGraphicFramePr>
            <a:graphic>
              <a:graphicData uri="http://schemas.openxmlformats.org/drawingml/2006/picture">
                <pic:pic>
                  <pic:nvPicPr>
                    <pic:cNvPr id="4" name="image21.png"/>
                    <pic:cNvPicPr/>
                  </pic:nvPicPr>
                  <pic:blipFill>
                    <a:blip r:embed="rId30" cstate="print"/>
                    <a:stretch>
                      <a:fillRect/>
                    </a:stretch>
                  </pic:blipFill>
                  <pic:spPr>
                    <a:xfrm>
                      <a:off x="0" y="0"/>
                      <a:ext cx="3181078" cy="1652587"/>
                    </a:xfrm>
                    <a:prstGeom prst="rect">
                      <a:avLst/>
                    </a:prstGeom>
                  </pic:spPr>
                </pic:pic>
              </a:graphicData>
            </a:graphic>
          </wp:anchor>
        </w:drawing>
      </w:r>
      <w:r>
        <w:rPr/>
        <w:drawing>
          <wp:anchor distT="0" distB="0" distL="0" distR="0" allowOverlap="1" layoutInCell="1" locked="0" behindDoc="1" simplePos="0" relativeHeight="250728448">
            <wp:simplePos x="0" y="0"/>
            <wp:positionH relativeFrom="page">
              <wp:posOffset>4154042</wp:posOffset>
            </wp:positionH>
            <wp:positionV relativeFrom="page">
              <wp:posOffset>1423733</wp:posOffset>
            </wp:positionV>
            <wp:extent cx="2771018" cy="1795462"/>
            <wp:effectExtent l="0" t="0" r="0" b="0"/>
            <wp:wrapNone/>
            <wp:docPr id="5" name="image22.png"/>
            <wp:cNvGraphicFramePr>
              <a:graphicFrameLocks noChangeAspect="1"/>
            </wp:cNvGraphicFramePr>
            <a:graphic>
              <a:graphicData uri="http://schemas.openxmlformats.org/drawingml/2006/picture">
                <pic:pic>
                  <pic:nvPicPr>
                    <pic:cNvPr id="6" name="image22.png"/>
                    <pic:cNvPicPr/>
                  </pic:nvPicPr>
                  <pic:blipFill>
                    <a:blip r:embed="rId31" cstate="print"/>
                    <a:stretch>
                      <a:fillRect/>
                    </a:stretch>
                  </pic:blipFill>
                  <pic:spPr>
                    <a:xfrm>
                      <a:off x="0" y="0"/>
                      <a:ext cx="2771018" cy="1795462"/>
                    </a:xfrm>
                    <a:prstGeom prst="rect">
                      <a:avLst/>
                    </a:prstGeom>
                  </pic:spPr>
                </pic:pic>
              </a:graphicData>
            </a:graphic>
          </wp:anchor>
        </w:drawing>
      </w:r>
      <w:r>
        <w:rPr/>
        <w:drawing>
          <wp:anchor distT="0" distB="0" distL="0" distR="0" allowOverlap="1" layoutInCell="1" locked="0" behindDoc="1" simplePos="0" relativeHeight="250729472">
            <wp:simplePos x="0" y="0"/>
            <wp:positionH relativeFrom="page">
              <wp:posOffset>473583</wp:posOffset>
            </wp:positionH>
            <wp:positionV relativeFrom="page">
              <wp:posOffset>4376546</wp:posOffset>
            </wp:positionV>
            <wp:extent cx="3041826" cy="1909762"/>
            <wp:effectExtent l="0" t="0" r="0" b="0"/>
            <wp:wrapNone/>
            <wp:docPr id="7" name="image23.png"/>
            <wp:cNvGraphicFramePr>
              <a:graphicFrameLocks noChangeAspect="1"/>
            </wp:cNvGraphicFramePr>
            <a:graphic>
              <a:graphicData uri="http://schemas.openxmlformats.org/drawingml/2006/picture">
                <pic:pic>
                  <pic:nvPicPr>
                    <pic:cNvPr id="8" name="image23.png"/>
                    <pic:cNvPicPr/>
                  </pic:nvPicPr>
                  <pic:blipFill>
                    <a:blip r:embed="rId32" cstate="print"/>
                    <a:stretch>
                      <a:fillRect/>
                    </a:stretch>
                  </pic:blipFill>
                  <pic:spPr>
                    <a:xfrm>
                      <a:off x="0" y="0"/>
                      <a:ext cx="3041826" cy="1909762"/>
                    </a:xfrm>
                    <a:prstGeom prst="rect">
                      <a:avLst/>
                    </a:prstGeom>
                  </pic:spPr>
                </pic:pic>
              </a:graphicData>
            </a:graphic>
          </wp:anchor>
        </w:drawing>
      </w:r>
      <w:r>
        <w:rPr/>
        <w:drawing>
          <wp:anchor distT="0" distB="0" distL="0" distR="0" allowOverlap="1" layoutInCell="1" locked="0" behindDoc="1" simplePos="0" relativeHeight="250730496">
            <wp:simplePos x="0" y="0"/>
            <wp:positionH relativeFrom="page">
              <wp:posOffset>4056240</wp:posOffset>
            </wp:positionH>
            <wp:positionV relativeFrom="page">
              <wp:posOffset>4251578</wp:posOffset>
            </wp:positionV>
            <wp:extent cx="2981316" cy="2062162"/>
            <wp:effectExtent l="0" t="0" r="0" b="0"/>
            <wp:wrapNone/>
            <wp:docPr id="9" name="image24.png"/>
            <wp:cNvGraphicFramePr>
              <a:graphicFrameLocks noChangeAspect="1"/>
            </wp:cNvGraphicFramePr>
            <a:graphic>
              <a:graphicData uri="http://schemas.openxmlformats.org/drawingml/2006/picture">
                <pic:pic>
                  <pic:nvPicPr>
                    <pic:cNvPr id="10" name="image24.png"/>
                    <pic:cNvPicPr/>
                  </pic:nvPicPr>
                  <pic:blipFill>
                    <a:blip r:embed="rId33" cstate="print"/>
                    <a:stretch>
                      <a:fillRect/>
                    </a:stretch>
                  </pic:blipFill>
                  <pic:spPr>
                    <a:xfrm>
                      <a:off x="0" y="0"/>
                      <a:ext cx="2981316" cy="2062162"/>
                    </a:xfrm>
                    <a:prstGeom prst="rect">
                      <a:avLst/>
                    </a:prstGeom>
                  </pic:spPr>
                </pic:pic>
              </a:graphicData>
            </a:graphic>
          </wp:anchor>
        </w:drawing>
      </w:r>
      <w:r>
        <w:rPr/>
        <w:drawing>
          <wp:anchor distT="0" distB="0" distL="0" distR="0" allowOverlap="1" layoutInCell="1" locked="0" behindDoc="1" simplePos="0" relativeHeight="250731520">
            <wp:simplePos x="0" y="0"/>
            <wp:positionH relativeFrom="page">
              <wp:posOffset>416096</wp:posOffset>
            </wp:positionH>
            <wp:positionV relativeFrom="page">
              <wp:posOffset>7352156</wp:posOffset>
            </wp:positionV>
            <wp:extent cx="3072137" cy="1771650"/>
            <wp:effectExtent l="0" t="0" r="0" b="0"/>
            <wp:wrapNone/>
            <wp:docPr id="11" name="image25.png"/>
            <wp:cNvGraphicFramePr>
              <a:graphicFrameLocks noChangeAspect="1"/>
            </wp:cNvGraphicFramePr>
            <a:graphic>
              <a:graphicData uri="http://schemas.openxmlformats.org/drawingml/2006/picture">
                <pic:pic>
                  <pic:nvPicPr>
                    <pic:cNvPr id="12" name="image25.png"/>
                    <pic:cNvPicPr/>
                  </pic:nvPicPr>
                  <pic:blipFill>
                    <a:blip r:embed="rId34" cstate="print"/>
                    <a:stretch>
                      <a:fillRect/>
                    </a:stretch>
                  </pic:blipFill>
                  <pic:spPr>
                    <a:xfrm>
                      <a:off x="0" y="0"/>
                      <a:ext cx="3072137" cy="1771650"/>
                    </a:xfrm>
                    <a:prstGeom prst="rect">
                      <a:avLst/>
                    </a:prstGeom>
                  </pic:spPr>
                </pic:pic>
              </a:graphicData>
            </a:graphic>
          </wp:anchor>
        </w:drawing>
      </w:r>
      <w:r>
        <w:rPr/>
        <w:drawing>
          <wp:anchor distT="0" distB="0" distL="0" distR="0" allowOverlap="1" layoutInCell="1" locked="0" behindDoc="1" simplePos="0" relativeHeight="250732544">
            <wp:simplePos x="0" y="0"/>
            <wp:positionH relativeFrom="page">
              <wp:posOffset>4034028</wp:posOffset>
            </wp:positionH>
            <wp:positionV relativeFrom="page">
              <wp:posOffset>7187945</wp:posOffset>
            </wp:positionV>
            <wp:extent cx="2801625" cy="1833562"/>
            <wp:effectExtent l="0" t="0" r="0" b="0"/>
            <wp:wrapNone/>
            <wp:docPr id="13" name="image26.png"/>
            <wp:cNvGraphicFramePr>
              <a:graphicFrameLocks noChangeAspect="1"/>
            </wp:cNvGraphicFramePr>
            <a:graphic>
              <a:graphicData uri="http://schemas.openxmlformats.org/drawingml/2006/picture">
                <pic:pic>
                  <pic:nvPicPr>
                    <pic:cNvPr id="14" name="image26.png"/>
                    <pic:cNvPicPr/>
                  </pic:nvPicPr>
                  <pic:blipFill>
                    <a:blip r:embed="rId35" cstate="print"/>
                    <a:stretch>
                      <a:fillRect/>
                    </a:stretch>
                  </pic:blipFill>
                  <pic:spPr>
                    <a:xfrm>
                      <a:off x="0" y="0"/>
                      <a:ext cx="2801625" cy="1833562"/>
                    </a:xfrm>
                    <a:prstGeom prst="rect">
                      <a:avLst/>
                    </a:prstGeom>
                  </pic:spPr>
                </pic:pic>
              </a:graphicData>
            </a:graphic>
          </wp:anchor>
        </w:drawing>
      </w:r>
      <w:r>
        <w:rPr>
          <w:sz w:val="2"/>
        </w:rPr>
        <w:pict>
          <v:group style="width:557.9pt;height:.5pt;mso-position-horizontal-relative:char;mso-position-vertical-relative:line" coordorigin="0,0" coordsize="11158,10">
            <v:line style="position:absolute" from="0,5" to="11158,5" stroked="true" strokeweight=".48004pt" strokecolor="#000000">
              <v:stroke dashstyle="solid"/>
            </v:line>
          </v:group>
        </w:pict>
      </w:r>
      <w:r>
        <w:rPr>
          <w:sz w:val="2"/>
        </w:rPr>
      </w:r>
    </w:p>
    <w:p>
      <w:pPr>
        <w:pStyle w:val="BodyText"/>
        <w:spacing w:before="1"/>
        <w:rPr>
          <w:sz w:val="22"/>
        </w:r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65"/>
        <w:gridCol w:w="5400"/>
      </w:tblGrid>
      <w:tr>
        <w:trPr>
          <w:trHeight w:val="4316" w:hRule="atLeast"/>
        </w:trPr>
        <w:tc>
          <w:tcPr>
            <w:tcW w:w="5765" w:type="dxa"/>
            <w:tcBorders>
              <w:top w:val="nil"/>
            </w:tcBorders>
          </w:tcPr>
          <w:p>
            <w:pPr>
              <w:pStyle w:val="TableParagraph"/>
              <w:ind w:left="62"/>
              <w:rPr>
                <w:b/>
                <w:sz w:val="24"/>
              </w:rPr>
            </w:pPr>
            <w:r>
              <w:rPr>
                <w:b/>
                <w:sz w:val="24"/>
              </w:rPr>
              <w:t>Chart 5: UK Quoted Mortgage Rates on Two </w:t>
            </w:r>
            <w:r>
              <w:rPr>
                <w:b/>
                <w:spacing w:val="-3"/>
                <w:sz w:val="24"/>
              </w:rPr>
              <w:t>Year</w:t>
            </w:r>
            <w:r>
              <w:rPr>
                <w:b/>
                <w:spacing w:val="54"/>
                <w:sz w:val="24"/>
              </w:rPr>
              <w:t> </w:t>
            </w:r>
            <w:r>
              <w:rPr>
                <w:b/>
                <w:sz w:val="24"/>
              </w:rPr>
              <w:t>Fixed Rate Mortgages*</w:t>
            </w:r>
          </w:p>
          <w:p>
            <w:pPr>
              <w:pStyle w:val="TableParagraph"/>
              <w:spacing w:before="68"/>
              <w:ind w:left="4727"/>
              <w:rPr>
                <w:sz w:val="12"/>
              </w:rPr>
            </w:pPr>
            <w:r>
              <w:rPr>
                <w:w w:val="135"/>
                <w:sz w:val="12"/>
              </w:rPr>
              <w:t>Per Cent</w:t>
            </w:r>
          </w:p>
          <w:p>
            <w:pPr>
              <w:pStyle w:val="TableParagraph"/>
              <w:spacing w:before="35"/>
              <w:ind w:left="5422"/>
              <w:rPr>
                <w:sz w:val="12"/>
              </w:rPr>
            </w:pPr>
            <w:r>
              <w:rPr>
                <w:w w:val="132"/>
                <w:sz w:val="12"/>
              </w:rPr>
              <w:t>7</w:t>
            </w:r>
          </w:p>
          <w:p>
            <w:pPr>
              <w:pStyle w:val="TableParagraph"/>
              <w:spacing w:before="10"/>
              <w:rPr>
                <w:sz w:val="19"/>
              </w:rPr>
            </w:pPr>
          </w:p>
          <w:p>
            <w:pPr>
              <w:pStyle w:val="TableParagraph"/>
              <w:ind w:left="5422"/>
              <w:rPr>
                <w:sz w:val="12"/>
              </w:rPr>
            </w:pPr>
            <w:r>
              <w:rPr>
                <w:w w:val="132"/>
                <w:sz w:val="12"/>
              </w:rPr>
              <w:t>6</w:t>
            </w:r>
          </w:p>
          <w:p>
            <w:pPr>
              <w:pStyle w:val="TableParagraph"/>
              <w:rPr>
                <w:sz w:val="14"/>
              </w:rPr>
            </w:pPr>
          </w:p>
          <w:p>
            <w:pPr>
              <w:pStyle w:val="TableParagraph"/>
              <w:spacing w:before="80"/>
              <w:ind w:left="5422"/>
              <w:rPr>
                <w:sz w:val="12"/>
              </w:rPr>
            </w:pPr>
            <w:r>
              <w:rPr>
                <w:w w:val="132"/>
                <w:sz w:val="12"/>
              </w:rPr>
              <w:t>5</w:t>
            </w:r>
          </w:p>
          <w:p>
            <w:pPr>
              <w:pStyle w:val="TableParagraph"/>
              <w:rPr>
                <w:sz w:val="20"/>
              </w:rPr>
            </w:pPr>
          </w:p>
          <w:p>
            <w:pPr>
              <w:pStyle w:val="TableParagraph"/>
              <w:ind w:left="5422"/>
              <w:rPr>
                <w:sz w:val="12"/>
              </w:rPr>
            </w:pPr>
            <w:r>
              <w:rPr>
                <w:w w:val="132"/>
                <w:sz w:val="12"/>
              </w:rPr>
              <w:t>4</w:t>
            </w:r>
          </w:p>
          <w:p>
            <w:pPr>
              <w:pStyle w:val="TableParagraph"/>
              <w:spacing w:before="35"/>
              <w:ind w:left="830"/>
              <w:rPr>
                <w:sz w:val="12"/>
              </w:rPr>
            </w:pPr>
            <w:r>
              <w:rPr>
                <w:w w:val="135"/>
                <w:sz w:val="12"/>
              </w:rPr>
              <w:t>95% loan to value</w:t>
            </w:r>
          </w:p>
          <w:p>
            <w:pPr>
              <w:pStyle w:val="TableParagraph"/>
              <w:tabs>
                <w:tab w:pos="5502" w:val="right" w:leader="none"/>
              </w:tabs>
              <w:spacing w:before="56"/>
              <w:ind w:left="830"/>
              <w:rPr>
                <w:sz w:val="12"/>
              </w:rPr>
            </w:pPr>
            <w:r>
              <w:rPr>
                <w:spacing w:val="4"/>
                <w:w w:val="135"/>
                <w:sz w:val="12"/>
              </w:rPr>
              <w:t>90% </w:t>
            </w:r>
            <w:r>
              <w:rPr>
                <w:w w:val="135"/>
                <w:sz w:val="12"/>
              </w:rPr>
              <w:t>loan</w:t>
            </w:r>
            <w:r>
              <w:rPr>
                <w:spacing w:val="4"/>
                <w:w w:val="135"/>
                <w:sz w:val="12"/>
              </w:rPr>
              <w:t> </w:t>
            </w:r>
            <w:r>
              <w:rPr>
                <w:spacing w:val="7"/>
                <w:w w:val="135"/>
                <w:sz w:val="12"/>
              </w:rPr>
              <w:t>to</w:t>
            </w:r>
            <w:r>
              <w:rPr>
                <w:spacing w:val="9"/>
                <w:w w:val="135"/>
                <w:sz w:val="12"/>
              </w:rPr>
              <w:t> </w:t>
            </w:r>
            <w:r>
              <w:rPr>
                <w:w w:val="135"/>
                <w:sz w:val="12"/>
              </w:rPr>
              <w:t>value</w:t>
              <w:tab/>
            </w:r>
            <w:r>
              <w:rPr>
                <w:w w:val="135"/>
                <w:position w:val="7"/>
                <w:sz w:val="12"/>
              </w:rPr>
              <w:t>3</w:t>
            </w:r>
          </w:p>
          <w:p>
            <w:pPr>
              <w:pStyle w:val="TableParagraph"/>
              <w:tabs>
                <w:tab w:pos="785" w:val="left" w:leader="none"/>
                <w:tab w:pos="4440" w:val="left" w:leader="none"/>
                <w:tab w:pos="5502" w:val="right" w:leader="none"/>
              </w:tabs>
              <w:spacing w:before="126"/>
              <w:ind w:left="437"/>
              <w:rPr>
                <w:sz w:val="12"/>
              </w:rPr>
            </w:pPr>
            <w:r>
              <w:rPr>
                <w:w w:val="132"/>
                <w:sz w:val="12"/>
                <w:u w:val="thick" w:color="000080"/>
              </w:rPr>
              <w:t> </w:t>
            </w:r>
            <w:r>
              <w:rPr>
                <w:sz w:val="12"/>
                <w:u w:val="thick" w:color="000080"/>
              </w:rPr>
              <w:tab/>
            </w:r>
            <w:r>
              <w:rPr>
                <w:spacing w:val="14"/>
                <w:sz w:val="12"/>
              </w:rPr>
              <w:t> </w:t>
            </w:r>
            <w:r>
              <w:rPr>
                <w:spacing w:val="4"/>
                <w:w w:val="135"/>
                <w:sz w:val="12"/>
              </w:rPr>
              <w:t>75% </w:t>
            </w:r>
            <w:r>
              <w:rPr>
                <w:w w:val="135"/>
                <w:sz w:val="12"/>
              </w:rPr>
              <w:t>loan</w:t>
            </w:r>
            <w:r>
              <w:rPr>
                <w:spacing w:val="4"/>
                <w:w w:val="135"/>
                <w:sz w:val="12"/>
              </w:rPr>
              <w:t> </w:t>
            </w:r>
            <w:r>
              <w:rPr>
                <w:spacing w:val="7"/>
                <w:w w:val="135"/>
                <w:sz w:val="12"/>
              </w:rPr>
              <w:t>to</w:t>
            </w:r>
            <w:r>
              <w:rPr>
                <w:spacing w:val="9"/>
                <w:w w:val="135"/>
                <w:sz w:val="12"/>
              </w:rPr>
              <w:t> </w:t>
            </w:r>
            <w:r>
              <w:rPr>
                <w:w w:val="135"/>
                <w:sz w:val="12"/>
              </w:rPr>
              <w:t>value</w:t>
              <w:tab/>
              <w:tab/>
            </w:r>
            <w:r>
              <w:rPr>
                <w:w w:val="135"/>
                <w:position w:val="-2"/>
                <w:sz w:val="12"/>
              </w:rPr>
              <w:t>2</w:t>
            </w:r>
          </w:p>
          <w:p>
            <w:pPr>
              <w:pStyle w:val="TableParagraph"/>
              <w:spacing w:before="85"/>
              <w:ind w:left="830"/>
              <w:rPr>
                <w:sz w:val="12"/>
              </w:rPr>
            </w:pPr>
            <w:r>
              <w:rPr>
                <w:w w:val="135"/>
                <w:sz w:val="12"/>
              </w:rPr>
              <w:t>2 year swap rate</w:t>
            </w:r>
          </w:p>
          <w:p>
            <w:pPr>
              <w:pStyle w:val="TableParagraph"/>
              <w:spacing w:before="23"/>
              <w:ind w:left="5422"/>
              <w:rPr>
                <w:sz w:val="12"/>
              </w:rPr>
            </w:pPr>
            <w:r>
              <w:rPr>
                <w:w w:val="132"/>
                <w:sz w:val="12"/>
              </w:rPr>
              <w:t>1</w:t>
            </w:r>
          </w:p>
          <w:p>
            <w:pPr>
              <w:pStyle w:val="TableParagraph"/>
              <w:spacing w:before="10"/>
              <w:rPr>
                <w:sz w:val="19"/>
              </w:rPr>
            </w:pPr>
          </w:p>
          <w:p>
            <w:pPr>
              <w:pStyle w:val="TableParagraph"/>
              <w:ind w:left="5422"/>
              <w:rPr>
                <w:sz w:val="12"/>
              </w:rPr>
            </w:pPr>
            <w:r>
              <w:rPr>
                <w:w w:val="132"/>
                <w:sz w:val="12"/>
              </w:rPr>
              <w:t>0</w:t>
            </w:r>
          </w:p>
          <w:p>
            <w:pPr>
              <w:pStyle w:val="TableParagraph"/>
              <w:tabs>
                <w:tab w:pos="2118" w:val="left" w:leader="none"/>
                <w:tab w:pos="3974" w:val="left" w:leader="none"/>
              </w:tabs>
              <w:spacing w:before="46"/>
              <w:ind w:left="250"/>
              <w:rPr>
                <w:sz w:val="12"/>
              </w:rPr>
            </w:pPr>
            <w:r>
              <w:rPr>
                <w:spacing w:val="4"/>
                <w:w w:val="135"/>
                <w:sz w:val="12"/>
              </w:rPr>
              <w:t>2007</w:t>
              <w:tab/>
            </w:r>
            <w:r>
              <w:rPr>
                <w:spacing w:val="5"/>
                <w:w w:val="135"/>
                <w:sz w:val="12"/>
              </w:rPr>
              <w:t>2008</w:t>
              <w:tab/>
            </w:r>
            <w:r>
              <w:rPr>
                <w:spacing w:val="6"/>
                <w:w w:val="135"/>
                <w:sz w:val="12"/>
              </w:rPr>
              <w:t>2009</w:t>
            </w:r>
          </w:p>
          <w:p>
            <w:pPr>
              <w:pStyle w:val="TableParagraph"/>
              <w:spacing w:before="123"/>
              <w:ind w:left="107" w:right="433"/>
              <w:rPr>
                <w:i/>
                <w:sz w:val="16"/>
              </w:rPr>
            </w:pPr>
            <w:r>
              <w:rPr>
                <w:i/>
                <w:sz w:val="16"/>
              </w:rPr>
              <w:t>*End month rates. For the 95% and 90% loan to value series data is unavailable </w:t>
            </w:r>
            <w:r>
              <w:rPr>
                <w:i/>
                <w:sz w:val="16"/>
              </w:rPr>
              <w:t>where only two or fewer products were offered during that</w:t>
            </w:r>
            <w:r>
              <w:rPr>
                <w:i/>
                <w:spacing w:val="-14"/>
                <w:sz w:val="16"/>
              </w:rPr>
              <w:t> </w:t>
            </w:r>
            <w:r>
              <w:rPr>
                <w:i/>
                <w:sz w:val="16"/>
              </w:rPr>
              <w:t>period.</w:t>
            </w:r>
          </w:p>
        </w:tc>
        <w:tc>
          <w:tcPr>
            <w:tcW w:w="5400" w:type="dxa"/>
            <w:tcBorders>
              <w:top w:val="nil"/>
            </w:tcBorders>
          </w:tcPr>
          <w:p>
            <w:pPr>
              <w:pStyle w:val="TableParagraph"/>
              <w:spacing w:line="275" w:lineRule="exact"/>
              <w:ind w:left="100"/>
              <w:rPr>
                <w:b/>
                <w:sz w:val="24"/>
              </w:rPr>
            </w:pPr>
            <w:r>
              <w:rPr>
                <w:b/>
                <w:sz w:val="24"/>
              </w:rPr>
              <w:t>Chart 6: Sterling Corporate Bond Spreads</w:t>
            </w:r>
          </w:p>
          <w:p>
            <w:pPr>
              <w:pStyle w:val="TableParagraph"/>
              <w:spacing w:line="154" w:lineRule="exact" w:before="94"/>
              <w:ind w:right="199"/>
              <w:jc w:val="right"/>
              <w:rPr>
                <w:sz w:val="14"/>
              </w:rPr>
            </w:pPr>
            <w:r>
              <w:rPr>
                <w:w w:val="130"/>
                <w:sz w:val="14"/>
              </w:rPr>
              <w:t>Basis points</w:t>
            </w:r>
          </w:p>
          <w:p>
            <w:pPr>
              <w:pStyle w:val="TableParagraph"/>
              <w:tabs>
                <w:tab w:pos="999" w:val="left" w:leader="none"/>
                <w:tab w:pos="1710" w:val="left" w:leader="none"/>
                <w:tab w:pos="2106" w:val="left" w:leader="none"/>
                <w:tab w:pos="2818" w:val="left" w:leader="none"/>
                <w:tab w:pos="3215" w:val="left" w:leader="none"/>
                <w:tab w:pos="5267" w:val="right" w:leader="none"/>
              </w:tabs>
              <w:spacing w:line="166" w:lineRule="exact"/>
              <w:ind w:left="601"/>
              <w:rPr>
                <w:sz w:val="14"/>
              </w:rPr>
            </w:pPr>
            <w:r>
              <w:rPr>
                <w:w w:val="132"/>
                <w:position w:val="-7"/>
                <w:sz w:val="12"/>
                <w:u w:val="single" w:color="9ACC00"/>
              </w:rPr>
              <w:t> </w:t>
            </w:r>
            <w:r>
              <w:rPr>
                <w:position w:val="-7"/>
                <w:sz w:val="12"/>
                <w:u w:val="single" w:color="9ACC00"/>
              </w:rPr>
              <w:tab/>
            </w:r>
            <w:r>
              <w:rPr>
                <w:position w:val="-7"/>
                <w:sz w:val="12"/>
              </w:rPr>
              <w:t> </w:t>
            </w:r>
            <w:r>
              <w:rPr>
                <w:spacing w:val="-10"/>
                <w:position w:val="-7"/>
                <w:sz w:val="12"/>
              </w:rPr>
              <w:t> </w:t>
            </w:r>
            <w:r>
              <w:rPr>
                <w:w w:val="130"/>
                <w:sz w:val="14"/>
              </w:rPr>
              <w:t>AAA</w:t>
              <w:tab/>
            </w:r>
            <w:r>
              <w:rPr>
                <w:w w:val="130"/>
                <w:sz w:val="14"/>
                <w:u w:val="single" w:color="CC9AFF"/>
              </w:rPr>
              <w:t> </w:t>
              <w:tab/>
            </w:r>
            <w:r>
              <w:rPr>
                <w:w w:val="130"/>
                <w:sz w:val="14"/>
              </w:rPr>
              <w:t>AA</w:t>
              <w:tab/>
            </w:r>
            <w:r>
              <w:rPr>
                <w:w w:val="130"/>
                <w:sz w:val="14"/>
                <w:u w:val="single" w:color="FF0000"/>
              </w:rPr>
              <w:t> </w:t>
              <w:tab/>
            </w:r>
            <w:r>
              <w:rPr>
                <w:w w:val="130"/>
                <w:sz w:val="14"/>
              </w:rPr>
              <w:t>A</w:t>
              <w:tab/>
            </w:r>
            <w:r>
              <w:rPr>
                <w:spacing w:val="7"/>
                <w:w w:val="130"/>
                <w:position w:val="-4"/>
                <w:sz w:val="14"/>
              </w:rPr>
              <w:t>2000</w:t>
            </w:r>
          </w:p>
          <w:p>
            <w:pPr>
              <w:pStyle w:val="TableParagraph"/>
              <w:tabs>
                <w:tab w:pos="2157" w:val="left" w:leader="none"/>
                <w:tab w:pos="3265" w:val="left" w:leader="none"/>
              </w:tabs>
              <w:spacing w:line="123" w:lineRule="exact"/>
              <w:ind w:left="1049"/>
              <w:rPr>
                <w:sz w:val="14"/>
              </w:rPr>
            </w:pPr>
            <w:r>
              <w:rPr>
                <w:spacing w:val="-4"/>
                <w:w w:val="130"/>
                <w:sz w:val="14"/>
              </w:rPr>
              <w:t>BBB</w:t>
              <w:tab/>
            </w:r>
            <w:r>
              <w:rPr>
                <w:spacing w:val="-3"/>
                <w:w w:val="130"/>
                <w:sz w:val="14"/>
              </w:rPr>
              <w:t>BB</w:t>
              <w:tab/>
            </w:r>
            <w:r>
              <w:rPr>
                <w:w w:val="130"/>
                <w:sz w:val="14"/>
              </w:rPr>
              <w:t>B</w:t>
            </w:r>
          </w:p>
          <w:p>
            <w:pPr>
              <w:pStyle w:val="TableParagraph"/>
              <w:spacing w:before="40"/>
              <w:ind w:left="4870"/>
              <w:rPr>
                <w:sz w:val="14"/>
              </w:rPr>
            </w:pPr>
            <w:r>
              <w:rPr>
                <w:spacing w:val="7"/>
                <w:w w:val="130"/>
                <w:sz w:val="14"/>
              </w:rPr>
              <w:t>1800</w:t>
            </w:r>
          </w:p>
          <w:p>
            <w:pPr>
              <w:pStyle w:val="TableParagraph"/>
              <w:spacing w:before="107"/>
              <w:ind w:left="4870"/>
              <w:rPr>
                <w:sz w:val="14"/>
              </w:rPr>
            </w:pPr>
            <w:r>
              <w:rPr>
                <w:spacing w:val="7"/>
                <w:w w:val="130"/>
                <w:sz w:val="14"/>
              </w:rPr>
              <w:t>1600</w:t>
            </w:r>
          </w:p>
          <w:p>
            <w:pPr>
              <w:pStyle w:val="TableParagraph"/>
              <w:spacing w:before="122"/>
              <w:ind w:left="4870"/>
              <w:rPr>
                <w:sz w:val="14"/>
              </w:rPr>
            </w:pPr>
            <w:r>
              <w:rPr>
                <w:spacing w:val="7"/>
                <w:w w:val="130"/>
                <w:sz w:val="14"/>
              </w:rPr>
              <w:t>1400</w:t>
            </w:r>
          </w:p>
          <w:p>
            <w:pPr>
              <w:pStyle w:val="TableParagraph"/>
              <w:spacing w:before="106"/>
              <w:ind w:left="4870"/>
              <w:rPr>
                <w:sz w:val="14"/>
              </w:rPr>
            </w:pPr>
            <w:r>
              <w:rPr>
                <w:spacing w:val="7"/>
                <w:w w:val="130"/>
                <w:sz w:val="14"/>
              </w:rPr>
              <w:t>1200</w:t>
            </w:r>
          </w:p>
          <w:p>
            <w:pPr>
              <w:pStyle w:val="TableParagraph"/>
              <w:spacing w:before="121"/>
              <w:ind w:left="4870"/>
              <w:rPr>
                <w:sz w:val="14"/>
              </w:rPr>
            </w:pPr>
            <w:r>
              <w:rPr>
                <w:spacing w:val="7"/>
                <w:w w:val="130"/>
                <w:sz w:val="14"/>
              </w:rPr>
              <w:t>1000</w:t>
            </w:r>
          </w:p>
          <w:p>
            <w:pPr>
              <w:pStyle w:val="TableParagraph"/>
              <w:spacing w:before="120"/>
              <w:ind w:left="4870"/>
              <w:rPr>
                <w:sz w:val="14"/>
              </w:rPr>
            </w:pPr>
            <w:r>
              <w:rPr>
                <w:spacing w:val="5"/>
                <w:w w:val="130"/>
                <w:sz w:val="14"/>
              </w:rPr>
              <w:t>800</w:t>
            </w:r>
          </w:p>
          <w:p>
            <w:pPr>
              <w:pStyle w:val="TableParagraph"/>
              <w:spacing w:before="108"/>
              <w:ind w:left="4870"/>
              <w:rPr>
                <w:sz w:val="14"/>
              </w:rPr>
            </w:pPr>
            <w:r>
              <w:rPr>
                <w:spacing w:val="5"/>
                <w:w w:val="130"/>
                <w:sz w:val="14"/>
              </w:rPr>
              <w:t>600</w:t>
            </w:r>
          </w:p>
          <w:p>
            <w:pPr>
              <w:pStyle w:val="TableParagraph"/>
              <w:spacing w:before="120"/>
              <w:ind w:left="4870"/>
              <w:rPr>
                <w:sz w:val="14"/>
              </w:rPr>
            </w:pPr>
            <w:r>
              <w:rPr>
                <w:spacing w:val="5"/>
                <w:w w:val="130"/>
                <w:sz w:val="14"/>
              </w:rPr>
              <w:t>400</w:t>
            </w:r>
          </w:p>
          <w:p>
            <w:pPr>
              <w:pStyle w:val="TableParagraph"/>
              <w:spacing w:before="107"/>
              <w:ind w:left="4870"/>
              <w:rPr>
                <w:sz w:val="14"/>
              </w:rPr>
            </w:pPr>
            <w:r>
              <w:rPr>
                <w:spacing w:val="5"/>
                <w:w w:val="130"/>
                <w:sz w:val="14"/>
              </w:rPr>
              <w:t>200</w:t>
            </w:r>
          </w:p>
          <w:p>
            <w:pPr>
              <w:pStyle w:val="TableParagraph"/>
              <w:spacing w:before="120"/>
              <w:ind w:left="4870"/>
              <w:rPr>
                <w:sz w:val="14"/>
              </w:rPr>
            </w:pPr>
            <w:r>
              <w:rPr>
                <w:w w:val="129"/>
                <w:sz w:val="14"/>
              </w:rPr>
              <w:t>0</w:t>
            </w:r>
          </w:p>
          <w:p>
            <w:pPr>
              <w:pStyle w:val="TableParagraph"/>
              <w:tabs>
                <w:tab w:pos="900" w:val="left" w:leader="none"/>
                <w:tab w:pos="1578" w:val="left" w:leader="none"/>
                <w:tab w:pos="2273" w:val="left" w:leader="none"/>
                <w:tab w:pos="2951" w:val="left" w:leader="none"/>
                <w:tab w:pos="3629" w:val="left" w:leader="none"/>
                <w:tab w:pos="4307" w:val="left" w:leader="none"/>
              </w:tabs>
              <w:spacing w:before="54"/>
              <w:ind w:left="222"/>
              <w:rPr>
                <w:sz w:val="14"/>
              </w:rPr>
            </w:pPr>
            <w:r>
              <w:rPr>
                <w:spacing w:val="5"/>
                <w:w w:val="130"/>
                <w:sz w:val="14"/>
              </w:rPr>
              <w:t>1996</w:t>
              <w:tab/>
              <w:t>1998</w:t>
              <w:tab/>
              <w:t>2000</w:t>
              <w:tab/>
              <w:t>2002</w:t>
              <w:tab/>
              <w:t>2004</w:t>
              <w:tab/>
              <w:t>2006</w:t>
              <w:tab/>
            </w:r>
            <w:r>
              <w:rPr>
                <w:spacing w:val="7"/>
                <w:w w:val="130"/>
                <w:sz w:val="14"/>
              </w:rPr>
              <w:t>2008</w:t>
            </w:r>
          </w:p>
          <w:p>
            <w:pPr>
              <w:pStyle w:val="TableParagraph"/>
              <w:spacing w:before="6"/>
              <w:rPr>
                <w:sz w:val="12"/>
              </w:rPr>
            </w:pPr>
          </w:p>
          <w:p>
            <w:pPr>
              <w:pStyle w:val="TableParagraph"/>
              <w:spacing w:line="276" w:lineRule="exact"/>
              <w:ind w:left="106"/>
              <w:rPr>
                <w:i/>
                <w:sz w:val="16"/>
              </w:rPr>
            </w:pPr>
            <w:r>
              <w:rPr>
                <w:i/>
                <w:sz w:val="16"/>
              </w:rPr>
              <w:t>Source: Merrill Lynch</w:t>
            </w:r>
            <w:r>
              <w:rPr>
                <w:sz w:val="24"/>
              </w:rPr>
              <w:t>. </w:t>
            </w:r>
            <w:r>
              <w:rPr>
                <w:i/>
                <w:sz w:val="16"/>
              </w:rPr>
              <w:t>Option-adjusted asset swap spread over libor of a</w:t>
            </w:r>
          </w:p>
          <w:p>
            <w:pPr>
              <w:pStyle w:val="TableParagraph"/>
              <w:spacing w:line="168" w:lineRule="exact"/>
              <w:ind w:left="106"/>
              <w:rPr>
                <w:i/>
                <w:sz w:val="16"/>
              </w:rPr>
            </w:pPr>
            <w:r>
              <w:rPr>
                <w:i/>
                <w:sz w:val="16"/>
              </w:rPr>
              <w:t>matched floating rate bond.</w:t>
            </w:r>
          </w:p>
        </w:tc>
      </w:tr>
      <w:tr>
        <w:trPr>
          <w:trHeight w:val="4744" w:hRule="atLeast"/>
        </w:trPr>
        <w:tc>
          <w:tcPr>
            <w:tcW w:w="5765" w:type="dxa"/>
          </w:tcPr>
          <w:p>
            <w:pPr>
              <w:pStyle w:val="TableParagraph"/>
              <w:ind w:left="107" w:right="527"/>
              <w:rPr>
                <w:b/>
                <w:sz w:val="24"/>
              </w:rPr>
            </w:pPr>
            <w:r>
              <w:rPr>
                <w:b/>
                <w:sz w:val="24"/>
              </w:rPr>
              <w:t>Chart 7: UK Bank Lending to Households </w:t>
            </w:r>
            <w:r>
              <w:rPr>
                <w:b/>
                <w:spacing w:val="-5"/>
                <w:sz w:val="24"/>
              </w:rPr>
              <w:t>and </w:t>
            </w:r>
            <w:r>
              <w:rPr>
                <w:b/>
                <w:sz w:val="24"/>
              </w:rPr>
              <w:t>Private Non-Financial Companies in the</w:t>
            </w:r>
            <w:r>
              <w:rPr>
                <w:b/>
                <w:spacing w:val="-1"/>
                <w:sz w:val="24"/>
              </w:rPr>
              <w:t> </w:t>
            </w:r>
            <w:r>
              <w:rPr>
                <w:b/>
                <w:sz w:val="24"/>
              </w:rPr>
              <w:t>UK</w:t>
            </w:r>
          </w:p>
          <w:p>
            <w:pPr>
              <w:pStyle w:val="TableParagraph"/>
              <w:spacing w:line="184" w:lineRule="exact" w:before="89"/>
              <w:ind w:right="189"/>
              <w:jc w:val="right"/>
              <w:rPr>
                <w:sz w:val="17"/>
              </w:rPr>
            </w:pPr>
            <w:r>
              <w:rPr>
                <w:w w:val="130"/>
                <w:sz w:val="17"/>
              </w:rPr>
              <w:t>Percentage of GDP</w:t>
            </w:r>
          </w:p>
          <w:p>
            <w:pPr>
              <w:pStyle w:val="TableParagraph"/>
              <w:spacing w:line="184" w:lineRule="exact"/>
              <w:ind w:right="121"/>
              <w:jc w:val="right"/>
              <w:rPr>
                <w:sz w:val="17"/>
              </w:rPr>
            </w:pPr>
            <w:r>
              <w:rPr>
                <w:w w:val="130"/>
                <w:sz w:val="17"/>
              </w:rPr>
              <w:t>100</w:t>
            </w:r>
          </w:p>
          <w:p>
            <w:pPr>
              <w:pStyle w:val="TableParagraph"/>
              <w:spacing w:before="102"/>
              <w:ind w:right="233"/>
              <w:jc w:val="right"/>
              <w:rPr>
                <w:sz w:val="17"/>
              </w:rPr>
            </w:pPr>
            <w:r>
              <w:rPr>
                <w:spacing w:val="8"/>
                <w:w w:val="130"/>
                <w:sz w:val="17"/>
              </w:rPr>
              <w:t>90</w:t>
            </w:r>
          </w:p>
          <w:p>
            <w:pPr>
              <w:pStyle w:val="TableParagraph"/>
              <w:spacing w:line="191" w:lineRule="exact" w:before="102"/>
              <w:ind w:left="5279"/>
              <w:rPr>
                <w:sz w:val="17"/>
              </w:rPr>
            </w:pPr>
            <w:r>
              <w:rPr>
                <w:spacing w:val="9"/>
                <w:w w:val="130"/>
                <w:sz w:val="17"/>
              </w:rPr>
              <w:t>80</w:t>
            </w:r>
          </w:p>
          <w:p>
            <w:pPr>
              <w:pStyle w:val="TableParagraph"/>
              <w:tabs>
                <w:tab w:pos="5519" w:val="right" w:leader="none"/>
              </w:tabs>
              <w:spacing w:line="232" w:lineRule="auto"/>
              <w:ind w:left="2583"/>
              <w:rPr>
                <w:sz w:val="17"/>
              </w:rPr>
            </w:pPr>
            <w:r>
              <w:rPr>
                <w:w w:val="130"/>
                <w:sz w:val="17"/>
              </w:rPr>
              <w:t>Households</w:t>
              <w:tab/>
            </w:r>
            <w:r>
              <w:rPr>
                <w:spacing w:val="9"/>
                <w:w w:val="130"/>
                <w:position w:val="-12"/>
                <w:sz w:val="17"/>
              </w:rPr>
              <w:t>70</w:t>
            </w:r>
          </w:p>
          <w:p>
            <w:pPr>
              <w:pStyle w:val="TableParagraph"/>
              <w:spacing w:before="99"/>
              <w:ind w:right="233"/>
              <w:jc w:val="right"/>
              <w:rPr>
                <w:sz w:val="17"/>
              </w:rPr>
            </w:pPr>
            <w:r>
              <w:rPr>
                <w:spacing w:val="8"/>
                <w:w w:val="130"/>
                <w:sz w:val="17"/>
              </w:rPr>
              <w:t>60</w:t>
            </w:r>
          </w:p>
          <w:p>
            <w:pPr>
              <w:pStyle w:val="TableParagraph"/>
              <w:spacing w:before="102"/>
              <w:ind w:right="233"/>
              <w:jc w:val="right"/>
              <w:rPr>
                <w:sz w:val="17"/>
              </w:rPr>
            </w:pPr>
            <w:r>
              <w:rPr>
                <w:spacing w:val="8"/>
                <w:w w:val="130"/>
                <w:sz w:val="17"/>
              </w:rPr>
              <w:t>50</w:t>
            </w:r>
          </w:p>
          <w:p>
            <w:pPr>
              <w:pStyle w:val="TableParagraph"/>
              <w:spacing w:before="102"/>
              <w:ind w:right="233"/>
              <w:jc w:val="right"/>
              <w:rPr>
                <w:sz w:val="17"/>
              </w:rPr>
            </w:pPr>
            <w:r>
              <w:rPr>
                <w:spacing w:val="8"/>
                <w:w w:val="130"/>
                <w:sz w:val="17"/>
              </w:rPr>
              <w:t>40</w:t>
            </w:r>
          </w:p>
          <w:p>
            <w:pPr>
              <w:pStyle w:val="TableParagraph"/>
              <w:spacing w:before="102"/>
              <w:ind w:right="233"/>
              <w:jc w:val="right"/>
              <w:rPr>
                <w:sz w:val="17"/>
              </w:rPr>
            </w:pPr>
            <w:r>
              <w:rPr>
                <w:spacing w:val="8"/>
                <w:w w:val="130"/>
                <w:sz w:val="17"/>
              </w:rPr>
              <w:t>30</w:t>
            </w:r>
          </w:p>
          <w:p>
            <w:pPr>
              <w:pStyle w:val="TableParagraph"/>
              <w:tabs>
                <w:tab w:pos="1933" w:val="left" w:leader="none"/>
              </w:tabs>
              <w:spacing w:before="118"/>
              <w:ind w:right="233"/>
              <w:jc w:val="right"/>
              <w:rPr>
                <w:sz w:val="17"/>
              </w:rPr>
            </w:pPr>
            <w:r>
              <w:rPr>
                <w:w w:val="130"/>
                <w:sz w:val="17"/>
                <w:u w:val="single" w:color="9A3365"/>
              </w:rPr>
              <w:t> </w:t>
            </w:r>
            <w:r>
              <w:rPr>
                <w:spacing w:val="2"/>
                <w:sz w:val="17"/>
                <w:u w:val="single" w:color="9A3365"/>
              </w:rPr>
              <w:t> </w:t>
            </w:r>
            <w:r>
              <w:rPr>
                <w:sz w:val="17"/>
              </w:rPr>
              <w:tab/>
            </w:r>
            <w:r>
              <w:rPr>
                <w:spacing w:val="8"/>
                <w:w w:val="130"/>
                <w:sz w:val="17"/>
              </w:rPr>
              <w:t>20</w:t>
            </w:r>
          </w:p>
          <w:p>
            <w:pPr>
              <w:pStyle w:val="TableParagraph"/>
              <w:tabs>
                <w:tab w:pos="5279" w:val="left" w:leader="none"/>
              </w:tabs>
              <w:spacing w:before="99"/>
              <w:ind w:left="2260"/>
              <w:rPr>
                <w:sz w:val="17"/>
              </w:rPr>
            </w:pPr>
            <w:r>
              <w:rPr>
                <w:spacing w:val="4"/>
                <w:w w:val="130"/>
                <w:sz w:val="17"/>
              </w:rPr>
              <w:t>Non-financial</w:t>
            </w:r>
            <w:r>
              <w:rPr>
                <w:spacing w:val="7"/>
                <w:w w:val="130"/>
                <w:sz w:val="17"/>
              </w:rPr>
              <w:t> </w:t>
            </w:r>
            <w:r>
              <w:rPr>
                <w:spacing w:val="4"/>
                <w:w w:val="130"/>
                <w:sz w:val="17"/>
              </w:rPr>
              <w:t>companies</w:t>
              <w:tab/>
            </w:r>
            <w:r>
              <w:rPr>
                <w:spacing w:val="9"/>
                <w:w w:val="130"/>
                <w:position w:val="5"/>
                <w:sz w:val="17"/>
              </w:rPr>
              <w:t>10</w:t>
            </w:r>
          </w:p>
          <w:p>
            <w:pPr>
              <w:pStyle w:val="TableParagraph"/>
              <w:spacing w:before="55"/>
              <w:ind w:left="5279"/>
              <w:rPr>
                <w:sz w:val="17"/>
              </w:rPr>
            </w:pPr>
            <w:r>
              <w:rPr>
                <w:w w:val="130"/>
                <w:sz w:val="17"/>
              </w:rPr>
              <w:t>0</w:t>
            </w:r>
          </w:p>
          <w:p>
            <w:pPr>
              <w:pStyle w:val="TableParagraph"/>
              <w:tabs>
                <w:tab w:pos="752" w:val="left" w:leader="none"/>
                <w:tab w:pos="1234" w:val="left" w:leader="none"/>
                <w:tab w:pos="1697" w:val="left" w:leader="none"/>
                <w:tab w:pos="2180" w:val="left" w:leader="none"/>
                <w:tab w:pos="2663" w:val="left" w:leader="none"/>
                <w:tab w:pos="3146" w:val="left" w:leader="none"/>
                <w:tab w:pos="3629" w:val="left" w:leader="none"/>
                <w:tab w:pos="4091" w:val="left" w:leader="none"/>
                <w:tab w:pos="4575" w:val="left" w:leader="none"/>
              </w:tabs>
              <w:spacing w:before="56"/>
              <w:ind w:left="268"/>
              <w:rPr>
                <w:sz w:val="17"/>
              </w:rPr>
            </w:pPr>
            <w:r>
              <w:rPr>
                <w:spacing w:val="5"/>
                <w:w w:val="130"/>
                <w:sz w:val="17"/>
              </w:rPr>
              <w:t>70</w:t>
              <w:tab/>
            </w:r>
            <w:r>
              <w:rPr>
                <w:spacing w:val="4"/>
                <w:w w:val="130"/>
                <w:sz w:val="17"/>
              </w:rPr>
              <w:t>74</w:t>
              <w:tab/>
            </w:r>
            <w:r>
              <w:rPr>
                <w:spacing w:val="5"/>
                <w:w w:val="130"/>
                <w:sz w:val="17"/>
              </w:rPr>
              <w:t>78</w:t>
              <w:tab/>
            </w:r>
            <w:r>
              <w:rPr>
                <w:spacing w:val="4"/>
                <w:w w:val="130"/>
                <w:sz w:val="17"/>
              </w:rPr>
              <w:t>82</w:t>
              <w:tab/>
            </w:r>
            <w:r>
              <w:rPr>
                <w:spacing w:val="5"/>
                <w:w w:val="130"/>
                <w:sz w:val="17"/>
              </w:rPr>
              <w:t>86</w:t>
              <w:tab/>
            </w:r>
            <w:r>
              <w:rPr>
                <w:spacing w:val="4"/>
                <w:w w:val="130"/>
                <w:sz w:val="17"/>
              </w:rPr>
              <w:t>90</w:t>
              <w:tab/>
            </w:r>
            <w:r>
              <w:rPr>
                <w:spacing w:val="5"/>
                <w:w w:val="130"/>
                <w:sz w:val="17"/>
              </w:rPr>
              <w:t>94</w:t>
              <w:tab/>
            </w:r>
            <w:r>
              <w:rPr>
                <w:spacing w:val="4"/>
                <w:w w:val="130"/>
                <w:sz w:val="17"/>
              </w:rPr>
              <w:t>98</w:t>
              <w:tab/>
            </w:r>
            <w:r>
              <w:rPr>
                <w:spacing w:val="5"/>
                <w:w w:val="130"/>
                <w:sz w:val="17"/>
              </w:rPr>
              <w:t>02</w:t>
              <w:tab/>
            </w:r>
            <w:r>
              <w:rPr>
                <w:spacing w:val="4"/>
                <w:w w:val="130"/>
                <w:sz w:val="17"/>
              </w:rPr>
              <w:t>06</w:t>
            </w:r>
          </w:p>
          <w:p>
            <w:pPr>
              <w:pStyle w:val="TableParagraph"/>
              <w:spacing w:before="2"/>
              <w:rPr>
                <w:sz w:val="25"/>
              </w:rPr>
            </w:pPr>
          </w:p>
          <w:p>
            <w:pPr>
              <w:pStyle w:val="TableParagraph"/>
              <w:spacing w:line="168" w:lineRule="exact"/>
              <w:ind w:left="107"/>
              <w:rPr>
                <w:i/>
                <w:sz w:val="16"/>
              </w:rPr>
            </w:pPr>
            <w:r>
              <w:rPr>
                <w:i/>
                <w:sz w:val="16"/>
              </w:rPr>
              <w:t>Sources: Data includes the value of loans that have been securitised.</w:t>
            </w:r>
          </w:p>
        </w:tc>
        <w:tc>
          <w:tcPr>
            <w:tcW w:w="5400" w:type="dxa"/>
          </w:tcPr>
          <w:p>
            <w:pPr>
              <w:pStyle w:val="TableParagraph"/>
              <w:spacing w:line="275" w:lineRule="exact"/>
              <w:ind w:left="106"/>
              <w:rPr>
                <w:b/>
                <w:sz w:val="24"/>
              </w:rPr>
            </w:pPr>
            <w:r>
              <w:rPr>
                <w:b/>
                <w:sz w:val="24"/>
              </w:rPr>
              <w:t>Chart 8: Capital Gearing*</w:t>
            </w:r>
          </w:p>
          <w:p>
            <w:pPr>
              <w:pStyle w:val="TableParagraph"/>
              <w:spacing w:before="85"/>
              <w:ind w:right="322"/>
              <w:jc w:val="right"/>
              <w:rPr>
                <w:sz w:val="16"/>
              </w:rPr>
            </w:pPr>
            <w:r>
              <w:rPr>
                <w:w w:val="115"/>
                <w:sz w:val="16"/>
              </w:rPr>
              <w:t>Per cent</w:t>
            </w:r>
          </w:p>
          <w:p>
            <w:pPr>
              <w:pStyle w:val="TableParagraph"/>
              <w:spacing w:before="100"/>
              <w:ind w:left="5027"/>
              <w:rPr>
                <w:sz w:val="13"/>
              </w:rPr>
            </w:pPr>
            <w:r>
              <w:rPr>
                <w:w w:val="110"/>
                <w:sz w:val="13"/>
              </w:rPr>
              <w:t>45</w:t>
            </w:r>
          </w:p>
          <w:p>
            <w:pPr>
              <w:pStyle w:val="TableParagraph"/>
              <w:tabs>
                <w:tab w:pos="1084" w:val="left" w:leader="none"/>
                <w:tab w:pos="2381" w:val="left" w:leader="none"/>
              </w:tabs>
              <w:spacing w:line="147" w:lineRule="exact" w:before="113"/>
              <w:ind w:left="727"/>
              <w:rPr>
                <w:sz w:val="13"/>
              </w:rPr>
            </w:pPr>
            <w:r>
              <w:rPr>
                <w:w w:val="130"/>
                <w:position w:val="6"/>
                <w:sz w:val="17"/>
                <w:u w:val="thick" w:color="000080"/>
              </w:rPr>
              <w:t> </w:t>
            </w:r>
            <w:r>
              <w:rPr>
                <w:position w:val="6"/>
                <w:sz w:val="17"/>
                <w:u w:val="thick" w:color="000080"/>
              </w:rPr>
              <w:tab/>
            </w:r>
            <w:r>
              <w:rPr>
                <w:spacing w:val="-2"/>
                <w:position w:val="6"/>
                <w:sz w:val="17"/>
              </w:rPr>
              <w:t> </w:t>
            </w:r>
            <w:r>
              <w:rPr>
                <w:spacing w:val="3"/>
                <w:w w:val="110"/>
                <w:sz w:val="13"/>
              </w:rPr>
              <w:t>Corporates</w:t>
              <w:tab/>
            </w:r>
            <w:r>
              <w:rPr>
                <w:w w:val="110"/>
                <w:sz w:val="13"/>
              </w:rPr>
              <w:t>Households</w:t>
            </w:r>
          </w:p>
          <w:p>
            <w:pPr>
              <w:pStyle w:val="TableParagraph"/>
              <w:spacing w:line="147" w:lineRule="exact"/>
              <w:ind w:left="5027"/>
              <w:rPr>
                <w:sz w:val="13"/>
              </w:rPr>
            </w:pPr>
            <w:r>
              <w:rPr>
                <w:spacing w:val="6"/>
                <w:w w:val="110"/>
                <w:sz w:val="13"/>
              </w:rPr>
              <w:t>40</w:t>
            </w:r>
          </w:p>
          <w:p>
            <w:pPr>
              <w:pStyle w:val="TableParagraph"/>
              <w:tabs>
                <w:tab w:pos="5185" w:val="right" w:leader="none"/>
              </w:tabs>
              <w:spacing w:before="243"/>
              <w:ind w:left="291"/>
              <w:rPr>
                <w:sz w:val="13"/>
              </w:rPr>
            </w:pPr>
            <w:r>
              <w:rPr>
                <w:b/>
                <w:color w:val="000080"/>
                <w:w w:val="115"/>
                <w:sz w:val="16"/>
              </w:rPr>
              <w:t>Long-run</w:t>
              <w:tab/>
            </w:r>
            <w:r>
              <w:rPr>
                <w:spacing w:val="6"/>
                <w:w w:val="115"/>
                <w:position w:val="2"/>
                <w:sz w:val="13"/>
              </w:rPr>
              <w:t>35</w:t>
            </w:r>
          </w:p>
          <w:p>
            <w:pPr>
              <w:pStyle w:val="TableParagraph"/>
              <w:spacing w:before="30"/>
              <w:ind w:left="291"/>
              <w:rPr>
                <w:b/>
                <w:sz w:val="16"/>
              </w:rPr>
            </w:pPr>
            <w:r>
              <w:rPr>
                <w:b/>
                <w:color w:val="000080"/>
                <w:w w:val="115"/>
                <w:sz w:val="16"/>
              </w:rPr>
              <w:t>average</w:t>
            </w:r>
          </w:p>
          <w:p>
            <w:pPr>
              <w:pStyle w:val="TableParagraph"/>
              <w:spacing w:before="12"/>
              <w:ind w:left="5027"/>
              <w:rPr>
                <w:sz w:val="13"/>
              </w:rPr>
            </w:pPr>
            <w:r>
              <w:rPr>
                <w:spacing w:val="6"/>
                <w:w w:val="110"/>
                <w:sz w:val="13"/>
              </w:rPr>
              <w:t>30</w:t>
            </w:r>
          </w:p>
          <w:p>
            <w:pPr>
              <w:pStyle w:val="TableParagraph"/>
              <w:rPr>
                <w:sz w:val="14"/>
              </w:rPr>
            </w:pPr>
          </w:p>
          <w:p>
            <w:pPr>
              <w:pStyle w:val="TableParagraph"/>
              <w:spacing w:before="86"/>
              <w:ind w:left="5027"/>
              <w:rPr>
                <w:sz w:val="13"/>
              </w:rPr>
            </w:pPr>
            <w:r>
              <w:rPr>
                <w:spacing w:val="6"/>
                <w:w w:val="110"/>
                <w:sz w:val="13"/>
              </w:rPr>
              <w:t>25</w:t>
            </w:r>
          </w:p>
          <w:p>
            <w:pPr>
              <w:pStyle w:val="TableParagraph"/>
              <w:rPr>
                <w:sz w:val="14"/>
              </w:rPr>
            </w:pPr>
          </w:p>
          <w:p>
            <w:pPr>
              <w:pStyle w:val="TableParagraph"/>
              <w:spacing w:before="96"/>
              <w:ind w:left="5027"/>
              <w:rPr>
                <w:sz w:val="13"/>
              </w:rPr>
            </w:pPr>
            <w:r>
              <w:rPr>
                <w:spacing w:val="6"/>
                <w:w w:val="110"/>
                <w:sz w:val="13"/>
              </w:rPr>
              <w:t>20</w:t>
            </w:r>
          </w:p>
          <w:p>
            <w:pPr>
              <w:pStyle w:val="TableParagraph"/>
              <w:rPr>
                <w:sz w:val="14"/>
              </w:rPr>
            </w:pPr>
          </w:p>
          <w:p>
            <w:pPr>
              <w:pStyle w:val="TableParagraph"/>
              <w:spacing w:line="120" w:lineRule="exact" w:before="86"/>
              <w:ind w:left="5027"/>
              <w:rPr>
                <w:sz w:val="13"/>
              </w:rPr>
            </w:pPr>
            <w:r>
              <w:rPr>
                <w:spacing w:val="6"/>
                <w:w w:val="110"/>
                <w:sz w:val="13"/>
              </w:rPr>
              <w:t>15</w:t>
            </w:r>
          </w:p>
          <w:p>
            <w:pPr>
              <w:pStyle w:val="TableParagraph"/>
              <w:spacing w:line="155" w:lineRule="exact"/>
              <w:ind w:left="3055"/>
              <w:rPr>
                <w:b/>
                <w:sz w:val="16"/>
              </w:rPr>
            </w:pPr>
            <w:r>
              <w:rPr>
                <w:b/>
                <w:color w:val="FF0000"/>
                <w:w w:val="115"/>
                <w:sz w:val="16"/>
              </w:rPr>
              <w:t>Long-run</w:t>
            </w:r>
          </w:p>
          <w:p>
            <w:pPr>
              <w:pStyle w:val="TableParagraph"/>
              <w:tabs>
                <w:tab w:pos="5027" w:val="left" w:leader="none"/>
              </w:tabs>
              <w:spacing w:before="32"/>
              <w:ind w:left="3055"/>
              <w:rPr>
                <w:sz w:val="13"/>
              </w:rPr>
            </w:pPr>
            <w:r>
              <w:rPr>
                <w:b/>
                <w:color w:val="FF0000"/>
                <w:w w:val="115"/>
                <w:sz w:val="16"/>
              </w:rPr>
              <w:t>average</w:t>
              <w:tab/>
            </w:r>
            <w:r>
              <w:rPr>
                <w:spacing w:val="6"/>
                <w:w w:val="115"/>
                <w:position w:val="-6"/>
                <w:sz w:val="13"/>
              </w:rPr>
              <w:t>10</w:t>
            </w:r>
          </w:p>
          <w:p>
            <w:pPr>
              <w:pStyle w:val="TableParagraph"/>
              <w:spacing w:before="7"/>
              <w:rPr>
                <w:sz w:val="21"/>
              </w:rPr>
            </w:pPr>
          </w:p>
          <w:p>
            <w:pPr>
              <w:pStyle w:val="TableParagraph"/>
              <w:ind w:left="5027"/>
              <w:rPr>
                <w:sz w:val="13"/>
              </w:rPr>
            </w:pPr>
            <w:r>
              <w:rPr>
                <w:w w:val="111"/>
                <w:sz w:val="13"/>
              </w:rPr>
              <w:t>5</w:t>
            </w:r>
          </w:p>
          <w:p>
            <w:pPr>
              <w:pStyle w:val="TableParagraph"/>
              <w:tabs>
                <w:tab w:pos="622" w:val="left" w:leader="none"/>
                <w:tab w:pos="1045" w:val="left" w:leader="none"/>
                <w:tab w:pos="1468" w:val="left" w:leader="none"/>
                <w:tab w:pos="1891" w:val="left" w:leader="none"/>
                <w:tab w:pos="2315" w:val="left" w:leader="none"/>
                <w:tab w:pos="2725" w:val="left" w:leader="none"/>
                <w:tab w:pos="3148" w:val="left" w:leader="none"/>
                <w:tab w:pos="3571" w:val="left" w:leader="none"/>
                <w:tab w:pos="3995" w:val="left" w:leader="none"/>
                <w:tab w:pos="4419" w:val="left" w:leader="none"/>
                <w:tab w:pos="4841" w:val="left" w:leader="none"/>
              </w:tabs>
              <w:spacing w:before="41"/>
              <w:ind w:left="198"/>
              <w:rPr>
                <w:sz w:val="13"/>
              </w:rPr>
            </w:pPr>
            <w:r>
              <w:rPr>
                <w:spacing w:val="3"/>
                <w:w w:val="110"/>
                <w:sz w:val="13"/>
              </w:rPr>
              <w:t>87</w:t>
              <w:tab/>
              <w:t>89</w:t>
              <w:tab/>
              <w:t>91</w:t>
              <w:tab/>
              <w:t>93</w:t>
              <w:tab/>
              <w:t>95</w:t>
              <w:tab/>
              <w:t>97</w:t>
              <w:tab/>
              <w:t>99</w:t>
              <w:tab/>
              <w:t>01</w:t>
              <w:tab/>
              <w:t>03</w:t>
              <w:tab/>
              <w:t>05</w:t>
              <w:tab/>
              <w:t>07</w:t>
              <w:tab/>
            </w:r>
            <w:r>
              <w:rPr>
                <w:spacing w:val="6"/>
                <w:w w:val="110"/>
                <w:sz w:val="13"/>
              </w:rPr>
              <w:t>09</w:t>
            </w:r>
          </w:p>
          <w:p>
            <w:pPr>
              <w:pStyle w:val="TableParagraph"/>
              <w:spacing w:before="1"/>
              <w:rPr>
                <w:sz w:val="11"/>
              </w:rPr>
            </w:pPr>
          </w:p>
          <w:p>
            <w:pPr>
              <w:pStyle w:val="TableParagraph"/>
              <w:ind w:left="145" w:right="436" w:hanging="40"/>
              <w:rPr>
                <w:i/>
                <w:sz w:val="16"/>
              </w:rPr>
            </w:pPr>
            <w:r>
              <w:rPr>
                <w:i/>
                <w:sz w:val="16"/>
              </w:rPr>
              <w:t>*Household Capital Gearing = Debt / (Financial Assets + Housing Assets) </w:t>
            </w:r>
            <w:r>
              <w:rPr>
                <w:i/>
                <w:sz w:val="16"/>
              </w:rPr>
              <w:t>Corporate Capital Gearing = Net Debt / Market Value</w:t>
            </w:r>
          </w:p>
        </w:tc>
      </w:tr>
      <w:tr>
        <w:trPr>
          <w:trHeight w:val="4241" w:hRule="atLeast"/>
        </w:trPr>
        <w:tc>
          <w:tcPr>
            <w:tcW w:w="5765" w:type="dxa"/>
          </w:tcPr>
          <w:p>
            <w:pPr>
              <w:pStyle w:val="TableParagraph"/>
              <w:spacing w:line="275" w:lineRule="exact"/>
              <w:ind w:left="62"/>
              <w:rPr>
                <w:b/>
                <w:sz w:val="24"/>
              </w:rPr>
            </w:pPr>
            <w:r>
              <w:rPr>
                <w:b/>
                <w:sz w:val="24"/>
              </w:rPr>
              <w:t>Chart 9: M4 Broad Money Velocity</w:t>
            </w:r>
          </w:p>
          <w:p>
            <w:pPr>
              <w:pStyle w:val="TableParagraph"/>
              <w:spacing w:line="273" w:lineRule="auto" w:before="90"/>
              <w:ind w:left="4601" w:right="445" w:firstLine="260"/>
              <w:jc w:val="right"/>
              <w:rPr>
                <w:sz w:val="16"/>
              </w:rPr>
            </w:pPr>
            <w:r>
              <w:rPr>
                <w:w w:val="105"/>
                <w:sz w:val="16"/>
              </w:rPr>
              <w:t>Index, 1960=100</w:t>
            </w:r>
          </w:p>
          <w:p>
            <w:pPr>
              <w:pStyle w:val="TableParagraph"/>
              <w:spacing w:line="136" w:lineRule="exact"/>
              <w:ind w:left="5197"/>
              <w:rPr>
                <w:sz w:val="13"/>
              </w:rPr>
            </w:pPr>
            <w:r>
              <w:rPr>
                <w:spacing w:val="6"/>
                <w:w w:val="105"/>
                <w:sz w:val="13"/>
              </w:rPr>
              <w:t>120</w:t>
            </w:r>
          </w:p>
          <w:p>
            <w:pPr>
              <w:pStyle w:val="TableParagraph"/>
              <w:rPr>
                <w:sz w:val="14"/>
              </w:rPr>
            </w:pPr>
          </w:p>
          <w:p>
            <w:pPr>
              <w:pStyle w:val="TableParagraph"/>
              <w:spacing w:before="7"/>
              <w:rPr>
                <w:sz w:val="13"/>
              </w:rPr>
            </w:pPr>
          </w:p>
          <w:p>
            <w:pPr>
              <w:pStyle w:val="TableParagraph"/>
              <w:ind w:left="5197"/>
              <w:rPr>
                <w:sz w:val="13"/>
              </w:rPr>
            </w:pPr>
            <w:r>
              <w:rPr>
                <w:spacing w:val="6"/>
                <w:w w:val="105"/>
                <w:sz w:val="13"/>
              </w:rPr>
              <w:t>100</w:t>
            </w:r>
          </w:p>
          <w:p>
            <w:pPr>
              <w:pStyle w:val="TableParagraph"/>
              <w:rPr>
                <w:sz w:val="14"/>
              </w:rPr>
            </w:pPr>
          </w:p>
          <w:p>
            <w:pPr>
              <w:pStyle w:val="TableParagraph"/>
              <w:spacing w:before="7"/>
              <w:rPr>
                <w:sz w:val="13"/>
              </w:rPr>
            </w:pPr>
          </w:p>
          <w:p>
            <w:pPr>
              <w:pStyle w:val="TableParagraph"/>
              <w:ind w:left="5197"/>
              <w:rPr>
                <w:sz w:val="13"/>
              </w:rPr>
            </w:pPr>
            <w:r>
              <w:rPr>
                <w:spacing w:val="6"/>
                <w:w w:val="105"/>
                <w:sz w:val="13"/>
              </w:rPr>
              <w:t>80</w:t>
            </w:r>
          </w:p>
          <w:p>
            <w:pPr>
              <w:pStyle w:val="TableParagraph"/>
              <w:rPr>
                <w:sz w:val="14"/>
              </w:rPr>
            </w:pPr>
          </w:p>
          <w:p>
            <w:pPr>
              <w:pStyle w:val="TableParagraph"/>
              <w:spacing w:before="6"/>
              <w:rPr>
                <w:sz w:val="13"/>
              </w:rPr>
            </w:pPr>
          </w:p>
          <w:p>
            <w:pPr>
              <w:pStyle w:val="TableParagraph"/>
              <w:spacing w:before="1"/>
              <w:ind w:left="5197"/>
              <w:rPr>
                <w:sz w:val="13"/>
              </w:rPr>
            </w:pPr>
            <w:r>
              <w:rPr>
                <w:spacing w:val="6"/>
                <w:w w:val="105"/>
                <w:sz w:val="13"/>
              </w:rPr>
              <w:t>60</w:t>
            </w:r>
          </w:p>
          <w:p>
            <w:pPr>
              <w:pStyle w:val="TableParagraph"/>
              <w:rPr>
                <w:sz w:val="14"/>
              </w:rPr>
            </w:pPr>
          </w:p>
          <w:p>
            <w:pPr>
              <w:pStyle w:val="TableParagraph"/>
              <w:spacing w:before="6"/>
              <w:rPr>
                <w:sz w:val="12"/>
              </w:rPr>
            </w:pPr>
          </w:p>
          <w:p>
            <w:pPr>
              <w:pStyle w:val="TableParagraph"/>
              <w:ind w:left="5197"/>
              <w:rPr>
                <w:sz w:val="13"/>
              </w:rPr>
            </w:pPr>
            <w:r>
              <w:rPr>
                <w:spacing w:val="6"/>
                <w:w w:val="105"/>
                <w:sz w:val="13"/>
              </w:rPr>
              <w:t>40</w:t>
            </w:r>
          </w:p>
          <w:p>
            <w:pPr>
              <w:pStyle w:val="TableParagraph"/>
              <w:rPr>
                <w:sz w:val="14"/>
              </w:rPr>
            </w:pPr>
          </w:p>
          <w:p>
            <w:pPr>
              <w:pStyle w:val="TableParagraph"/>
              <w:spacing w:before="7"/>
              <w:rPr>
                <w:sz w:val="13"/>
              </w:rPr>
            </w:pPr>
          </w:p>
          <w:p>
            <w:pPr>
              <w:pStyle w:val="TableParagraph"/>
              <w:ind w:left="5197"/>
              <w:rPr>
                <w:sz w:val="13"/>
              </w:rPr>
            </w:pPr>
            <w:r>
              <w:rPr>
                <w:spacing w:val="6"/>
                <w:w w:val="105"/>
                <w:sz w:val="13"/>
              </w:rPr>
              <w:t>20</w:t>
            </w:r>
          </w:p>
          <w:p>
            <w:pPr>
              <w:pStyle w:val="TableParagraph"/>
              <w:rPr>
                <w:sz w:val="14"/>
              </w:rPr>
            </w:pPr>
          </w:p>
          <w:p>
            <w:pPr>
              <w:pStyle w:val="TableParagraph"/>
              <w:spacing w:before="6"/>
              <w:rPr>
                <w:sz w:val="13"/>
              </w:rPr>
            </w:pPr>
          </w:p>
          <w:p>
            <w:pPr>
              <w:pStyle w:val="TableParagraph"/>
              <w:spacing w:before="1"/>
              <w:ind w:left="5197"/>
              <w:rPr>
                <w:sz w:val="13"/>
              </w:rPr>
            </w:pPr>
            <w:r>
              <w:rPr>
                <w:w w:val="104"/>
                <w:sz w:val="13"/>
              </w:rPr>
              <w:t>0</w:t>
            </w:r>
          </w:p>
          <w:p>
            <w:pPr>
              <w:pStyle w:val="TableParagraph"/>
              <w:tabs>
                <w:tab w:pos="1152" w:val="left" w:leader="none"/>
                <w:tab w:pos="2158" w:val="left" w:leader="none"/>
                <w:tab w:pos="3149" w:val="left" w:leader="none"/>
                <w:tab w:pos="4155" w:val="left" w:leader="none"/>
              </w:tabs>
              <w:spacing w:before="36"/>
              <w:ind w:left="161"/>
              <w:rPr>
                <w:sz w:val="13"/>
              </w:rPr>
            </w:pPr>
            <w:r>
              <w:rPr>
                <w:spacing w:val="4"/>
                <w:w w:val="105"/>
                <w:sz w:val="13"/>
              </w:rPr>
              <w:t>1960</w:t>
              <w:tab/>
              <w:t>1970</w:t>
              <w:tab/>
              <w:t>1980</w:t>
              <w:tab/>
              <w:t>1990</w:t>
              <w:tab/>
            </w:r>
            <w:r>
              <w:rPr>
                <w:spacing w:val="6"/>
                <w:w w:val="105"/>
                <w:sz w:val="13"/>
              </w:rPr>
              <w:t>2000</w:t>
            </w:r>
          </w:p>
          <w:p>
            <w:pPr>
              <w:pStyle w:val="TableParagraph"/>
              <w:spacing w:before="8"/>
              <w:rPr>
                <w:sz w:val="13"/>
              </w:rPr>
            </w:pPr>
          </w:p>
          <w:p>
            <w:pPr>
              <w:pStyle w:val="TableParagraph"/>
              <w:spacing w:line="169" w:lineRule="exact"/>
              <w:ind w:left="62"/>
              <w:rPr>
                <w:i/>
                <w:sz w:val="16"/>
              </w:rPr>
            </w:pPr>
            <w:r>
              <w:rPr>
                <w:i/>
                <w:sz w:val="16"/>
              </w:rPr>
              <w:t>*Velocity = Nominal GDP / M4 Broad Money</w:t>
            </w:r>
          </w:p>
        </w:tc>
        <w:tc>
          <w:tcPr>
            <w:tcW w:w="5400" w:type="dxa"/>
          </w:tcPr>
          <w:p>
            <w:pPr>
              <w:pStyle w:val="TableParagraph"/>
              <w:spacing w:line="275" w:lineRule="exact"/>
              <w:ind w:left="106"/>
              <w:rPr>
                <w:b/>
                <w:sz w:val="24"/>
              </w:rPr>
            </w:pPr>
            <w:r>
              <w:rPr>
                <w:b/>
                <w:sz w:val="24"/>
              </w:rPr>
              <w:t>Chart 10: Change in M4 Broad Money Velocity</w:t>
            </w:r>
          </w:p>
          <w:p>
            <w:pPr>
              <w:pStyle w:val="TableParagraph"/>
              <w:spacing w:before="74"/>
              <w:ind w:right="631"/>
              <w:jc w:val="right"/>
              <w:rPr>
                <w:sz w:val="11"/>
              </w:rPr>
            </w:pPr>
            <w:r>
              <w:rPr>
                <w:w w:val="135"/>
                <w:sz w:val="11"/>
              </w:rPr>
              <w:t>change in log</w:t>
            </w:r>
          </w:p>
          <w:p>
            <w:pPr>
              <w:pStyle w:val="TableParagraph"/>
              <w:tabs>
                <w:tab w:pos="4871" w:val="right" w:leader="none"/>
              </w:tabs>
              <w:spacing w:before="83"/>
              <w:ind w:left="600"/>
              <w:rPr>
                <w:sz w:val="11"/>
              </w:rPr>
            </w:pPr>
            <w:r>
              <w:rPr>
                <w:w w:val="135"/>
                <w:sz w:val="11"/>
              </w:rPr>
              <w:t>M4</w:t>
            </w:r>
            <w:r>
              <w:rPr>
                <w:spacing w:val="11"/>
                <w:w w:val="135"/>
                <w:sz w:val="11"/>
              </w:rPr>
              <w:t> </w:t>
            </w:r>
            <w:r>
              <w:rPr>
                <w:w w:val="135"/>
                <w:sz w:val="11"/>
              </w:rPr>
              <w:t>Broad</w:t>
            </w:r>
            <w:r>
              <w:rPr>
                <w:spacing w:val="-2"/>
                <w:w w:val="135"/>
                <w:sz w:val="11"/>
              </w:rPr>
              <w:t> </w:t>
            </w:r>
            <w:r>
              <w:rPr>
                <w:spacing w:val="3"/>
                <w:w w:val="135"/>
                <w:sz w:val="11"/>
              </w:rPr>
              <w:t>Money</w:t>
              <w:tab/>
            </w:r>
            <w:r>
              <w:rPr>
                <w:spacing w:val="6"/>
                <w:w w:val="135"/>
                <w:position w:val="-3"/>
                <w:sz w:val="11"/>
              </w:rPr>
              <w:t>30</w:t>
            </w:r>
          </w:p>
          <w:p>
            <w:pPr>
              <w:pStyle w:val="TableParagraph"/>
              <w:spacing w:line="110" w:lineRule="exact" w:before="32"/>
              <w:ind w:left="600"/>
              <w:rPr>
                <w:sz w:val="11"/>
              </w:rPr>
            </w:pPr>
            <w:r>
              <w:rPr>
                <w:w w:val="135"/>
                <w:sz w:val="11"/>
              </w:rPr>
              <w:t>nominal GDP</w:t>
            </w:r>
          </w:p>
          <w:p>
            <w:pPr>
              <w:pStyle w:val="TableParagraph"/>
              <w:spacing w:line="99" w:lineRule="exact"/>
              <w:ind w:left="4708"/>
              <w:rPr>
                <w:sz w:val="11"/>
              </w:rPr>
            </w:pPr>
            <w:r>
              <w:rPr>
                <w:w w:val="135"/>
                <w:sz w:val="11"/>
              </w:rPr>
              <w:t>25</w:t>
            </w:r>
          </w:p>
          <w:p>
            <w:pPr>
              <w:pStyle w:val="TableParagraph"/>
              <w:tabs>
                <w:tab w:pos="558" w:val="left" w:leader="none"/>
              </w:tabs>
              <w:spacing w:line="115" w:lineRule="exact"/>
              <w:ind w:left="229"/>
              <w:rPr>
                <w:sz w:val="11"/>
              </w:rPr>
            </w:pPr>
            <w:r>
              <w:rPr>
                <w:w w:val="137"/>
                <w:sz w:val="11"/>
                <w:u w:val="thick" w:color="010000"/>
              </w:rPr>
              <w:t> </w:t>
            </w:r>
            <w:r>
              <w:rPr>
                <w:sz w:val="11"/>
                <w:u w:val="thick" w:color="010000"/>
              </w:rPr>
              <w:tab/>
            </w:r>
            <w:r>
              <w:rPr>
                <w:sz w:val="11"/>
              </w:rPr>
              <w:t> </w:t>
            </w:r>
            <w:r>
              <w:rPr>
                <w:spacing w:val="-13"/>
                <w:sz w:val="11"/>
              </w:rPr>
              <w:t> </w:t>
            </w:r>
            <w:r>
              <w:rPr>
                <w:w w:val="135"/>
                <w:sz w:val="11"/>
              </w:rPr>
              <w:t>Velocit</w:t>
            </w:r>
            <w:r>
              <w:rPr>
                <w:spacing w:val="-25"/>
                <w:w w:val="135"/>
                <w:sz w:val="11"/>
              </w:rPr>
              <w:t> </w:t>
            </w:r>
            <w:r>
              <w:rPr>
                <w:w w:val="135"/>
                <w:sz w:val="11"/>
              </w:rPr>
              <w:t>y</w:t>
            </w:r>
          </w:p>
          <w:p>
            <w:pPr>
              <w:pStyle w:val="TableParagraph"/>
              <w:spacing w:before="31"/>
              <w:ind w:left="4708"/>
              <w:rPr>
                <w:sz w:val="11"/>
              </w:rPr>
            </w:pPr>
            <w:r>
              <w:rPr>
                <w:spacing w:val="6"/>
                <w:w w:val="135"/>
                <w:sz w:val="11"/>
              </w:rPr>
              <w:t>20</w:t>
            </w:r>
          </w:p>
          <w:p>
            <w:pPr>
              <w:pStyle w:val="TableParagraph"/>
              <w:spacing w:before="9"/>
              <w:rPr>
                <w:sz w:val="10"/>
              </w:rPr>
            </w:pPr>
          </w:p>
          <w:p>
            <w:pPr>
              <w:pStyle w:val="TableParagraph"/>
              <w:ind w:left="4708"/>
              <w:rPr>
                <w:sz w:val="11"/>
              </w:rPr>
            </w:pPr>
            <w:r>
              <w:rPr>
                <w:spacing w:val="6"/>
                <w:w w:val="135"/>
                <w:sz w:val="11"/>
              </w:rPr>
              <w:t>15</w:t>
            </w:r>
          </w:p>
          <w:p>
            <w:pPr>
              <w:pStyle w:val="TableParagraph"/>
              <w:spacing w:before="9"/>
              <w:rPr>
                <w:sz w:val="11"/>
              </w:rPr>
            </w:pPr>
          </w:p>
          <w:p>
            <w:pPr>
              <w:pStyle w:val="TableParagraph"/>
              <w:ind w:left="4708"/>
              <w:rPr>
                <w:sz w:val="11"/>
              </w:rPr>
            </w:pPr>
            <w:r>
              <w:rPr>
                <w:spacing w:val="6"/>
                <w:w w:val="135"/>
                <w:sz w:val="11"/>
              </w:rPr>
              <w:t>10</w:t>
            </w:r>
          </w:p>
          <w:p>
            <w:pPr>
              <w:pStyle w:val="TableParagraph"/>
              <w:spacing w:before="9"/>
              <w:rPr>
                <w:sz w:val="10"/>
              </w:rPr>
            </w:pPr>
          </w:p>
          <w:p>
            <w:pPr>
              <w:pStyle w:val="TableParagraph"/>
              <w:ind w:left="4708"/>
              <w:rPr>
                <w:sz w:val="11"/>
              </w:rPr>
            </w:pPr>
            <w:r>
              <w:rPr>
                <w:w w:val="137"/>
                <w:sz w:val="11"/>
              </w:rPr>
              <w:t>5</w:t>
            </w:r>
          </w:p>
          <w:p>
            <w:pPr>
              <w:pStyle w:val="TableParagraph"/>
              <w:spacing w:before="9"/>
              <w:rPr>
                <w:sz w:val="11"/>
              </w:rPr>
            </w:pPr>
          </w:p>
          <w:p>
            <w:pPr>
              <w:pStyle w:val="TableParagraph"/>
              <w:ind w:left="4708"/>
              <w:rPr>
                <w:sz w:val="11"/>
              </w:rPr>
            </w:pPr>
            <w:r>
              <w:rPr>
                <w:w w:val="137"/>
                <w:sz w:val="11"/>
              </w:rPr>
              <w:t>0</w:t>
            </w:r>
          </w:p>
          <w:p>
            <w:pPr>
              <w:pStyle w:val="TableParagraph"/>
              <w:spacing w:before="9"/>
              <w:rPr>
                <w:sz w:val="10"/>
              </w:rPr>
            </w:pPr>
          </w:p>
          <w:p>
            <w:pPr>
              <w:pStyle w:val="TableParagraph"/>
              <w:ind w:left="4708"/>
              <w:rPr>
                <w:sz w:val="11"/>
              </w:rPr>
            </w:pPr>
            <w:r>
              <w:rPr>
                <w:spacing w:val="4"/>
                <w:w w:val="135"/>
                <w:sz w:val="11"/>
              </w:rPr>
              <w:t>-5</w:t>
            </w:r>
          </w:p>
          <w:p>
            <w:pPr>
              <w:pStyle w:val="TableParagraph"/>
              <w:spacing w:before="7"/>
              <w:rPr>
                <w:sz w:val="11"/>
              </w:rPr>
            </w:pPr>
          </w:p>
          <w:p>
            <w:pPr>
              <w:pStyle w:val="TableParagraph"/>
              <w:spacing w:before="1"/>
              <w:ind w:left="4708"/>
              <w:rPr>
                <w:sz w:val="11"/>
              </w:rPr>
            </w:pPr>
            <w:r>
              <w:rPr>
                <w:spacing w:val="3"/>
                <w:w w:val="135"/>
                <w:sz w:val="11"/>
              </w:rPr>
              <w:t>-10</w:t>
            </w:r>
          </w:p>
          <w:p>
            <w:pPr>
              <w:pStyle w:val="TableParagraph"/>
              <w:spacing w:before="9"/>
              <w:rPr>
                <w:sz w:val="10"/>
              </w:rPr>
            </w:pPr>
          </w:p>
          <w:p>
            <w:pPr>
              <w:pStyle w:val="TableParagraph"/>
              <w:ind w:left="4708"/>
              <w:rPr>
                <w:sz w:val="11"/>
              </w:rPr>
            </w:pPr>
            <w:r>
              <w:rPr>
                <w:spacing w:val="3"/>
                <w:w w:val="135"/>
                <w:sz w:val="11"/>
              </w:rPr>
              <w:t>-15</w:t>
            </w:r>
          </w:p>
          <w:p>
            <w:pPr>
              <w:pStyle w:val="TableParagraph"/>
              <w:spacing w:before="8"/>
              <w:rPr>
                <w:sz w:val="11"/>
              </w:rPr>
            </w:pPr>
          </w:p>
          <w:p>
            <w:pPr>
              <w:pStyle w:val="TableParagraph"/>
              <w:spacing w:before="1"/>
              <w:ind w:left="4708"/>
              <w:rPr>
                <w:sz w:val="11"/>
              </w:rPr>
            </w:pPr>
            <w:r>
              <w:rPr>
                <w:spacing w:val="3"/>
                <w:w w:val="135"/>
                <w:sz w:val="11"/>
              </w:rPr>
              <w:t>-20</w:t>
            </w:r>
          </w:p>
          <w:p>
            <w:pPr>
              <w:pStyle w:val="TableParagraph"/>
              <w:spacing w:before="9"/>
              <w:rPr>
                <w:sz w:val="10"/>
              </w:rPr>
            </w:pPr>
          </w:p>
          <w:p>
            <w:pPr>
              <w:pStyle w:val="TableParagraph"/>
              <w:ind w:left="4708"/>
              <w:rPr>
                <w:sz w:val="11"/>
              </w:rPr>
            </w:pPr>
            <w:r>
              <w:rPr>
                <w:spacing w:val="3"/>
                <w:w w:val="135"/>
                <w:sz w:val="11"/>
              </w:rPr>
              <w:t>-25</w:t>
            </w:r>
          </w:p>
          <w:p>
            <w:pPr>
              <w:pStyle w:val="TableParagraph"/>
              <w:tabs>
                <w:tab w:pos="1122" w:val="left" w:leader="none"/>
                <w:tab w:pos="1974" w:val="left" w:leader="none"/>
                <w:tab w:pos="2839" w:val="left" w:leader="none"/>
                <w:tab w:pos="3705" w:val="left" w:leader="none"/>
              </w:tabs>
              <w:spacing w:before="41"/>
              <w:ind w:left="257"/>
              <w:rPr>
                <w:sz w:val="11"/>
              </w:rPr>
            </w:pPr>
            <w:r>
              <w:rPr>
                <w:spacing w:val="5"/>
                <w:w w:val="135"/>
                <w:sz w:val="11"/>
              </w:rPr>
              <w:t>1960</w:t>
              <w:tab/>
              <w:t>1970</w:t>
              <w:tab/>
              <w:t>1980</w:t>
              <w:tab/>
              <w:t>1990</w:t>
              <w:tab/>
              <w:t>2000</w:t>
            </w:r>
          </w:p>
          <w:p>
            <w:pPr>
              <w:pStyle w:val="TableParagraph"/>
              <w:spacing w:before="2"/>
              <w:rPr>
                <w:sz w:val="12"/>
              </w:rPr>
            </w:pPr>
          </w:p>
          <w:p>
            <w:pPr>
              <w:pStyle w:val="TableParagraph"/>
              <w:ind w:left="63"/>
              <w:rPr>
                <w:i/>
                <w:sz w:val="16"/>
              </w:rPr>
            </w:pPr>
            <w:r>
              <w:rPr>
                <w:i/>
                <w:sz w:val="16"/>
              </w:rPr>
              <w:t>*Velocity = Nominal GDP / M4 Broad Money</w:t>
            </w:r>
          </w:p>
        </w:tc>
      </w:tr>
      <w:tr>
        <w:trPr>
          <w:trHeight w:val="275" w:hRule="atLeast"/>
        </w:trPr>
        <w:tc>
          <w:tcPr>
            <w:tcW w:w="5765" w:type="dxa"/>
          </w:tcPr>
          <w:p>
            <w:pPr>
              <w:pStyle w:val="TableParagraph"/>
              <w:rPr>
                <w:sz w:val="18"/>
              </w:rPr>
            </w:pPr>
          </w:p>
        </w:tc>
        <w:tc>
          <w:tcPr>
            <w:tcW w:w="5400" w:type="dxa"/>
          </w:tcPr>
          <w:p>
            <w:pPr>
              <w:pStyle w:val="TableParagraph"/>
              <w:rPr>
                <w:sz w:val="18"/>
              </w:rPr>
            </w:pPr>
          </w:p>
        </w:tc>
      </w:tr>
    </w:tbl>
    <w:p>
      <w:pPr>
        <w:spacing w:after="0"/>
        <w:rPr>
          <w:sz w:val="18"/>
        </w:rPr>
        <w:sectPr>
          <w:pgSz w:w="11910" w:h="16840"/>
          <w:pgMar w:header="0" w:footer="699" w:top="1360" w:bottom="880" w:left="240" w:right="260"/>
        </w:sect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65"/>
        <w:gridCol w:w="5400"/>
      </w:tblGrid>
      <w:tr>
        <w:trPr>
          <w:trHeight w:val="5103" w:hRule="atLeast"/>
        </w:trPr>
        <w:tc>
          <w:tcPr>
            <w:tcW w:w="5765" w:type="dxa"/>
          </w:tcPr>
          <w:p>
            <w:pPr>
              <w:pStyle w:val="TableParagraph"/>
              <w:spacing w:line="273" w:lineRule="exact"/>
              <w:ind w:left="107"/>
              <w:rPr>
                <w:b/>
                <w:sz w:val="24"/>
              </w:rPr>
            </w:pPr>
            <w:r>
              <w:rPr>
                <w:b/>
                <w:sz w:val="24"/>
              </w:rPr>
              <w:t>Chart 11: International Spot Gilt-OIS Spreads*</w:t>
            </w:r>
          </w:p>
          <w:p>
            <w:pPr>
              <w:pStyle w:val="TableParagraph"/>
              <w:tabs>
                <w:tab w:pos="4578" w:val="left" w:leader="none"/>
              </w:tabs>
              <w:spacing w:line="300" w:lineRule="auto" w:before="82"/>
              <w:ind w:left="5315" w:right="252" w:hanging="2933"/>
              <w:rPr>
                <w:sz w:val="16"/>
              </w:rPr>
            </w:pPr>
            <w:r>
              <w:rPr>
                <w:color w:val="000080"/>
                <w:w w:val="115"/>
                <w:sz w:val="13"/>
              </w:rPr>
              <w:t>QE</w:t>
            </w:r>
            <w:r>
              <w:rPr>
                <w:color w:val="000080"/>
                <w:spacing w:val="-3"/>
                <w:w w:val="115"/>
                <w:sz w:val="13"/>
              </w:rPr>
              <w:t> </w:t>
            </w:r>
            <w:r>
              <w:rPr>
                <w:color w:val="000080"/>
                <w:spacing w:val="2"/>
                <w:w w:val="115"/>
                <w:sz w:val="13"/>
              </w:rPr>
              <w:t>announcement</w:t>
              <w:tab/>
            </w:r>
            <w:r>
              <w:rPr>
                <w:spacing w:val="-6"/>
                <w:w w:val="115"/>
                <w:position w:val="9"/>
                <w:sz w:val="16"/>
              </w:rPr>
              <w:t>Basis </w:t>
            </w:r>
            <w:r>
              <w:rPr>
                <w:w w:val="115"/>
                <w:position w:val="9"/>
                <w:sz w:val="16"/>
              </w:rPr>
              <w:t>points </w:t>
            </w:r>
            <w:r>
              <w:rPr>
                <w:w w:val="115"/>
                <w:sz w:val="16"/>
              </w:rPr>
              <w:t>60</w:t>
            </w:r>
          </w:p>
          <w:p>
            <w:pPr>
              <w:pStyle w:val="TableParagraph"/>
              <w:tabs>
                <w:tab w:pos="5500" w:val="right" w:leader="none"/>
              </w:tabs>
              <w:spacing w:before="301"/>
              <w:ind w:left="935"/>
              <w:rPr>
                <w:sz w:val="16"/>
              </w:rPr>
            </w:pPr>
            <w:r>
              <w:rPr>
                <w:color w:val="008000"/>
                <w:w w:val="115"/>
                <w:sz w:val="16"/>
              </w:rPr>
              <w:t>Euro</w:t>
              <w:tab/>
            </w:r>
            <w:r>
              <w:rPr>
                <w:w w:val="115"/>
                <w:position w:val="8"/>
                <w:sz w:val="16"/>
              </w:rPr>
              <w:t>40</w:t>
            </w:r>
          </w:p>
          <w:p>
            <w:pPr>
              <w:pStyle w:val="TableParagraph"/>
              <w:tabs>
                <w:tab w:pos="5500" w:val="right" w:leader="none"/>
              </w:tabs>
              <w:spacing w:before="249"/>
              <w:ind w:left="752"/>
              <w:rPr>
                <w:sz w:val="16"/>
              </w:rPr>
            </w:pPr>
            <w:r>
              <w:rPr>
                <w:color w:val="0F0080"/>
                <w:spacing w:val="-15"/>
                <w:w w:val="115"/>
                <w:sz w:val="16"/>
              </w:rPr>
              <w:t>UK</w:t>
              <w:tab/>
            </w:r>
            <w:r>
              <w:rPr>
                <w:w w:val="115"/>
                <w:position w:val="1"/>
                <w:sz w:val="16"/>
              </w:rPr>
              <w:t>20</w:t>
            </w:r>
          </w:p>
          <w:p>
            <w:pPr>
              <w:pStyle w:val="TableParagraph"/>
              <w:spacing w:before="10"/>
              <w:rPr>
                <w:sz w:val="28"/>
              </w:rPr>
            </w:pPr>
          </w:p>
          <w:p>
            <w:pPr>
              <w:pStyle w:val="TableParagraph"/>
              <w:ind w:left="5315"/>
              <w:rPr>
                <w:sz w:val="16"/>
              </w:rPr>
            </w:pPr>
            <w:r>
              <w:rPr>
                <w:w w:val="115"/>
                <w:sz w:val="16"/>
              </w:rPr>
              <w:t>0</w:t>
            </w:r>
          </w:p>
          <w:p>
            <w:pPr>
              <w:pStyle w:val="TableParagraph"/>
              <w:rPr>
                <w:sz w:val="18"/>
              </w:rPr>
            </w:pPr>
          </w:p>
          <w:p>
            <w:pPr>
              <w:pStyle w:val="TableParagraph"/>
              <w:spacing w:before="136"/>
              <w:ind w:left="5315"/>
              <w:rPr>
                <w:sz w:val="16"/>
              </w:rPr>
            </w:pPr>
            <w:r>
              <w:rPr>
                <w:w w:val="115"/>
                <w:sz w:val="16"/>
              </w:rPr>
              <w:t>-20</w:t>
            </w:r>
          </w:p>
          <w:p>
            <w:pPr>
              <w:pStyle w:val="TableParagraph"/>
              <w:rPr>
                <w:sz w:val="18"/>
              </w:rPr>
            </w:pPr>
          </w:p>
          <w:p>
            <w:pPr>
              <w:pStyle w:val="TableParagraph"/>
              <w:tabs>
                <w:tab w:pos="5315" w:val="left" w:leader="none"/>
              </w:tabs>
              <w:spacing w:before="125"/>
              <w:ind w:left="2080"/>
              <w:rPr>
                <w:sz w:val="16"/>
              </w:rPr>
            </w:pPr>
            <w:r>
              <w:rPr>
                <w:color w:val="FF01FF"/>
                <w:spacing w:val="-8"/>
                <w:w w:val="115"/>
                <w:position w:val="-8"/>
                <w:sz w:val="16"/>
              </w:rPr>
              <w:t>US</w:t>
              <w:tab/>
            </w:r>
            <w:r>
              <w:rPr>
                <w:w w:val="115"/>
                <w:sz w:val="16"/>
              </w:rPr>
              <w:t>-40</w:t>
            </w:r>
          </w:p>
          <w:p>
            <w:pPr>
              <w:pStyle w:val="TableParagraph"/>
              <w:rPr>
                <w:sz w:val="22"/>
              </w:rPr>
            </w:pPr>
          </w:p>
          <w:p>
            <w:pPr>
              <w:pStyle w:val="TableParagraph"/>
              <w:ind w:left="5315"/>
              <w:rPr>
                <w:sz w:val="16"/>
              </w:rPr>
            </w:pPr>
            <w:r>
              <w:rPr>
                <w:w w:val="115"/>
                <w:sz w:val="16"/>
              </w:rPr>
              <w:t>-60</w:t>
            </w:r>
          </w:p>
          <w:p>
            <w:pPr>
              <w:pStyle w:val="TableParagraph"/>
              <w:tabs>
                <w:tab w:pos="1067" w:val="left" w:leader="none"/>
                <w:tab w:pos="1844" w:val="left" w:leader="none"/>
                <w:tab w:pos="2528" w:val="left" w:leader="none"/>
                <w:tab w:pos="3250" w:val="left" w:leader="none"/>
                <w:tab w:pos="4040" w:val="left" w:leader="none"/>
                <w:tab w:pos="4763" w:val="left" w:leader="none"/>
              </w:tabs>
              <w:spacing w:before="56"/>
              <w:ind w:left="357"/>
              <w:rPr>
                <w:sz w:val="16"/>
              </w:rPr>
            </w:pPr>
            <w:r>
              <w:rPr>
                <w:w w:val="115"/>
                <w:sz w:val="16"/>
              </w:rPr>
              <w:t>Sep</w:t>
              <w:tab/>
              <w:t>Nov</w:t>
              <w:tab/>
              <w:t>Jan</w:t>
              <w:tab/>
            </w:r>
            <w:r>
              <w:rPr>
                <w:spacing w:val="-4"/>
                <w:w w:val="115"/>
                <w:sz w:val="16"/>
              </w:rPr>
              <w:t>Mar</w:t>
              <w:tab/>
            </w:r>
            <w:r>
              <w:rPr>
                <w:spacing w:val="-3"/>
                <w:w w:val="115"/>
                <w:sz w:val="16"/>
              </w:rPr>
              <w:t>May</w:t>
              <w:tab/>
            </w:r>
            <w:r>
              <w:rPr>
                <w:w w:val="115"/>
                <w:sz w:val="16"/>
              </w:rPr>
              <w:t>Jul</w:t>
              <w:tab/>
              <w:t>Sep</w:t>
            </w:r>
          </w:p>
          <w:p>
            <w:pPr>
              <w:pStyle w:val="TableParagraph"/>
              <w:spacing w:before="7"/>
              <w:ind w:left="1883"/>
              <w:rPr>
                <w:sz w:val="16"/>
              </w:rPr>
            </w:pPr>
            <w:r>
              <w:rPr>
                <w:w w:val="115"/>
                <w:sz w:val="16"/>
              </w:rPr>
              <w:t>2009</w:t>
            </w:r>
          </w:p>
          <w:p>
            <w:pPr>
              <w:pStyle w:val="TableParagraph"/>
              <w:spacing w:before="136"/>
              <w:ind w:left="107"/>
              <w:rPr>
                <w:sz w:val="16"/>
              </w:rPr>
            </w:pPr>
            <w:r>
              <w:rPr>
                <w:sz w:val="16"/>
              </w:rPr>
              <w:t>*5 year maturities</w:t>
            </w:r>
          </w:p>
        </w:tc>
        <w:tc>
          <w:tcPr>
            <w:tcW w:w="5400" w:type="dxa"/>
          </w:tcPr>
          <w:p>
            <w:pPr>
              <w:pStyle w:val="TableParagraph"/>
              <w:spacing w:line="273" w:lineRule="exact"/>
              <w:ind w:left="60"/>
              <w:rPr>
                <w:b/>
                <w:sz w:val="24"/>
              </w:rPr>
            </w:pPr>
            <w:r>
              <w:rPr>
                <w:b/>
                <w:sz w:val="24"/>
              </w:rPr>
              <w:t>Chart 12: UK Corporate Bond Spreads</w:t>
            </w:r>
          </w:p>
          <w:p>
            <w:pPr>
              <w:pStyle w:val="TableParagraph"/>
              <w:tabs>
                <w:tab w:pos="3688" w:val="left" w:leader="none"/>
              </w:tabs>
              <w:spacing w:before="83"/>
              <w:ind w:left="294"/>
              <w:jc w:val="center"/>
              <w:rPr>
                <w:sz w:val="16"/>
              </w:rPr>
            </w:pPr>
            <w:r>
              <w:rPr>
                <w:spacing w:val="-3"/>
                <w:sz w:val="16"/>
              </w:rPr>
              <w:t>Basis</w:t>
            </w:r>
            <w:r>
              <w:rPr>
                <w:spacing w:val="3"/>
                <w:sz w:val="16"/>
              </w:rPr>
              <w:t> </w:t>
            </w:r>
            <w:r>
              <w:rPr>
                <w:spacing w:val="5"/>
                <w:sz w:val="16"/>
              </w:rPr>
              <w:t>points</w:t>
              <w:tab/>
            </w:r>
            <w:r>
              <w:rPr>
                <w:spacing w:val="-3"/>
                <w:sz w:val="16"/>
              </w:rPr>
              <w:t>Basis</w:t>
            </w:r>
            <w:r>
              <w:rPr>
                <w:spacing w:val="1"/>
                <w:sz w:val="16"/>
              </w:rPr>
              <w:t> </w:t>
            </w:r>
            <w:r>
              <w:rPr>
                <w:spacing w:val="5"/>
                <w:sz w:val="16"/>
              </w:rPr>
              <w:t>points</w:t>
            </w:r>
          </w:p>
          <w:p>
            <w:pPr>
              <w:pStyle w:val="TableParagraph"/>
              <w:tabs>
                <w:tab w:pos="4809" w:val="left" w:leader="none"/>
              </w:tabs>
              <w:spacing w:before="7"/>
              <w:ind w:left="48"/>
              <w:jc w:val="center"/>
              <w:rPr>
                <w:sz w:val="16"/>
              </w:rPr>
            </w:pPr>
            <w:r>
              <w:rPr>
                <w:spacing w:val="4"/>
                <w:sz w:val="16"/>
              </w:rPr>
              <w:t>3500</w:t>
              <w:tab/>
              <w:t>750</w:t>
            </w:r>
          </w:p>
          <w:p>
            <w:pPr>
              <w:pStyle w:val="TableParagraph"/>
              <w:spacing w:line="158" w:lineRule="exact" w:before="141"/>
              <w:ind w:left="4971"/>
              <w:rPr>
                <w:sz w:val="16"/>
              </w:rPr>
            </w:pPr>
            <w:r>
              <w:rPr>
                <w:spacing w:val="4"/>
                <w:sz w:val="16"/>
              </w:rPr>
              <w:t>675</w:t>
            </w:r>
          </w:p>
          <w:p>
            <w:pPr>
              <w:pStyle w:val="TableParagraph"/>
              <w:spacing w:line="158" w:lineRule="exact"/>
              <w:ind w:left="209"/>
              <w:rPr>
                <w:sz w:val="16"/>
              </w:rPr>
            </w:pPr>
            <w:r>
              <w:rPr>
                <w:sz w:val="16"/>
              </w:rPr>
              <w:t>3000</w:t>
            </w:r>
          </w:p>
          <w:p>
            <w:pPr>
              <w:pStyle w:val="TableParagraph"/>
              <w:tabs>
                <w:tab w:pos="5228" w:val="right" w:leader="none"/>
              </w:tabs>
              <w:spacing w:before="11"/>
              <w:ind w:left="1722"/>
              <w:rPr>
                <w:sz w:val="16"/>
              </w:rPr>
            </w:pPr>
            <w:r>
              <w:rPr>
                <w:b/>
                <w:color w:val="0F0080"/>
                <w:spacing w:val="4"/>
                <w:sz w:val="16"/>
              </w:rPr>
              <w:t>inve</w:t>
            </w:r>
            <w:r>
              <w:rPr>
                <w:b/>
                <w:color w:val="0F0080"/>
                <w:spacing w:val="-23"/>
                <w:sz w:val="16"/>
              </w:rPr>
              <w:t> </w:t>
            </w:r>
            <w:r>
              <w:rPr>
                <w:b/>
                <w:color w:val="0F0080"/>
                <w:spacing w:val="9"/>
                <w:sz w:val="16"/>
              </w:rPr>
              <w:t>stment</w:t>
            </w:r>
            <w:r>
              <w:rPr>
                <w:b/>
                <w:color w:val="0F0080"/>
                <w:spacing w:val="8"/>
                <w:sz w:val="16"/>
              </w:rPr>
              <w:t> </w:t>
            </w:r>
            <w:r>
              <w:rPr>
                <w:b/>
                <w:color w:val="0F0080"/>
                <w:spacing w:val="2"/>
                <w:sz w:val="16"/>
              </w:rPr>
              <w:t>grade</w:t>
              <w:tab/>
            </w:r>
            <w:r>
              <w:rPr>
                <w:spacing w:val="4"/>
                <w:sz w:val="16"/>
              </w:rPr>
              <w:t>600</w:t>
            </w:r>
          </w:p>
          <w:p>
            <w:pPr>
              <w:pStyle w:val="TableParagraph"/>
              <w:tabs>
                <w:tab w:pos="4971" w:val="left" w:leader="none"/>
              </w:tabs>
              <w:spacing w:before="92"/>
              <w:ind w:left="209"/>
              <w:rPr>
                <w:sz w:val="16"/>
              </w:rPr>
            </w:pPr>
            <w:r>
              <w:rPr>
                <w:spacing w:val="4"/>
                <w:sz w:val="16"/>
              </w:rPr>
              <w:t>2500</w:t>
              <w:tab/>
            </w:r>
            <w:r>
              <w:rPr>
                <w:spacing w:val="4"/>
                <w:position w:val="-3"/>
                <w:sz w:val="16"/>
              </w:rPr>
              <w:t>525</w:t>
            </w:r>
          </w:p>
          <w:p>
            <w:pPr>
              <w:pStyle w:val="TableParagraph"/>
              <w:tabs>
                <w:tab w:pos="4971" w:val="left" w:leader="none"/>
              </w:tabs>
              <w:spacing w:before="144"/>
              <w:ind w:left="209"/>
              <w:rPr>
                <w:sz w:val="16"/>
              </w:rPr>
            </w:pPr>
            <w:r>
              <w:rPr>
                <w:spacing w:val="4"/>
                <w:sz w:val="16"/>
              </w:rPr>
              <w:t>2000</w:t>
              <w:tab/>
            </w:r>
            <w:r>
              <w:rPr>
                <w:spacing w:val="4"/>
                <w:position w:val="9"/>
                <w:sz w:val="16"/>
              </w:rPr>
              <w:t>450</w:t>
            </w:r>
          </w:p>
          <w:p>
            <w:pPr>
              <w:pStyle w:val="TableParagraph"/>
              <w:spacing w:before="52"/>
              <w:ind w:left="4971"/>
              <w:rPr>
                <w:sz w:val="16"/>
              </w:rPr>
            </w:pPr>
            <w:r>
              <w:rPr>
                <w:spacing w:val="4"/>
                <w:sz w:val="16"/>
              </w:rPr>
              <w:t>375</w:t>
            </w:r>
          </w:p>
          <w:p>
            <w:pPr>
              <w:pStyle w:val="TableParagraph"/>
              <w:tabs>
                <w:tab w:pos="4971" w:val="left" w:leader="none"/>
              </w:tabs>
              <w:spacing w:before="51"/>
              <w:ind w:left="209"/>
              <w:rPr>
                <w:sz w:val="16"/>
              </w:rPr>
            </w:pPr>
            <w:r>
              <w:rPr>
                <w:spacing w:val="4"/>
                <w:sz w:val="16"/>
              </w:rPr>
              <w:t>1500</w:t>
              <w:tab/>
            </w:r>
            <w:r>
              <w:rPr>
                <w:spacing w:val="4"/>
                <w:position w:val="-8"/>
                <w:sz w:val="16"/>
              </w:rPr>
              <w:t>300</w:t>
            </w:r>
          </w:p>
          <w:p>
            <w:pPr>
              <w:pStyle w:val="TableParagraph"/>
              <w:tabs>
                <w:tab w:pos="4971" w:val="left" w:leader="none"/>
              </w:tabs>
              <w:spacing w:line="200" w:lineRule="exact" w:before="144"/>
              <w:ind w:left="209"/>
              <w:rPr>
                <w:sz w:val="16"/>
              </w:rPr>
            </w:pPr>
            <w:r>
              <w:rPr>
                <w:spacing w:val="4"/>
                <w:sz w:val="16"/>
              </w:rPr>
              <w:t>1000</w:t>
              <w:tab/>
            </w:r>
            <w:r>
              <w:rPr>
                <w:spacing w:val="4"/>
                <w:position w:val="4"/>
                <w:sz w:val="16"/>
              </w:rPr>
              <w:t>225</w:t>
            </w:r>
          </w:p>
          <w:p>
            <w:pPr>
              <w:pStyle w:val="TableParagraph"/>
              <w:tabs>
                <w:tab w:pos="2031" w:val="left" w:leader="none"/>
              </w:tabs>
              <w:spacing w:line="141" w:lineRule="exact"/>
              <w:ind w:left="312"/>
              <w:jc w:val="center"/>
              <w:rPr>
                <w:b/>
                <w:sz w:val="16"/>
              </w:rPr>
            </w:pPr>
            <w:r>
              <w:rPr>
                <w:b/>
                <w:color w:val="008000"/>
                <w:w w:val="101"/>
                <w:sz w:val="16"/>
                <w:u w:val="thick" w:color="000080"/>
              </w:rPr>
              <w:t> </w:t>
            </w:r>
            <w:r>
              <w:rPr>
                <w:b/>
                <w:color w:val="008000"/>
                <w:sz w:val="16"/>
                <w:u w:val="thick" w:color="000080"/>
              </w:rPr>
              <w:t>  </w:t>
            </w:r>
            <w:r>
              <w:rPr>
                <w:b/>
                <w:color w:val="008000"/>
                <w:spacing w:val="1"/>
                <w:sz w:val="16"/>
                <w:u w:val="thick" w:color="000080"/>
              </w:rPr>
              <w:t> </w:t>
            </w:r>
            <w:r>
              <w:rPr>
                <w:b/>
                <w:color w:val="008000"/>
                <w:sz w:val="16"/>
              </w:rPr>
              <w:tab/>
            </w:r>
            <w:r>
              <w:rPr>
                <w:b/>
                <w:color w:val="008000"/>
                <w:spacing w:val="6"/>
                <w:sz w:val="16"/>
              </w:rPr>
              <w:t>non-inve</w:t>
            </w:r>
            <w:r>
              <w:rPr>
                <w:b/>
                <w:color w:val="008000"/>
                <w:spacing w:val="-23"/>
                <w:sz w:val="16"/>
              </w:rPr>
              <w:t> </w:t>
            </w:r>
            <w:r>
              <w:rPr>
                <w:b/>
                <w:color w:val="008000"/>
                <w:spacing w:val="11"/>
                <w:sz w:val="16"/>
              </w:rPr>
              <w:t>stment</w:t>
            </w:r>
          </w:p>
          <w:p>
            <w:pPr>
              <w:pStyle w:val="TableParagraph"/>
              <w:tabs>
                <w:tab w:pos="4971" w:val="left" w:leader="none"/>
              </w:tabs>
              <w:spacing w:line="198" w:lineRule="exact"/>
              <w:ind w:left="3501"/>
              <w:rPr>
                <w:sz w:val="16"/>
              </w:rPr>
            </w:pPr>
            <w:r>
              <w:rPr>
                <w:b/>
                <w:color w:val="008000"/>
                <w:spacing w:val="2"/>
                <w:sz w:val="16"/>
              </w:rPr>
              <w:t>grade</w:t>
              <w:tab/>
            </w:r>
            <w:r>
              <w:rPr>
                <w:spacing w:val="4"/>
                <w:position w:val="6"/>
                <w:sz w:val="16"/>
              </w:rPr>
              <w:t>150</w:t>
            </w:r>
          </w:p>
          <w:p>
            <w:pPr>
              <w:pStyle w:val="TableParagraph"/>
              <w:spacing w:line="131" w:lineRule="exact"/>
              <w:ind w:left="297"/>
              <w:rPr>
                <w:sz w:val="16"/>
              </w:rPr>
            </w:pPr>
            <w:r>
              <w:rPr>
                <w:sz w:val="16"/>
              </w:rPr>
              <w:t>500</w:t>
            </w:r>
          </w:p>
          <w:p>
            <w:pPr>
              <w:pStyle w:val="TableParagraph"/>
              <w:spacing w:line="158" w:lineRule="exact"/>
              <w:ind w:left="4971"/>
              <w:rPr>
                <w:sz w:val="16"/>
              </w:rPr>
            </w:pPr>
            <w:r>
              <w:rPr>
                <w:sz w:val="16"/>
              </w:rPr>
              <w:t>75</w:t>
            </w:r>
          </w:p>
          <w:p>
            <w:pPr>
              <w:pStyle w:val="TableParagraph"/>
              <w:tabs>
                <w:tab w:pos="4633" w:val="left" w:leader="none"/>
              </w:tabs>
              <w:spacing w:before="141"/>
              <w:ind w:left="135"/>
              <w:jc w:val="center"/>
              <w:rPr>
                <w:sz w:val="16"/>
              </w:rPr>
            </w:pPr>
            <w:r>
              <w:rPr>
                <w:sz w:val="16"/>
              </w:rPr>
              <w:t>0</w:t>
              <w:tab/>
              <w:t>0</w:t>
            </w:r>
          </w:p>
          <w:p>
            <w:pPr>
              <w:pStyle w:val="TableParagraph"/>
              <w:tabs>
                <w:tab w:pos="1531" w:val="left" w:leader="none"/>
                <w:tab w:pos="1988" w:val="left" w:leader="none"/>
                <w:tab w:pos="3486" w:val="left" w:leader="none"/>
              </w:tabs>
              <w:spacing w:line="201" w:lineRule="auto" w:before="75"/>
              <w:ind w:left="503" w:right="688" w:firstLine="43"/>
              <w:rPr>
                <w:sz w:val="16"/>
              </w:rPr>
            </w:pPr>
            <w:r>
              <w:rPr>
                <w:sz w:val="16"/>
              </w:rPr>
              <w:t>Aug   </w:t>
            </w:r>
            <w:r>
              <w:rPr>
                <w:spacing w:val="37"/>
                <w:sz w:val="16"/>
              </w:rPr>
              <w:t> </w:t>
            </w:r>
            <w:r>
              <w:rPr>
                <w:spacing w:val="2"/>
                <w:sz w:val="16"/>
              </w:rPr>
              <w:t>Nov</w:t>
              <w:tab/>
            </w:r>
            <w:r>
              <w:rPr>
                <w:sz w:val="16"/>
              </w:rPr>
              <w:t>Feb</w:t>
              <w:tab/>
              <w:t>May    </w:t>
            </w:r>
            <w:r>
              <w:rPr>
                <w:spacing w:val="6"/>
                <w:sz w:val="16"/>
              </w:rPr>
              <w:t> </w:t>
            </w:r>
            <w:r>
              <w:rPr>
                <w:spacing w:val="-3"/>
                <w:sz w:val="16"/>
              </w:rPr>
              <w:t>Aug    </w:t>
            </w:r>
            <w:r>
              <w:rPr>
                <w:spacing w:val="18"/>
                <w:sz w:val="16"/>
              </w:rPr>
              <w:t> </w:t>
            </w:r>
            <w:r>
              <w:rPr>
                <w:sz w:val="16"/>
              </w:rPr>
              <w:t>Nov</w:t>
              <w:tab/>
              <w:t>Feb May </w:t>
            </w:r>
            <w:r>
              <w:rPr>
                <w:spacing w:val="-8"/>
                <w:sz w:val="16"/>
              </w:rPr>
              <w:t>Aug </w:t>
            </w:r>
            <w:r>
              <w:rPr>
                <w:spacing w:val="4"/>
                <w:sz w:val="16"/>
              </w:rPr>
              <w:t>2007</w:t>
              <w:tab/>
            </w:r>
            <w:r>
              <w:rPr>
                <w:spacing w:val="7"/>
                <w:position w:val="1"/>
                <w:sz w:val="16"/>
              </w:rPr>
              <w:t>08</w:t>
              <w:tab/>
              <w:tab/>
              <w:t>09</w:t>
            </w:r>
          </w:p>
          <w:p>
            <w:pPr>
              <w:pStyle w:val="TableParagraph"/>
              <w:spacing w:before="6"/>
              <w:rPr>
                <w:sz w:val="15"/>
              </w:rPr>
            </w:pPr>
          </w:p>
          <w:p>
            <w:pPr>
              <w:pStyle w:val="TableParagraph"/>
              <w:spacing w:line="184" w:lineRule="exact"/>
              <w:ind w:left="106" w:right="122"/>
              <w:rPr>
                <w:i/>
                <w:sz w:val="16"/>
              </w:rPr>
            </w:pPr>
            <w:r>
              <w:rPr>
                <w:i/>
                <w:sz w:val="16"/>
              </w:rPr>
              <w:t>Source: Merrill Lynch:Option-adjusted spread over government rates. a) </w:t>
            </w:r>
            <w:r>
              <w:rPr>
                <w:i/>
                <w:sz w:val="16"/>
              </w:rPr>
              <w:t>aggregate indices of bonds rated BBB3 or higher. b) aggregate indices of bonds rated lower than BBB3.</w:t>
            </w:r>
          </w:p>
        </w:tc>
      </w:tr>
      <w:tr>
        <w:trPr>
          <w:trHeight w:val="4487" w:hRule="atLeast"/>
        </w:trPr>
        <w:tc>
          <w:tcPr>
            <w:tcW w:w="5765" w:type="dxa"/>
          </w:tcPr>
          <w:p>
            <w:pPr>
              <w:pStyle w:val="TableParagraph"/>
              <w:spacing w:line="273" w:lineRule="exact"/>
              <w:ind w:left="107"/>
              <w:rPr>
                <w:b/>
                <w:sz w:val="24"/>
              </w:rPr>
            </w:pPr>
            <w:r>
              <w:rPr>
                <w:b/>
                <w:sz w:val="24"/>
              </w:rPr>
              <w:t>Chart 13: Gross and Net Corporate Bond Issuance</w:t>
            </w:r>
          </w:p>
          <w:p>
            <w:pPr>
              <w:pStyle w:val="TableParagraph"/>
              <w:tabs>
                <w:tab w:pos="3971" w:val="left" w:leader="none"/>
                <w:tab w:pos="5204" w:val="left" w:leader="none"/>
              </w:tabs>
              <w:spacing w:line="235" w:lineRule="auto" w:before="132"/>
              <w:ind w:left="968" w:right="85"/>
              <w:rPr>
                <w:sz w:val="16"/>
              </w:rPr>
            </w:pPr>
            <w:r>
              <w:rPr>
                <w:w w:val="105"/>
                <w:position w:val="-3"/>
                <w:sz w:val="16"/>
              </w:rPr>
              <w:t>Repayments</w:t>
              <w:tab/>
            </w:r>
            <w:r>
              <w:rPr>
                <w:w w:val="105"/>
                <w:sz w:val="16"/>
              </w:rPr>
              <w:t>Three-month </w:t>
            </w:r>
            <w:r>
              <w:rPr>
                <w:spacing w:val="-3"/>
                <w:w w:val="105"/>
                <w:sz w:val="16"/>
              </w:rPr>
              <w:t>rolling </w:t>
            </w:r>
            <w:r>
              <w:rPr>
                <w:spacing w:val="5"/>
                <w:w w:val="105"/>
                <w:sz w:val="16"/>
              </w:rPr>
              <w:t>sum </w:t>
            </w:r>
            <w:r>
              <w:rPr>
                <w:w w:val="105"/>
                <w:position w:val="-8"/>
                <w:sz w:val="16"/>
              </w:rPr>
              <w:t>Gross</w:t>
              <w:tab/>
              <w:tab/>
            </w:r>
            <w:r>
              <w:rPr>
                <w:spacing w:val="4"/>
                <w:w w:val="105"/>
                <w:sz w:val="16"/>
              </w:rPr>
              <w:t>(£bns)</w:t>
            </w:r>
          </w:p>
          <w:p>
            <w:pPr>
              <w:pStyle w:val="TableParagraph"/>
              <w:tabs>
                <w:tab w:pos="5614" w:val="right" w:leader="none"/>
              </w:tabs>
              <w:spacing w:line="272" w:lineRule="exact"/>
              <w:ind w:left="968"/>
              <w:rPr>
                <w:sz w:val="16"/>
              </w:rPr>
            </w:pPr>
            <w:r>
              <w:rPr>
                <w:w w:val="105"/>
                <w:sz w:val="16"/>
              </w:rPr>
              <w:t>Net</w:t>
              <w:tab/>
            </w:r>
            <w:r>
              <w:rPr>
                <w:spacing w:val="-7"/>
                <w:w w:val="105"/>
                <w:position w:val="10"/>
                <w:sz w:val="16"/>
              </w:rPr>
              <w:t>20</w:t>
            </w:r>
          </w:p>
          <w:p>
            <w:pPr>
              <w:pStyle w:val="TableParagraph"/>
              <w:spacing w:before="112"/>
              <w:ind w:left="5461"/>
              <w:rPr>
                <w:sz w:val="16"/>
              </w:rPr>
            </w:pPr>
            <w:r>
              <w:rPr>
                <w:spacing w:val="-7"/>
                <w:w w:val="105"/>
                <w:sz w:val="16"/>
              </w:rPr>
              <w:t>15</w:t>
            </w:r>
          </w:p>
          <w:p>
            <w:pPr>
              <w:pStyle w:val="TableParagraph"/>
              <w:rPr>
                <w:sz w:val="20"/>
              </w:rPr>
            </w:pPr>
          </w:p>
          <w:p>
            <w:pPr>
              <w:pStyle w:val="TableParagraph"/>
              <w:ind w:left="5461"/>
              <w:rPr>
                <w:sz w:val="16"/>
              </w:rPr>
            </w:pPr>
            <w:r>
              <w:rPr>
                <w:spacing w:val="-7"/>
                <w:w w:val="105"/>
                <w:sz w:val="16"/>
              </w:rPr>
              <w:t>10</w:t>
            </w:r>
          </w:p>
          <w:p>
            <w:pPr>
              <w:pStyle w:val="TableParagraph"/>
              <w:spacing w:before="9"/>
              <w:rPr>
                <w:sz w:val="18"/>
              </w:rPr>
            </w:pPr>
          </w:p>
          <w:p>
            <w:pPr>
              <w:pStyle w:val="TableParagraph"/>
              <w:ind w:left="5461"/>
              <w:rPr>
                <w:sz w:val="16"/>
              </w:rPr>
            </w:pPr>
            <w:r>
              <w:rPr>
                <w:w w:val="104"/>
                <w:sz w:val="16"/>
              </w:rPr>
              <w:t>5</w:t>
            </w:r>
          </w:p>
          <w:p>
            <w:pPr>
              <w:pStyle w:val="TableParagraph"/>
              <w:spacing w:before="10"/>
              <w:rPr>
                <w:sz w:val="18"/>
              </w:rPr>
            </w:pPr>
          </w:p>
          <w:p>
            <w:pPr>
              <w:pStyle w:val="TableParagraph"/>
              <w:ind w:left="5461"/>
              <w:rPr>
                <w:sz w:val="16"/>
              </w:rPr>
            </w:pPr>
            <w:r>
              <w:rPr>
                <w:w w:val="104"/>
                <w:sz w:val="16"/>
              </w:rPr>
              <w:t>0</w:t>
            </w:r>
          </w:p>
          <w:p>
            <w:pPr>
              <w:pStyle w:val="TableParagraph"/>
              <w:spacing w:before="8"/>
              <w:rPr>
                <w:sz w:val="18"/>
              </w:rPr>
            </w:pPr>
          </w:p>
          <w:p>
            <w:pPr>
              <w:pStyle w:val="TableParagraph"/>
              <w:ind w:left="5461"/>
              <w:rPr>
                <w:sz w:val="16"/>
              </w:rPr>
            </w:pPr>
            <w:r>
              <w:rPr>
                <w:spacing w:val="-4"/>
                <w:w w:val="105"/>
                <w:sz w:val="16"/>
              </w:rPr>
              <w:t>-5</w:t>
            </w:r>
          </w:p>
          <w:p>
            <w:pPr>
              <w:pStyle w:val="TableParagraph"/>
              <w:rPr>
                <w:sz w:val="20"/>
              </w:rPr>
            </w:pPr>
          </w:p>
          <w:p>
            <w:pPr>
              <w:pStyle w:val="TableParagraph"/>
              <w:ind w:left="5461"/>
              <w:rPr>
                <w:sz w:val="16"/>
              </w:rPr>
            </w:pPr>
            <w:r>
              <w:rPr>
                <w:spacing w:val="-4"/>
                <w:w w:val="105"/>
                <w:sz w:val="16"/>
              </w:rPr>
              <w:t>-10</w:t>
            </w:r>
          </w:p>
          <w:p>
            <w:pPr>
              <w:pStyle w:val="TableParagraph"/>
              <w:spacing w:before="9"/>
              <w:rPr>
                <w:sz w:val="18"/>
              </w:rPr>
            </w:pPr>
          </w:p>
          <w:p>
            <w:pPr>
              <w:pStyle w:val="TableParagraph"/>
              <w:ind w:left="5461"/>
              <w:rPr>
                <w:sz w:val="16"/>
              </w:rPr>
            </w:pPr>
            <w:r>
              <w:rPr>
                <w:spacing w:val="-4"/>
                <w:w w:val="105"/>
                <w:sz w:val="16"/>
              </w:rPr>
              <w:t>-15</w:t>
            </w:r>
          </w:p>
          <w:p>
            <w:pPr>
              <w:pStyle w:val="TableParagraph"/>
              <w:tabs>
                <w:tab w:pos="954" w:val="left" w:leader="none"/>
                <w:tab w:pos="1700" w:val="left" w:leader="none"/>
                <w:tab w:pos="2457" w:val="left" w:leader="none"/>
                <w:tab w:pos="3201" w:val="left" w:leader="none"/>
                <w:tab w:pos="3958" w:val="left" w:leader="none"/>
                <w:tab w:pos="4716" w:val="left" w:leader="none"/>
              </w:tabs>
              <w:spacing w:before="62"/>
              <w:ind w:left="197"/>
              <w:rPr>
                <w:sz w:val="16"/>
              </w:rPr>
            </w:pPr>
            <w:r>
              <w:rPr>
                <w:spacing w:val="-6"/>
                <w:w w:val="105"/>
                <w:sz w:val="16"/>
              </w:rPr>
              <w:t>2003</w:t>
              <w:tab/>
            </w:r>
            <w:r>
              <w:rPr>
                <w:spacing w:val="-5"/>
                <w:w w:val="105"/>
                <w:sz w:val="16"/>
              </w:rPr>
              <w:t>2004</w:t>
              <w:tab/>
            </w:r>
            <w:r>
              <w:rPr>
                <w:spacing w:val="-6"/>
                <w:w w:val="105"/>
                <w:sz w:val="16"/>
              </w:rPr>
              <w:t>2005</w:t>
              <w:tab/>
              <w:t>2006</w:t>
              <w:tab/>
            </w:r>
            <w:r>
              <w:rPr>
                <w:spacing w:val="-5"/>
                <w:w w:val="105"/>
                <w:sz w:val="16"/>
              </w:rPr>
              <w:t>2007</w:t>
              <w:tab/>
              <w:t>2008</w:t>
              <w:tab/>
            </w:r>
            <w:r>
              <w:rPr>
                <w:spacing w:val="-7"/>
                <w:w w:val="105"/>
                <w:sz w:val="16"/>
              </w:rPr>
              <w:t>2009</w:t>
            </w:r>
          </w:p>
        </w:tc>
        <w:tc>
          <w:tcPr>
            <w:tcW w:w="5400" w:type="dxa"/>
          </w:tcPr>
          <w:p>
            <w:pPr>
              <w:pStyle w:val="TableParagraph"/>
              <w:ind w:left="106" w:right="344"/>
              <w:rPr>
                <w:b/>
                <w:sz w:val="24"/>
              </w:rPr>
            </w:pPr>
            <w:r>
              <w:rPr>
                <w:b/>
                <w:sz w:val="24"/>
              </w:rPr>
              <w:t>Chart 14: Total Corporate Finance Raised from Capital Market and MFIs</w:t>
            </w:r>
          </w:p>
          <w:p>
            <w:pPr>
              <w:pStyle w:val="TableParagraph"/>
              <w:tabs>
                <w:tab w:pos="3701" w:val="left" w:leader="none"/>
                <w:tab w:pos="4833" w:val="left" w:leader="none"/>
              </w:tabs>
              <w:spacing w:line="280" w:lineRule="atLeast" w:before="10"/>
              <w:ind w:left="719" w:right="129"/>
              <w:rPr>
                <w:sz w:val="15"/>
              </w:rPr>
            </w:pPr>
            <w:r>
              <w:rPr>
                <w:sz w:val="15"/>
              </w:rPr>
              <w:t>Borrowing</w:t>
            </w:r>
            <w:r>
              <w:rPr>
                <w:spacing w:val="5"/>
                <w:sz w:val="15"/>
              </w:rPr>
              <w:t> </w:t>
            </w:r>
            <w:r>
              <w:rPr>
                <w:sz w:val="15"/>
              </w:rPr>
              <w:t>from</w:t>
            </w:r>
            <w:r>
              <w:rPr>
                <w:spacing w:val="-16"/>
                <w:sz w:val="15"/>
              </w:rPr>
              <w:t> </w:t>
            </w:r>
            <w:r>
              <w:rPr>
                <w:sz w:val="15"/>
              </w:rPr>
              <w:t>MFIs</w:t>
              <w:tab/>
            </w:r>
            <w:r>
              <w:rPr>
                <w:position w:val="1"/>
                <w:sz w:val="15"/>
              </w:rPr>
              <w:t>Three-month </w:t>
            </w:r>
            <w:r>
              <w:rPr>
                <w:spacing w:val="-3"/>
                <w:position w:val="1"/>
                <w:sz w:val="15"/>
              </w:rPr>
              <w:t>rolling </w:t>
            </w:r>
            <w:r>
              <w:rPr>
                <w:spacing w:val="5"/>
                <w:position w:val="1"/>
                <w:sz w:val="15"/>
              </w:rPr>
              <w:t>sum </w:t>
            </w:r>
            <w:r>
              <w:rPr>
                <w:spacing w:val="2"/>
                <w:sz w:val="15"/>
              </w:rPr>
              <w:t>Total </w:t>
            </w:r>
            <w:r>
              <w:rPr>
                <w:sz w:val="15"/>
              </w:rPr>
              <w:t>Net Capital</w:t>
            </w:r>
            <w:r>
              <w:rPr>
                <w:spacing w:val="-9"/>
                <w:sz w:val="15"/>
              </w:rPr>
              <w:t> </w:t>
            </w:r>
            <w:r>
              <w:rPr>
                <w:sz w:val="15"/>
              </w:rPr>
              <w:t>Market</w:t>
            </w:r>
            <w:r>
              <w:rPr>
                <w:spacing w:val="8"/>
                <w:sz w:val="15"/>
              </w:rPr>
              <w:t> </w:t>
            </w:r>
            <w:r>
              <w:rPr>
                <w:spacing w:val="4"/>
                <w:sz w:val="15"/>
              </w:rPr>
              <w:t>Issuance</w:t>
              <w:tab/>
              <w:tab/>
            </w:r>
            <w:r>
              <w:rPr>
                <w:spacing w:val="3"/>
                <w:position w:val="10"/>
                <w:sz w:val="15"/>
              </w:rPr>
              <w:t>(£bns)</w:t>
            </w:r>
          </w:p>
          <w:p>
            <w:pPr>
              <w:pStyle w:val="TableParagraph"/>
              <w:spacing w:line="135" w:lineRule="exact"/>
              <w:ind w:left="5068"/>
              <w:rPr>
                <w:sz w:val="15"/>
              </w:rPr>
            </w:pPr>
            <w:r>
              <w:rPr>
                <w:spacing w:val="-6"/>
                <w:sz w:val="15"/>
              </w:rPr>
              <w:t>40</w:t>
            </w:r>
          </w:p>
          <w:p>
            <w:pPr>
              <w:pStyle w:val="TableParagraph"/>
              <w:spacing w:line="161" w:lineRule="exact"/>
              <w:ind w:left="719"/>
              <w:rPr>
                <w:sz w:val="15"/>
              </w:rPr>
            </w:pPr>
            <w:r>
              <w:rPr>
                <w:sz w:val="15"/>
              </w:rPr>
              <w:t>Net</w:t>
            </w:r>
          </w:p>
          <w:p>
            <w:pPr>
              <w:pStyle w:val="TableParagraph"/>
              <w:spacing w:before="46"/>
              <w:ind w:left="5068"/>
              <w:rPr>
                <w:sz w:val="15"/>
              </w:rPr>
            </w:pPr>
            <w:r>
              <w:rPr>
                <w:spacing w:val="-6"/>
                <w:sz w:val="15"/>
              </w:rPr>
              <w:t>30</w:t>
            </w:r>
          </w:p>
          <w:p>
            <w:pPr>
              <w:pStyle w:val="TableParagraph"/>
              <w:spacing w:before="11"/>
              <w:rPr>
                <w:sz w:val="17"/>
              </w:rPr>
            </w:pPr>
          </w:p>
          <w:p>
            <w:pPr>
              <w:pStyle w:val="TableParagraph"/>
              <w:ind w:left="5068"/>
              <w:rPr>
                <w:sz w:val="15"/>
              </w:rPr>
            </w:pPr>
            <w:r>
              <w:rPr>
                <w:spacing w:val="-6"/>
                <w:sz w:val="15"/>
              </w:rPr>
              <w:t>20</w:t>
            </w:r>
          </w:p>
          <w:p>
            <w:pPr>
              <w:pStyle w:val="TableParagraph"/>
              <w:rPr>
                <w:sz w:val="17"/>
              </w:rPr>
            </w:pPr>
          </w:p>
          <w:p>
            <w:pPr>
              <w:pStyle w:val="TableParagraph"/>
              <w:spacing w:before="1"/>
              <w:ind w:left="5068"/>
              <w:rPr>
                <w:sz w:val="15"/>
              </w:rPr>
            </w:pPr>
            <w:r>
              <w:rPr>
                <w:spacing w:val="-6"/>
                <w:sz w:val="15"/>
              </w:rPr>
              <w:t>10</w:t>
            </w:r>
          </w:p>
          <w:p>
            <w:pPr>
              <w:pStyle w:val="TableParagraph"/>
              <w:spacing w:before="11"/>
              <w:rPr>
                <w:sz w:val="17"/>
              </w:rPr>
            </w:pPr>
          </w:p>
          <w:p>
            <w:pPr>
              <w:pStyle w:val="TableParagraph"/>
              <w:ind w:left="5068"/>
              <w:rPr>
                <w:sz w:val="15"/>
              </w:rPr>
            </w:pPr>
            <w:r>
              <w:rPr>
                <w:w w:val="102"/>
                <w:sz w:val="15"/>
              </w:rPr>
              <w:t>0</w:t>
            </w:r>
          </w:p>
          <w:p>
            <w:pPr>
              <w:pStyle w:val="TableParagraph"/>
              <w:rPr>
                <w:sz w:val="17"/>
              </w:rPr>
            </w:pPr>
          </w:p>
          <w:p>
            <w:pPr>
              <w:pStyle w:val="TableParagraph"/>
              <w:ind w:left="5068"/>
              <w:rPr>
                <w:sz w:val="15"/>
              </w:rPr>
            </w:pPr>
            <w:r>
              <w:rPr>
                <w:spacing w:val="-4"/>
                <w:sz w:val="15"/>
              </w:rPr>
              <w:t>-10</w:t>
            </w:r>
          </w:p>
          <w:p>
            <w:pPr>
              <w:pStyle w:val="TableParagraph"/>
              <w:rPr>
                <w:sz w:val="18"/>
              </w:rPr>
            </w:pPr>
          </w:p>
          <w:p>
            <w:pPr>
              <w:pStyle w:val="TableParagraph"/>
              <w:ind w:left="5068"/>
              <w:rPr>
                <w:sz w:val="15"/>
              </w:rPr>
            </w:pPr>
            <w:r>
              <w:rPr>
                <w:spacing w:val="-4"/>
                <w:sz w:val="15"/>
              </w:rPr>
              <w:t>-20</w:t>
            </w:r>
          </w:p>
          <w:p>
            <w:pPr>
              <w:pStyle w:val="TableParagraph"/>
              <w:rPr>
                <w:sz w:val="17"/>
              </w:rPr>
            </w:pPr>
          </w:p>
          <w:p>
            <w:pPr>
              <w:pStyle w:val="TableParagraph"/>
              <w:ind w:left="5068"/>
              <w:rPr>
                <w:sz w:val="15"/>
              </w:rPr>
            </w:pPr>
            <w:r>
              <w:rPr>
                <w:spacing w:val="-4"/>
                <w:sz w:val="15"/>
              </w:rPr>
              <w:t>-30</w:t>
            </w:r>
          </w:p>
          <w:p>
            <w:pPr>
              <w:pStyle w:val="TableParagraph"/>
              <w:tabs>
                <w:tab w:pos="883" w:val="left" w:leader="none"/>
                <w:tab w:pos="1591" w:val="left" w:leader="none"/>
                <w:tab w:pos="2286" w:val="left" w:leader="none"/>
                <w:tab w:pos="2982" w:val="left" w:leader="none"/>
                <w:tab w:pos="3677" w:val="left" w:leader="none"/>
                <w:tab w:pos="4373" w:val="left" w:leader="none"/>
              </w:tabs>
              <w:spacing w:before="46"/>
              <w:ind w:left="189"/>
              <w:rPr>
                <w:sz w:val="15"/>
              </w:rPr>
            </w:pPr>
            <w:r>
              <w:rPr>
                <w:spacing w:val="-5"/>
                <w:sz w:val="15"/>
              </w:rPr>
              <w:t>2003</w:t>
              <w:tab/>
              <w:t>2004</w:t>
              <w:tab/>
              <w:t>2005</w:t>
              <w:tab/>
              <w:t>2006</w:t>
              <w:tab/>
              <w:t>2007</w:t>
              <w:tab/>
              <w:t>2008</w:t>
              <w:tab/>
            </w:r>
            <w:r>
              <w:rPr>
                <w:spacing w:val="-7"/>
                <w:sz w:val="15"/>
              </w:rPr>
              <w:t>2009</w:t>
            </w:r>
          </w:p>
        </w:tc>
      </w:tr>
    </w:tbl>
    <w:p>
      <w:pPr>
        <w:rPr>
          <w:sz w:val="2"/>
          <w:szCs w:val="2"/>
        </w:rPr>
      </w:pPr>
      <w:r>
        <w:rPr/>
        <w:drawing>
          <wp:anchor distT="0" distB="0" distL="0" distR="0" allowOverlap="1" layoutInCell="1" locked="0" behindDoc="1" simplePos="0" relativeHeight="250733568">
            <wp:simplePos x="0" y="0"/>
            <wp:positionH relativeFrom="page">
              <wp:posOffset>536829</wp:posOffset>
            </wp:positionH>
            <wp:positionV relativeFrom="page">
              <wp:posOffset>1176147</wp:posOffset>
            </wp:positionV>
            <wp:extent cx="3010429" cy="1990725"/>
            <wp:effectExtent l="0" t="0" r="0" b="0"/>
            <wp:wrapNone/>
            <wp:docPr id="15" name="image27.png"/>
            <wp:cNvGraphicFramePr>
              <a:graphicFrameLocks noChangeAspect="1"/>
            </wp:cNvGraphicFramePr>
            <a:graphic>
              <a:graphicData uri="http://schemas.openxmlformats.org/drawingml/2006/picture">
                <pic:pic>
                  <pic:nvPicPr>
                    <pic:cNvPr id="16" name="image27.png"/>
                    <pic:cNvPicPr/>
                  </pic:nvPicPr>
                  <pic:blipFill>
                    <a:blip r:embed="rId36" cstate="print"/>
                    <a:stretch>
                      <a:fillRect/>
                    </a:stretch>
                  </pic:blipFill>
                  <pic:spPr>
                    <a:xfrm>
                      <a:off x="0" y="0"/>
                      <a:ext cx="3010429" cy="1990725"/>
                    </a:xfrm>
                    <a:prstGeom prst="rect">
                      <a:avLst/>
                    </a:prstGeom>
                  </pic:spPr>
                </pic:pic>
              </a:graphicData>
            </a:graphic>
          </wp:anchor>
        </w:drawing>
      </w:r>
      <w:r>
        <w:rPr/>
        <w:drawing>
          <wp:anchor distT="0" distB="0" distL="0" distR="0" allowOverlap="1" layoutInCell="1" locked="0" behindDoc="1" simplePos="0" relativeHeight="250734592">
            <wp:simplePos x="0" y="0"/>
            <wp:positionH relativeFrom="page">
              <wp:posOffset>4290821</wp:posOffset>
            </wp:positionH>
            <wp:positionV relativeFrom="page">
              <wp:posOffset>1107566</wp:posOffset>
            </wp:positionV>
            <wp:extent cx="2709878" cy="2062162"/>
            <wp:effectExtent l="0" t="0" r="0" b="0"/>
            <wp:wrapNone/>
            <wp:docPr id="17" name="image28.png"/>
            <wp:cNvGraphicFramePr>
              <a:graphicFrameLocks noChangeAspect="1"/>
            </wp:cNvGraphicFramePr>
            <a:graphic>
              <a:graphicData uri="http://schemas.openxmlformats.org/drawingml/2006/picture">
                <pic:pic>
                  <pic:nvPicPr>
                    <pic:cNvPr id="18" name="image28.png"/>
                    <pic:cNvPicPr/>
                  </pic:nvPicPr>
                  <pic:blipFill>
                    <a:blip r:embed="rId37" cstate="print"/>
                    <a:stretch>
                      <a:fillRect/>
                    </a:stretch>
                  </pic:blipFill>
                  <pic:spPr>
                    <a:xfrm>
                      <a:off x="0" y="0"/>
                      <a:ext cx="2709878" cy="2062162"/>
                    </a:xfrm>
                    <a:prstGeom prst="rect">
                      <a:avLst/>
                    </a:prstGeom>
                  </pic:spPr>
                </pic:pic>
              </a:graphicData>
            </a:graphic>
          </wp:anchor>
        </w:drawing>
      </w:r>
      <w:r>
        <w:rPr/>
        <w:drawing>
          <wp:anchor distT="0" distB="0" distL="0" distR="0" allowOverlap="1" layoutInCell="1" locked="0" behindDoc="1" simplePos="0" relativeHeight="250735616">
            <wp:simplePos x="0" y="0"/>
            <wp:positionH relativeFrom="page">
              <wp:posOffset>449961</wp:posOffset>
            </wp:positionH>
            <wp:positionV relativeFrom="page">
              <wp:posOffset>4554092</wp:posOffset>
            </wp:positionV>
            <wp:extent cx="3194430" cy="1795462"/>
            <wp:effectExtent l="0" t="0" r="0" b="0"/>
            <wp:wrapNone/>
            <wp:docPr id="19" name="image29.png"/>
            <wp:cNvGraphicFramePr>
              <a:graphicFrameLocks noChangeAspect="1"/>
            </wp:cNvGraphicFramePr>
            <a:graphic>
              <a:graphicData uri="http://schemas.openxmlformats.org/drawingml/2006/picture">
                <pic:pic>
                  <pic:nvPicPr>
                    <pic:cNvPr id="20" name="image29.png"/>
                    <pic:cNvPicPr/>
                  </pic:nvPicPr>
                  <pic:blipFill>
                    <a:blip r:embed="rId38" cstate="print"/>
                    <a:stretch>
                      <a:fillRect/>
                    </a:stretch>
                  </pic:blipFill>
                  <pic:spPr>
                    <a:xfrm>
                      <a:off x="0" y="0"/>
                      <a:ext cx="3194430" cy="1795462"/>
                    </a:xfrm>
                    <a:prstGeom prst="rect">
                      <a:avLst/>
                    </a:prstGeom>
                  </pic:spPr>
                </pic:pic>
              </a:graphicData>
            </a:graphic>
          </wp:anchor>
        </w:drawing>
      </w:r>
      <w:r>
        <w:rPr/>
        <w:pict>
          <v:line style="position:absolute;mso-position-horizontal-relative:page;mso-position-vertical-relative:page;z-index:-252579840" from="46.979851pt,336.95932pt" to="63.659801pt,336.95932pt" stroked="true" strokeweight="4.559972pt" strokecolor="#ff01ff">
            <v:stroke dashstyle="solid"/>
            <w10:wrap type="none"/>
          </v:line>
        </w:pict>
      </w:r>
      <w:r>
        <w:rPr/>
        <w:drawing>
          <wp:anchor distT="0" distB="0" distL="0" distR="0" allowOverlap="1" layoutInCell="1" locked="0" behindDoc="1" simplePos="0" relativeHeight="250737664">
            <wp:simplePos x="0" y="0"/>
            <wp:positionH relativeFrom="page">
              <wp:posOffset>588450</wp:posOffset>
            </wp:positionH>
            <wp:positionV relativeFrom="page">
              <wp:posOffset>4414456</wp:posOffset>
            </wp:positionV>
            <wp:extent cx="228212" cy="74295"/>
            <wp:effectExtent l="0" t="0" r="0" b="0"/>
            <wp:wrapNone/>
            <wp:docPr id="21" name="image30.png"/>
            <wp:cNvGraphicFramePr>
              <a:graphicFrameLocks noChangeAspect="1"/>
            </wp:cNvGraphicFramePr>
            <a:graphic>
              <a:graphicData uri="http://schemas.openxmlformats.org/drawingml/2006/picture">
                <pic:pic>
                  <pic:nvPicPr>
                    <pic:cNvPr id="22" name="image30.png"/>
                    <pic:cNvPicPr/>
                  </pic:nvPicPr>
                  <pic:blipFill>
                    <a:blip r:embed="rId39" cstate="print"/>
                    <a:stretch>
                      <a:fillRect/>
                    </a:stretch>
                  </pic:blipFill>
                  <pic:spPr>
                    <a:xfrm>
                      <a:off x="0" y="0"/>
                      <a:ext cx="228212" cy="74295"/>
                    </a:xfrm>
                    <a:prstGeom prst="rect">
                      <a:avLst/>
                    </a:prstGeom>
                  </pic:spPr>
                </pic:pic>
              </a:graphicData>
            </a:graphic>
          </wp:anchor>
        </w:drawing>
      </w:r>
      <w:r>
        <w:rPr/>
        <w:drawing>
          <wp:anchor distT="0" distB="0" distL="0" distR="0" allowOverlap="1" layoutInCell="1" locked="0" behindDoc="1" simplePos="0" relativeHeight="250738688">
            <wp:simplePos x="0" y="0"/>
            <wp:positionH relativeFrom="page">
              <wp:posOffset>4096892</wp:posOffset>
            </wp:positionH>
            <wp:positionV relativeFrom="page">
              <wp:posOffset>4688966</wp:posOffset>
            </wp:positionV>
            <wp:extent cx="2963198" cy="1657350"/>
            <wp:effectExtent l="0" t="0" r="0" b="0"/>
            <wp:wrapNone/>
            <wp:docPr id="23" name="image31.png"/>
            <wp:cNvGraphicFramePr>
              <a:graphicFrameLocks noChangeAspect="1"/>
            </wp:cNvGraphicFramePr>
            <a:graphic>
              <a:graphicData uri="http://schemas.openxmlformats.org/drawingml/2006/picture">
                <pic:pic>
                  <pic:nvPicPr>
                    <pic:cNvPr id="24" name="image31.png"/>
                    <pic:cNvPicPr/>
                  </pic:nvPicPr>
                  <pic:blipFill>
                    <a:blip r:embed="rId40" cstate="print"/>
                    <a:stretch>
                      <a:fillRect/>
                    </a:stretch>
                  </pic:blipFill>
                  <pic:spPr>
                    <a:xfrm>
                      <a:off x="0" y="0"/>
                      <a:ext cx="2963198" cy="1657350"/>
                    </a:xfrm>
                    <a:prstGeom prst="rect">
                      <a:avLst/>
                    </a:prstGeom>
                  </pic:spPr>
                </pic:pic>
              </a:graphicData>
            </a:graphic>
          </wp:anchor>
        </w:drawing>
      </w:r>
      <w:r>
        <w:rPr/>
        <w:drawing>
          <wp:anchor distT="0" distB="0" distL="0" distR="0" allowOverlap="1" layoutInCell="1" locked="0" behindDoc="1" simplePos="0" relativeHeight="250739712">
            <wp:simplePos x="0" y="0"/>
            <wp:positionH relativeFrom="page">
              <wp:posOffset>4120140</wp:posOffset>
            </wp:positionH>
            <wp:positionV relativeFrom="page">
              <wp:posOffset>4396732</wp:posOffset>
            </wp:positionV>
            <wp:extent cx="195392" cy="51339"/>
            <wp:effectExtent l="0" t="0" r="0" b="0"/>
            <wp:wrapNone/>
            <wp:docPr id="25" name="image32.png"/>
            <wp:cNvGraphicFramePr>
              <a:graphicFrameLocks noChangeAspect="1"/>
            </wp:cNvGraphicFramePr>
            <a:graphic>
              <a:graphicData uri="http://schemas.openxmlformats.org/drawingml/2006/picture">
                <pic:pic>
                  <pic:nvPicPr>
                    <pic:cNvPr id="26" name="image32.png"/>
                    <pic:cNvPicPr/>
                  </pic:nvPicPr>
                  <pic:blipFill>
                    <a:blip r:embed="rId41" cstate="print"/>
                    <a:stretch>
                      <a:fillRect/>
                    </a:stretch>
                  </pic:blipFill>
                  <pic:spPr>
                    <a:xfrm>
                      <a:off x="0" y="0"/>
                      <a:ext cx="195392" cy="51339"/>
                    </a:xfrm>
                    <a:prstGeom prst="rect">
                      <a:avLst/>
                    </a:prstGeom>
                  </pic:spPr>
                </pic:pic>
              </a:graphicData>
            </a:graphic>
          </wp:anchor>
        </w:drawing>
      </w:r>
      <w:r>
        <w:rPr/>
        <w:drawing>
          <wp:anchor distT="0" distB="0" distL="0" distR="0" allowOverlap="1" layoutInCell="1" locked="0" behindDoc="1" simplePos="0" relativeHeight="250740736">
            <wp:simplePos x="0" y="0"/>
            <wp:positionH relativeFrom="page">
              <wp:posOffset>4112826</wp:posOffset>
            </wp:positionH>
            <wp:positionV relativeFrom="page">
              <wp:posOffset>4572302</wp:posOffset>
            </wp:positionV>
            <wp:extent cx="207851" cy="65341"/>
            <wp:effectExtent l="0" t="0" r="0" b="0"/>
            <wp:wrapNone/>
            <wp:docPr id="27" name="image33.png"/>
            <wp:cNvGraphicFramePr>
              <a:graphicFrameLocks noChangeAspect="1"/>
            </wp:cNvGraphicFramePr>
            <a:graphic>
              <a:graphicData uri="http://schemas.openxmlformats.org/drawingml/2006/picture">
                <pic:pic>
                  <pic:nvPicPr>
                    <pic:cNvPr id="28" name="image33.png"/>
                    <pic:cNvPicPr/>
                  </pic:nvPicPr>
                  <pic:blipFill>
                    <a:blip r:embed="rId42" cstate="print"/>
                    <a:stretch>
                      <a:fillRect/>
                    </a:stretch>
                  </pic:blipFill>
                  <pic:spPr>
                    <a:xfrm>
                      <a:off x="0" y="0"/>
                      <a:ext cx="207851" cy="65341"/>
                    </a:xfrm>
                    <a:prstGeom prst="rect">
                      <a:avLst/>
                    </a:prstGeom>
                  </pic:spPr>
                </pic:pic>
              </a:graphicData>
            </a:graphic>
          </wp:anchor>
        </w:drawing>
      </w:r>
    </w:p>
    <w:p>
      <w:pPr>
        <w:spacing w:after="0"/>
        <w:rPr>
          <w:sz w:val="2"/>
          <w:szCs w:val="2"/>
        </w:rPr>
        <w:sectPr>
          <w:pgSz w:w="11910" w:h="16840"/>
          <w:pgMar w:header="0" w:footer="699" w:top="1080" w:bottom="880" w:left="240" w:right="260"/>
        </w:sectPr>
      </w:pPr>
    </w:p>
    <w:p>
      <w:pPr>
        <w:pStyle w:val="BodyText"/>
        <w:ind w:left="107"/>
        <w:rPr>
          <w:sz w:val="20"/>
        </w:rPr>
      </w:pPr>
      <w:r>
        <w:rPr>
          <w:sz w:val="20"/>
        </w:rPr>
        <w:pict>
          <v:group style="width:558.75pt;height:222.55pt;mso-position-horizontal-relative:char;mso-position-vertical-relative:line" coordorigin="0,0" coordsize="11175,4451">
            <v:line style="position:absolute" from="0,5" to="11174,5" stroked="true" strokeweight=".47998pt" strokecolor="#000000">
              <v:stroke dashstyle="solid"/>
            </v:line>
            <v:line style="position:absolute" from="5,0" to="5,4451" stroked="true" strokeweight=".48001pt" strokecolor="#000000">
              <v:stroke dashstyle="solid"/>
            </v:line>
            <v:line style="position:absolute" from="0,4446" to="5765,4446" stroked="true" strokeweight=".47998pt" strokecolor="#000000">
              <v:stroke dashstyle="solid"/>
            </v:line>
            <v:line style="position:absolute" from="5770,10" to="5770,4451" stroked="true" strokeweight=".48001pt" strokecolor="#000000">
              <v:stroke dashstyle="solid"/>
            </v:line>
            <v:line style="position:absolute" from="5774,4446" to="11165,4446" stroked="true" strokeweight=".47998pt" strokecolor="#000000">
              <v:stroke dashstyle="solid"/>
            </v:line>
            <v:line style="position:absolute" from="11170,0" to="11170,4451" stroked="true" strokeweight=".48004pt" strokecolor="#000000">
              <v:stroke dashstyle="solid"/>
            </v:line>
            <v:shape style="position:absolute;left:3718;top:3884;width:997;height:183" type="#_x0000_t202" filled="false" stroked="false">
              <v:textbox inset="0,0,0,0">
                <w:txbxContent>
                  <w:p>
                    <w:pPr>
                      <w:tabs>
                        <w:tab w:pos="650" w:val="left" w:leader="none"/>
                      </w:tabs>
                      <w:spacing w:line="182" w:lineRule="exact" w:before="0"/>
                      <w:ind w:left="0" w:right="0" w:firstLine="0"/>
                      <w:jc w:val="left"/>
                      <w:rPr>
                        <w:sz w:val="16"/>
                      </w:rPr>
                    </w:pPr>
                    <w:r>
                      <w:rPr>
                        <w:spacing w:val="-5"/>
                        <w:w w:val="120"/>
                        <w:sz w:val="16"/>
                      </w:rPr>
                      <w:t>Jun</w:t>
                      <w:tab/>
                    </w:r>
                    <w:r>
                      <w:rPr>
                        <w:spacing w:val="-3"/>
                        <w:w w:val="120"/>
                        <w:sz w:val="16"/>
                      </w:rPr>
                      <w:t>Aug</w:t>
                    </w:r>
                  </w:p>
                </w:txbxContent>
              </v:textbox>
              <w10:wrap type="none"/>
            </v:shape>
            <v:shape style="position:absolute;left:2997;top:3884;width:331;height:183" type="#_x0000_t202" filled="false" stroked="false">
              <v:textbox inset="0,0,0,0">
                <w:txbxContent>
                  <w:p>
                    <w:pPr>
                      <w:spacing w:line="182" w:lineRule="exact" w:before="0"/>
                      <w:ind w:left="0" w:right="0" w:firstLine="0"/>
                      <w:jc w:val="left"/>
                      <w:rPr>
                        <w:sz w:val="16"/>
                      </w:rPr>
                    </w:pPr>
                    <w:r>
                      <w:rPr>
                        <w:w w:val="120"/>
                        <w:sz w:val="16"/>
                      </w:rPr>
                      <w:t>Apr</w:t>
                    </w:r>
                  </w:p>
                </w:txbxContent>
              </v:textbox>
              <w10:wrap type="none"/>
            </v:shape>
            <v:shape style="position:absolute;left:2347;top:3884;width:312;height:318" type="#_x0000_t202" filled="false" stroked="false">
              <v:textbox inset="0,0,0,0">
                <w:txbxContent>
                  <w:p>
                    <w:pPr>
                      <w:spacing w:line="175" w:lineRule="auto" w:before="38"/>
                      <w:ind w:left="34" w:right="5" w:hanging="35"/>
                      <w:jc w:val="left"/>
                      <w:rPr>
                        <w:sz w:val="16"/>
                      </w:rPr>
                    </w:pPr>
                    <w:r>
                      <w:rPr>
                        <w:w w:val="120"/>
                        <w:sz w:val="16"/>
                      </w:rPr>
                      <w:t>Feb 09</w:t>
                    </w:r>
                  </w:p>
                </w:txbxContent>
              </v:textbox>
              <w10:wrap type="none"/>
            </v:shape>
            <v:shape style="position:absolute;left:1642;top:3884;width:337;height:183" type="#_x0000_t202" filled="false" stroked="false">
              <v:textbox inset="0,0,0,0">
                <w:txbxContent>
                  <w:p>
                    <w:pPr>
                      <w:spacing w:line="182" w:lineRule="exact" w:before="0"/>
                      <w:ind w:left="0" w:right="0" w:firstLine="0"/>
                      <w:jc w:val="left"/>
                      <w:rPr>
                        <w:sz w:val="16"/>
                      </w:rPr>
                    </w:pPr>
                    <w:r>
                      <w:rPr>
                        <w:w w:val="120"/>
                        <w:sz w:val="16"/>
                      </w:rPr>
                      <w:t>Dec</w:t>
                    </w:r>
                  </w:p>
                </w:txbxContent>
              </v:textbox>
              <w10:wrap type="none"/>
            </v:shape>
            <v:shape style="position:absolute;left:974;top:3884;width:305;height:183" type="#_x0000_t202" filled="false" stroked="false">
              <v:textbox inset="0,0,0,0">
                <w:txbxContent>
                  <w:p>
                    <w:pPr>
                      <w:spacing w:line="182" w:lineRule="exact" w:before="0"/>
                      <w:ind w:left="0" w:right="0" w:firstLine="0"/>
                      <w:jc w:val="left"/>
                      <w:rPr>
                        <w:sz w:val="16"/>
                      </w:rPr>
                    </w:pPr>
                    <w:r>
                      <w:rPr>
                        <w:w w:val="120"/>
                        <w:sz w:val="16"/>
                      </w:rPr>
                      <w:t>Oct</w:t>
                    </w:r>
                  </w:p>
                </w:txbxContent>
              </v:textbox>
              <w10:wrap type="none"/>
            </v:shape>
            <v:shape style="position:absolute;left:253;top:3884;width:443;height:333" type="#_x0000_t202" filled="false" stroked="false">
              <v:textbox inset="0,0,0,0">
                <w:txbxContent>
                  <w:p>
                    <w:pPr>
                      <w:spacing w:line="196" w:lineRule="auto" w:before="24"/>
                      <w:ind w:left="0" w:right="0" w:firstLine="18"/>
                      <w:jc w:val="left"/>
                      <w:rPr>
                        <w:sz w:val="16"/>
                      </w:rPr>
                    </w:pPr>
                    <w:r>
                      <w:rPr>
                        <w:w w:val="120"/>
                        <w:sz w:val="16"/>
                      </w:rPr>
                      <w:t>Aug 2008</w:t>
                    </w:r>
                  </w:p>
                </w:txbxContent>
              </v:textbox>
              <w10:wrap type="none"/>
            </v:shape>
            <v:shape style="position:absolute;left:5301;top:1214;width:337;height:2658" type="#_x0000_t202" filled="false" stroked="false">
              <v:textbox inset="0,0,0,0">
                <w:txbxContent>
                  <w:p>
                    <w:pPr>
                      <w:spacing w:line="182" w:lineRule="exact" w:before="0"/>
                      <w:ind w:left="0" w:right="0" w:firstLine="0"/>
                      <w:jc w:val="left"/>
                      <w:rPr>
                        <w:sz w:val="16"/>
                      </w:rPr>
                    </w:pPr>
                    <w:r>
                      <w:rPr>
                        <w:spacing w:val="8"/>
                        <w:w w:val="120"/>
                        <w:sz w:val="16"/>
                      </w:rPr>
                      <w:t>350</w:t>
                    </w:r>
                  </w:p>
                  <w:p>
                    <w:pPr>
                      <w:spacing w:before="160"/>
                      <w:ind w:left="0" w:right="0" w:firstLine="0"/>
                      <w:jc w:val="left"/>
                      <w:rPr>
                        <w:sz w:val="16"/>
                      </w:rPr>
                    </w:pPr>
                    <w:r>
                      <w:rPr>
                        <w:spacing w:val="8"/>
                        <w:w w:val="120"/>
                        <w:sz w:val="16"/>
                      </w:rPr>
                      <w:t>300</w:t>
                    </w:r>
                  </w:p>
                  <w:p>
                    <w:pPr>
                      <w:spacing w:line="240" w:lineRule="auto" w:before="3"/>
                      <w:rPr>
                        <w:sz w:val="15"/>
                      </w:rPr>
                    </w:pPr>
                  </w:p>
                  <w:p>
                    <w:pPr>
                      <w:spacing w:before="1"/>
                      <w:ind w:left="0" w:right="0" w:firstLine="0"/>
                      <w:jc w:val="left"/>
                      <w:rPr>
                        <w:sz w:val="16"/>
                      </w:rPr>
                    </w:pPr>
                    <w:r>
                      <w:rPr>
                        <w:spacing w:val="8"/>
                        <w:w w:val="120"/>
                        <w:sz w:val="16"/>
                      </w:rPr>
                      <w:t>250</w:t>
                    </w:r>
                  </w:p>
                  <w:p>
                    <w:pPr>
                      <w:spacing w:line="240" w:lineRule="auto" w:before="3"/>
                      <w:rPr>
                        <w:sz w:val="15"/>
                      </w:rPr>
                    </w:pPr>
                  </w:p>
                  <w:p>
                    <w:pPr>
                      <w:spacing w:before="0"/>
                      <w:ind w:left="0" w:right="0" w:firstLine="0"/>
                      <w:jc w:val="left"/>
                      <w:rPr>
                        <w:sz w:val="16"/>
                      </w:rPr>
                    </w:pPr>
                    <w:r>
                      <w:rPr>
                        <w:spacing w:val="8"/>
                        <w:w w:val="120"/>
                        <w:sz w:val="16"/>
                      </w:rPr>
                      <w:t>200</w:t>
                    </w:r>
                  </w:p>
                  <w:p>
                    <w:pPr>
                      <w:spacing w:line="240" w:lineRule="auto" w:before="1"/>
                      <w:rPr>
                        <w:sz w:val="14"/>
                      </w:rPr>
                    </w:pPr>
                  </w:p>
                  <w:p>
                    <w:pPr>
                      <w:spacing w:before="0"/>
                      <w:ind w:left="0" w:right="0" w:firstLine="0"/>
                      <w:jc w:val="left"/>
                      <w:rPr>
                        <w:sz w:val="16"/>
                      </w:rPr>
                    </w:pPr>
                    <w:r>
                      <w:rPr>
                        <w:spacing w:val="8"/>
                        <w:w w:val="120"/>
                        <w:sz w:val="16"/>
                      </w:rPr>
                      <w:t>150</w:t>
                    </w:r>
                  </w:p>
                  <w:p>
                    <w:pPr>
                      <w:spacing w:line="240" w:lineRule="auto" w:before="3"/>
                      <w:rPr>
                        <w:sz w:val="15"/>
                      </w:rPr>
                    </w:pPr>
                  </w:p>
                  <w:p>
                    <w:pPr>
                      <w:spacing w:before="0"/>
                      <w:ind w:left="0" w:right="0" w:firstLine="0"/>
                      <w:jc w:val="left"/>
                      <w:rPr>
                        <w:sz w:val="16"/>
                      </w:rPr>
                    </w:pPr>
                    <w:r>
                      <w:rPr>
                        <w:spacing w:val="8"/>
                        <w:w w:val="120"/>
                        <w:sz w:val="16"/>
                      </w:rPr>
                      <w:t>100</w:t>
                    </w:r>
                  </w:p>
                  <w:p>
                    <w:pPr>
                      <w:spacing w:before="161"/>
                      <w:ind w:left="0" w:right="0" w:firstLine="0"/>
                      <w:jc w:val="left"/>
                      <w:rPr>
                        <w:sz w:val="16"/>
                      </w:rPr>
                    </w:pPr>
                    <w:r>
                      <w:rPr>
                        <w:w w:val="120"/>
                        <w:sz w:val="16"/>
                      </w:rPr>
                      <w:t>50</w:t>
                    </w:r>
                  </w:p>
                  <w:p>
                    <w:pPr>
                      <w:spacing w:line="240" w:lineRule="auto" w:before="3"/>
                      <w:rPr>
                        <w:sz w:val="15"/>
                      </w:rPr>
                    </w:pPr>
                  </w:p>
                  <w:p>
                    <w:pPr>
                      <w:spacing w:before="0"/>
                      <w:ind w:left="0" w:right="0" w:firstLine="0"/>
                      <w:jc w:val="left"/>
                      <w:rPr>
                        <w:sz w:val="16"/>
                      </w:rPr>
                    </w:pPr>
                    <w:r>
                      <w:rPr>
                        <w:w w:val="120"/>
                        <w:sz w:val="16"/>
                      </w:rPr>
                      <w:t>0</w:t>
                    </w:r>
                  </w:p>
                </w:txbxContent>
              </v:textbox>
              <w10:wrap type="none"/>
            </v:shape>
          </v:group>
        </w:pict>
      </w:r>
      <w:r>
        <w:rPr>
          <w:sz w:val="20"/>
        </w:rPr>
      </w:r>
    </w:p>
    <w:p>
      <w:pPr>
        <w:pStyle w:val="BodyText"/>
        <w:rPr>
          <w:sz w:val="20"/>
        </w:rPr>
      </w:pPr>
    </w:p>
    <w:p>
      <w:pPr>
        <w:pStyle w:val="BodyText"/>
        <w:rPr>
          <w:sz w:val="20"/>
        </w:rPr>
      </w:pPr>
    </w:p>
    <w:p>
      <w:pPr>
        <w:pStyle w:val="BodyText"/>
        <w:rPr>
          <w:sz w:val="20"/>
        </w:rPr>
      </w:pPr>
    </w:p>
    <w:p>
      <w:pPr>
        <w:pStyle w:val="Heading1"/>
        <w:spacing w:before="90"/>
        <w:ind w:left="117" w:firstLine="0"/>
      </w:pPr>
      <w:r>
        <w:rPr/>
        <w:pict>
          <v:group style="position:absolute;margin-left:23.280001pt;margin-top:-258.450195pt;width:276.3pt;height:191pt;mso-position-horizontal-relative:page;mso-position-vertical-relative:paragraph;z-index:-252564480" coordorigin="466,-5169" coordsize="5526,3820">
            <v:shape style="position:absolute;left:781;top:-4230;width:4785;height:2880" coordorigin="781,-4229" coordsize="4785,2880" path="m5513,-4229l5513,-1395m5513,-1395l5566,-1395m5513,-1755l5566,-1755m5513,-2099l5566,-2099m5513,-2459l5566,-2459m5513,-2805l5566,-2805m5513,-3165l5566,-3165m5513,-3525l5566,-3525m5513,-3869l5566,-3869m5513,-4229l5566,-4229m781,-1395l5513,-1395m781,-1349l781,-1395m1468,-1349l1468,-1395m2154,-1349l2154,-1395m2839,-1349l2839,-1395m3508,-1349l3508,-1395m4194,-1349l4194,-1395m4880,-1349l4880,-1395e" filled="false" stroked="true" strokeweight=".06pt" strokecolor="#000000">
              <v:path arrowok="t"/>
              <v:stroke dashstyle="solid"/>
            </v:shape>
            <v:shape style="position:absolute;left:765;top:-4007;width:4781;height:2554" type="#_x0000_t75" stroked="false">
              <v:imagedata r:id="rId43" o:title=""/>
            </v:shape>
            <v:shape style="position:absolute;left:2858;top:-3959;width:753;height:649" type="#_x0000_t202" filled="false" stroked="false">
              <v:textbox inset="0,0,0,0">
                <w:txbxContent>
                  <w:p>
                    <w:pPr>
                      <w:spacing w:line="182" w:lineRule="exact" w:before="0"/>
                      <w:ind w:left="0" w:right="0" w:firstLine="0"/>
                      <w:jc w:val="left"/>
                      <w:rPr>
                        <w:sz w:val="16"/>
                      </w:rPr>
                    </w:pPr>
                    <w:r>
                      <w:rPr>
                        <w:w w:val="120"/>
                        <w:sz w:val="16"/>
                      </w:rPr>
                      <w:t>Sterling</w:t>
                    </w:r>
                  </w:p>
                  <w:p>
                    <w:pPr>
                      <w:spacing w:line="220" w:lineRule="atLeast" w:before="20"/>
                      <w:ind w:left="0" w:right="-9" w:firstLine="0"/>
                      <w:jc w:val="left"/>
                      <w:rPr>
                        <w:sz w:val="16"/>
                      </w:rPr>
                    </w:pPr>
                    <w:r>
                      <w:rPr>
                        <w:w w:val="120"/>
                        <w:sz w:val="16"/>
                      </w:rPr>
                      <w:t>US dollar Euro</w:t>
                    </w:r>
                  </w:p>
                </w:txbxContent>
              </v:textbox>
              <w10:wrap type="none"/>
            </v:shape>
            <v:shape style="position:absolute;left:465;top:-5169;width:5526;height:1019" type="#_x0000_t202" filled="false" stroked="false">
              <v:textbox inset="0,0,0,0">
                <w:txbxContent>
                  <w:p>
                    <w:pPr>
                      <w:spacing w:line="266" w:lineRule="exact" w:before="0"/>
                      <w:ind w:left="0" w:right="0" w:firstLine="0"/>
                      <w:jc w:val="left"/>
                      <w:rPr>
                        <w:b/>
                        <w:sz w:val="24"/>
                      </w:rPr>
                    </w:pPr>
                    <w:r>
                      <w:rPr>
                        <w:b/>
                        <w:sz w:val="24"/>
                      </w:rPr>
                      <w:t>Chart 15: Sterling Libor-OIS 3-Month Spreads</w:t>
                    </w:r>
                  </w:p>
                  <w:p>
                    <w:pPr>
                      <w:spacing w:line="240" w:lineRule="auto" w:before="3"/>
                      <w:rPr>
                        <w:b/>
                        <w:sz w:val="23"/>
                      </w:rPr>
                    </w:pPr>
                  </w:p>
                  <w:p>
                    <w:pPr>
                      <w:spacing w:before="0"/>
                      <w:ind w:left="0" w:right="48" w:firstLine="0"/>
                      <w:jc w:val="right"/>
                      <w:rPr>
                        <w:sz w:val="16"/>
                      </w:rPr>
                    </w:pPr>
                    <w:r>
                      <w:rPr>
                        <w:spacing w:val="-3"/>
                        <w:w w:val="120"/>
                        <w:sz w:val="16"/>
                      </w:rPr>
                      <w:t>Basis</w:t>
                    </w:r>
                    <w:r>
                      <w:rPr>
                        <w:spacing w:val="12"/>
                        <w:w w:val="120"/>
                        <w:sz w:val="16"/>
                      </w:rPr>
                      <w:t> </w:t>
                    </w:r>
                    <w:r>
                      <w:rPr>
                        <w:spacing w:val="6"/>
                        <w:w w:val="120"/>
                        <w:sz w:val="16"/>
                      </w:rPr>
                      <w:t>points</w:t>
                    </w:r>
                  </w:p>
                  <w:p>
                    <w:pPr>
                      <w:spacing w:before="116"/>
                      <w:ind w:left="0" w:right="18" w:firstLine="0"/>
                      <w:jc w:val="right"/>
                      <w:rPr>
                        <w:sz w:val="16"/>
                      </w:rPr>
                    </w:pPr>
                    <w:r>
                      <w:rPr>
                        <w:spacing w:val="8"/>
                        <w:w w:val="120"/>
                        <w:sz w:val="16"/>
                      </w:rPr>
                      <w:t>400</w:t>
                    </w:r>
                  </w:p>
                </w:txbxContent>
              </v:textbox>
              <w10:wrap type="none"/>
            </v:shape>
            <w10:wrap type="none"/>
          </v:group>
        </w:pict>
      </w:r>
      <w:r>
        <w:rPr/>
        <w:t>Table A: The Variability of the Change in Money</w:t>
      </w:r>
    </w:p>
    <w:p>
      <w:pPr>
        <w:tabs>
          <w:tab w:pos="5130" w:val="left" w:leader="none"/>
        </w:tabs>
        <w:spacing w:line="379" w:lineRule="auto" w:before="164"/>
        <w:ind w:left="2464" w:right="5947" w:firstLine="0"/>
        <w:jc w:val="left"/>
        <w:rPr>
          <w:i/>
          <w:sz w:val="19"/>
        </w:rPr>
      </w:pPr>
      <w:r>
        <w:rPr/>
        <w:pict>
          <v:group style="position:absolute;margin-left:17.879999pt;margin-top:36.779442pt;width:287.25pt;height:.85pt;mso-position-horizontal-relative:page;mso-position-vertical-relative:paragraph;z-index:-252563456" coordorigin="358,736" coordsize="5745,17">
            <v:line style="position:absolute" from="358,736" to="6102,736" stroked="true" strokeweight=".06pt" strokecolor="#000000">
              <v:stroke dashstyle="solid"/>
            </v:line>
            <v:line style="position:absolute" from="358,745" to="6102,745" stroked="true" strokeweight=".72pt" strokecolor="#000000">
              <v:stroke dashstyle="solid"/>
            </v:line>
            <w10:wrap type="none"/>
          </v:group>
        </w:pict>
      </w:r>
      <w:r>
        <w:rPr>
          <w:i/>
          <w:spacing w:val="4"/>
          <w:w w:val="95"/>
          <w:sz w:val="19"/>
        </w:rPr>
        <w:t>Calculated </w:t>
      </w:r>
      <w:r>
        <w:rPr>
          <w:i/>
          <w:spacing w:val="3"/>
          <w:w w:val="95"/>
          <w:sz w:val="19"/>
        </w:rPr>
        <w:t>over </w:t>
      </w:r>
      <w:r>
        <w:rPr>
          <w:i/>
          <w:spacing w:val="4"/>
          <w:w w:val="95"/>
          <w:sz w:val="19"/>
        </w:rPr>
        <w:t>the </w:t>
      </w:r>
      <w:r>
        <w:rPr>
          <w:i/>
          <w:spacing w:val="3"/>
          <w:w w:val="95"/>
          <w:sz w:val="19"/>
        </w:rPr>
        <w:t>period </w:t>
      </w:r>
      <w:r>
        <w:rPr>
          <w:i/>
          <w:spacing w:val="4"/>
          <w:w w:val="95"/>
          <w:sz w:val="19"/>
        </w:rPr>
        <w:t>1960-2008* </w:t>
      </w:r>
      <w:r>
        <w:rPr>
          <w:i/>
          <w:sz w:val="19"/>
        </w:rPr>
        <w:t>M4 </w:t>
      </w:r>
      <w:r>
        <w:rPr>
          <w:i/>
          <w:spacing w:val="3"/>
          <w:sz w:val="19"/>
        </w:rPr>
        <w:t>Velocity </w:t>
      </w:r>
      <w:r>
        <w:rPr>
          <w:i/>
          <w:spacing w:val="25"/>
          <w:sz w:val="19"/>
        </w:rPr>
        <w:t> </w:t>
      </w:r>
      <w:r>
        <w:rPr>
          <w:i/>
          <w:spacing w:val="3"/>
          <w:sz w:val="19"/>
        </w:rPr>
        <w:t>Nominal</w:t>
      </w:r>
      <w:r>
        <w:rPr>
          <w:i/>
          <w:spacing w:val="-13"/>
          <w:sz w:val="19"/>
        </w:rPr>
        <w:t> </w:t>
      </w:r>
      <w:r>
        <w:rPr>
          <w:i/>
          <w:spacing w:val="-4"/>
          <w:sz w:val="19"/>
        </w:rPr>
        <w:t>GDP</w:t>
        <w:tab/>
      </w:r>
      <w:r>
        <w:rPr>
          <w:i/>
          <w:sz w:val="19"/>
        </w:rPr>
        <w:t>M4</w:t>
      </w:r>
    </w:p>
    <w:p>
      <w:pPr>
        <w:tabs>
          <w:tab w:pos="2810" w:val="left" w:leader="none"/>
          <w:tab w:pos="3970" w:val="left" w:leader="none"/>
          <w:tab w:pos="5412" w:val="right" w:leader="none"/>
        </w:tabs>
        <w:spacing w:before="104"/>
        <w:ind w:left="200" w:right="0" w:firstLine="0"/>
        <w:jc w:val="left"/>
        <w:rPr>
          <w:i/>
          <w:sz w:val="19"/>
        </w:rPr>
      </w:pPr>
      <w:r>
        <w:rPr>
          <w:i/>
          <w:spacing w:val="2"/>
          <w:sz w:val="19"/>
        </w:rPr>
        <w:t>Average</w:t>
      </w:r>
      <w:r>
        <w:rPr>
          <w:i/>
          <w:spacing w:val="-23"/>
          <w:sz w:val="19"/>
        </w:rPr>
        <w:t> </w:t>
      </w:r>
      <w:r>
        <w:rPr>
          <w:i/>
          <w:spacing w:val="4"/>
          <w:sz w:val="19"/>
        </w:rPr>
        <w:t>Annual</w:t>
      </w:r>
      <w:r>
        <w:rPr>
          <w:i/>
          <w:spacing w:val="-22"/>
          <w:sz w:val="19"/>
        </w:rPr>
        <w:t> </w:t>
      </w:r>
      <w:r>
        <w:rPr>
          <w:i/>
          <w:spacing w:val="5"/>
          <w:sz w:val="19"/>
        </w:rPr>
        <w:t>Change</w:t>
      </w:r>
      <w:r>
        <w:rPr>
          <w:i/>
          <w:spacing w:val="-22"/>
          <w:sz w:val="19"/>
        </w:rPr>
        <w:t> </w:t>
      </w:r>
      <w:r>
        <w:rPr>
          <w:i/>
          <w:spacing w:val="3"/>
          <w:sz w:val="19"/>
        </w:rPr>
        <w:t>(%)</w:t>
        <w:tab/>
      </w:r>
      <w:r>
        <w:rPr>
          <w:i/>
          <w:sz w:val="19"/>
        </w:rPr>
        <w:t>-1.8</w:t>
        <w:tab/>
        <w:t>8.8</w:t>
        <w:tab/>
        <w:t>10.9</w:t>
      </w:r>
    </w:p>
    <w:p>
      <w:pPr>
        <w:spacing w:before="292"/>
        <w:ind w:left="159" w:right="0" w:firstLine="0"/>
        <w:jc w:val="left"/>
        <w:rPr>
          <w:i/>
          <w:sz w:val="19"/>
        </w:rPr>
      </w:pPr>
      <w:r>
        <w:rPr/>
        <w:pict>
          <v:shape style="position:absolute;margin-left:61.639999pt;margin-top:27.50453pt;width:224.9pt;height:36.3pt;mso-position-horizontal-relative:page;mso-position-vertical-relative:paragraph;z-index:25169920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1"/>
                    <w:gridCol w:w="1148"/>
                    <w:gridCol w:w="1118"/>
                    <w:gridCol w:w="840"/>
                  </w:tblGrid>
                  <w:tr>
                    <w:trPr>
                      <w:trHeight w:val="235" w:hRule="atLeast"/>
                    </w:trPr>
                    <w:tc>
                      <w:tcPr>
                        <w:tcW w:w="1391" w:type="dxa"/>
                      </w:tcPr>
                      <w:p>
                        <w:pPr>
                          <w:pStyle w:val="TableParagraph"/>
                          <w:spacing w:line="199" w:lineRule="exact"/>
                          <w:ind w:left="50"/>
                          <w:rPr>
                            <w:i/>
                            <w:sz w:val="18"/>
                          </w:rPr>
                        </w:pPr>
                        <w:r>
                          <w:rPr>
                            <w:i/>
                            <w:sz w:val="18"/>
                          </w:rPr>
                          <w:t>M4 Velocity</w:t>
                        </w:r>
                      </w:p>
                    </w:tc>
                    <w:tc>
                      <w:tcPr>
                        <w:tcW w:w="1148" w:type="dxa"/>
                      </w:tcPr>
                      <w:p>
                        <w:pPr>
                          <w:pStyle w:val="TableParagraph"/>
                          <w:spacing w:line="215" w:lineRule="exact"/>
                          <w:ind w:left="356" w:right="355"/>
                          <w:jc w:val="center"/>
                          <w:rPr>
                            <w:i/>
                            <w:sz w:val="19"/>
                          </w:rPr>
                        </w:pPr>
                        <w:r>
                          <w:rPr>
                            <w:i/>
                            <w:sz w:val="19"/>
                          </w:rPr>
                          <w:t>17.2</w:t>
                        </w:r>
                      </w:p>
                    </w:tc>
                    <w:tc>
                      <w:tcPr>
                        <w:tcW w:w="1118" w:type="dxa"/>
                      </w:tcPr>
                      <w:p>
                        <w:pPr>
                          <w:pStyle w:val="TableParagraph"/>
                          <w:spacing w:line="215" w:lineRule="exact"/>
                          <w:ind w:right="449"/>
                          <w:jc w:val="right"/>
                          <w:rPr>
                            <w:i/>
                            <w:sz w:val="19"/>
                          </w:rPr>
                        </w:pPr>
                        <w:r>
                          <w:rPr>
                            <w:i/>
                            <w:w w:val="95"/>
                            <w:sz w:val="19"/>
                          </w:rPr>
                          <w:t>7.2</w:t>
                        </w:r>
                      </w:p>
                    </w:tc>
                    <w:tc>
                      <w:tcPr>
                        <w:tcW w:w="840" w:type="dxa"/>
                      </w:tcPr>
                      <w:p>
                        <w:pPr>
                          <w:pStyle w:val="TableParagraph"/>
                          <w:spacing w:line="215" w:lineRule="exact"/>
                          <w:ind w:right="47"/>
                          <w:jc w:val="right"/>
                          <w:rPr>
                            <w:i/>
                            <w:sz w:val="19"/>
                          </w:rPr>
                        </w:pPr>
                        <w:r>
                          <w:rPr>
                            <w:i/>
                            <w:w w:val="95"/>
                            <w:sz w:val="19"/>
                          </w:rPr>
                          <w:t>-10.1</w:t>
                        </w:r>
                      </w:p>
                    </w:tc>
                  </w:tr>
                  <w:tr>
                    <w:trPr>
                      <w:trHeight w:val="255" w:hRule="atLeast"/>
                    </w:trPr>
                    <w:tc>
                      <w:tcPr>
                        <w:tcW w:w="1391" w:type="dxa"/>
                      </w:tcPr>
                      <w:p>
                        <w:pPr>
                          <w:pStyle w:val="TableParagraph"/>
                          <w:spacing w:before="12"/>
                          <w:ind w:left="50"/>
                          <w:rPr>
                            <w:i/>
                            <w:sz w:val="18"/>
                          </w:rPr>
                        </w:pPr>
                        <w:r>
                          <w:rPr>
                            <w:i/>
                            <w:sz w:val="18"/>
                          </w:rPr>
                          <w:t>Nominal GDP</w:t>
                        </w:r>
                      </w:p>
                    </w:tc>
                    <w:tc>
                      <w:tcPr>
                        <w:tcW w:w="1148" w:type="dxa"/>
                      </w:tcPr>
                      <w:p>
                        <w:pPr>
                          <w:pStyle w:val="TableParagraph"/>
                          <w:spacing w:before="16"/>
                          <w:ind w:left="346" w:right="355"/>
                          <w:jc w:val="center"/>
                          <w:rPr>
                            <w:i/>
                            <w:sz w:val="19"/>
                          </w:rPr>
                        </w:pPr>
                        <w:r>
                          <w:rPr>
                            <w:i/>
                            <w:sz w:val="19"/>
                          </w:rPr>
                          <w:t>7.2</w:t>
                        </w:r>
                      </w:p>
                    </w:tc>
                    <w:tc>
                      <w:tcPr>
                        <w:tcW w:w="1118" w:type="dxa"/>
                      </w:tcPr>
                      <w:p>
                        <w:pPr>
                          <w:pStyle w:val="TableParagraph"/>
                          <w:spacing w:before="16"/>
                          <w:ind w:right="408"/>
                          <w:jc w:val="right"/>
                          <w:rPr>
                            <w:i/>
                            <w:sz w:val="19"/>
                          </w:rPr>
                        </w:pPr>
                        <w:r>
                          <w:rPr>
                            <w:i/>
                            <w:w w:val="95"/>
                            <w:sz w:val="19"/>
                          </w:rPr>
                          <w:t>16.7</w:t>
                        </w:r>
                      </w:p>
                    </w:tc>
                    <w:tc>
                      <w:tcPr>
                        <w:tcW w:w="840" w:type="dxa"/>
                      </w:tcPr>
                      <w:p>
                        <w:pPr>
                          <w:pStyle w:val="TableParagraph"/>
                          <w:spacing w:before="16"/>
                          <w:ind w:right="115"/>
                          <w:jc w:val="right"/>
                          <w:rPr>
                            <w:i/>
                            <w:sz w:val="19"/>
                          </w:rPr>
                        </w:pPr>
                        <w:r>
                          <w:rPr>
                            <w:i/>
                            <w:w w:val="95"/>
                            <w:sz w:val="19"/>
                          </w:rPr>
                          <w:t>9.6</w:t>
                        </w:r>
                      </w:p>
                    </w:tc>
                  </w:tr>
                  <w:tr>
                    <w:trPr>
                      <w:trHeight w:val="235" w:hRule="atLeast"/>
                    </w:trPr>
                    <w:tc>
                      <w:tcPr>
                        <w:tcW w:w="1391" w:type="dxa"/>
                      </w:tcPr>
                      <w:p>
                        <w:pPr>
                          <w:pStyle w:val="TableParagraph"/>
                          <w:spacing w:line="203" w:lineRule="exact" w:before="11"/>
                          <w:ind w:left="50"/>
                          <w:rPr>
                            <w:i/>
                            <w:sz w:val="18"/>
                          </w:rPr>
                        </w:pPr>
                        <w:r>
                          <w:rPr>
                            <w:i/>
                            <w:sz w:val="18"/>
                          </w:rPr>
                          <w:t>M4</w:t>
                        </w:r>
                      </w:p>
                    </w:tc>
                    <w:tc>
                      <w:tcPr>
                        <w:tcW w:w="1148" w:type="dxa"/>
                      </w:tcPr>
                      <w:p>
                        <w:pPr>
                          <w:pStyle w:val="TableParagraph"/>
                          <w:spacing w:line="200" w:lineRule="exact" w:before="15"/>
                          <w:ind w:left="356" w:right="355"/>
                          <w:jc w:val="center"/>
                          <w:rPr>
                            <w:i/>
                            <w:sz w:val="19"/>
                          </w:rPr>
                        </w:pPr>
                        <w:r>
                          <w:rPr>
                            <w:i/>
                            <w:sz w:val="19"/>
                          </w:rPr>
                          <w:t>-10.1</w:t>
                        </w:r>
                      </w:p>
                    </w:tc>
                    <w:tc>
                      <w:tcPr>
                        <w:tcW w:w="1118" w:type="dxa"/>
                      </w:tcPr>
                      <w:p>
                        <w:pPr>
                          <w:pStyle w:val="TableParagraph"/>
                          <w:spacing w:line="200" w:lineRule="exact" w:before="15"/>
                          <w:ind w:right="449"/>
                          <w:jc w:val="right"/>
                          <w:rPr>
                            <w:i/>
                            <w:sz w:val="19"/>
                          </w:rPr>
                        </w:pPr>
                        <w:r>
                          <w:rPr>
                            <w:i/>
                            <w:w w:val="95"/>
                            <w:sz w:val="19"/>
                          </w:rPr>
                          <w:t>9.6</w:t>
                        </w:r>
                      </w:p>
                    </w:tc>
                    <w:tc>
                      <w:tcPr>
                        <w:tcW w:w="840" w:type="dxa"/>
                      </w:tcPr>
                      <w:p>
                        <w:pPr>
                          <w:pStyle w:val="TableParagraph"/>
                          <w:spacing w:line="200" w:lineRule="exact" w:before="15"/>
                          <w:ind w:right="74"/>
                          <w:jc w:val="right"/>
                          <w:rPr>
                            <w:i/>
                            <w:sz w:val="19"/>
                          </w:rPr>
                        </w:pPr>
                        <w:r>
                          <w:rPr>
                            <w:i/>
                            <w:w w:val="95"/>
                            <w:sz w:val="19"/>
                          </w:rPr>
                          <w:t>19.6</w:t>
                        </w:r>
                      </w:p>
                    </w:tc>
                  </w:tr>
                </w:tbl>
                <w:p>
                  <w:pPr>
                    <w:pStyle w:val="BodyText"/>
                  </w:pPr>
                </w:p>
              </w:txbxContent>
            </v:textbox>
            <w10:wrap type="none"/>
          </v:shape>
        </w:pict>
      </w:r>
      <w:r>
        <w:rPr>
          <w:i/>
          <w:sz w:val="19"/>
        </w:rPr>
        <w:t>Variance / Co-variances (change in log)</w:t>
      </w:r>
    </w:p>
    <w:p>
      <w:pPr>
        <w:spacing w:line="235" w:lineRule="auto" w:before="926"/>
        <w:ind w:left="200" w:right="6636" w:hanging="41"/>
        <w:jc w:val="left"/>
        <w:rPr>
          <w:i/>
          <w:sz w:val="16"/>
        </w:rPr>
      </w:pPr>
      <w:r>
        <w:rPr>
          <w:i/>
          <w:sz w:val="16"/>
        </w:rPr>
        <w:t>*both the variances and co-variances are calculated from the changes </w:t>
      </w:r>
      <w:r>
        <w:rPr>
          <w:i/>
          <w:sz w:val="16"/>
        </w:rPr>
        <w:t>in the log of each series, an approximation for the annual growth rate.</w:t>
      </w:r>
    </w:p>
    <w:sectPr>
      <w:pgSz w:w="11910" w:h="16840"/>
      <w:pgMar w:header="0" w:footer="699" w:top="1080" w:bottom="880" w:left="240" w:right="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9.940002pt;margin-top:792.066345pt;width:12pt;height:15.3pt;mso-position-horizontal-relative:page;mso-position-vertical-relative:page;z-index:-25260339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602368" from="89.879997pt,741.299988pt" to="233.879997pt,741.299988pt" stroked="true" strokeweight=".600010pt" strokecolor="#000000">
          <v:stroke dashstyle="solid"/>
          <w10:wrap type="none"/>
        </v:line>
      </w:pict>
    </w:r>
    <w:r>
      <w:rPr/>
      <w:pict>
        <v:shape style="position:absolute;margin-left:301.940002pt;margin-top:792.066345pt;width:8pt;height:15.3pt;mso-position-horizontal-relative:page;mso-position-vertical-relative:page;z-index:-252601344" type="#_x0000_t202" filled="false" stroked="false">
          <v:textbox inset="0,0,0,0">
            <w:txbxContent>
              <w:p>
                <w:pPr>
                  <w:pStyle w:val="BodyText"/>
                  <w:spacing w:before="10"/>
                  <w:ind w:left="20"/>
                </w:pPr>
                <w:r>
                  <w:rPr/>
                  <w:t>5</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96.940002pt;margin-top:792.066345pt;width:18pt;height:15.3pt;mso-position-horizontal-relative:page;mso-position-vertical-relative:page;z-index:-252600320" type="#_x0000_t202" filled="false" stroked="false">
          <v:textbox inset="0,0,0,0">
            <w:txbxContent>
              <w:p>
                <w:pPr>
                  <w:pStyle w:val="BodyText"/>
                  <w:spacing w:before="10"/>
                  <w:ind w:left="60"/>
                </w:pPr>
                <w:r>
                  <w:rPr/>
                  <w:fldChar w:fldCharType="begin"/>
                </w:r>
                <w:r>
                  <w:rPr/>
                  <w:instrText> PAGE </w:instrText>
                </w:r>
                <w:r>
                  <w:rPr/>
                  <w:fldChar w:fldCharType="separate"/>
                </w:r>
                <w:r>
                  <w:rPr/>
                  <w:t>15</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2277" w:hanging="360"/>
        <w:jc w:val="left"/>
      </w:pPr>
      <w:rPr>
        <w:rFonts w:hint="default" w:ascii="Times New Roman" w:hAnsi="Times New Roman" w:eastAsia="Times New Roman" w:cs="Times New Roman"/>
        <w:w w:val="99"/>
        <w:sz w:val="24"/>
        <w:szCs w:val="24"/>
      </w:rPr>
    </w:lvl>
    <w:lvl w:ilvl="1">
      <w:start w:val="0"/>
      <w:numFmt w:val="bullet"/>
      <w:lvlText w:val="•"/>
      <w:lvlJc w:val="left"/>
      <w:pPr>
        <w:ind w:left="3192" w:hanging="360"/>
      </w:pPr>
      <w:rPr>
        <w:rFonts w:hint="default"/>
      </w:rPr>
    </w:lvl>
    <w:lvl w:ilvl="2">
      <w:start w:val="0"/>
      <w:numFmt w:val="bullet"/>
      <w:lvlText w:val="•"/>
      <w:lvlJc w:val="left"/>
      <w:pPr>
        <w:ind w:left="4104" w:hanging="360"/>
      </w:pPr>
      <w:rPr>
        <w:rFonts w:hint="default"/>
      </w:rPr>
    </w:lvl>
    <w:lvl w:ilvl="3">
      <w:start w:val="0"/>
      <w:numFmt w:val="bullet"/>
      <w:lvlText w:val="•"/>
      <w:lvlJc w:val="left"/>
      <w:pPr>
        <w:ind w:left="5017" w:hanging="360"/>
      </w:pPr>
      <w:rPr>
        <w:rFonts w:hint="default"/>
      </w:rPr>
    </w:lvl>
    <w:lvl w:ilvl="4">
      <w:start w:val="0"/>
      <w:numFmt w:val="bullet"/>
      <w:lvlText w:val="•"/>
      <w:lvlJc w:val="left"/>
      <w:pPr>
        <w:ind w:left="5929" w:hanging="360"/>
      </w:pPr>
      <w:rPr>
        <w:rFonts w:hint="default"/>
      </w:rPr>
    </w:lvl>
    <w:lvl w:ilvl="5">
      <w:start w:val="0"/>
      <w:numFmt w:val="bullet"/>
      <w:lvlText w:val="•"/>
      <w:lvlJc w:val="left"/>
      <w:pPr>
        <w:ind w:left="6842" w:hanging="360"/>
      </w:pPr>
      <w:rPr>
        <w:rFonts w:hint="default"/>
      </w:rPr>
    </w:lvl>
    <w:lvl w:ilvl="6">
      <w:start w:val="0"/>
      <w:numFmt w:val="bullet"/>
      <w:lvlText w:val="•"/>
      <w:lvlJc w:val="left"/>
      <w:pPr>
        <w:ind w:left="7754" w:hanging="360"/>
      </w:pPr>
      <w:rPr>
        <w:rFonts w:hint="default"/>
      </w:rPr>
    </w:lvl>
    <w:lvl w:ilvl="7">
      <w:start w:val="0"/>
      <w:numFmt w:val="bullet"/>
      <w:lvlText w:val="•"/>
      <w:lvlJc w:val="left"/>
      <w:pPr>
        <w:ind w:left="8667" w:hanging="360"/>
      </w:pPr>
      <w:rPr>
        <w:rFonts w:hint="default"/>
      </w:rPr>
    </w:lvl>
    <w:lvl w:ilvl="8">
      <w:start w:val="0"/>
      <w:numFmt w:val="bullet"/>
      <w:lvlText w:val="•"/>
      <w:lvlJc w:val="left"/>
      <w:pPr>
        <w:ind w:left="9579" w:hanging="360"/>
      </w:pPr>
      <w:rPr>
        <w:rFonts w:hint="default"/>
      </w:rPr>
    </w:lvl>
  </w:abstractNum>
  <w:abstractNum w:abstractNumId="0">
    <w:multiLevelType w:val="hybridMultilevel"/>
    <w:lvl w:ilvl="0">
      <w:start w:val="1"/>
      <w:numFmt w:val="decimal"/>
      <w:lvlText w:val="%1."/>
      <w:lvlJc w:val="left"/>
      <w:pPr>
        <w:ind w:left="1797" w:hanging="240"/>
        <w:jc w:val="left"/>
      </w:pPr>
      <w:rPr>
        <w:rFonts w:hint="default" w:ascii="Times New Roman" w:hAnsi="Times New Roman" w:eastAsia="Times New Roman" w:cs="Times New Roman"/>
        <w:b/>
        <w:bCs/>
        <w:w w:val="99"/>
        <w:sz w:val="24"/>
        <w:szCs w:val="24"/>
      </w:rPr>
    </w:lvl>
    <w:lvl w:ilvl="1">
      <w:start w:val="0"/>
      <w:numFmt w:val="bullet"/>
      <w:lvlText w:val="•"/>
      <w:lvlJc w:val="left"/>
      <w:pPr>
        <w:ind w:left="2760" w:hanging="240"/>
      </w:pPr>
      <w:rPr>
        <w:rFonts w:hint="default"/>
      </w:rPr>
    </w:lvl>
    <w:lvl w:ilvl="2">
      <w:start w:val="0"/>
      <w:numFmt w:val="bullet"/>
      <w:lvlText w:val="•"/>
      <w:lvlJc w:val="left"/>
      <w:pPr>
        <w:ind w:left="3720" w:hanging="240"/>
      </w:pPr>
      <w:rPr>
        <w:rFonts w:hint="default"/>
      </w:rPr>
    </w:lvl>
    <w:lvl w:ilvl="3">
      <w:start w:val="0"/>
      <w:numFmt w:val="bullet"/>
      <w:lvlText w:val="•"/>
      <w:lvlJc w:val="left"/>
      <w:pPr>
        <w:ind w:left="4681" w:hanging="240"/>
      </w:pPr>
      <w:rPr>
        <w:rFonts w:hint="default"/>
      </w:rPr>
    </w:lvl>
    <w:lvl w:ilvl="4">
      <w:start w:val="0"/>
      <w:numFmt w:val="bullet"/>
      <w:lvlText w:val="•"/>
      <w:lvlJc w:val="left"/>
      <w:pPr>
        <w:ind w:left="5641" w:hanging="240"/>
      </w:pPr>
      <w:rPr>
        <w:rFonts w:hint="default"/>
      </w:rPr>
    </w:lvl>
    <w:lvl w:ilvl="5">
      <w:start w:val="0"/>
      <w:numFmt w:val="bullet"/>
      <w:lvlText w:val="•"/>
      <w:lvlJc w:val="left"/>
      <w:pPr>
        <w:ind w:left="6602" w:hanging="240"/>
      </w:pPr>
      <w:rPr>
        <w:rFonts w:hint="default"/>
      </w:rPr>
    </w:lvl>
    <w:lvl w:ilvl="6">
      <w:start w:val="0"/>
      <w:numFmt w:val="bullet"/>
      <w:lvlText w:val="•"/>
      <w:lvlJc w:val="left"/>
      <w:pPr>
        <w:ind w:left="7562" w:hanging="240"/>
      </w:pPr>
      <w:rPr>
        <w:rFonts w:hint="default"/>
      </w:rPr>
    </w:lvl>
    <w:lvl w:ilvl="7">
      <w:start w:val="0"/>
      <w:numFmt w:val="bullet"/>
      <w:lvlText w:val="•"/>
      <w:lvlJc w:val="left"/>
      <w:pPr>
        <w:ind w:left="8523" w:hanging="240"/>
      </w:pPr>
      <w:rPr>
        <w:rFonts w:hint="default"/>
      </w:rPr>
    </w:lvl>
    <w:lvl w:ilvl="8">
      <w:start w:val="0"/>
      <w:numFmt w:val="bullet"/>
      <w:lvlText w:val="•"/>
      <w:lvlJc w:val="left"/>
      <w:pPr>
        <w:ind w:left="9483" w:hanging="240"/>
      </w:pPr>
      <w:rPr>
        <w:rFonts w:hint="default"/>
      </w:rPr>
    </w:lvl>
  </w:abstractNum>
  <w:abstractNum w:abstractNumId="4">
    <w:multiLevelType w:val="hybridMultilevel"/>
    <w:lvl w:ilvl="0">
      <w:start w:val="1"/>
      <w:numFmt w:val="decimal"/>
      <w:lvlText w:val="%1."/>
      <w:lvlJc w:val="left"/>
      <w:pPr>
        <w:ind w:left="1557" w:hanging="271"/>
        <w:jc w:val="left"/>
      </w:pPr>
      <w:rPr>
        <w:rFonts w:hint="default" w:ascii="Times New Roman" w:hAnsi="Times New Roman" w:eastAsia="Times New Roman" w:cs="Times New Roman"/>
        <w:w w:val="100"/>
        <w:sz w:val="24"/>
        <w:szCs w:val="24"/>
      </w:rPr>
    </w:lvl>
    <w:lvl w:ilvl="1">
      <w:start w:val="0"/>
      <w:numFmt w:val="bullet"/>
      <w:lvlText w:val="•"/>
      <w:lvlJc w:val="left"/>
      <w:pPr>
        <w:ind w:left="2544" w:hanging="271"/>
      </w:pPr>
      <w:rPr>
        <w:rFonts w:hint="default"/>
      </w:rPr>
    </w:lvl>
    <w:lvl w:ilvl="2">
      <w:start w:val="0"/>
      <w:numFmt w:val="bullet"/>
      <w:lvlText w:val="•"/>
      <w:lvlJc w:val="left"/>
      <w:pPr>
        <w:ind w:left="3528" w:hanging="271"/>
      </w:pPr>
      <w:rPr>
        <w:rFonts w:hint="default"/>
      </w:rPr>
    </w:lvl>
    <w:lvl w:ilvl="3">
      <w:start w:val="0"/>
      <w:numFmt w:val="bullet"/>
      <w:lvlText w:val="•"/>
      <w:lvlJc w:val="left"/>
      <w:pPr>
        <w:ind w:left="4513" w:hanging="271"/>
      </w:pPr>
      <w:rPr>
        <w:rFonts w:hint="default"/>
      </w:rPr>
    </w:lvl>
    <w:lvl w:ilvl="4">
      <w:start w:val="0"/>
      <w:numFmt w:val="bullet"/>
      <w:lvlText w:val="•"/>
      <w:lvlJc w:val="left"/>
      <w:pPr>
        <w:ind w:left="5497" w:hanging="271"/>
      </w:pPr>
      <w:rPr>
        <w:rFonts w:hint="default"/>
      </w:rPr>
    </w:lvl>
    <w:lvl w:ilvl="5">
      <w:start w:val="0"/>
      <w:numFmt w:val="bullet"/>
      <w:lvlText w:val="•"/>
      <w:lvlJc w:val="left"/>
      <w:pPr>
        <w:ind w:left="6482" w:hanging="271"/>
      </w:pPr>
      <w:rPr>
        <w:rFonts w:hint="default"/>
      </w:rPr>
    </w:lvl>
    <w:lvl w:ilvl="6">
      <w:start w:val="0"/>
      <w:numFmt w:val="bullet"/>
      <w:lvlText w:val="•"/>
      <w:lvlJc w:val="left"/>
      <w:pPr>
        <w:ind w:left="7466" w:hanging="271"/>
      </w:pPr>
      <w:rPr>
        <w:rFonts w:hint="default"/>
      </w:rPr>
    </w:lvl>
    <w:lvl w:ilvl="7">
      <w:start w:val="0"/>
      <w:numFmt w:val="bullet"/>
      <w:lvlText w:val="•"/>
      <w:lvlJc w:val="left"/>
      <w:pPr>
        <w:ind w:left="8451" w:hanging="271"/>
      </w:pPr>
      <w:rPr>
        <w:rFonts w:hint="default"/>
      </w:rPr>
    </w:lvl>
    <w:lvl w:ilvl="8">
      <w:start w:val="0"/>
      <w:numFmt w:val="bullet"/>
      <w:lvlText w:val="•"/>
      <w:lvlJc w:val="left"/>
      <w:pPr>
        <w:ind w:left="9435" w:hanging="271"/>
      </w:pPr>
      <w:rPr>
        <w:rFonts w:hint="default"/>
      </w:rPr>
    </w:lvl>
  </w:abstractNum>
  <w:abstractNum w:abstractNumId="3">
    <w:multiLevelType w:val="hybridMultilevel"/>
    <w:lvl w:ilvl="0">
      <w:start w:val="6"/>
      <w:numFmt w:val="decimal"/>
      <w:lvlText w:val="%1"/>
      <w:lvlJc w:val="left"/>
      <w:pPr>
        <w:ind w:left="1797" w:hanging="241"/>
        <w:jc w:val="left"/>
      </w:pPr>
      <w:rPr>
        <w:rFonts w:hint="default" w:ascii="Times New Roman" w:hAnsi="Times New Roman" w:eastAsia="Times New Roman" w:cs="Times New Roman"/>
        <w:b/>
        <w:bCs/>
        <w:spacing w:val="-2"/>
        <w:w w:val="99"/>
        <w:sz w:val="24"/>
        <w:szCs w:val="24"/>
      </w:rPr>
    </w:lvl>
    <w:lvl w:ilvl="1">
      <w:start w:val="0"/>
      <w:numFmt w:val="bullet"/>
      <w:lvlText w:val="•"/>
      <w:lvlJc w:val="left"/>
      <w:pPr>
        <w:ind w:left="2760" w:hanging="241"/>
      </w:pPr>
      <w:rPr>
        <w:rFonts w:hint="default"/>
      </w:rPr>
    </w:lvl>
    <w:lvl w:ilvl="2">
      <w:start w:val="0"/>
      <w:numFmt w:val="bullet"/>
      <w:lvlText w:val="•"/>
      <w:lvlJc w:val="left"/>
      <w:pPr>
        <w:ind w:left="3720" w:hanging="241"/>
      </w:pPr>
      <w:rPr>
        <w:rFonts w:hint="default"/>
      </w:rPr>
    </w:lvl>
    <w:lvl w:ilvl="3">
      <w:start w:val="0"/>
      <w:numFmt w:val="bullet"/>
      <w:lvlText w:val="•"/>
      <w:lvlJc w:val="left"/>
      <w:pPr>
        <w:ind w:left="4681" w:hanging="241"/>
      </w:pPr>
      <w:rPr>
        <w:rFonts w:hint="default"/>
      </w:rPr>
    </w:lvl>
    <w:lvl w:ilvl="4">
      <w:start w:val="0"/>
      <w:numFmt w:val="bullet"/>
      <w:lvlText w:val="•"/>
      <w:lvlJc w:val="left"/>
      <w:pPr>
        <w:ind w:left="5641" w:hanging="241"/>
      </w:pPr>
      <w:rPr>
        <w:rFonts w:hint="default"/>
      </w:rPr>
    </w:lvl>
    <w:lvl w:ilvl="5">
      <w:start w:val="0"/>
      <w:numFmt w:val="bullet"/>
      <w:lvlText w:val="•"/>
      <w:lvlJc w:val="left"/>
      <w:pPr>
        <w:ind w:left="6602" w:hanging="241"/>
      </w:pPr>
      <w:rPr>
        <w:rFonts w:hint="default"/>
      </w:rPr>
    </w:lvl>
    <w:lvl w:ilvl="6">
      <w:start w:val="0"/>
      <w:numFmt w:val="bullet"/>
      <w:lvlText w:val="•"/>
      <w:lvlJc w:val="left"/>
      <w:pPr>
        <w:ind w:left="7562" w:hanging="241"/>
      </w:pPr>
      <w:rPr>
        <w:rFonts w:hint="default"/>
      </w:rPr>
    </w:lvl>
    <w:lvl w:ilvl="7">
      <w:start w:val="0"/>
      <w:numFmt w:val="bullet"/>
      <w:lvlText w:val="•"/>
      <w:lvlJc w:val="left"/>
      <w:pPr>
        <w:ind w:left="8523" w:hanging="241"/>
      </w:pPr>
      <w:rPr>
        <w:rFonts w:hint="default"/>
      </w:rPr>
    </w:lvl>
    <w:lvl w:ilvl="8">
      <w:start w:val="0"/>
      <w:numFmt w:val="bullet"/>
      <w:lvlText w:val="•"/>
      <w:lvlJc w:val="left"/>
      <w:pPr>
        <w:ind w:left="9483" w:hanging="241"/>
      </w:pPr>
      <w:rPr>
        <w:rFonts w:hint="default"/>
      </w:rPr>
    </w:lvl>
  </w:abstractNum>
  <w:abstractNum w:abstractNumId="1">
    <w:multiLevelType w:val="hybridMultilevel"/>
    <w:lvl w:ilvl="0">
      <w:start w:val="0"/>
      <w:numFmt w:val="bullet"/>
      <w:lvlText w:val="–"/>
      <w:lvlJc w:val="left"/>
      <w:pPr>
        <w:ind w:left="1557" w:hanging="243"/>
      </w:pPr>
      <w:rPr>
        <w:rFonts w:hint="default"/>
        <w:spacing w:val="-4"/>
        <w:w w:val="100"/>
      </w:rPr>
    </w:lvl>
    <w:lvl w:ilvl="1">
      <w:start w:val="0"/>
      <w:numFmt w:val="bullet"/>
      <w:lvlText w:val="•"/>
      <w:lvlJc w:val="left"/>
      <w:pPr>
        <w:ind w:left="2544" w:hanging="243"/>
      </w:pPr>
      <w:rPr>
        <w:rFonts w:hint="default"/>
      </w:rPr>
    </w:lvl>
    <w:lvl w:ilvl="2">
      <w:start w:val="0"/>
      <w:numFmt w:val="bullet"/>
      <w:lvlText w:val="•"/>
      <w:lvlJc w:val="left"/>
      <w:pPr>
        <w:ind w:left="3528" w:hanging="243"/>
      </w:pPr>
      <w:rPr>
        <w:rFonts w:hint="default"/>
      </w:rPr>
    </w:lvl>
    <w:lvl w:ilvl="3">
      <w:start w:val="0"/>
      <w:numFmt w:val="bullet"/>
      <w:lvlText w:val="•"/>
      <w:lvlJc w:val="left"/>
      <w:pPr>
        <w:ind w:left="4513" w:hanging="243"/>
      </w:pPr>
      <w:rPr>
        <w:rFonts w:hint="default"/>
      </w:rPr>
    </w:lvl>
    <w:lvl w:ilvl="4">
      <w:start w:val="0"/>
      <w:numFmt w:val="bullet"/>
      <w:lvlText w:val="•"/>
      <w:lvlJc w:val="left"/>
      <w:pPr>
        <w:ind w:left="5497" w:hanging="243"/>
      </w:pPr>
      <w:rPr>
        <w:rFonts w:hint="default"/>
      </w:rPr>
    </w:lvl>
    <w:lvl w:ilvl="5">
      <w:start w:val="0"/>
      <w:numFmt w:val="bullet"/>
      <w:lvlText w:val="•"/>
      <w:lvlJc w:val="left"/>
      <w:pPr>
        <w:ind w:left="6482" w:hanging="243"/>
      </w:pPr>
      <w:rPr>
        <w:rFonts w:hint="default"/>
      </w:rPr>
    </w:lvl>
    <w:lvl w:ilvl="6">
      <w:start w:val="0"/>
      <w:numFmt w:val="bullet"/>
      <w:lvlText w:val="•"/>
      <w:lvlJc w:val="left"/>
      <w:pPr>
        <w:ind w:left="7466" w:hanging="243"/>
      </w:pPr>
      <w:rPr>
        <w:rFonts w:hint="default"/>
      </w:rPr>
    </w:lvl>
    <w:lvl w:ilvl="7">
      <w:start w:val="0"/>
      <w:numFmt w:val="bullet"/>
      <w:lvlText w:val="•"/>
      <w:lvlJc w:val="left"/>
      <w:pPr>
        <w:ind w:left="8451" w:hanging="243"/>
      </w:pPr>
      <w:rPr>
        <w:rFonts w:hint="default"/>
      </w:rPr>
    </w:lvl>
    <w:lvl w:ilvl="8">
      <w:start w:val="0"/>
      <w:numFmt w:val="bullet"/>
      <w:lvlText w:val="•"/>
      <w:lvlJc w:val="left"/>
      <w:pPr>
        <w:ind w:left="9435" w:hanging="243"/>
      </w:pPr>
      <w:rPr>
        <w:rFonts w:hint="default"/>
      </w:rPr>
    </w:lvl>
  </w:abstractNum>
  <w:num w:numId="3">
    <w:abstractNumId w:val="2"/>
  </w:num>
  <w:num w:numId="1">
    <w:abstractNumId w:val="0"/>
  </w:num>
  <w:num w:numId="5">
    <w:abstractNumId w:val="4"/>
  </w:num>
  <w:num w:numId="4">
    <w:abstractNumId w:val="3"/>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797" w:hanging="241"/>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797" w:hanging="241"/>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yperlink" Target="http://ssrn.com/abstract%3D1440872"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Money, banks and quantitative easing - Speech by David Miles</dc:subject>
  <dc:title>Money, banks and quantitative easing - Speech by David Miles</dc:title>
  <dcterms:created xsi:type="dcterms:W3CDTF">2020-06-02T18:04:32Z</dcterms:created>
  <dcterms:modified xsi:type="dcterms:W3CDTF">2020-06-02T18:04:32Z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2009-09-30T00:00:00Z</vt:filetime>
  </property>
  <property fmtid="{D5CDD505-2E9C-101B-9397-08002B2CF9AE}" pid="3" name="Creator">
    <vt:lpwstr>PScript5.dll Version 5.2.2</vt:lpwstr>
  </property>
  <property fmtid="{D5CDD505-2E9C-101B-9397-08002B2CF9AE}" pid="4" name="LastSaved">
    <vt:filetime>2020-06-02T00:00:00Z</vt:filetime>
  </property>
</Properties>
</file>