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Mortgages, housing and monetary policy – what lies ahead?</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David Miles, External Member of the Monetary Policy Committee, Bank of England</w:t>
      </w:r>
    </w:p>
    <w:p>
      <w:pPr>
        <w:pStyle w:val="BodyText"/>
        <w:rPr>
          <w:sz w:val="26"/>
        </w:rPr>
      </w:pPr>
    </w:p>
    <w:p>
      <w:pPr>
        <w:pStyle w:val="BodyText"/>
        <w:rPr>
          <w:sz w:val="22"/>
        </w:rPr>
      </w:pPr>
    </w:p>
    <w:p>
      <w:pPr>
        <w:spacing w:line="360" w:lineRule="auto" w:before="0"/>
        <w:ind w:left="233" w:right="4851" w:firstLine="0"/>
        <w:jc w:val="left"/>
        <w:rPr>
          <w:sz w:val="24"/>
        </w:rPr>
      </w:pPr>
      <w:r>
        <w:rPr>
          <w:sz w:val="24"/>
        </w:rPr>
        <w:t>To the Northern Housing Consortium, York Racecourse 22 November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234" w:right="1874"/>
      </w:pPr>
      <w:r>
        <w:rPr/>
        <w:t>I would like to thank Jochen Schanz and Arpad Moritz for research assistance, and others for helpful comments. The views expressed are my own and do not necessarily reflect those of the Bank of England or other members of the Monetary Policy Committee.</w:t>
      </w:r>
    </w:p>
    <w:p>
      <w:pPr>
        <w:spacing w:after="0"/>
        <w:sectPr>
          <w:footerReference w:type="default" r:id="rId5"/>
          <w:type w:val="continuous"/>
          <w:pgSz w:w="11900" w:h="16840"/>
          <w:pgMar w:footer="1385" w:top="1140" w:bottom="1580" w:left="900" w:right="0"/>
        </w:sectPr>
      </w:pPr>
    </w:p>
    <w:p>
      <w:pPr>
        <w:pStyle w:val="Heading1"/>
        <w:numPr>
          <w:ilvl w:val="0"/>
          <w:numId w:val="1"/>
        </w:numPr>
        <w:tabs>
          <w:tab w:pos="665" w:val="left" w:leader="none"/>
          <w:tab w:pos="666" w:val="left" w:leader="none"/>
        </w:tabs>
        <w:spacing w:line="240" w:lineRule="auto" w:before="77" w:after="0"/>
        <w:ind w:left="665" w:right="0" w:hanging="432"/>
        <w:jc w:val="left"/>
      </w:pPr>
      <w:r>
        <w:rPr/>
        <w:t>Introduction</w:t>
      </w:r>
    </w:p>
    <w:p>
      <w:pPr>
        <w:pStyle w:val="BodyText"/>
        <w:rPr>
          <w:b/>
          <w:sz w:val="22"/>
        </w:rPr>
      </w:pPr>
    </w:p>
    <w:p>
      <w:pPr>
        <w:pStyle w:val="BodyText"/>
        <w:spacing w:before="10"/>
        <w:rPr>
          <w:b/>
          <w:sz w:val="17"/>
        </w:rPr>
      </w:pPr>
    </w:p>
    <w:p>
      <w:pPr>
        <w:pStyle w:val="BodyText"/>
        <w:spacing w:line="360" w:lineRule="auto"/>
        <w:ind w:left="233" w:right="1186"/>
      </w:pPr>
      <w:r>
        <w:rPr/>
        <w:t>Many years ago I wrote a book with the less than memorable title: “Housing, Financial Markets and the Wider Economy”. It would be a lie to say that it is available in all good bookshops.  It would be more accurate to say that it might now be found in one or two second-hand book shops – though I do not know where they are</w:t>
      </w:r>
      <w:r>
        <w:rPr>
          <w:vertAlign w:val="superscript"/>
        </w:rPr>
        <w:t>1</w:t>
      </w:r>
      <w:r>
        <w:rPr>
          <w:vertAlign w:val="baseline"/>
        </w:rPr>
        <w:t>. That book had one line in it that I still rather like. It happens to be the first line of the book and one of the shorter sentences in it.</w:t>
      </w:r>
      <w:r>
        <w:rPr>
          <w:spacing w:val="5"/>
          <w:vertAlign w:val="baseline"/>
        </w:rPr>
        <w:t> </w:t>
      </w:r>
      <w:r>
        <w:rPr>
          <w:vertAlign w:val="baseline"/>
        </w:rPr>
        <w:t>And – unlike most of the rest of the book – it does not have equations or mathematical symbols. It</w:t>
      </w:r>
      <w:r>
        <w:rPr>
          <w:spacing w:val="-6"/>
          <w:vertAlign w:val="baseline"/>
        </w:rPr>
        <w:t> </w:t>
      </w:r>
      <w:r>
        <w:rPr>
          <w:vertAlign w:val="baseline"/>
        </w:rPr>
        <w:t>is:</w:t>
      </w:r>
    </w:p>
    <w:p>
      <w:pPr>
        <w:pStyle w:val="BodyText"/>
        <w:rPr>
          <w:sz w:val="30"/>
        </w:rPr>
      </w:pPr>
    </w:p>
    <w:p>
      <w:pPr>
        <w:pStyle w:val="BodyText"/>
        <w:ind w:left="234"/>
      </w:pPr>
      <w:r>
        <w:rPr/>
        <w:t>“Few people are nomads by choice”</w:t>
      </w:r>
    </w:p>
    <w:p>
      <w:pPr>
        <w:pStyle w:val="BodyText"/>
        <w:rPr>
          <w:sz w:val="22"/>
        </w:rPr>
      </w:pPr>
    </w:p>
    <w:p>
      <w:pPr>
        <w:pStyle w:val="BodyText"/>
        <w:rPr>
          <w:sz w:val="18"/>
        </w:rPr>
      </w:pPr>
    </w:p>
    <w:p>
      <w:pPr>
        <w:pStyle w:val="BodyText"/>
        <w:spacing w:line="360" w:lineRule="auto"/>
        <w:ind w:left="234" w:right="1161"/>
      </w:pPr>
      <w:r>
        <w:rPr/>
        <w:t>The rest of the book could not keep up that degree of succinctness. The short, opening sentence expresses something important about our preferences: most people put great value on having a home that they can reliably call home for many years. This is one reason why the majority of people want to own their home.  It is</w:t>
      </w:r>
      <w:r>
        <w:rPr>
          <w:spacing w:val="-4"/>
        </w:rPr>
        <w:t> </w:t>
      </w:r>
      <w:r>
        <w:rPr/>
        <w:t>a</w:t>
      </w:r>
      <w:r>
        <w:rPr>
          <w:spacing w:val="-3"/>
        </w:rPr>
        <w:t> </w:t>
      </w:r>
      <w:r>
        <w:rPr/>
        <w:t>mild</w:t>
      </w:r>
      <w:r>
        <w:rPr>
          <w:spacing w:val="-4"/>
        </w:rPr>
        <w:t> </w:t>
      </w:r>
      <w:r>
        <w:rPr/>
        <w:t>paradox</w:t>
      </w:r>
      <w:r>
        <w:rPr>
          <w:spacing w:val="-3"/>
        </w:rPr>
        <w:t> </w:t>
      </w:r>
      <w:r>
        <w:rPr/>
        <w:t>that</w:t>
      </w:r>
      <w:r>
        <w:rPr>
          <w:spacing w:val="-3"/>
        </w:rPr>
        <w:t> </w:t>
      </w:r>
      <w:r>
        <w:rPr/>
        <w:t>despite</w:t>
      </w:r>
      <w:r>
        <w:rPr>
          <w:spacing w:val="-4"/>
        </w:rPr>
        <w:t> </w:t>
      </w:r>
      <w:r>
        <w:rPr/>
        <w:t>this</w:t>
      </w:r>
      <w:r>
        <w:rPr>
          <w:spacing w:val="-3"/>
        </w:rPr>
        <w:t> </w:t>
      </w:r>
      <w:r>
        <w:rPr/>
        <w:t>desire</w:t>
      </w:r>
      <w:r>
        <w:rPr>
          <w:spacing w:val="-5"/>
        </w:rPr>
        <w:t> </w:t>
      </w:r>
      <w:r>
        <w:rPr/>
        <w:t>for</w:t>
      </w:r>
      <w:r>
        <w:rPr>
          <w:spacing w:val="-3"/>
        </w:rPr>
        <w:t> </w:t>
      </w:r>
      <w:r>
        <w:rPr/>
        <w:t>stability</w:t>
      </w:r>
      <w:r>
        <w:rPr>
          <w:spacing w:val="-1"/>
        </w:rPr>
        <w:t> </w:t>
      </w:r>
      <w:r>
        <w:rPr/>
        <w:t>and</w:t>
      </w:r>
      <w:r>
        <w:rPr>
          <w:spacing w:val="-3"/>
        </w:rPr>
        <w:t> </w:t>
      </w:r>
      <w:r>
        <w:rPr/>
        <w:t>predictability</w:t>
      </w:r>
      <w:r>
        <w:rPr>
          <w:spacing w:val="-3"/>
        </w:rPr>
        <w:t> </w:t>
      </w:r>
      <w:r>
        <w:rPr/>
        <w:t>in</w:t>
      </w:r>
      <w:r>
        <w:rPr>
          <w:spacing w:val="-4"/>
        </w:rPr>
        <w:t> </w:t>
      </w:r>
      <w:r>
        <w:rPr/>
        <w:t>one’s</w:t>
      </w:r>
      <w:r>
        <w:rPr>
          <w:spacing w:val="-3"/>
        </w:rPr>
        <w:t> </w:t>
      </w:r>
      <w:r>
        <w:rPr/>
        <w:t>housing,</w:t>
      </w:r>
      <w:r>
        <w:rPr>
          <w:spacing w:val="-4"/>
        </w:rPr>
        <w:t> </w:t>
      </w:r>
      <w:r>
        <w:rPr/>
        <w:t>housing</w:t>
      </w:r>
      <w:r>
        <w:rPr>
          <w:spacing w:val="-3"/>
        </w:rPr>
        <w:t> </w:t>
      </w:r>
      <w:r>
        <w:rPr/>
        <w:t>markets</w:t>
      </w:r>
      <w:r>
        <w:rPr>
          <w:spacing w:val="-3"/>
        </w:rPr>
        <w:t> </w:t>
      </w:r>
      <w:r>
        <w:rPr/>
        <w:t>and mortgage markets have been close to the centre of the economic and financial turmoil we have lived through over the past four years. In many countries – a big one like the US and a small one like Ireland – what happened in the housing market was at the very heart of the</w:t>
      </w:r>
      <w:r>
        <w:rPr>
          <w:spacing w:val="-14"/>
        </w:rPr>
        <w:t> </w:t>
      </w:r>
      <w:r>
        <w:rPr/>
        <w:t>problems.</w:t>
      </w:r>
    </w:p>
    <w:p>
      <w:pPr>
        <w:pStyle w:val="BodyText"/>
        <w:rPr>
          <w:sz w:val="30"/>
        </w:rPr>
      </w:pPr>
    </w:p>
    <w:p>
      <w:pPr>
        <w:pStyle w:val="BodyText"/>
        <w:spacing w:line="360" w:lineRule="auto"/>
        <w:ind w:left="234" w:right="1157"/>
      </w:pPr>
      <w:r>
        <w:rPr/>
        <w:t>As we emerge from this turmoil the housing and mortgage markets across many countries look dramatically different from how they were in 2006 and early 2007. They may never look quite the same again. I want to explore how this might play out and the link between the housing market, the mortgage market and the wider economy, both in the short run and in the longer run.  Those links affect, and are affected by, monetary policy and I want to say something about that</w:t>
      </w:r>
      <w:r>
        <w:rPr>
          <w:spacing w:val="-12"/>
        </w:rPr>
        <w:t> </w:t>
      </w:r>
      <w:r>
        <w:rPr/>
        <w:t>too.</w:t>
      </w:r>
    </w:p>
    <w:p>
      <w:pPr>
        <w:pStyle w:val="BodyText"/>
        <w:spacing w:before="1"/>
        <w:rPr>
          <w:sz w:val="30"/>
        </w:rPr>
      </w:pPr>
    </w:p>
    <w:p>
      <w:pPr>
        <w:pStyle w:val="Heading1"/>
        <w:numPr>
          <w:ilvl w:val="0"/>
          <w:numId w:val="1"/>
        </w:numPr>
        <w:tabs>
          <w:tab w:pos="665" w:val="left" w:leader="none"/>
          <w:tab w:pos="666" w:val="left" w:leader="none"/>
        </w:tabs>
        <w:spacing w:line="240" w:lineRule="auto" w:before="1" w:after="0"/>
        <w:ind w:left="665" w:right="0" w:hanging="432"/>
        <w:jc w:val="left"/>
      </w:pPr>
      <w:r>
        <w:rPr/>
        <w:t>The current</w:t>
      </w:r>
      <w:r>
        <w:rPr>
          <w:spacing w:val="-4"/>
        </w:rPr>
        <w:t> </w:t>
      </w:r>
      <w:r>
        <w:rPr/>
        <w:t>environment</w:t>
      </w:r>
    </w:p>
    <w:p>
      <w:pPr>
        <w:pStyle w:val="BodyText"/>
        <w:rPr>
          <w:b/>
          <w:sz w:val="22"/>
        </w:rPr>
      </w:pPr>
    </w:p>
    <w:p>
      <w:pPr>
        <w:pStyle w:val="BodyText"/>
        <w:spacing w:before="10"/>
        <w:rPr>
          <w:b/>
          <w:sz w:val="17"/>
        </w:rPr>
      </w:pPr>
    </w:p>
    <w:p>
      <w:pPr>
        <w:pStyle w:val="BodyText"/>
        <w:spacing w:line="360" w:lineRule="auto"/>
        <w:ind w:left="234" w:right="1296"/>
      </w:pPr>
      <w:r>
        <w:rPr/>
        <w:t>The housing market in the UK is going through an extraordinary period of adjustment – perhaps it would be better to call it a transformation. The volume of transactions has halved since mid-2007 (Chart 1). The average level of real house prices has declined by about 20% since the peak in September 2007 – a peak that is aligned with the demise of Northern Rock, which is surely not a coincidence (Chart 2). Since then housing starts have fallen by half (Chart 3). And the net flow of mortgage lending has collapsed to almost zero (Chart 4).</w:t>
      </w:r>
    </w:p>
    <w:p>
      <w:pPr>
        <w:pStyle w:val="BodyText"/>
      </w:pPr>
    </w:p>
    <w:p>
      <w:pPr>
        <w:pStyle w:val="BodyText"/>
      </w:pPr>
    </w:p>
    <w:p>
      <w:pPr>
        <w:pStyle w:val="BodyText"/>
      </w:pPr>
    </w:p>
    <w:p>
      <w:pPr>
        <w:pStyle w:val="BodyText"/>
      </w:pPr>
    </w:p>
    <w:p>
      <w:pPr>
        <w:pStyle w:val="BodyText"/>
      </w:pPr>
    </w:p>
    <w:p>
      <w:pPr>
        <w:pStyle w:val="BodyText"/>
        <w:spacing w:before="2"/>
        <w:rPr>
          <w:sz w:val="29"/>
        </w:rPr>
      </w:pPr>
      <w:r>
        <w:rPr/>
        <w:pict>
          <v:shape style="position:absolute;margin-left:56.700001pt;margin-top:18.98312pt;width:144pt;height:.1pt;mso-position-horizontal-relative:page;mso-position-vertical-relative:paragraph;z-index:-251657216;mso-wrap-distance-left:0;mso-wrap-distance-right:0" coordorigin="1134,380" coordsize="2880,0" path="m1134,380l4014,380e" filled="false" stroked="true" strokeweight=".48001pt" strokecolor="#000000">
            <v:path arrowok="t"/>
            <v:stroke dashstyle="solid"/>
            <w10:wrap type="topAndBottom"/>
          </v:shape>
        </w:pict>
      </w:r>
    </w:p>
    <w:p>
      <w:pPr>
        <w:spacing w:before="31"/>
        <w:ind w:left="233" w:right="1288" w:firstLine="0"/>
        <w:jc w:val="left"/>
        <w:rPr>
          <w:sz w:val="16"/>
        </w:rPr>
      </w:pPr>
      <w:r>
        <w:rPr>
          <w:position w:val="8"/>
          <w:sz w:val="10"/>
        </w:rPr>
        <w:t>1 </w:t>
      </w:r>
      <w:r>
        <w:rPr>
          <w:sz w:val="16"/>
        </w:rPr>
        <w:t>I have found 3 copies on Amazon. One is described as in “good condition” and the quoted price is £36.95. One is described as being in “very good” condition and has a quoted price of 90p.</w:t>
      </w:r>
    </w:p>
    <w:p>
      <w:pPr>
        <w:spacing w:after="0"/>
        <w:jc w:val="left"/>
        <w:rPr>
          <w:sz w:val="16"/>
        </w:rPr>
        <w:sectPr>
          <w:footerReference w:type="default" r:id="rId7"/>
          <w:pgSz w:w="11900" w:h="16840"/>
          <w:pgMar w:footer="1340" w:header="0" w:top="1540" w:bottom="1540" w:left="900" w:right="0"/>
          <w:pgNumType w:start="2"/>
        </w:sectPr>
      </w:pPr>
    </w:p>
    <w:p>
      <w:pPr>
        <w:pStyle w:val="Heading1"/>
        <w:spacing w:before="127"/>
      </w:pPr>
      <w:r>
        <w:rPr/>
        <w:t>Chart 1: Monthly number of houses sold</w:t>
      </w:r>
      <w:r>
        <w:rPr>
          <w:vertAlign w:val="superscript"/>
        </w:rPr>
        <w:t>(a)</w:t>
      </w:r>
    </w:p>
    <w:p>
      <w:pPr>
        <w:pStyle w:val="BodyText"/>
        <w:rPr>
          <w:b/>
        </w:rPr>
      </w:pPr>
    </w:p>
    <w:p>
      <w:pPr>
        <w:pStyle w:val="BodyText"/>
        <w:rPr>
          <w:b/>
          <w:sz w:val="12"/>
        </w:rPr>
      </w:pPr>
    </w:p>
    <w:p>
      <w:pPr>
        <w:spacing w:before="94"/>
        <w:ind w:left="0" w:right="4567" w:firstLine="0"/>
        <w:jc w:val="right"/>
        <w:rPr>
          <w:rFonts w:ascii="Calibri"/>
          <w:sz w:val="13"/>
        </w:rPr>
      </w:pPr>
      <w:r>
        <w:rPr>
          <w:rFonts w:ascii="Calibri"/>
          <w:w w:val="165"/>
          <w:sz w:val="13"/>
        </w:rPr>
        <w:t>Thousands</w:t>
      </w:r>
    </w:p>
    <w:p>
      <w:pPr>
        <w:spacing w:before="11"/>
        <w:ind w:left="0" w:right="4507" w:firstLine="0"/>
        <w:jc w:val="right"/>
        <w:rPr>
          <w:rFonts w:ascii="Calibri"/>
          <w:sz w:val="13"/>
        </w:rPr>
      </w:pPr>
      <w:r>
        <w:rPr/>
        <w:pict>
          <v:group style="position:absolute;margin-left:72.900002pt;margin-top:4.218748pt;width:274.05pt;height:127.2pt;mso-position-horizontal-relative:page;mso-position-vertical-relative:paragraph;z-index:251660288" coordorigin="1458,84" coordsize="5481,2544">
            <v:line style="position:absolute" from="6868,88" to="6868,2624" stroked="true" strokeweight=".72pt" strokecolor="#868686">
              <v:stroke dashstyle="solid"/>
            </v:line>
            <v:shape style="position:absolute;left:6867;top:84;width:71;height:2544" coordorigin="6868,84" coordsize="71,2544" path="m6938,2620l6868,2620,6868,2628,6938,2628,6938,2620m6938,2306l6868,2306,6868,2315,6938,2315,6938,2306m6938,1983l6868,1983,6868,1992,6938,1992,6938,1983m6938,1670l6868,1670,6868,1679,6938,1679,6938,1670m6938,1356l6868,1356,6868,1365,6938,1365,6938,1356m6938,1034l6868,1034,6868,1043,6938,1043,6938,1034m6938,720l6868,720,6868,729,6938,729,6938,720m6938,406l6868,406,6868,416,6938,416,6938,406m6938,84l6868,84,6868,93,6938,93,6938,84e" filled="true" fillcolor="#868686" stroked="false">
              <v:path arrowok="t"/>
              <v:fill type="solid"/>
            </v:shape>
            <v:line style="position:absolute" from="1465,2624" to="6868,2624" stroked="true" strokeweight=".41998pt" strokecolor="#868686">
              <v:stroke dashstyle="solid"/>
            </v:line>
            <v:shape style="position:absolute;left:1458;top:2579;width:4643;height:45" coordorigin="1458,2579" coordsize="4643,45" path="m1472,2579l1458,2579,1458,2624,1472,2624,1472,2579m2404,2579l2389,2579,2389,2624,2404,2624,2404,2579m3322,2579l3307,2579,3307,2624,3322,2624,3322,2579m4253,2579l4238,2579,4238,2624,4253,2624,4253,2579m5184,2579l5170,2579,5170,2624,5184,2624,5184,2579m6101,2579l6086,2579,6086,2624,6101,2624,6101,2579e" filled="true" fillcolor="#868686" stroked="false">
              <v:path arrowok="t"/>
              <v:fill type="solid"/>
            </v:shape>
            <v:shape style="position:absolute;left:1471;top:478;width:5391;height:1738" type="#_x0000_t75" stroked="false">
              <v:imagedata r:id="rId8" o:title=""/>
            </v:shape>
            <w10:wrap type="none"/>
          </v:group>
        </w:pict>
      </w:r>
      <w:r>
        <w:rPr>
          <w:rFonts w:ascii="Calibri"/>
          <w:spacing w:val="-7"/>
          <w:w w:val="165"/>
          <w:sz w:val="13"/>
        </w:rPr>
        <w:t>160</w:t>
      </w:r>
    </w:p>
    <w:p>
      <w:pPr>
        <w:pStyle w:val="BodyText"/>
        <w:spacing w:before="11"/>
        <w:rPr>
          <w:rFonts w:ascii="Calibri"/>
          <w:sz w:val="12"/>
        </w:rPr>
      </w:pPr>
    </w:p>
    <w:p>
      <w:pPr>
        <w:spacing w:before="0"/>
        <w:ind w:left="4285" w:right="2614" w:firstLine="0"/>
        <w:jc w:val="center"/>
        <w:rPr>
          <w:rFonts w:ascii="Calibri"/>
          <w:sz w:val="13"/>
        </w:rPr>
      </w:pPr>
      <w:r>
        <w:rPr>
          <w:rFonts w:ascii="Calibri"/>
          <w:spacing w:val="-7"/>
          <w:w w:val="165"/>
          <w:sz w:val="13"/>
        </w:rPr>
        <w:t>140</w:t>
      </w:r>
    </w:p>
    <w:p>
      <w:pPr>
        <w:pStyle w:val="BodyText"/>
        <w:spacing w:before="11"/>
        <w:rPr>
          <w:rFonts w:ascii="Calibri"/>
          <w:sz w:val="12"/>
        </w:rPr>
      </w:pPr>
    </w:p>
    <w:p>
      <w:pPr>
        <w:spacing w:before="1"/>
        <w:ind w:left="4285" w:right="2614" w:firstLine="0"/>
        <w:jc w:val="center"/>
        <w:rPr>
          <w:rFonts w:ascii="Calibri"/>
          <w:sz w:val="13"/>
        </w:rPr>
      </w:pPr>
      <w:r>
        <w:rPr>
          <w:rFonts w:ascii="Calibri"/>
          <w:spacing w:val="-7"/>
          <w:w w:val="165"/>
          <w:sz w:val="13"/>
        </w:rPr>
        <w:t>120</w:t>
      </w:r>
    </w:p>
    <w:p>
      <w:pPr>
        <w:pStyle w:val="BodyText"/>
        <w:spacing w:before="11"/>
        <w:rPr>
          <w:rFonts w:ascii="Calibri"/>
          <w:sz w:val="12"/>
        </w:rPr>
      </w:pPr>
    </w:p>
    <w:p>
      <w:pPr>
        <w:spacing w:before="0"/>
        <w:ind w:left="4285" w:right="2614" w:firstLine="0"/>
        <w:jc w:val="center"/>
        <w:rPr>
          <w:rFonts w:ascii="Calibri"/>
          <w:sz w:val="13"/>
        </w:rPr>
      </w:pPr>
      <w:r>
        <w:rPr>
          <w:rFonts w:ascii="Calibri"/>
          <w:spacing w:val="-7"/>
          <w:w w:val="165"/>
          <w:sz w:val="13"/>
        </w:rPr>
        <w:t>100</w:t>
      </w:r>
    </w:p>
    <w:p>
      <w:pPr>
        <w:pStyle w:val="BodyText"/>
        <w:spacing w:before="12"/>
        <w:rPr>
          <w:rFonts w:ascii="Calibri"/>
          <w:sz w:val="12"/>
        </w:rPr>
      </w:pPr>
    </w:p>
    <w:p>
      <w:pPr>
        <w:spacing w:before="0"/>
        <w:ind w:left="4285" w:right="2743" w:firstLine="0"/>
        <w:jc w:val="center"/>
        <w:rPr>
          <w:rFonts w:ascii="Calibri"/>
          <w:sz w:val="13"/>
        </w:rPr>
      </w:pPr>
      <w:r>
        <w:rPr>
          <w:rFonts w:ascii="Calibri"/>
          <w:spacing w:val="-9"/>
          <w:w w:val="165"/>
          <w:sz w:val="13"/>
        </w:rPr>
        <w:t>80</w:t>
      </w:r>
    </w:p>
    <w:p>
      <w:pPr>
        <w:pStyle w:val="BodyText"/>
        <w:spacing w:before="11"/>
        <w:rPr>
          <w:rFonts w:ascii="Calibri"/>
          <w:sz w:val="12"/>
        </w:rPr>
      </w:pPr>
    </w:p>
    <w:p>
      <w:pPr>
        <w:spacing w:before="0"/>
        <w:ind w:left="4285" w:right="2743" w:firstLine="0"/>
        <w:jc w:val="center"/>
        <w:rPr>
          <w:rFonts w:ascii="Calibri"/>
          <w:sz w:val="13"/>
        </w:rPr>
      </w:pPr>
      <w:r>
        <w:rPr>
          <w:rFonts w:ascii="Calibri"/>
          <w:spacing w:val="-9"/>
          <w:w w:val="165"/>
          <w:sz w:val="13"/>
        </w:rPr>
        <w:t>60</w:t>
      </w:r>
    </w:p>
    <w:p>
      <w:pPr>
        <w:pStyle w:val="BodyText"/>
        <w:spacing w:before="11"/>
        <w:rPr>
          <w:rFonts w:ascii="Calibri"/>
          <w:sz w:val="12"/>
        </w:rPr>
      </w:pPr>
    </w:p>
    <w:p>
      <w:pPr>
        <w:spacing w:before="0"/>
        <w:ind w:left="4285" w:right="2743" w:firstLine="0"/>
        <w:jc w:val="center"/>
        <w:rPr>
          <w:rFonts w:ascii="Calibri"/>
          <w:sz w:val="13"/>
        </w:rPr>
      </w:pPr>
      <w:r>
        <w:rPr>
          <w:rFonts w:ascii="Calibri"/>
          <w:spacing w:val="-9"/>
          <w:w w:val="165"/>
          <w:sz w:val="13"/>
        </w:rPr>
        <w:t>40</w:t>
      </w:r>
    </w:p>
    <w:p>
      <w:pPr>
        <w:pStyle w:val="BodyText"/>
        <w:spacing w:before="11"/>
        <w:rPr>
          <w:rFonts w:ascii="Calibri"/>
          <w:sz w:val="12"/>
        </w:rPr>
      </w:pPr>
    </w:p>
    <w:p>
      <w:pPr>
        <w:spacing w:before="0"/>
        <w:ind w:left="4285" w:right="2743" w:firstLine="0"/>
        <w:jc w:val="center"/>
        <w:rPr>
          <w:rFonts w:ascii="Calibri"/>
          <w:sz w:val="13"/>
        </w:rPr>
      </w:pPr>
      <w:r>
        <w:rPr>
          <w:rFonts w:ascii="Calibri"/>
          <w:spacing w:val="-9"/>
          <w:w w:val="165"/>
          <w:sz w:val="13"/>
        </w:rPr>
        <w:t>20</w:t>
      </w:r>
    </w:p>
    <w:p>
      <w:pPr>
        <w:pStyle w:val="BodyText"/>
        <w:rPr>
          <w:rFonts w:ascii="Calibri"/>
          <w:sz w:val="13"/>
        </w:rPr>
      </w:pPr>
    </w:p>
    <w:p>
      <w:pPr>
        <w:spacing w:before="0"/>
        <w:ind w:left="1459" w:right="0" w:firstLine="0"/>
        <w:jc w:val="center"/>
        <w:rPr>
          <w:rFonts w:ascii="Calibri"/>
          <w:sz w:val="13"/>
        </w:rPr>
      </w:pPr>
      <w:r>
        <w:rPr>
          <w:rFonts w:ascii="Calibri"/>
          <w:w w:val="165"/>
          <w:sz w:val="13"/>
        </w:rPr>
        <w:t>0</w:t>
      </w:r>
    </w:p>
    <w:p>
      <w:pPr>
        <w:tabs>
          <w:tab w:pos="926" w:val="left" w:leader="none"/>
          <w:tab w:pos="1852" w:val="left" w:leader="none"/>
          <w:tab w:pos="2779" w:val="left" w:leader="none"/>
          <w:tab w:pos="3707" w:val="left" w:leader="none"/>
          <w:tab w:pos="4633" w:val="left" w:leader="none"/>
        </w:tabs>
        <w:spacing w:before="13"/>
        <w:ind w:left="0" w:right="5169" w:firstLine="0"/>
        <w:jc w:val="center"/>
        <w:rPr>
          <w:rFonts w:ascii="Calibri"/>
          <w:sz w:val="13"/>
        </w:rPr>
      </w:pPr>
      <w:r>
        <w:rPr>
          <w:rFonts w:ascii="Calibri"/>
          <w:spacing w:val="-5"/>
          <w:w w:val="165"/>
          <w:sz w:val="13"/>
        </w:rPr>
        <w:t>00</w:t>
        <w:tab/>
        <w:t>02</w:t>
        <w:tab/>
        <w:t>04</w:t>
        <w:tab/>
        <w:t>06</w:t>
        <w:tab/>
        <w:t>08</w:t>
        <w:tab/>
        <w:t>10</w:t>
      </w:r>
    </w:p>
    <w:p>
      <w:pPr>
        <w:pStyle w:val="BodyText"/>
        <w:spacing w:before="8"/>
        <w:rPr>
          <w:rFonts w:ascii="Calibri"/>
          <w:sz w:val="15"/>
        </w:rPr>
      </w:pPr>
    </w:p>
    <w:p>
      <w:pPr>
        <w:spacing w:line="184" w:lineRule="exact" w:before="0"/>
        <w:ind w:left="234" w:right="0" w:firstLine="0"/>
        <w:jc w:val="left"/>
        <w:rPr>
          <w:sz w:val="16"/>
        </w:rPr>
      </w:pPr>
      <w:r>
        <w:rPr>
          <w:sz w:val="16"/>
        </w:rPr>
        <w:t>Source: HM Land Registry.</w:t>
      </w:r>
    </w:p>
    <w:p>
      <w:pPr>
        <w:spacing w:before="0"/>
        <w:ind w:left="234" w:right="0" w:firstLine="0"/>
        <w:jc w:val="left"/>
        <w:rPr>
          <w:sz w:val="16"/>
        </w:rPr>
      </w:pPr>
      <w:r>
        <w:rPr>
          <w:rFonts w:ascii="Calibri"/>
          <w:sz w:val="16"/>
        </w:rPr>
        <w:t>(a) </w:t>
      </w:r>
      <w:r>
        <w:rPr>
          <w:sz w:val="16"/>
        </w:rPr>
        <w:t>Data covers England and Wales. Non seasonally adjusted.</w:t>
      </w:r>
    </w:p>
    <w:p>
      <w:pPr>
        <w:pStyle w:val="BodyText"/>
        <w:rPr>
          <w:sz w:val="18"/>
        </w:rPr>
      </w:pPr>
    </w:p>
    <w:p>
      <w:pPr>
        <w:pStyle w:val="BodyText"/>
        <w:rPr>
          <w:sz w:val="18"/>
        </w:rPr>
      </w:pPr>
    </w:p>
    <w:p>
      <w:pPr>
        <w:pStyle w:val="BodyText"/>
        <w:spacing w:before="8"/>
        <w:rPr>
          <w:sz w:val="14"/>
        </w:rPr>
      </w:pPr>
    </w:p>
    <w:p>
      <w:pPr>
        <w:pStyle w:val="Heading1"/>
      </w:pPr>
      <w:r>
        <w:rPr/>
        <w:t>Chart 2: Average house prices in today’s terms</w:t>
      </w:r>
      <w:r>
        <w:rPr>
          <w:vertAlign w:val="superscript"/>
        </w:rPr>
        <w:t>(a)</w:t>
      </w:r>
    </w:p>
    <w:p>
      <w:pPr>
        <w:pStyle w:val="BodyText"/>
        <w:spacing w:before="8"/>
        <w:rPr>
          <w:b/>
          <w:sz w:val="27"/>
        </w:rPr>
      </w:pPr>
    </w:p>
    <w:p>
      <w:pPr>
        <w:spacing w:after="0"/>
        <w:rPr>
          <w:sz w:val="27"/>
        </w:rPr>
        <w:sectPr>
          <w:pgSz w:w="11900" w:h="16840"/>
          <w:pgMar w:header="0" w:footer="1340" w:top="1600" w:bottom="1540" w:left="900" w:right="0"/>
        </w:sectPr>
      </w:pPr>
    </w:p>
    <w:p>
      <w:pPr>
        <w:spacing w:before="92"/>
        <w:ind w:left="0" w:right="0" w:firstLine="0"/>
        <w:jc w:val="right"/>
        <w:rPr>
          <w:rFonts w:ascii="Times New Roman" w:hAnsi="Times New Roman"/>
          <w:sz w:val="18"/>
        </w:rPr>
      </w:pPr>
      <w:r>
        <w:rPr>
          <w:rFonts w:ascii="Times New Roman" w:hAnsi="Times New Roman"/>
          <w:sz w:val="18"/>
        </w:rPr>
        <w:t>£ thousands</w:t>
      </w:r>
    </w:p>
    <w:p>
      <w:pPr>
        <w:pStyle w:val="BodyText"/>
        <w:rPr>
          <w:rFonts w:ascii="Times New Roman"/>
          <w:sz w:val="18"/>
        </w:rPr>
      </w:pPr>
      <w:r>
        <w:rPr/>
        <w:br w:type="column"/>
      </w:r>
      <w:r>
        <w:rPr>
          <w:rFonts w:ascii="Times New Roman"/>
          <w:sz w:val="18"/>
        </w:rPr>
      </w:r>
    </w:p>
    <w:p>
      <w:pPr>
        <w:pStyle w:val="BodyText"/>
        <w:spacing w:before="2"/>
        <w:rPr>
          <w:rFonts w:ascii="Times New Roman"/>
          <w:sz w:val="26"/>
        </w:rPr>
      </w:pPr>
    </w:p>
    <w:p>
      <w:pPr>
        <w:spacing w:before="1"/>
        <w:ind w:left="4" w:right="0" w:firstLine="0"/>
        <w:jc w:val="left"/>
        <w:rPr>
          <w:rFonts w:ascii="Calibri"/>
          <w:sz w:val="18"/>
        </w:rPr>
      </w:pPr>
      <w:r>
        <w:rPr>
          <w:rFonts w:ascii="Calibri"/>
          <w:sz w:val="18"/>
        </w:rPr>
        <w:t>250</w:t>
      </w:r>
    </w:p>
    <w:p>
      <w:pPr>
        <w:spacing w:after="0"/>
        <w:jc w:val="left"/>
        <w:rPr>
          <w:rFonts w:ascii="Calibri"/>
          <w:sz w:val="18"/>
        </w:rPr>
        <w:sectPr>
          <w:type w:val="continuous"/>
          <w:pgSz w:w="11900" w:h="16840"/>
          <w:pgMar w:top="1140" w:bottom="1580" w:left="900" w:right="0"/>
          <w:cols w:num="2" w:equalWidth="0">
            <w:col w:w="7993" w:space="40"/>
            <w:col w:w="2967"/>
          </w:cols>
        </w:sectPr>
      </w:pPr>
    </w:p>
    <w:p>
      <w:pPr>
        <w:pStyle w:val="BodyText"/>
        <w:spacing w:before="7"/>
        <w:rPr>
          <w:rFonts w:ascii="Calibri"/>
        </w:rPr>
      </w:pPr>
    </w:p>
    <w:p>
      <w:pPr>
        <w:spacing w:before="63"/>
        <w:ind w:left="0" w:right="2709" w:firstLine="0"/>
        <w:jc w:val="right"/>
        <w:rPr>
          <w:rFonts w:ascii="Calibri"/>
          <w:sz w:val="18"/>
        </w:rPr>
      </w:pPr>
      <w:r>
        <w:rPr/>
        <w:pict>
          <v:group style="position:absolute;margin-left:76.919998pt;margin-top:-18.279356pt;width:364.4pt;height:136.35pt;mso-position-horizontal-relative:page;mso-position-vertical-relative:paragraph;z-index:251662336" coordorigin="1538,-366" coordsize="7288,2727">
            <v:line style="position:absolute" from="8766,-360" to="8766,2313" stroked="true" strokeweight=".599980pt" strokecolor="#868686">
              <v:stroke dashstyle="solid"/>
            </v:line>
            <v:shape style="position:absolute;left:8766;top:-366;width:60;height:2685" coordorigin="8766,-366" coordsize="60,2685" path="m8826,2307l8766,2307,8766,2319,8826,2319,8826,2307m8826,1770l8766,1770,8766,1782,8826,1782,8826,1770m8826,1233l8766,1233,8766,1245,8826,1245,8826,1233m8826,708l8766,708,8766,720,8826,720,8826,708m8826,172l8766,172,8766,183,8826,183,8826,172m8826,-366l8766,-366,8766,-354,8826,-354,8826,-366e" filled="true" fillcolor="#868686" stroked="false">
              <v:path arrowok="t"/>
              <v:fill type="solid"/>
            </v:shape>
            <v:line style="position:absolute" from="1571,2313" to="8766,2313" stroked="true" strokeweight=".60004pt" strokecolor="#868686">
              <v:stroke dashstyle="solid"/>
            </v:line>
            <v:shape style="position:absolute;left:1564;top:2312;width:6671;height:48" coordorigin="1565,2313" coordsize="6671,48" path="m1577,2313l1565,2313,1565,2361,1577,2361,1577,2313m2137,2313l2125,2313,2125,2361,2137,2361,2137,2313m2686,2313l2674,2313,2674,2361,2686,2361,2686,2313m3247,2313l3235,2313,3235,2361,3247,2361,3247,2313m3796,2313l3784,2313,3784,2361,3796,2361,3796,2313m4357,2313l4345,2313,4345,2361,4357,2361,4357,2313m4906,2313l4894,2313,4894,2361,4906,2361,4906,2313m5467,2313l5455,2313,5455,2361,5467,2361,5467,2313m6016,2313l6004,2313,6004,2361,6016,2361,6016,2313m6576,2313l6565,2313,6565,2361,6576,2361,6576,2313m7126,2313l7114,2313,7114,2361,7126,2361,7126,2313m7686,2313l7674,2313,7674,2361,7686,2361,7686,2313m8236,2313l8224,2313,8224,2361,8236,2361,8236,2313e" filled="true" fillcolor="#868686" stroked="false">
              <v:path arrowok="t"/>
              <v:fill type="solid"/>
            </v:shape>
            <v:shape style="position:absolute;left:1538;top:22;width:7240;height:1893" type="#_x0000_t75" stroked="false">
              <v:imagedata r:id="rId9" o:title=""/>
            </v:shape>
            <v:shape style="position:absolute;left:7839;top:-348;width:592;height:179" type="#_x0000_t202" filled="false" stroked="false">
              <v:textbox inset="0,0,0,0">
                <w:txbxContent>
                  <w:p>
                    <w:pPr>
                      <w:spacing w:line="179" w:lineRule="exact" w:before="0"/>
                      <w:ind w:left="0" w:right="0" w:firstLine="0"/>
                      <w:jc w:val="left"/>
                      <w:rPr>
                        <w:rFonts w:ascii="Calibri"/>
                        <w:sz w:val="18"/>
                      </w:rPr>
                    </w:pPr>
                    <w:r>
                      <w:rPr>
                        <w:rFonts w:ascii="Calibri"/>
                        <w:sz w:val="18"/>
                      </w:rPr>
                      <w:t>Sept. </w:t>
                    </w:r>
                    <w:r>
                      <w:rPr>
                        <w:rFonts w:ascii="Calibri"/>
                        <w:spacing w:val="-8"/>
                        <w:sz w:val="18"/>
                      </w:rPr>
                      <w:t>07</w:t>
                    </w:r>
                  </w:p>
                </w:txbxContent>
              </v:textbox>
              <w10:wrap type="none"/>
            </v:shape>
            <w10:wrap type="none"/>
          </v:group>
        </w:pict>
      </w:r>
      <w:r>
        <w:rPr>
          <w:rFonts w:ascii="Calibri"/>
          <w:spacing w:val="-8"/>
          <w:sz w:val="18"/>
        </w:rPr>
        <w:t>200</w:t>
      </w:r>
    </w:p>
    <w:p>
      <w:pPr>
        <w:pStyle w:val="BodyText"/>
        <w:spacing w:before="6"/>
        <w:rPr>
          <w:rFonts w:ascii="Calibri"/>
        </w:rPr>
      </w:pPr>
    </w:p>
    <w:p>
      <w:pPr>
        <w:spacing w:before="63"/>
        <w:ind w:left="0" w:right="2709" w:firstLine="0"/>
        <w:jc w:val="right"/>
        <w:rPr>
          <w:rFonts w:ascii="Calibri"/>
          <w:sz w:val="18"/>
        </w:rPr>
      </w:pPr>
      <w:r>
        <w:rPr>
          <w:rFonts w:ascii="Calibri"/>
          <w:spacing w:val="-8"/>
          <w:sz w:val="18"/>
        </w:rPr>
        <w:t>150</w:t>
      </w:r>
    </w:p>
    <w:p>
      <w:pPr>
        <w:pStyle w:val="BodyText"/>
        <w:spacing w:before="7"/>
        <w:rPr>
          <w:rFonts w:ascii="Calibri"/>
        </w:rPr>
      </w:pPr>
    </w:p>
    <w:p>
      <w:pPr>
        <w:spacing w:before="63"/>
        <w:ind w:left="0" w:right="2709" w:firstLine="0"/>
        <w:jc w:val="right"/>
        <w:rPr>
          <w:rFonts w:ascii="Calibri"/>
          <w:sz w:val="18"/>
        </w:rPr>
      </w:pPr>
      <w:r>
        <w:rPr>
          <w:rFonts w:ascii="Calibri"/>
          <w:spacing w:val="-8"/>
          <w:sz w:val="18"/>
        </w:rPr>
        <w:t>100</w:t>
      </w:r>
    </w:p>
    <w:p>
      <w:pPr>
        <w:pStyle w:val="BodyText"/>
        <w:spacing w:before="6"/>
        <w:rPr>
          <w:rFonts w:ascii="Calibri"/>
        </w:rPr>
      </w:pPr>
    </w:p>
    <w:p>
      <w:pPr>
        <w:spacing w:before="63"/>
        <w:ind w:left="0" w:right="2789" w:firstLine="0"/>
        <w:jc w:val="right"/>
        <w:rPr>
          <w:rFonts w:ascii="Calibri"/>
          <w:sz w:val="18"/>
        </w:rPr>
      </w:pPr>
      <w:r>
        <w:rPr>
          <w:rFonts w:ascii="Calibri"/>
          <w:spacing w:val="-7"/>
          <w:w w:val="95"/>
          <w:sz w:val="18"/>
        </w:rPr>
        <w:t>50</w:t>
      </w:r>
    </w:p>
    <w:p>
      <w:pPr>
        <w:pStyle w:val="BodyText"/>
        <w:spacing w:before="7"/>
        <w:rPr>
          <w:rFonts w:ascii="Calibri"/>
        </w:rPr>
      </w:pPr>
    </w:p>
    <w:p>
      <w:pPr>
        <w:spacing w:before="63"/>
        <w:ind w:left="8031" w:right="0" w:firstLine="0"/>
        <w:jc w:val="left"/>
        <w:rPr>
          <w:rFonts w:ascii="Calibri"/>
          <w:sz w:val="18"/>
        </w:rPr>
      </w:pPr>
      <w:r>
        <w:rPr>
          <w:rFonts w:ascii="Calibri"/>
          <w:w w:val="99"/>
          <w:sz w:val="18"/>
        </w:rPr>
        <w:t>0</w:t>
      </w:r>
    </w:p>
    <w:p>
      <w:pPr>
        <w:tabs>
          <w:tab w:pos="1068" w:val="left" w:leader="none"/>
          <w:tab w:pos="1622" w:val="left" w:leader="none"/>
          <w:tab w:pos="2177" w:val="left" w:leader="none"/>
          <w:tab w:pos="2732" w:val="left" w:leader="none"/>
          <w:tab w:pos="3287" w:val="left" w:leader="none"/>
          <w:tab w:pos="3841" w:val="left" w:leader="none"/>
          <w:tab w:pos="4396" w:val="left" w:leader="none"/>
          <w:tab w:pos="4950" w:val="left" w:leader="none"/>
          <w:tab w:pos="5506" w:val="left" w:leader="none"/>
          <w:tab w:pos="6061" w:val="left" w:leader="none"/>
          <w:tab w:pos="6615" w:val="left" w:leader="none"/>
          <w:tab w:pos="7170" w:val="left" w:leader="none"/>
        </w:tabs>
        <w:spacing w:before="7"/>
        <w:ind w:left="513" w:right="0" w:firstLine="0"/>
        <w:jc w:val="left"/>
        <w:rPr>
          <w:rFonts w:ascii="Calibri"/>
          <w:sz w:val="18"/>
        </w:rPr>
      </w:pPr>
      <w:r>
        <w:rPr>
          <w:rFonts w:ascii="Calibri"/>
          <w:spacing w:val="-6"/>
          <w:sz w:val="18"/>
        </w:rPr>
        <w:t>1946</w:t>
        <w:tab/>
        <w:t>1951</w:t>
        <w:tab/>
        <w:t>1956</w:t>
        <w:tab/>
        <w:t>1961</w:t>
        <w:tab/>
        <w:t>1966</w:t>
        <w:tab/>
        <w:t>1971</w:t>
        <w:tab/>
        <w:t>1976</w:t>
        <w:tab/>
        <w:t>1981</w:t>
        <w:tab/>
        <w:t>1986</w:t>
        <w:tab/>
        <w:t>1991</w:t>
        <w:tab/>
        <w:t>1996</w:t>
        <w:tab/>
        <w:t>2001</w:t>
        <w:tab/>
        <w:t>2006</w:t>
      </w:r>
    </w:p>
    <w:p>
      <w:pPr>
        <w:pStyle w:val="BodyText"/>
        <w:spacing w:before="11"/>
        <w:rPr>
          <w:rFonts w:ascii="Calibri"/>
          <w:sz w:val="14"/>
        </w:rPr>
      </w:pPr>
    </w:p>
    <w:p>
      <w:pPr>
        <w:spacing w:before="0"/>
        <w:ind w:left="234" w:right="0" w:firstLine="0"/>
        <w:jc w:val="left"/>
        <w:rPr>
          <w:sz w:val="16"/>
        </w:rPr>
      </w:pPr>
      <w:r>
        <w:rPr>
          <w:sz w:val="16"/>
        </w:rPr>
        <w:t>Sources: DCLG, Nationwide, ONS.</w:t>
      </w:r>
    </w:p>
    <w:p>
      <w:pPr>
        <w:pStyle w:val="BodyText"/>
        <w:rPr>
          <w:sz w:val="18"/>
        </w:rPr>
      </w:pPr>
    </w:p>
    <w:p>
      <w:pPr>
        <w:spacing w:line="276" w:lineRule="auto" w:before="133"/>
        <w:ind w:left="518" w:right="1161" w:hanging="285"/>
        <w:jc w:val="left"/>
        <w:rPr>
          <w:sz w:val="16"/>
        </w:rPr>
      </w:pPr>
      <w:r>
        <w:rPr>
          <w:sz w:val="16"/>
        </w:rPr>
        <w:t>(a) From 1952 Q4 Nationwide nominal house price data, using the Office for National Statistics Retail Price Index (RPI) to convert past nominal prices to current (2011 Q3) values. Up to 1952 DCLG house price data converted to current (2011 Q3) values. Not seasonally adjusted.</w:t>
      </w:r>
    </w:p>
    <w:p>
      <w:pPr>
        <w:spacing w:after="0" w:line="276" w:lineRule="auto"/>
        <w:jc w:val="left"/>
        <w:rPr>
          <w:sz w:val="16"/>
        </w:rPr>
        <w:sectPr>
          <w:type w:val="continuous"/>
          <w:pgSz w:w="11900" w:h="16840"/>
          <w:pgMar w:top="1140" w:bottom="1580" w:left="900" w:right="0"/>
        </w:sectPr>
      </w:pPr>
    </w:p>
    <w:p>
      <w:pPr>
        <w:pStyle w:val="Heading1"/>
        <w:spacing w:before="127"/>
      </w:pPr>
      <w:r>
        <w:rPr/>
        <w:t>Chart 3: Number of housing starts</w:t>
      </w:r>
      <w:r>
        <w:rPr>
          <w:vertAlign w:val="superscript"/>
        </w:rPr>
        <w:t>(a)</w:t>
      </w:r>
    </w:p>
    <w:p>
      <w:pPr>
        <w:pStyle w:val="BodyText"/>
        <w:rPr>
          <w:b/>
          <w:sz w:val="16"/>
        </w:rPr>
      </w:pPr>
      <w:r>
        <w:rPr/>
        <w:br w:type="column"/>
      </w:r>
      <w:r>
        <w:rPr>
          <w:b/>
          <w:sz w:val="16"/>
        </w:rPr>
      </w:r>
    </w:p>
    <w:p>
      <w:pPr>
        <w:pStyle w:val="BodyText"/>
        <w:rPr>
          <w:b/>
          <w:sz w:val="16"/>
        </w:rPr>
      </w:pPr>
    </w:p>
    <w:p>
      <w:pPr>
        <w:spacing w:before="119"/>
        <w:ind w:left="233" w:right="0" w:firstLine="0"/>
        <w:jc w:val="left"/>
        <w:rPr>
          <w:rFonts w:ascii="Times New Roman"/>
          <w:sz w:val="15"/>
        </w:rPr>
      </w:pPr>
      <w:r>
        <w:rPr>
          <w:rFonts w:ascii="Times New Roman"/>
          <w:w w:val="130"/>
          <w:sz w:val="15"/>
        </w:rPr>
        <w:t>Thousands</w:t>
      </w:r>
    </w:p>
    <w:p>
      <w:pPr>
        <w:spacing w:before="43"/>
        <w:ind w:left="1015" w:right="0" w:firstLine="0"/>
        <w:jc w:val="left"/>
        <w:rPr>
          <w:rFonts w:ascii="Calibri"/>
          <w:sz w:val="15"/>
        </w:rPr>
      </w:pPr>
      <w:r>
        <w:rPr/>
        <w:pict>
          <v:group style="position:absolute;margin-left:59.220001pt;margin-top:6.649924pt;width:267.9pt;height:128.9pt;mso-position-horizontal-relative:page;mso-position-vertical-relative:paragraph;z-index:251663360" coordorigin="1184,133" coordsize="5358,2578">
            <v:line style="position:absolute" from="6491,138" to="6491,2706" stroked="true" strokeweight=".66pt" strokecolor="#868686">
              <v:stroke dashstyle="solid"/>
            </v:line>
            <v:shape style="position:absolute;left:6490;top:133;width:52;height:2578" coordorigin="6491,133" coordsize="52,2578" path="m6542,2701l6491,2701,6491,2711,6542,2711,6542,2701m6542,2442l6491,2442,6491,2453,6542,2453,6542,2442m6542,2184l6491,2184,6491,2193,6542,2193,6542,2184m6542,1925l6491,1925,6491,1934,6542,1934,6542,1925m6542,1676l6491,1676,6491,1686,6542,1686,6542,1676m6542,1417l6491,1417,6491,1427,6542,1427,6542,1417m6542,1158l6491,1158,6491,1169,6542,1169,6542,1158m6542,900l6491,900,6491,909,6542,909,6542,900m6542,650l6491,650,6491,660,6542,660,6542,650m6542,392l6491,392,6491,402,6542,402,6542,392m6542,133l6491,133,6491,143,6542,143,6542,133e" filled="true" fillcolor="#868686" stroked="false">
              <v:path arrowok="t"/>
              <v:fill type="solid"/>
            </v:shape>
            <v:line style="position:absolute" from="1190,2706" to="6491,2706" stroked="true" strokeweight=".47998pt" strokecolor="#868686">
              <v:stroke dashstyle="solid"/>
            </v:line>
            <v:shape style="position:absolute;left:1184;top:2656;width:4824;height:50" coordorigin="1184,2657" coordsize="4824,50" path="m1196,2657l1184,2657,1184,2706,1196,2706,1196,2657m1673,2657l1660,2657,1660,2706,1673,2706,1673,2657m2161,2657l2149,2657,2149,2706,2161,2706,2161,2657m2638,2657l2624,2657,2624,2706,2638,2706,2638,2657m3127,2657l3114,2657,3114,2706,3127,2706,3127,2657m3602,2657l3590,2657,3590,2706,3602,2706,3602,2657m4079,2657l4066,2657,4066,2706,4079,2706,4079,2657m4567,2657l4555,2657,4555,2706,4567,2706,4567,2657m5044,2657l5030,2657,5030,2706,5044,2706,5044,2657m5533,2657l5520,2657,5520,2706,5533,2706,5533,2657m6008,2657l5996,2657,5996,2706,6008,2706,6008,2657e" filled="true" fillcolor="#868686" stroked="false">
              <v:path arrowok="t"/>
              <v:fill type="solid"/>
            </v:shape>
            <v:shape style="position:absolute;left:1414;top:400;width:4840;height:1296" coordorigin="1415,401" coordsize="4840,1296" path="m4815,415l4787,415,4804,421,4791,424,5276,1451,5278,1452,5279,1454,5762,1697,5768,1697,5772,1693,5798,1677,5756,1677,5763,1673,5305,1443,5300,1443,5296,1439,5298,1439,4815,415xm5763,1673l5756,1677,5771,1677,5763,1673xm6238,1386l6233,1389,5763,1673,5771,1677,5798,1677,6254,1401,6254,1395,6251,1391,6246,1387,6238,1386xm5296,1439l5300,1443,5299,1440,5296,1439xm5299,1440l5300,1443,5305,1443,5299,1440xm5298,1439l5296,1439,5299,1440,5298,1439xm3360,421l3358,421,3354,422,3353,422,2864,621,2389,761,2392,761,1902,810,1427,870,1420,871,1415,876,1416,881,1417,887,1423,890,1430,889,1907,829,2395,780,2398,780,2874,639,3361,442,3356,441,3365,440,3584,440,3360,421xm3584,440l3365,440,3361,442,3833,481,4321,531,4325,531,4327,530,4411,511,4320,511,4321,511,3835,462,3584,440xm4321,511l4320,511,4325,511,4321,511xm4802,401l4795,402,4321,511,4325,511,4411,511,4791,424,4787,415,4815,415,4812,408,4810,403,4802,401xm3365,440l3356,441,3361,442,3365,440xm4787,415l4791,424,4804,421,4787,415xe" filled="true" fillcolor="#165788" stroked="false">
              <v:path arrowok="t"/>
              <v:fill type="solid"/>
            </v:shape>
            <w10:wrap type="none"/>
          </v:group>
        </w:pict>
      </w:r>
      <w:r>
        <w:rPr>
          <w:rFonts w:ascii="Calibri"/>
          <w:spacing w:val="-5"/>
          <w:w w:val="130"/>
          <w:sz w:val="15"/>
        </w:rPr>
        <w:t>200</w:t>
      </w:r>
    </w:p>
    <w:p>
      <w:pPr>
        <w:spacing w:before="74"/>
        <w:ind w:left="1015" w:right="0" w:firstLine="0"/>
        <w:jc w:val="left"/>
        <w:rPr>
          <w:rFonts w:ascii="Calibri"/>
          <w:sz w:val="15"/>
        </w:rPr>
      </w:pPr>
      <w:r>
        <w:rPr>
          <w:rFonts w:ascii="Calibri"/>
          <w:spacing w:val="-5"/>
          <w:w w:val="130"/>
          <w:sz w:val="15"/>
        </w:rPr>
        <w:t>180</w:t>
      </w:r>
    </w:p>
    <w:p>
      <w:pPr>
        <w:spacing w:before="73"/>
        <w:ind w:left="1015" w:right="0" w:firstLine="0"/>
        <w:jc w:val="left"/>
        <w:rPr>
          <w:rFonts w:ascii="Calibri"/>
          <w:sz w:val="15"/>
        </w:rPr>
      </w:pPr>
      <w:r>
        <w:rPr>
          <w:rFonts w:ascii="Calibri"/>
          <w:spacing w:val="-5"/>
          <w:w w:val="130"/>
          <w:sz w:val="15"/>
        </w:rPr>
        <w:t>160</w:t>
      </w:r>
    </w:p>
    <w:p>
      <w:pPr>
        <w:spacing w:before="74"/>
        <w:ind w:left="1015" w:right="0" w:firstLine="0"/>
        <w:jc w:val="left"/>
        <w:rPr>
          <w:rFonts w:ascii="Calibri"/>
          <w:sz w:val="15"/>
        </w:rPr>
      </w:pPr>
      <w:r>
        <w:rPr>
          <w:rFonts w:ascii="Calibri"/>
          <w:spacing w:val="-5"/>
          <w:w w:val="130"/>
          <w:sz w:val="15"/>
        </w:rPr>
        <w:t>140</w:t>
      </w:r>
    </w:p>
    <w:p>
      <w:pPr>
        <w:spacing w:before="73"/>
        <w:ind w:left="1015" w:right="0" w:firstLine="0"/>
        <w:jc w:val="left"/>
        <w:rPr>
          <w:rFonts w:ascii="Calibri"/>
          <w:sz w:val="15"/>
        </w:rPr>
      </w:pPr>
      <w:r>
        <w:rPr>
          <w:rFonts w:ascii="Calibri"/>
          <w:spacing w:val="-5"/>
          <w:w w:val="130"/>
          <w:sz w:val="15"/>
        </w:rPr>
        <w:t>120</w:t>
      </w:r>
    </w:p>
    <w:p>
      <w:pPr>
        <w:spacing w:before="73"/>
        <w:ind w:left="1015" w:right="0" w:firstLine="0"/>
        <w:jc w:val="left"/>
        <w:rPr>
          <w:rFonts w:ascii="Calibri"/>
          <w:sz w:val="15"/>
        </w:rPr>
      </w:pPr>
      <w:r>
        <w:rPr>
          <w:rFonts w:ascii="Calibri"/>
          <w:spacing w:val="-5"/>
          <w:w w:val="130"/>
          <w:sz w:val="15"/>
        </w:rPr>
        <w:t>100</w:t>
      </w:r>
    </w:p>
    <w:p>
      <w:pPr>
        <w:spacing w:before="74"/>
        <w:ind w:left="1006" w:right="0" w:firstLine="0"/>
        <w:jc w:val="left"/>
        <w:rPr>
          <w:rFonts w:ascii="Calibri"/>
          <w:sz w:val="15"/>
        </w:rPr>
      </w:pPr>
      <w:r>
        <w:rPr>
          <w:rFonts w:ascii="Calibri"/>
          <w:spacing w:val="-8"/>
          <w:w w:val="130"/>
          <w:sz w:val="15"/>
        </w:rPr>
        <w:t>80</w:t>
      </w:r>
    </w:p>
    <w:p>
      <w:pPr>
        <w:spacing w:before="74"/>
        <w:ind w:left="1006" w:right="0" w:firstLine="0"/>
        <w:jc w:val="left"/>
        <w:rPr>
          <w:rFonts w:ascii="Calibri"/>
          <w:sz w:val="15"/>
        </w:rPr>
      </w:pPr>
      <w:r>
        <w:rPr>
          <w:rFonts w:ascii="Calibri"/>
          <w:spacing w:val="-8"/>
          <w:w w:val="130"/>
          <w:sz w:val="15"/>
        </w:rPr>
        <w:t>60</w:t>
      </w:r>
    </w:p>
    <w:p>
      <w:pPr>
        <w:spacing w:before="72"/>
        <w:ind w:left="1006" w:right="0" w:firstLine="0"/>
        <w:jc w:val="left"/>
        <w:rPr>
          <w:rFonts w:ascii="Calibri"/>
          <w:sz w:val="15"/>
        </w:rPr>
      </w:pPr>
      <w:r>
        <w:rPr>
          <w:rFonts w:ascii="Calibri"/>
          <w:spacing w:val="-8"/>
          <w:w w:val="130"/>
          <w:sz w:val="15"/>
        </w:rPr>
        <w:t>40</w:t>
      </w:r>
    </w:p>
    <w:p>
      <w:pPr>
        <w:spacing w:before="74"/>
        <w:ind w:left="1006" w:right="0" w:firstLine="0"/>
        <w:jc w:val="left"/>
        <w:rPr>
          <w:rFonts w:ascii="Calibri"/>
          <w:sz w:val="15"/>
        </w:rPr>
      </w:pPr>
      <w:r>
        <w:rPr>
          <w:rFonts w:ascii="Calibri"/>
          <w:spacing w:val="-8"/>
          <w:w w:val="130"/>
          <w:sz w:val="15"/>
        </w:rPr>
        <w:t>20</w:t>
      </w:r>
    </w:p>
    <w:p>
      <w:pPr>
        <w:spacing w:before="74"/>
        <w:ind w:left="1010" w:right="0" w:firstLine="0"/>
        <w:jc w:val="left"/>
        <w:rPr>
          <w:rFonts w:ascii="Calibri"/>
          <w:sz w:val="15"/>
        </w:rPr>
      </w:pPr>
      <w:r>
        <w:rPr>
          <w:rFonts w:ascii="Calibri"/>
          <w:w w:val="128"/>
          <w:sz w:val="15"/>
        </w:rPr>
        <w:t>0</w:t>
      </w:r>
    </w:p>
    <w:p>
      <w:pPr>
        <w:spacing w:after="0"/>
        <w:jc w:val="left"/>
        <w:rPr>
          <w:rFonts w:ascii="Calibri"/>
          <w:sz w:val="15"/>
        </w:rPr>
        <w:sectPr>
          <w:pgSz w:w="11900" w:h="16840"/>
          <w:pgMar w:header="0" w:footer="1340" w:top="1600" w:bottom="1540" w:left="900" w:right="0"/>
          <w:cols w:num="2" w:equalWidth="0">
            <w:col w:w="3679" w:space="1082"/>
            <w:col w:w="6239"/>
          </w:cols>
        </w:sectPr>
      </w:pPr>
    </w:p>
    <w:p>
      <w:pPr>
        <w:tabs>
          <w:tab w:pos="916" w:val="left" w:leader="none"/>
          <w:tab w:pos="1399" w:val="left" w:leader="none"/>
          <w:tab w:pos="1880" w:val="left" w:leader="none"/>
          <w:tab w:pos="2362" w:val="left" w:leader="none"/>
          <w:tab w:pos="2844" w:val="left" w:leader="none"/>
          <w:tab w:pos="3326" w:val="left" w:leader="none"/>
          <w:tab w:pos="3807" w:val="left" w:leader="none"/>
          <w:tab w:pos="4289" w:val="left" w:leader="none"/>
          <w:tab w:pos="4771" w:val="left" w:leader="none"/>
          <w:tab w:pos="5252" w:val="left" w:leader="none"/>
        </w:tabs>
        <w:spacing w:before="6"/>
        <w:ind w:left="435" w:right="0" w:firstLine="0"/>
        <w:jc w:val="left"/>
        <w:rPr>
          <w:rFonts w:ascii="Calibri"/>
          <w:sz w:val="15"/>
        </w:rPr>
      </w:pPr>
      <w:r>
        <w:rPr>
          <w:rFonts w:ascii="Calibri"/>
          <w:spacing w:val="-4"/>
          <w:w w:val="130"/>
          <w:sz w:val="15"/>
        </w:rPr>
        <w:t>00</w:t>
        <w:tab/>
        <w:t>01</w:t>
        <w:tab/>
        <w:t>02</w:t>
        <w:tab/>
        <w:t>03</w:t>
        <w:tab/>
        <w:t>04</w:t>
        <w:tab/>
        <w:t>05</w:t>
        <w:tab/>
        <w:t>06</w:t>
        <w:tab/>
        <w:t>07</w:t>
        <w:tab/>
        <w:t>08</w:t>
        <w:tab/>
        <w:t>09</w:t>
        <w:tab/>
      </w:r>
      <w:r>
        <w:rPr>
          <w:rFonts w:ascii="Calibri"/>
          <w:spacing w:val="-8"/>
          <w:w w:val="130"/>
          <w:sz w:val="15"/>
        </w:rPr>
        <w:t>10</w:t>
      </w:r>
    </w:p>
    <w:p>
      <w:pPr>
        <w:pStyle w:val="BodyText"/>
        <w:spacing w:before="7"/>
        <w:rPr>
          <w:rFonts w:ascii="Calibri"/>
          <w:sz w:val="11"/>
        </w:rPr>
      </w:pPr>
    </w:p>
    <w:p>
      <w:pPr>
        <w:spacing w:before="94"/>
        <w:ind w:left="234" w:right="0" w:firstLine="0"/>
        <w:jc w:val="left"/>
        <w:rPr>
          <w:sz w:val="16"/>
        </w:rPr>
      </w:pPr>
      <w:r>
        <w:rPr>
          <w:sz w:val="16"/>
        </w:rPr>
        <w:t>Source: DCLG.</w:t>
      </w:r>
    </w:p>
    <w:p>
      <w:pPr>
        <w:pStyle w:val="BodyText"/>
        <w:rPr>
          <w:sz w:val="18"/>
        </w:rPr>
      </w:pPr>
    </w:p>
    <w:p>
      <w:pPr>
        <w:spacing w:before="133"/>
        <w:ind w:left="234" w:right="0" w:firstLine="0"/>
        <w:jc w:val="left"/>
        <w:rPr>
          <w:sz w:val="16"/>
        </w:rPr>
      </w:pPr>
      <w:r>
        <w:rPr>
          <w:sz w:val="16"/>
        </w:rPr>
        <w:t>(a) Annual number of housing starts by private enterprises, local authorities and registered social landlords.</w:t>
      </w:r>
    </w:p>
    <w:p>
      <w:pPr>
        <w:pStyle w:val="BodyText"/>
        <w:rPr>
          <w:sz w:val="18"/>
        </w:rPr>
      </w:pPr>
    </w:p>
    <w:p>
      <w:pPr>
        <w:pStyle w:val="BodyText"/>
        <w:rPr>
          <w:sz w:val="18"/>
        </w:rPr>
      </w:pPr>
    </w:p>
    <w:p>
      <w:pPr>
        <w:pStyle w:val="BodyText"/>
        <w:spacing w:before="5"/>
        <w:rPr>
          <w:sz w:val="15"/>
        </w:rPr>
      </w:pPr>
    </w:p>
    <w:p>
      <w:pPr>
        <w:pStyle w:val="Heading1"/>
      </w:pPr>
      <w:r>
        <w:rPr/>
        <w:t>Chart 4: Net flow of mortgage lending</w:t>
      </w:r>
      <w:r>
        <w:rPr>
          <w:vertAlign w:val="superscript"/>
        </w:rPr>
        <w:t>(a)</w:t>
      </w:r>
    </w:p>
    <w:p>
      <w:pPr>
        <w:pStyle w:val="BodyText"/>
        <w:rPr>
          <w:b/>
        </w:rPr>
      </w:pPr>
    </w:p>
    <w:p>
      <w:pPr>
        <w:pStyle w:val="BodyText"/>
        <w:spacing w:before="10"/>
        <w:rPr>
          <w:b/>
          <w:sz w:val="18"/>
        </w:rPr>
      </w:pPr>
    </w:p>
    <w:p>
      <w:pPr>
        <w:spacing w:line="188" w:lineRule="exact" w:before="68"/>
        <w:ind w:left="2811" w:right="4491" w:firstLine="0"/>
        <w:jc w:val="center"/>
        <w:rPr>
          <w:rFonts w:ascii="Calibri" w:hAnsi="Calibri"/>
          <w:sz w:val="16"/>
        </w:rPr>
      </w:pPr>
      <w:r>
        <w:rPr>
          <w:rFonts w:ascii="Calibri" w:hAnsi="Calibri"/>
          <w:sz w:val="16"/>
        </w:rPr>
        <w:t>£bn</w:t>
      </w:r>
    </w:p>
    <w:p>
      <w:pPr>
        <w:spacing w:line="188" w:lineRule="exact" w:before="0"/>
        <w:ind w:left="3202" w:right="4491" w:firstLine="0"/>
        <w:jc w:val="center"/>
        <w:rPr>
          <w:rFonts w:ascii="Calibri"/>
          <w:sz w:val="16"/>
        </w:rPr>
      </w:pPr>
      <w:r>
        <w:rPr/>
        <w:pict>
          <v:group style="position:absolute;margin-left:67.559998pt;margin-top:4.594543pt;width:211.35pt;height:143.050pt;mso-position-horizontal-relative:page;mso-position-vertical-relative:paragraph;z-index:251664384" coordorigin="1351,92" coordsize="4227,2861">
            <v:line style="position:absolute" from="5525,97" to="5525,2948" stroked="true" strokeweight=".54001pt" strokecolor="#868686">
              <v:stroke dashstyle="solid"/>
            </v:line>
            <v:shape style="position:absolute;left:5524;top:91;width:53;height:2861" coordorigin="5525,92" coordsize="53,2861" path="m5578,2942l5525,2942,5525,2953,5578,2953,5578,2942m5578,2537l5525,2537,5525,2548,5578,2548,5578,2537m5578,2123l5525,2123,5525,2134,5578,2134,5578,2123m5578,1719l5525,1719,5525,1730,5578,1730,5578,1719m5578,1315l5525,1315,5525,1326,5578,1326,5578,1315m5578,899l5525,899,5525,910,5578,910,5578,899m5578,496l5525,496,5525,506,5578,506,5578,496m5578,92l5525,92,5525,103,5578,103,5578,92e" filled="true" fillcolor="#868686" stroked="false">
              <v:path arrowok="t"/>
              <v:fill type="solid"/>
            </v:shape>
            <v:line style="position:absolute" from="1356,2543" to="5525,2543" stroked="true" strokeweight=".53998pt" strokecolor="#868686">
              <v:stroke dashstyle="solid"/>
            </v:line>
            <v:shape style="position:absolute;left:1351;top:2490;width:4106;height:53" coordorigin="1351,2491" coordsize="4106,53" path="m1361,2491l1351,2491,1351,2544,1361,2544,1361,2491m1585,2500l1574,2500,1574,2544,1585,2544,1585,2500m1819,2491l1808,2491,1808,2544,1819,2544,1819,2491m2042,2500l2032,2500,2032,2544,2042,2544,2042,2500m2266,2491l2255,2491,2255,2544,2266,2544,2266,2491m2500,2500l2489,2500,2489,2544,2500,2544,2500,2500m2723,2491l2712,2491,2712,2544,2723,2544,2723,2491m2957,2500l2946,2500,2946,2544,2957,2544,2957,2500m3180,2491l3169,2491,3169,2544,3180,2544,3180,2491m3403,2500l3392,2500,3392,2544,3403,2544,3403,2500m3637,2491l3626,2491,3626,2544,3637,2544,3637,2491m3860,2500l3850,2500,3850,2544,3860,2544,3860,2500m4094,2491l4084,2491,4084,2544,4094,2544,4094,2491m4318,2500l4307,2500,4307,2544,4318,2544,4318,2500m4541,2491l4530,2491,4530,2544,4541,2544,4541,2491m4775,2500l4764,2500,4764,2544,4775,2544,4775,2500m4998,2491l4988,2491,4988,2544,4998,2544,4998,2491m5232,2500l5222,2500,5222,2544,5232,2544,5232,2500m5456,2491l5446,2491,5446,2544,5456,2544,5456,2491e" filled="true" fillcolor="#868686" stroked="false">
              <v:path arrowok="t"/>
              <v:fill type="solid"/>
            </v:shape>
            <v:shape style="position:absolute;left:1351;top:408;width:4116;height:2236" coordorigin="1351,408" coordsize="4116,2236" path="m5457,2437l5456,2434,5455,2429,5455,2427,5454,2426,5437,2401,5430,2390,5425,2389,5422,2390,5417,2391,5413,2395,5413,2398,5405,2483,5404,2487,5404,2486,5404,2487,5404,2482,5392,2305,5392,2299,5388,2294,5383,2294,5377,2293,5372,2296,5371,2301,5350,2365,5350,2367,5347,2389,5347,2391,5360,2451,5347,2390,5347,2391,5346,2390,5339,2356,5317,2187,5317,2180,5312,2176,5300,2176,5297,2181,5297,2188,5283,2477,5283,2485,5282,2483,5282,2487,5282,2482,5275,2408,5265,2359,5264,2355,5263,2350,5258,2347,5249,2347,5244,2350,5243,2355,5236,2398,5222,2230,5222,2229,5221,2223,5216,2218,5212,2219,5206,2219,5201,2223,5201,2230,5191,2395,5191,2405,5191,2401,5190,2384,5190,2379,5190,2377,5189,2374,5188,2373,5167,2341,5164,2336,5158,2335,5152,2338,5147,2341,5146,2348,5148,2351,5126,2468,5129,2468,5125,2472,5110,2308,5105,2248,5105,2228,5083,2228,5074,2288,5072,2288,5051,2248,5032,2248,5030,2248,5019,2294,5018,2288,5017,2288,4996,2268,4978,2268,4978,2288,4964,2449,4959,2408,4956,2388,4934,2388,4930,2409,4924,2288,4924,2268,4904,2268,4903,2288,4892,2348,4882,2288,4860,2288,4852,2325,4841,2228,4838,2208,4818,2208,4807,2348,4808,2348,4804,2358,4788,2228,4786,2208,4764,2208,4761,2244,4761,2258,4761,2248,4761,2248,4754,1788,4753,1788,4733,1788,4721,1864,4711,1808,4690,1388,4669,1288,4658,1208,4657,1208,4637,1128,4615,1028,4595,888,4583,888,4562,488,4541,488,4525,616,4517,608,4519,628,4499,528,4498,528,4493,508,4482,508,4477,528,4466,748,4470,748,4464,754,4445,648,4430,608,4423,588,4404,588,4402,588,4391,568,4369,548,4370,548,4350,428,4349,408,4328,408,4328,428,4318,585,4318,568,4315,568,4312,568,4307,548,4303,568,4300,568,4297,568,4297,570,4278,588,4276,588,4263,645,4254,608,4234,608,4232,608,4215,748,4201,748,4201,768,4190,858,4180,768,4178,768,4159,768,4158,768,4158,770,4138,808,4127,848,4105,908,4109,908,4087,928,4090,928,4066,948,4063,948,4054,1013,4052,988,4032,988,4032,989,4031,988,4031,991,4022,1016,4009,968,3989,968,3975,1112,3967,1068,3966,1068,3961,1048,3956,1068,3946,1068,3935,1148,3938,1148,3916,1168,3914,1168,3907,1217,3893,1008,3892,1008,3882,968,3860,868,3839,728,3818,608,3797,608,3789,686,3786,628,3766,628,3764,628,3765,631,3752,666,3743,648,3742,628,3724,628,3703,668,3701,668,3699,680,3672,528,3668,508,3648,508,3626,508,3611,808,3598,808,3595,828,3574,868,3554,1013,3550,1008,3546,1008,3520,988,3514,988,3511,996,3498,948,3479,948,3478,948,3478,950,3457,1008,3462,988,3453,997,3445,971,3445,968,3444,968,3425,968,3403,1108,3404,1108,3383,1168,3362,1208,3361,1208,3356,1242,3350,1128,3329,1128,3307,1308,3310,1308,3288,1348,3287,1348,3265,1448,3254,1488,3256,1488,3235,1528,3236,1528,3212,1548,3199,1586,3190,1568,3187,1568,3174,1548,3161,1548,3139,1588,3116,1588,3096,1648,3074,1688,3064,1728,3066,1728,3044,1748,3024,1768,3002,1788,2989,1788,2989,1808,2973,1896,2965,1888,2964,1888,2960,1868,2930,1868,2927,1888,2926,1888,2921,1905,2914,1768,2893,1768,2877,1844,2868,1828,2870,1848,2850,1788,2830,1788,2828,1788,2823,1862,2818,1848,2800,1848,2779,1868,2776,1868,2754,1768,2734,1768,2723,1868,2724,1868,2714,1887,2707,1868,2700,1848,2681,1848,2659,1928,2658,1928,2636,1888,2626,1868,2605,1868,2586,2055,2579,2048,2564,2048,2552,2088,2554,2088,2532,2128,2508,2128,2488,2088,2477,2068,2459,2068,2437,2108,2438,2108,2417,2128,2394,2128,2394,2148,2393,2151,2392,2148,2381,2128,2362,2128,2299,2128,2298,2148,2297,2150,2296,2148,2286,2128,2267,2128,2246,2128,2245,2148,2233,2171,2221,2148,2216,2128,2210,2108,2192,2108,2181,2160,2170,2108,2168,2088,2149,2088,2129,2143,2113,2128,2096,2128,2085,2151,2074,2128,2071,2108,2053,2108,2053,2128,2035,2228,2023,2228,2012,2248,2003,2208,1998,2188,1979,2188,1958,2248,1957,2252,1955,2248,1944,2228,1927,2228,1910,2258,1898,2248,1862,2248,1861,2268,1855,2300,1849,2288,1810,2288,1788,2308,1790,2308,1788,2313,1775,2288,1752,2288,1730,2268,1711,2268,1702,2228,1686,2228,1671,2241,1657,2228,1656,2228,1650,2228,1646,2208,1643,2228,1640,2228,1639,2228,1640,2229,1631,2238,1616,2210,1616,2208,1615,2208,1613,2188,1600,2188,1596,2208,1595,2208,1591,2236,1584,2208,1583,2208,1572,2188,1561,2168,1544,2168,1523,2208,1507,2208,1486,2188,1469,2188,1452,2236,1444,2229,1445,2228,1444,2228,1441,2228,1438,2208,1434,2228,1428,2228,1427,2228,1422,2238,1411,2228,1414,2228,1392,2188,1391,2168,1375,2168,1373,2188,1351,2228,1356,2228,1362,2248,1368,2248,1384,2209,1394,2228,1397,2228,1416,2248,1416,2248,1417,2248,1420,2268,1430,2268,1433,2248,1435,2248,1437,2244,1452,2268,1463,2268,1465,2248,1466,2248,1482,2219,1492,2228,1529,2228,1538,2208,1541,2208,1553,2197,1565,2208,1564,2208,1586,2308,1606,2308,1606,2288,1612,2239,1618,2248,1619,2248,1622,2268,1632,2268,1647,2243,1661,2268,1675,2268,1685,2260,1693,2288,1715,2288,1738,2308,1757,2308,1778,2348,1794,2348,1805,2328,1806,2328,1828,2308,1831,2308,1853,2348,1871,2348,1872,2328,1883,2268,1885,2268,1909,2288,1922,2288,1939,2260,1948,2268,1950,2288,1964,2288,1967,2268,1985,2234,1999,2288,2020,2288,2020,2288,2021,2288,2020,2287,2036,2258,2038,2268,2048,2268,2056,2228,2067,2166,2075,2188,2093,2188,2104,2168,2109,2158,2118,2167,2118,2168,2119,2168,2119,2168,2136,2168,2154,2135,2170,2208,2171,2208,2174,2228,2185,2228,2189,2208,2191,2208,2190,2204,2205,2152,2224,2188,2243,2188,2264,2148,2274,2148,2287,2188,2306,2188,2312,2168,2318,2148,2369,2148,2383,2188,2404,2188,2408,2168,2413,2148,2431,2148,2454,2128,2454,2108,2455,2108,2464,2100,2490,2148,2550,2148,2551,2128,2579,2077,2593,2088,2597,2088,2600,2068,2605,2068,2623,1919,2639,1948,2677,1948,2680,1928,2693,1891,2702,1908,2704,1908,2707,1928,2719,1928,2722,1908,2743,1868,2744,1868,2747,1842,2755,1888,2794,1888,2804,1879,2819,1908,2821,1928,2836,1928,2839,1908,2846,1834,2851,1848,2854,1848,2872,1866,2872,1868,2875,1868,2878,1868,2881,1888,2888,1868,2890,1868,2892,1868,2897,1844,2897,1842,2897,1844,2904,1968,2924,1968,2941,1908,2957,1908,2947,1888,2968,1927,2968,1928,2968,1927,2969,1928,2988,1928,3010,1808,3017,1808,3038,1788,3084,1748,3095,1708,3094,1708,3115,1668,3137,1608,3155,1608,3157,1588,3173,1573,3191,1607,3191,1608,3192,1608,3193,1628,3210,1628,3211,1608,3233,1548,3230,1548,3251,1528,3252,1528,3274,1508,3275,1508,3276,1488,3286,1448,3307,1348,3306,1348,3328,1328,3329,1308,3335,1256,3340,1348,3340,1368,3360,1368,3360,1348,3361,1348,3361,1342,3382,1208,3380,1208,3402,1168,3424,1108,3425,1108,3436,1028,3448,1028,3476,1008,3486,981,3499,1028,3500,1028,3520,1028,3525,1017,3536,1028,3534,1028,3558,1048,3574,1048,3594,888,3599,873,3605,928,3606,928,3611,948,3622,948,3626,928,3633,808,3647,528,3652,528,3670,628,3690,748,3691,748,3696,768,3707,768,3710,748,3712,748,3722,668,3720,688,3731,669,3744,708,3764,708,3768,695,3775,828,3775,848,3796,848,3797,828,3810,694,3840,888,3860,968,3871,1028,3871,1008,3893,1308,3913,1308,3935,1168,3932,1188,3955,1168,3956,1148,3958,1137,3967,1188,3988,1188,4004,1024,4010,1048,4015,1048,4020,1068,4024,1068,4028,1048,4030,1048,4031,1048,4030,1047,4035,1038,4042,1108,4046,1128,4057,1128,4062,1108,4081,968,4081,965,4099,948,4102,948,4123,928,4126,928,4158,808,4157,828,4163,811,4180,948,4181,968,4200,968,4201,948,4219,788,4229,788,4232,768,4235,748,4247,661,4254,688,4274,688,4276,688,4296,588,4294,608,4299,599,4307,768,4328,768,4344,517,4350,548,4351,548,4373,588,4382,608,4411,608,4424,648,4450,788,4460,788,4474,768,4487,748,4488,748,4495,610,4499,628,4521,646,4520,648,4521,647,4523,648,4541,648,4547,604,4562,908,4573,908,4595,1028,4616,1128,4637,1208,4648,1288,4669,1388,4690,1808,4711,1928,4712,1928,4717,1948,4727,1948,4732,1928,4733,1928,4735,1915,4744,2468,4764,2468,4777,2322,4786,2388,4788,2388,4789,2388,4799,2408,4802,2408,4805,2388,4807,2388,4807,2386,4826,2368,4828,2368,4829,2348,4831,2325,4831,2322,4831,2323,4840,2388,4844,2408,4854,2408,4859,2388,4860,2388,4870,2343,4882,2408,4883,2408,4888,2428,4897,2428,4902,2408,4903,2408,4908,2379,4914,2488,4914,2508,4933,2508,4934,2488,4942,2459,4956,2548,4978,2548,4997,2304,5002,2308,4999,2308,5010,2348,5029,2348,5030,2328,5045,2272,5053,2288,5054,2308,5089,2308,5105,2488,5105,2508,5123,2508,5144,2488,5146,2488,5147,2468,5166,2378,5168,2381,5179,2612,5179,2619,5184,2623,5196,2623,5201,2619,5201,2612,5214,2384,5222,2230,5214,2381,5214,2384,5222,2485,5222,2491,5227,2495,5237,2495,5242,2492,5243,2487,5243,2483,5254,2419,5275,2633,5275,2633,5275,2641,5280,2644,5292,2644,5296,2639,5297,2635,5312,2311,5317,2359,5339,2455,5340,2461,5345,2464,5350,2463,5356,2463,5359,2459,5360,2455,5361,2451,5371,2371,5371,2369,5370,2371,5375,2357,5375,2356,5375,2360,5392,2612,5392,2613,5393,2619,5396,2623,5408,2623,5413,2619,5413,2612,5432,2431,5436,2437,5436,2437,5457,2437m5467,2477l5466,2471,5457,2438,5436,2438,5436,2438,5446,2476,5447,2482,5453,2486,5459,2485,5464,2483,5467,2477e" filled="true" fillcolor="#165788" stroked="false">
              <v:path arrowok="t"/>
              <v:fill type="solid"/>
            </v:shape>
            <w10:wrap type="none"/>
          </v:group>
        </w:pict>
      </w:r>
      <w:r>
        <w:rPr>
          <w:rFonts w:ascii="Calibri"/>
          <w:spacing w:val="-7"/>
          <w:sz w:val="16"/>
        </w:rPr>
        <w:t>12</w:t>
      </w:r>
    </w:p>
    <w:p>
      <w:pPr>
        <w:pStyle w:val="BodyText"/>
        <w:spacing w:before="11"/>
        <w:rPr>
          <w:rFonts w:ascii="Calibri"/>
          <w:sz w:val="11"/>
        </w:rPr>
      </w:pPr>
    </w:p>
    <w:p>
      <w:pPr>
        <w:spacing w:before="67"/>
        <w:ind w:left="3202" w:right="4491" w:firstLine="0"/>
        <w:jc w:val="center"/>
        <w:rPr>
          <w:rFonts w:ascii="Calibri"/>
          <w:sz w:val="16"/>
        </w:rPr>
      </w:pPr>
      <w:r>
        <w:rPr>
          <w:rFonts w:ascii="Calibri"/>
          <w:spacing w:val="-7"/>
          <w:sz w:val="16"/>
        </w:rPr>
        <w:t>10</w:t>
      </w:r>
    </w:p>
    <w:p>
      <w:pPr>
        <w:pStyle w:val="BodyText"/>
        <w:spacing w:before="11"/>
        <w:rPr>
          <w:rFonts w:ascii="Calibri"/>
          <w:sz w:val="11"/>
        </w:rPr>
      </w:pPr>
    </w:p>
    <w:p>
      <w:pPr>
        <w:spacing w:before="68"/>
        <w:ind w:left="0" w:right="1372" w:firstLine="0"/>
        <w:jc w:val="center"/>
        <w:rPr>
          <w:rFonts w:ascii="Calibri"/>
          <w:sz w:val="16"/>
        </w:rPr>
      </w:pPr>
      <w:r>
        <w:rPr>
          <w:rFonts w:ascii="Calibri"/>
          <w:w w:val="99"/>
          <w:sz w:val="16"/>
        </w:rPr>
        <w:t>8</w:t>
      </w:r>
    </w:p>
    <w:p>
      <w:pPr>
        <w:pStyle w:val="BodyText"/>
        <w:spacing w:before="9"/>
        <w:rPr>
          <w:rFonts w:ascii="Calibri"/>
          <w:sz w:val="11"/>
        </w:rPr>
      </w:pPr>
    </w:p>
    <w:p>
      <w:pPr>
        <w:spacing w:before="68"/>
        <w:ind w:left="0" w:right="1372" w:firstLine="0"/>
        <w:jc w:val="center"/>
        <w:rPr>
          <w:rFonts w:ascii="Calibri"/>
          <w:sz w:val="16"/>
        </w:rPr>
      </w:pPr>
      <w:r>
        <w:rPr>
          <w:rFonts w:ascii="Calibri"/>
          <w:w w:val="99"/>
          <w:sz w:val="16"/>
        </w:rPr>
        <w:t>6</w:t>
      </w:r>
    </w:p>
    <w:p>
      <w:pPr>
        <w:pStyle w:val="BodyText"/>
        <w:spacing w:before="11"/>
        <w:rPr>
          <w:rFonts w:ascii="Calibri"/>
          <w:sz w:val="11"/>
        </w:rPr>
      </w:pPr>
    </w:p>
    <w:p>
      <w:pPr>
        <w:spacing w:before="67"/>
        <w:ind w:left="0" w:right="1372" w:firstLine="0"/>
        <w:jc w:val="center"/>
        <w:rPr>
          <w:rFonts w:ascii="Calibri"/>
          <w:sz w:val="16"/>
        </w:rPr>
      </w:pPr>
      <w:r>
        <w:rPr>
          <w:rFonts w:ascii="Calibri"/>
          <w:w w:val="99"/>
          <w:sz w:val="16"/>
        </w:rPr>
        <w:t>4</w:t>
      </w:r>
    </w:p>
    <w:p>
      <w:pPr>
        <w:pStyle w:val="BodyText"/>
        <w:spacing w:before="11"/>
        <w:rPr>
          <w:rFonts w:ascii="Calibri"/>
          <w:sz w:val="11"/>
        </w:rPr>
      </w:pPr>
    </w:p>
    <w:p>
      <w:pPr>
        <w:spacing w:before="68"/>
        <w:ind w:left="0" w:right="1372" w:firstLine="0"/>
        <w:jc w:val="center"/>
        <w:rPr>
          <w:rFonts w:ascii="Calibri"/>
          <w:sz w:val="16"/>
        </w:rPr>
      </w:pPr>
      <w:r>
        <w:rPr>
          <w:rFonts w:ascii="Calibri"/>
          <w:w w:val="99"/>
          <w:sz w:val="16"/>
        </w:rPr>
        <w:t>2</w:t>
      </w:r>
    </w:p>
    <w:p>
      <w:pPr>
        <w:pStyle w:val="BodyText"/>
        <w:spacing w:before="11"/>
        <w:rPr>
          <w:rFonts w:ascii="Calibri"/>
          <w:sz w:val="11"/>
        </w:rPr>
      </w:pPr>
    </w:p>
    <w:p>
      <w:pPr>
        <w:spacing w:before="67"/>
        <w:ind w:left="0" w:right="1372" w:firstLine="0"/>
        <w:jc w:val="center"/>
        <w:rPr>
          <w:rFonts w:ascii="Calibri"/>
          <w:sz w:val="16"/>
        </w:rPr>
      </w:pPr>
      <w:r>
        <w:rPr>
          <w:rFonts w:ascii="Calibri"/>
          <w:w w:val="99"/>
          <w:sz w:val="16"/>
        </w:rPr>
        <w:t>0</w:t>
      </w:r>
    </w:p>
    <w:p>
      <w:pPr>
        <w:pStyle w:val="BodyText"/>
        <w:spacing w:before="11"/>
        <w:rPr>
          <w:rFonts w:ascii="Calibri"/>
          <w:sz w:val="11"/>
        </w:rPr>
      </w:pPr>
    </w:p>
    <w:p>
      <w:pPr>
        <w:spacing w:before="67"/>
        <w:ind w:left="3178" w:right="4491" w:firstLine="0"/>
        <w:jc w:val="center"/>
        <w:rPr>
          <w:rFonts w:ascii="Calibri" w:hAnsi="Calibri"/>
          <w:sz w:val="16"/>
        </w:rPr>
      </w:pPr>
      <w:r>
        <w:rPr>
          <w:rFonts w:ascii="Calibri" w:hAnsi="Calibri"/>
          <w:spacing w:val="2"/>
          <w:sz w:val="16"/>
        </w:rPr>
        <w:t>‐2</w:t>
      </w:r>
    </w:p>
    <w:p>
      <w:pPr>
        <w:tabs>
          <w:tab w:pos="454" w:val="left" w:leader="none"/>
          <w:tab w:pos="910" w:val="left" w:leader="none"/>
          <w:tab w:pos="1365" w:val="left" w:leader="none"/>
          <w:tab w:pos="1820" w:val="left" w:leader="none"/>
          <w:tab w:pos="2275" w:val="left" w:leader="none"/>
          <w:tab w:pos="2730" w:val="left" w:leader="none"/>
          <w:tab w:pos="3185" w:val="left" w:leader="none"/>
          <w:tab w:pos="3641" w:val="left" w:leader="none"/>
          <w:tab w:pos="4096" w:val="left" w:leader="none"/>
        </w:tabs>
        <w:spacing w:before="8"/>
        <w:ind w:left="0" w:right="5968" w:firstLine="0"/>
        <w:jc w:val="center"/>
        <w:rPr>
          <w:rFonts w:ascii="Calibri"/>
          <w:sz w:val="16"/>
        </w:rPr>
      </w:pPr>
      <w:r>
        <w:rPr>
          <w:rFonts w:ascii="Calibri"/>
          <w:spacing w:val="-4"/>
          <w:sz w:val="16"/>
        </w:rPr>
        <w:t>93</w:t>
        <w:tab/>
        <w:t>95</w:t>
        <w:tab/>
        <w:t>97</w:t>
        <w:tab/>
        <w:t>99</w:t>
        <w:tab/>
        <w:t>01</w:t>
        <w:tab/>
        <w:t>03</w:t>
        <w:tab/>
        <w:t>05</w:t>
        <w:tab/>
        <w:t>07</w:t>
        <w:tab/>
        <w:t>09</w:t>
        <w:tab/>
      </w:r>
      <w:r>
        <w:rPr>
          <w:rFonts w:ascii="Calibri"/>
          <w:spacing w:val="-7"/>
          <w:sz w:val="16"/>
        </w:rPr>
        <w:t>11</w:t>
      </w:r>
    </w:p>
    <w:p>
      <w:pPr>
        <w:pStyle w:val="BodyText"/>
        <w:spacing w:before="4"/>
        <w:rPr>
          <w:rFonts w:ascii="Calibri"/>
          <w:sz w:val="16"/>
        </w:rPr>
      </w:pPr>
    </w:p>
    <w:p>
      <w:pPr>
        <w:spacing w:before="95"/>
        <w:ind w:left="234" w:right="0" w:firstLine="0"/>
        <w:jc w:val="left"/>
        <w:rPr>
          <w:sz w:val="16"/>
        </w:rPr>
      </w:pPr>
      <w:r>
        <w:rPr>
          <w:sz w:val="16"/>
        </w:rPr>
        <w:t>Source: Bank of England.</w:t>
      </w:r>
    </w:p>
    <w:p>
      <w:pPr>
        <w:pStyle w:val="BodyText"/>
        <w:rPr>
          <w:sz w:val="18"/>
        </w:rPr>
      </w:pPr>
    </w:p>
    <w:p>
      <w:pPr>
        <w:spacing w:before="161"/>
        <w:ind w:left="234" w:right="0" w:firstLine="0"/>
        <w:jc w:val="left"/>
        <w:rPr>
          <w:sz w:val="16"/>
        </w:rPr>
      </w:pPr>
      <w:r>
        <w:rPr>
          <w:rFonts w:ascii="Calibri"/>
          <w:sz w:val="16"/>
        </w:rPr>
        <w:t>(a) </w:t>
      </w:r>
      <w:r>
        <w:rPr>
          <w:sz w:val="16"/>
        </w:rPr>
        <w:t>Monthly changes of total sterling net secured lending to individuals and housing associations. Seasonally adjusted.</w:t>
      </w:r>
    </w:p>
    <w:p>
      <w:pPr>
        <w:pStyle w:val="BodyText"/>
        <w:rPr>
          <w:sz w:val="18"/>
        </w:rPr>
      </w:pPr>
    </w:p>
    <w:p>
      <w:pPr>
        <w:pStyle w:val="BodyText"/>
        <w:spacing w:line="360" w:lineRule="auto" w:before="153"/>
        <w:ind w:left="234" w:right="1157"/>
      </w:pPr>
      <w:r>
        <w:rPr/>
        <w:t>The</w:t>
      </w:r>
      <w:r>
        <w:rPr>
          <w:spacing w:val="-5"/>
        </w:rPr>
        <w:t> </w:t>
      </w:r>
      <w:r>
        <w:rPr/>
        <w:t>decline</w:t>
      </w:r>
      <w:r>
        <w:rPr>
          <w:spacing w:val="-4"/>
        </w:rPr>
        <w:t> </w:t>
      </w:r>
      <w:r>
        <w:rPr/>
        <w:t>in</w:t>
      </w:r>
      <w:r>
        <w:rPr>
          <w:spacing w:val="-4"/>
        </w:rPr>
        <w:t> </w:t>
      </w:r>
      <w:r>
        <w:rPr/>
        <w:t>housing</w:t>
      </w:r>
      <w:r>
        <w:rPr>
          <w:spacing w:val="-4"/>
        </w:rPr>
        <w:t> </w:t>
      </w:r>
      <w:r>
        <w:rPr/>
        <w:t>market</w:t>
      </w:r>
      <w:r>
        <w:rPr>
          <w:spacing w:val="-4"/>
        </w:rPr>
        <w:t> </w:t>
      </w:r>
      <w:r>
        <w:rPr/>
        <w:t>activity</w:t>
      </w:r>
      <w:r>
        <w:rPr>
          <w:spacing w:val="-4"/>
        </w:rPr>
        <w:t> </w:t>
      </w:r>
      <w:r>
        <w:rPr/>
        <w:t>occurred</w:t>
      </w:r>
      <w:r>
        <w:rPr>
          <w:spacing w:val="-4"/>
        </w:rPr>
        <w:t> </w:t>
      </w:r>
      <w:r>
        <w:rPr/>
        <w:t>despite</w:t>
      </w:r>
      <w:r>
        <w:rPr>
          <w:spacing w:val="-4"/>
        </w:rPr>
        <w:t> </w:t>
      </w:r>
      <w:r>
        <w:rPr/>
        <w:t>an</w:t>
      </w:r>
      <w:r>
        <w:rPr>
          <w:spacing w:val="-4"/>
        </w:rPr>
        <w:t> </w:t>
      </w:r>
      <w:r>
        <w:rPr/>
        <w:t>unprecedented</w:t>
      </w:r>
      <w:r>
        <w:rPr>
          <w:spacing w:val="-4"/>
        </w:rPr>
        <w:t> </w:t>
      </w:r>
      <w:r>
        <w:rPr/>
        <w:t>reduction</w:t>
      </w:r>
      <w:r>
        <w:rPr>
          <w:spacing w:val="-4"/>
        </w:rPr>
        <w:t> </w:t>
      </w:r>
      <w:r>
        <w:rPr/>
        <w:t>in</w:t>
      </w:r>
      <w:r>
        <w:rPr>
          <w:spacing w:val="-4"/>
        </w:rPr>
        <w:t> </w:t>
      </w:r>
      <w:r>
        <w:rPr/>
        <w:t>the</w:t>
      </w:r>
      <w:r>
        <w:rPr>
          <w:spacing w:val="-4"/>
        </w:rPr>
        <w:t> </w:t>
      </w:r>
      <w:r>
        <w:rPr/>
        <w:t>Bank</w:t>
      </w:r>
      <w:r>
        <w:rPr>
          <w:spacing w:val="-3"/>
        </w:rPr>
        <w:t> </w:t>
      </w:r>
      <w:r>
        <w:rPr/>
        <w:t>of</w:t>
      </w:r>
      <w:r>
        <w:rPr>
          <w:spacing w:val="-4"/>
        </w:rPr>
        <w:t> </w:t>
      </w:r>
      <w:r>
        <w:rPr/>
        <w:t>England’s key interest rate (Bank Rate) to 0.5% in March 2009, to the lowest level – by far – in the over 300-year history of the Bank. It has remained there since. Implied forecasts of Bank Rate based on prices of interest rate instruments suggest that even by the Autumn of 2014, the level of Bank Rate will only be around 1% (Chart 5). I think it is fair to say that virtually no-one (perhaps literally no-one) anticipated all this at the start of</w:t>
      </w:r>
      <w:r>
        <w:rPr>
          <w:spacing w:val="-2"/>
        </w:rPr>
        <w:t> </w:t>
      </w:r>
      <w:r>
        <w:rPr/>
        <w:t>2007.</w:t>
      </w:r>
    </w:p>
    <w:p>
      <w:pPr>
        <w:spacing w:after="0" w:line="360" w:lineRule="auto"/>
        <w:sectPr>
          <w:type w:val="continuous"/>
          <w:pgSz w:w="11900" w:h="16840"/>
          <w:pgMar w:top="1140" w:bottom="1580" w:left="900" w:right="0"/>
        </w:sectPr>
      </w:pPr>
    </w:p>
    <w:p>
      <w:pPr>
        <w:pStyle w:val="BodyText"/>
        <w:spacing w:before="4"/>
        <w:rPr>
          <w:sz w:val="29"/>
        </w:rPr>
      </w:pPr>
    </w:p>
    <w:p>
      <w:pPr>
        <w:pStyle w:val="Heading1"/>
        <w:spacing w:before="129"/>
      </w:pPr>
      <w:r>
        <w:rPr/>
        <w:t>Chart 5: Historical Bank Rate and market-implied expectations</w:t>
      </w:r>
      <w:r>
        <w:rPr>
          <w:vertAlign w:val="superscript"/>
        </w:rPr>
        <w:t>(a)</w:t>
      </w:r>
    </w:p>
    <w:p>
      <w:pPr>
        <w:pStyle w:val="BodyText"/>
        <w:spacing w:before="2"/>
        <w:rPr>
          <w:b/>
          <w:sz w:val="28"/>
        </w:rPr>
      </w:pPr>
    </w:p>
    <w:p>
      <w:pPr>
        <w:spacing w:before="69"/>
        <w:ind w:left="0" w:right="6007" w:firstLine="0"/>
        <w:jc w:val="right"/>
        <w:rPr>
          <w:rFonts w:ascii="Calibri"/>
          <w:sz w:val="16"/>
        </w:rPr>
      </w:pPr>
      <w:r>
        <w:rPr>
          <w:rFonts w:ascii="Calibri"/>
          <w:sz w:val="16"/>
        </w:rPr>
        <w:t>Per cent</w:t>
      </w:r>
    </w:p>
    <w:p>
      <w:pPr>
        <w:spacing w:before="23"/>
        <w:ind w:left="0" w:right="5979" w:firstLine="0"/>
        <w:jc w:val="right"/>
        <w:rPr>
          <w:rFonts w:ascii="Calibri"/>
          <w:sz w:val="16"/>
        </w:rPr>
      </w:pPr>
      <w:r>
        <w:rPr/>
        <w:pict>
          <v:group style="position:absolute;margin-left:64.379997pt;margin-top:5.766943pt;width:222.2pt;height:146.950pt;mso-position-horizontal-relative:page;mso-position-vertical-relative:paragraph;z-index:251666432" coordorigin="1288,115" coordsize="4444,2939">
            <v:line style="position:absolute" from="5678,121" to="5678,3048" stroked="true" strokeweight=".53998pt" strokecolor="#868686">
              <v:stroke dashstyle="solid"/>
            </v:line>
            <v:shape style="position:absolute;left:5677;top:115;width:54;height:2939" coordorigin="5677,115" coordsize="54,2939" path="m5731,3043l5677,3043,5677,3054,5731,3054,5731,3043m5731,2623l5677,2623,5677,2634,5731,2634,5731,2623m5731,2203l5677,2203,5677,2214,5731,2214,5731,2203m5731,1794l5677,1794,5677,1805,5731,1805,5731,1794m5731,1374l5677,1374,5677,1385,5731,1385,5731,1374m5731,955l5677,955,5677,966,5731,966,5731,955m5731,535l5677,535,5677,546,5731,546,5731,535m5731,115l5677,115,5677,126,5731,126,5731,115e" filled="true" fillcolor="#868686" stroked="false">
              <v:path arrowok="t"/>
              <v:fill type="solid"/>
            </v:shape>
            <v:line style="position:absolute" from="1294,3049" to="5677,3049" stroked="true" strokeweight=".54004pt" strokecolor="#868686">
              <v:stroke dashstyle="solid"/>
            </v:line>
            <v:shape style="position:absolute;left:1287;top:2994;width:4063;height:55" coordorigin="1288,2994" coordsize="4063,55" path="m1298,2994l1288,2994,1288,3048,1298,3048,1298,2994m2320,2994l2309,2994,2309,3048,2320,3048,2320,2994m3330,2994l3319,2994,3319,3048,3330,3048,3330,2994m4340,2994l4330,2994,4330,3048,4340,3048,4340,2994m5350,2994l5339,2994,5339,3048,5350,3048,5350,2994e" filled="true" fillcolor="#868686" stroked="false">
              <v:path arrowok="t"/>
              <v:fill type="solid"/>
            </v:shape>
            <v:shape style="position:absolute;left:1293;top:632;width:1532;height:2228" coordorigin="1294,633" coordsize="1532,2228" path="m2384,2628l2384,2853,2392,2860,2818,2860,2825,2853,2825,2844,2417,2844,2400,2827,2417,2827,2417,2645,2400,2645,2384,2628xm2417,2827l2400,2827,2417,2844,2417,2827xm2818,2827l2417,2827,2417,2844,2825,2844,2825,2835,2818,2827xm2341,2424l2341,2638,2348,2645,2384,2645,2384,2628,2374,2628,2357,2613,2374,2613,2374,2440,2357,2440,2341,2424xm2410,2613l2374,2613,2374,2628,2384,2628,2400,2645,2417,2645,2417,2620,2410,2613xm2374,2613l2357,2613,2374,2628,2374,2613xm2298,2209l2309,2425,2310,2434,2316,2440,2341,2440,2341,2424,2374,2424,2374,2423,2341,2423,2326,2409,2340,2409,2331,2225,2315,2225,2298,2209xm2374,2424l2341,2424,2357,2440,2374,2440,2374,2424xm2340,2409l2326,2409,2341,2423,2340,2409xm2366,2409l2340,2409,2341,2423,2374,2423,2374,2416,2366,2409xm2255,1800l2255,2218,2262,2225,2299,2225,2298,2209,2287,2209,2272,2193,2287,2193,2287,1816,2272,1816,2255,1800xm2323,2193l2287,2193,2287,2209,2298,2209,2315,2225,2331,2225,2330,2209,2330,2200,2323,2193xm2287,2193l2272,2193,2287,2209,2287,2193xm2213,1165l2213,1809,2220,1816,2255,1816,2255,1800,2244,1800,2228,1783,2244,1783,2244,1181,2228,1181,2213,1165xm2280,1783l2244,1783,2244,1800,2255,1800,2272,1816,2287,1816,2287,1791,2280,1783xm2244,1783l2228,1783,2244,1800,2244,1783xm2180,960l2180,1174,2188,1181,2213,1181,2213,1165,2196,1149,2213,1149,2213,977,2196,977,2180,960xm2237,1149l2213,1149,2213,1165,2228,1181,2244,1181,2244,1156,2237,1149xm2213,1149l2196,1149,2213,1165,2213,1149xm1460,837l1307,837,1300,843,1298,851,1294,905,1294,945,1304,945,1294,955,1294,977,1313,977,1320,970,1320,963,1329,869,1315,869,1331,855,1493,855,1493,852,1460,852,1460,837xm1922,852l1922,970,1930,977,2180,977,2180,960,1955,960,1938,945,1955,945,1955,869,1938,869,1922,852xm2206,945l1955,945,1955,960,2180,960,2196,977,2213,977,2213,952,2206,945xm1955,945l1938,945,1955,960,1955,945xm1331,855l1315,869,1329,869,1331,855xm1493,855l1331,855,1329,869,1486,869,1493,862,1493,855xm1836,756l1836,862,1843,869,1922,869,1922,852,1868,852,1853,837,1868,837,1868,772,1853,772,1836,756xm1948,837l1868,837,1868,852,1922,852,1938,869,1955,869,1955,844,1948,837xm1535,739l1468,739,1460,747,1460,852,1476,837,1493,837,1493,772,1476,772,1493,756,1535,756,1535,739xm1493,837l1476,837,1460,852,1493,852,1493,837xm1868,837l1853,837,1868,852,1868,837xm1493,756l1476,772,1493,772,1493,756xm1567,739l1552,739,1535,756,1493,756,1493,772,1560,772,1567,765,1567,739xm1751,648l1751,765,1758,772,1836,772,1836,756,1782,756,1766,739,1782,739,1782,665,1766,665,1751,648xm1861,739l1782,739,1782,756,1836,756,1853,772,1868,772,1868,747,1861,739xm1775,633l1542,633,1535,640,1535,756,1552,739,1567,739,1567,665,1552,665,1567,648,1782,648,1782,640,1775,633xm1782,739l1766,739,1782,756,1782,739xm1567,648l1552,665,1567,665,1567,648xm1751,648l1567,648,1567,665,1751,665,1751,648xm1782,648l1751,648,1766,665,1782,665,1782,648xe" filled="true" fillcolor="#165788" stroked="false">
              <v:path arrowok="t"/>
              <v:fill type="solid"/>
            </v:shape>
            <v:line style="position:absolute" from="2792,2844" to="3803,2844" stroked="true" strokeweight="1.62pt" strokecolor="#165788">
              <v:stroke dashstyle="solid"/>
            </v:line>
            <v:shape style="position:absolute;left:3770;top:2395;width:1926;height:465" coordorigin="3770,2395" coordsize="1926,465" path="m3988,2848l3980,2849,3824,2849,3857,2860,3964,2860,3988,2848xm3832,2817l3778,2817,3770,2824,3770,2842,3778,2849,3980,2849,3988,2848,4170,2848,4189,2838,4184,2838,4192,2837,4321,2837,4343,2830,3952,2830,3954,2829,3866,2829,3862,2827,3863,2827,3835,2818,3833,2818,3832,2817xm4170,2848l3988,2848,3985,2849,4168,2849,4170,2848xm4192,2837l4184,2838,4189,2838,4192,2837xm4321,2837l4192,2837,4189,2838,4318,2838,4321,2837xm4160,2817l3978,2817,3974,2818,3973,2819,3952,2830,3959,2827,4469,2827,4494,2819,4156,2819,4160,2817xm4350,2827l3959,2827,3952,2830,4343,2830,4350,2827xm3863,2827l3862,2827,3866,2829,3863,2827xm3956,2827l3863,2827,3866,2829,3954,2829,3956,2827xm4312,2806l4182,2806,4156,2819,4163,2817,4597,2817,4616,2807,4308,2807,4312,2806xm4501,2817l4163,2817,4156,2819,4494,2819,4501,2817xm4697,2794l4690,2795,4464,2795,4458,2796,4340,2796,4308,2807,4313,2806,4614,2806,4621,2805,4675,2805,4697,2794xm4621,2805l4614,2806,4313,2806,4308,2807,4616,2807,4621,2805xm4675,2805l4621,2805,4619,2806,4673,2806,4675,2805xm4462,2795l4344,2795,4342,2796,4458,2796,4462,2795xm4590,2784l4494,2784,4493,2785,4490,2785,4458,2796,4464,2795,4690,2795,4697,2794,4752,2794,4774,2787,4585,2787,4590,2784xm4752,2794l4697,2794,4694,2795,4748,2795,4752,2794xm4666,2773l4612,2773,4585,2787,4592,2784,4801,2784,4818,2776,4661,2776,4666,2773xm4781,2784l4592,2784,4585,2787,4774,2787,4781,2784xm4792,2753l4770,2753,4738,2764,4685,2764,4661,2776,4668,2773,4818,2773,4825,2772,4858,2772,4894,2754,4789,2754,4792,2753xm4825,2772l4818,2773,4668,2773,4661,2776,4818,2776,4825,2772xm4858,2772l4825,2772,4823,2773,4855,2773,4858,2772xm4846,2742l4813,2742,4789,2754,4796,2753,4894,2753,4901,2751,4933,2751,4948,2743,4843,2743,4846,2742xm4901,2751l4894,2753,4796,2753,4789,2754,4894,2754,4901,2751xm4933,2751l4901,2751,4896,2753,4928,2753,4933,2751xm4921,2721l4889,2721,4843,2743,4850,2742,4950,2742,4955,2740,4971,2731,4968,2731,4975,2729,5008,2729,5022,2722,4919,2722,4921,2721xm4950,2742l4850,2742,4843,2743,4948,2743,4950,2742xm4975,2729l4968,2731,4971,2731,4975,2729xm5008,2729l4975,2729,4971,2731,5003,2731,5008,2729xm4996,2699l4963,2699,4961,2700,4940,2711,4919,2722,4926,2721,5024,2721,5029,2718,5030,2718,5059,2709,5062,2709,5062,2707,5076,2700,4993,2700,4996,2699xm5024,2721l4926,2721,4919,2722,5022,2722,5024,2721xm5030,2718l5029,2718,5027,2719,5030,2718xm5050,2677l5017,2688,5016,2689,5015,2689,4993,2700,5000,2699,5078,2699,5105,2686,5106,2686,5128,2679,5047,2679,5050,2677xm5078,2699l5000,2699,4993,2700,5076,2700,5078,2699xm5106,2686l5105,2686,5102,2687,5106,2686xm5200,2623l5167,2623,5166,2625,5123,2646,5125,2646,5093,2657,5090,2657,5047,2679,5128,2679,5135,2676,5136,2676,5137,2675,5176,2656,5173,2656,5180,2653,5212,2653,5255,2632,5257,2632,5278,2625,5197,2625,5200,2623xm5180,2653l5173,2656,5176,2656,5180,2653xm5212,2653l5180,2653,5176,2656,5208,2656,5210,2655,5212,2653xm5257,2632l5255,2632,5254,2633,5257,2632xm5425,2517l5393,2527,5392,2527,5392,2529,5370,2539,5346,2550,5316,2571,5273,2592,5275,2592,5243,2603,5240,2603,5197,2625,5204,2623,5281,2623,5285,2622,5287,2622,5287,2621,5309,2611,5330,2601,5364,2578,5384,2568,5406,2557,5404,2557,5436,2547,5438,2547,5459,2536,5458,2536,5490,2525,5491,2525,5506,2518,5424,2518,5425,2517xm5281,2623l5204,2623,5197,2625,5278,2625,5281,2623xm5479,2495l5447,2506,5446,2506,5444,2507,5424,2518,5506,2518,5534,2503,5536,2503,5557,2496,5477,2496,5479,2495xm5536,2503l5534,2503,5532,2505,5536,2503xm5549,2464l5522,2473,5521,2473,5520,2475,5477,2496,5557,2496,5564,2494,5569,2491,5570,2489,5592,2467,5596,2467,5598,2466,5548,2466,5549,2464xm5596,2467l5592,2467,5588,2471,5596,2467xm5555,2463l5549,2464,5548,2466,5555,2463xm5605,2463l5555,2463,5548,2466,5598,2466,5605,2463xm5629,2419l5598,2430,5597,2430,5596,2431,5574,2442,5573,2443,5570,2443,5549,2464,5555,2463,5605,2463,5610,2460,5611,2460,5640,2451,5641,2451,5641,2449,5642,2449,5693,2424,5694,2421,5628,2421,5629,2419xm5611,2460l5610,2460,5608,2461,5611,2460xm5678,2395l5670,2399,5650,2410,5628,2421,5694,2421,5696,2415,5693,2406,5688,2398,5678,2395xe" filled="true" fillcolor="#be4b48" stroked="false">
              <v:path arrowok="t"/>
              <v:fill type="solid"/>
            </v:shape>
            <v:line style="position:absolute" from="3716,681" to="4018,681" stroked="true" strokeweight="1.56pt" strokecolor="#165788">
              <v:stroke dashstyle="solid"/>
            </v:line>
            <v:line style="position:absolute" from="3716,1014" to="4018,1014" stroked="true" strokeweight="1.56pt" strokecolor="#be4b48">
              <v:stroke dashstyle="solid"/>
            </v:line>
            <v:shape style="position:absolute;left:4038;top:607;width:814;height:500" type="#_x0000_t202" filled="false" stroked="false">
              <v:textbox inset="0,0,0,0">
                <w:txbxContent>
                  <w:p>
                    <w:pPr>
                      <w:spacing w:line="164" w:lineRule="exact" w:before="0"/>
                      <w:ind w:left="0" w:right="0" w:firstLine="0"/>
                      <w:jc w:val="left"/>
                      <w:rPr>
                        <w:rFonts w:ascii="Calibri"/>
                        <w:sz w:val="16"/>
                      </w:rPr>
                    </w:pPr>
                    <w:r>
                      <w:rPr>
                        <w:rFonts w:ascii="Calibri"/>
                        <w:sz w:val="16"/>
                      </w:rPr>
                      <w:t>Bank Rate</w:t>
                    </w:r>
                  </w:p>
                  <w:p>
                    <w:pPr>
                      <w:spacing w:line="193" w:lineRule="exact" w:before="143"/>
                      <w:ind w:left="0" w:right="0" w:firstLine="0"/>
                      <w:jc w:val="left"/>
                      <w:rPr>
                        <w:rFonts w:ascii="Calibri"/>
                        <w:sz w:val="16"/>
                      </w:rPr>
                    </w:pPr>
                    <w:r>
                      <w:rPr>
                        <w:rFonts w:ascii="Calibri"/>
                        <w:sz w:val="16"/>
                      </w:rPr>
                      <w:t>OIS Forward</w:t>
                    </w:r>
                  </w:p>
                </w:txbxContent>
              </v:textbox>
              <w10:wrap type="none"/>
            </v:shape>
            <w10:wrap type="none"/>
          </v:group>
        </w:pict>
      </w:r>
      <w:r>
        <w:rPr>
          <w:rFonts w:ascii="Calibri"/>
          <w:w w:val="100"/>
          <w:sz w:val="16"/>
        </w:rPr>
        <w:t>7</w:t>
      </w:r>
    </w:p>
    <w:p>
      <w:pPr>
        <w:pStyle w:val="BodyText"/>
        <w:spacing w:before="7"/>
        <w:rPr>
          <w:rFonts w:ascii="Calibri"/>
          <w:sz w:val="12"/>
        </w:rPr>
      </w:pPr>
    </w:p>
    <w:p>
      <w:pPr>
        <w:spacing w:before="68"/>
        <w:ind w:left="0" w:right="1042" w:firstLine="0"/>
        <w:jc w:val="center"/>
        <w:rPr>
          <w:rFonts w:ascii="Calibri"/>
          <w:sz w:val="16"/>
        </w:rPr>
      </w:pPr>
      <w:r>
        <w:rPr>
          <w:rFonts w:ascii="Calibri"/>
          <w:w w:val="100"/>
          <w:sz w:val="16"/>
        </w:rPr>
        <w:t>6</w:t>
      </w:r>
    </w:p>
    <w:p>
      <w:pPr>
        <w:pStyle w:val="BodyText"/>
        <w:spacing w:before="7"/>
        <w:rPr>
          <w:rFonts w:ascii="Calibri"/>
          <w:sz w:val="12"/>
        </w:rPr>
      </w:pPr>
    </w:p>
    <w:p>
      <w:pPr>
        <w:spacing w:before="69"/>
        <w:ind w:left="0" w:right="1042" w:firstLine="0"/>
        <w:jc w:val="center"/>
        <w:rPr>
          <w:rFonts w:ascii="Calibri"/>
          <w:sz w:val="16"/>
        </w:rPr>
      </w:pPr>
      <w:r>
        <w:rPr>
          <w:rFonts w:ascii="Calibri"/>
          <w:w w:val="100"/>
          <w:sz w:val="16"/>
        </w:rPr>
        <w:t>5</w:t>
      </w:r>
    </w:p>
    <w:p>
      <w:pPr>
        <w:pStyle w:val="BodyText"/>
        <w:spacing w:before="8"/>
        <w:rPr>
          <w:rFonts w:ascii="Calibri"/>
          <w:sz w:val="12"/>
        </w:rPr>
      </w:pPr>
    </w:p>
    <w:p>
      <w:pPr>
        <w:spacing w:before="69"/>
        <w:ind w:left="0" w:right="1042" w:firstLine="0"/>
        <w:jc w:val="center"/>
        <w:rPr>
          <w:rFonts w:ascii="Calibri"/>
          <w:sz w:val="16"/>
        </w:rPr>
      </w:pPr>
      <w:r>
        <w:rPr>
          <w:rFonts w:ascii="Calibri"/>
          <w:w w:val="100"/>
          <w:sz w:val="16"/>
        </w:rPr>
        <w:t>4</w:t>
      </w:r>
    </w:p>
    <w:p>
      <w:pPr>
        <w:pStyle w:val="BodyText"/>
        <w:spacing w:before="7"/>
        <w:rPr>
          <w:rFonts w:ascii="Calibri"/>
          <w:sz w:val="12"/>
        </w:rPr>
      </w:pPr>
    </w:p>
    <w:p>
      <w:pPr>
        <w:spacing w:before="69"/>
        <w:ind w:left="0" w:right="1042" w:firstLine="0"/>
        <w:jc w:val="center"/>
        <w:rPr>
          <w:rFonts w:ascii="Calibri"/>
          <w:sz w:val="16"/>
        </w:rPr>
      </w:pPr>
      <w:r>
        <w:rPr>
          <w:rFonts w:ascii="Calibri"/>
          <w:w w:val="100"/>
          <w:sz w:val="16"/>
        </w:rPr>
        <w:t>3</w:t>
      </w:r>
    </w:p>
    <w:p>
      <w:pPr>
        <w:pStyle w:val="BodyText"/>
        <w:spacing w:before="7"/>
        <w:rPr>
          <w:rFonts w:ascii="Calibri"/>
          <w:sz w:val="12"/>
        </w:rPr>
      </w:pPr>
    </w:p>
    <w:p>
      <w:pPr>
        <w:spacing w:before="69"/>
        <w:ind w:left="0" w:right="1042" w:firstLine="0"/>
        <w:jc w:val="center"/>
        <w:rPr>
          <w:rFonts w:ascii="Calibri"/>
          <w:sz w:val="16"/>
        </w:rPr>
      </w:pPr>
      <w:r>
        <w:rPr>
          <w:rFonts w:ascii="Calibri"/>
          <w:w w:val="100"/>
          <w:sz w:val="16"/>
        </w:rPr>
        <w:t>2</w:t>
      </w:r>
    </w:p>
    <w:p>
      <w:pPr>
        <w:pStyle w:val="BodyText"/>
        <w:spacing w:before="7"/>
        <w:rPr>
          <w:rFonts w:ascii="Calibri"/>
          <w:sz w:val="12"/>
        </w:rPr>
      </w:pPr>
    </w:p>
    <w:p>
      <w:pPr>
        <w:spacing w:before="69"/>
        <w:ind w:left="0" w:right="1042" w:firstLine="0"/>
        <w:jc w:val="center"/>
        <w:rPr>
          <w:rFonts w:ascii="Calibri"/>
          <w:sz w:val="16"/>
        </w:rPr>
      </w:pPr>
      <w:r>
        <w:rPr>
          <w:rFonts w:ascii="Calibri"/>
          <w:w w:val="100"/>
          <w:sz w:val="16"/>
        </w:rPr>
        <w:t>1</w:t>
      </w:r>
    </w:p>
    <w:p>
      <w:pPr>
        <w:pStyle w:val="BodyText"/>
        <w:spacing w:before="8"/>
        <w:rPr>
          <w:rFonts w:ascii="Calibri"/>
          <w:sz w:val="12"/>
        </w:rPr>
      </w:pPr>
    </w:p>
    <w:p>
      <w:pPr>
        <w:spacing w:before="69"/>
        <w:ind w:left="0" w:right="1042" w:firstLine="0"/>
        <w:jc w:val="center"/>
        <w:rPr>
          <w:rFonts w:ascii="Calibri"/>
          <w:sz w:val="16"/>
        </w:rPr>
      </w:pPr>
      <w:r>
        <w:rPr>
          <w:rFonts w:ascii="Calibri"/>
          <w:w w:val="100"/>
          <w:sz w:val="16"/>
        </w:rPr>
        <w:t>0</w:t>
      </w:r>
    </w:p>
    <w:p>
      <w:pPr>
        <w:tabs>
          <w:tab w:pos="1015" w:val="left" w:leader="none"/>
          <w:tab w:pos="2028" w:val="left" w:leader="none"/>
          <w:tab w:pos="3042" w:val="left" w:leader="none"/>
          <w:tab w:pos="4054" w:val="left" w:leader="none"/>
        </w:tabs>
        <w:spacing w:before="10"/>
        <w:ind w:left="0" w:right="6143" w:firstLine="0"/>
        <w:jc w:val="center"/>
        <w:rPr>
          <w:rFonts w:ascii="Calibri"/>
          <w:sz w:val="16"/>
        </w:rPr>
      </w:pPr>
      <w:r>
        <w:rPr>
          <w:rFonts w:ascii="Calibri"/>
          <w:spacing w:val="-4"/>
          <w:sz w:val="16"/>
        </w:rPr>
        <w:t>07</w:t>
        <w:tab/>
        <w:t>09</w:t>
        <w:tab/>
        <w:t>11</w:t>
        <w:tab/>
        <w:t>13</w:t>
        <w:tab/>
      </w:r>
      <w:r>
        <w:rPr>
          <w:rFonts w:ascii="Calibri"/>
          <w:spacing w:val="-8"/>
          <w:sz w:val="16"/>
        </w:rPr>
        <w:t>15</w:t>
      </w:r>
    </w:p>
    <w:p>
      <w:pPr>
        <w:pStyle w:val="BodyText"/>
        <w:spacing w:before="6"/>
        <w:rPr>
          <w:rFonts w:ascii="Calibri"/>
          <w:sz w:val="22"/>
        </w:rPr>
      </w:pPr>
    </w:p>
    <w:p>
      <w:pPr>
        <w:spacing w:before="95"/>
        <w:ind w:left="234" w:right="0" w:firstLine="0"/>
        <w:jc w:val="left"/>
        <w:rPr>
          <w:sz w:val="16"/>
        </w:rPr>
      </w:pPr>
      <w:r>
        <w:rPr>
          <w:sz w:val="16"/>
        </w:rPr>
        <w:t>Sources: Bloomberg, Bank of England and Bank of England calculations.</w:t>
      </w:r>
    </w:p>
    <w:p>
      <w:pPr>
        <w:pStyle w:val="BodyText"/>
        <w:rPr>
          <w:sz w:val="18"/>
        </w:rPr>
      </w:pPr>
    </w:p>
    <w:p>
      <w:pPr>
        <w:tabs>
          <w:tab w:pos="660" w:val="left" w:leader="none"/>
        </w:tabs>
        <w:spacing w:before="161"/>
        <w:ind w:left="234" w:right="0" w:firstLine="0"/>
        <w:jc w:val="left"/>
        <w:rPr>
          <w:sz w:val="16"/>
        </w:rPr>
      </w:pPr>
      <w:r>
        <w:rPr>
          <w:sz w:val="16"/>
        </w:rPr>
        <w:t>(a)</w:t>
        <w:tab/>
        <w:t>Instantaneous forward rates derived from the Bank’s overnight index swap (OIS) curves. Data as of 10 November</w:t>
      </w:r>
      <w:r>
        <w:rPr>
          <w:spacing w:val="-6"/>
          <w:sz w:val="16"/>
        </w:rPr>
        <w:t> </w:t>
      </w:r>
      <w:r>
        <w:rPr>
          <w:sz w:val="16"/>
        </w:rPr>
        <w:t>2011.</w:t>
      </w:r>
    </w:p>
    <w:p>
      <w:pPr>
        <w:pStyle w:val="BodyText"/>
        <w:rPr>
          <w:sz w:val="18"/>
        </w:rPr>
      </w:pPr>
    </w:p>
    <w:p>
      <w:pPr>
        <w:pStyle w:val="BodyText"/>
        <w:spacing w:line="360" w:lineRule="auto" w:before="162"/>
        <w:ind w:left="233" w:right="1141"/>
      </w:pPr>
      <w:r>
        <w:rPr/>
        <w:t>These developments reflect the scale of the financial crisis. Right from the beginning of this crisis, the housing market was at the centre. By mid-2007, the proportion of delinquencies among subprime mortgages had increased considerably in the US. Investors in mortgage-backed securities started to mistrust the quality of banks’ lending policies. Issuance of securities backed by mortgages plummeted, and not just in the US; it happened in the UK. Banks that had relied on securitization as a form of funding of mortgage lending found themselves short of liquidity. Uncertainty spread as to which banks were most exposed to mortgage losses, or exposed to another bank which itself was likely to suffer losses from mortgage exposures. Banks ceased to trust each others’ ability to repay their debt and were only willing to lend to each other at very short maturities, if at all. The crisis had started.</w:t>
      </w:r>
    </w:p>
    <w:p>
      <w:pPr>
        <w:pStyle w:val="BodyText"/>
        <w:rPr>
          <w:sz w:val="30"/>
        </w:rPr>
      </w:pPr>
    </w:p>
    <w:p>
      <w:pPr>
        <w:pStyle w:val="BodyText"/>
        <w:spacing w:line="360" w:lineRule="auto"/>
        <w:ind w:left="233" w:right="1161"/>
      </w:pPr>
      <w:r>
        <w:rPr/>
        <w:t>Its first very widely visible manifestation in the UK came in September 2007, when the Bank of England provided Northern Rock with liquidity support and there was a retail run on that bank. In February 2008, Northern Rock was taken into public ownership.</w:t>
      </w:r>
    </w:p>
    <w:p>
      <w:pPr>
        <w:pStyle w:val="BodyText"/>
        <w:rPr>
          <w:sz w:val="30"/>
        </w:rPr>
      </w:pPr>
    </w:p>
    <w:p>
      <w:pPr>
        <w:pStyle w:val="BodyText"/>
        <w:spacing w:line="360" w:lineRule="auto"/>
        <w:ind w:left="233" w:right="1231"/>
      </w:pPr>
      <w:r>
        <w:rPr/>
        <w:t>In the four years since then the UK has been through an exceptionally severe recession. The level of real GDP has fallen by about 4% since its pre-crisis peak in 2007 and remains well over 10% below its pre-crisis trend path (Chart 6). After some recovery during 2009 and 2010, growth has fallen back to close to zero.</w:t>
      </w:r>
    </w:p>
    <w:p>
      <w:pPr>
        <w:pStyle w:val="BodyText"/>
        <w:spacing w:line="229" w:lineRule="exact"/>
        <w:ind w:left="233"/>
      </w:pPr>
      <w:r>
        <w:rPr/>
        <w:t>The unemployment rate has increased from just over 5% at the end of 2007 to 8% (Chart 7).</w:t>
      </w:r>
    </w:p>
    <w:p>
      <w:pPr>
        <w:spacing w:after="0" w:line="229" w:lineRule="exact"/>
        <w:sectPr>
          <w:pgSz w:w="11900" w:h="16840"/>
          <w:pgMar w:header="0" w:footer="1340" w:top="1600" w:bottom="1540" w:left="900" w:right="0"/>
        </w:sectPr>
      </w:pPr>
    </w:p>
    <w:p>
      <w:pPr>
        <w:pStyle w:val="BodyText"/>
        <w:spacing w:before="4"/>
        <w:rPr>
          <w:sz w:val="29"/>
        </w:rPr>
      </w:pPr>
    </w:p>
    <w:p>
      <w:pPr>
        <w:pStyle w:val="Heading1"/>
        <w:spacing w:before="129"/>
      </w:pPr>
      <w:r>
        <w:rPr/>
        <w:t>Chart 6: UK real GDP, indexed to peak</w:t>
      </w:r>
      <w:r>
        <w:rPr>
          <w:vertAlign w:val="superscript"/>
        </w:rPr>
        <w:t>(a)</w:t>
      </w:r>
    </w:p>
    <w:p>
      <w:pPr>
        <w:pStyle w:val="BodyText"/>
        <w:rPr>
          <w:b/>
        </w:rPr>
      </w:pPr>
    </w:p>
    <w:p>
      <w:pPr>
        <w:pStyle w:val="BodyText"/>
        <w:rPr>
          <w:b/>
          <w:sz w:val="17"/>
        </w:rPr>
      </w:pPr>
    </w:p>
    <w:p>
      <w:pPr>
        <w:spacing w:before="1"/>
        <w:ind w:left="2902" w:right="4491" w:firstLine="0"/>
        <w:jc w:val="center"/>
        <w:rPr>
          <w:rFonts w:ascii="Calibri"/>
          <w:sz w:val="16"/>
        </w:rPr>
      </w:pPr>
      <w:r>
        <w:rPr/>
        <w:pict>
          <v:group style="position:absolute;margin-left:69.419998pt;margin-top:4.847361pt;width:199.6pt;height:155.25pt;mso-position-horizontal-relative:page;mso-position-vertical-relative:paragraph;z-index:251668480" coordorigin="1388,97" coordsize="3992,3105">
            <v:line style="position:absolute" from="5325,103" to="5325,3197" stroked="true" strokeweight=".54001pt" strokecolor="#868686">
              <v:stroke dashstyle="solid"/>
            </v:line>
            <v:shape style="position:absolute;left:5325;top:96;width:54;height:3105" coordorigin="5326,97" coordsize="54,3105" path="m5380,3191l5326,3191,5326,3201,5380,3201,5380,3191m5380,2744l5326,2744,5326,2755,5380,2755,5380,2744m5380,2309l5326,2309,5326,2319,5380,2319,5380,2309m5380,1862l5326,1862,5326,1873,5380,1873,5380,1862m5380,1427l5326,1427,5326,1437,5380,1437,5380,1427m5380,980l5326,980,5326,991,5380,991,5380,980m5380,533l5326,533,5326,545,5380,545,5380,533m5380,97l5326,97,5326,108,5380,108,5380,97e" filled="true" fillcolor="#868686" stroked="false">
              <v:path arrowok="t"/>
              <v:fill type="solid"/>
            </v:shape>
            <v:line style="position:absolute" from="1393,3196" to="5326,3196" stroked="true" strokeweight=".53998pt" strokecolor="#868686">
              <v:stroke dashstyle="solid"/>
            </v:line>
            <v:shape style="position:absolute;left:1388;top:3141;width:3670;height:56" coordorigin="1388,3141" coordsize="3670,56" path="m1399,3141l1388,3141,1388,3197,1399,3197,1399,3141m2129,3141l2118,3141,2118,3197,2129,3197,2129,3141m2858,3141l2848,3141,2848,3197,2858,3197,2858,3141m3599,3141l3588,3141,3588,3197,3599,3197,3599,3141m4328,3141l4318,3141,4318,3197,4328,3197,4328,3141m5058,3141l5047,3141,5047,3197,5058,3197,5058,3141e" filled="true" fillcolor="#868686" stroked="false">
              <v:path arrowok="t"/>
              <v:fill type="solid"/>
            </v:shape>
            <v:shape style="position:absolute;left:1399;top:968;width:3922;height:1650" coordorigin="1399,968" coordsize="3922,1650" path="m1744,2407l1645,2439,1645,2441,1644,2441,1559,2484,1471,2516,1470,2517,1469,2517,1399,2587,1399,2618,1481,2537,1478,2537,1483,2534,1485,2534,1566,2504,1654,2460,1656,2460,1751,2427,1753,2427,1753,2426,1776,2409,1741,2409,1744,2407xm1483,2534l1478,2537,1482,2535,1483,2534xm1482,2535l1478,2537,1481,2537,1482,2535xm1485,2534l1483,2534,1482,2535,1485,2534xm1656,2460l1654,2460,1652,2461,1656,2460xm1926,2300l1830,2342,1829,2342,1829,2343,1828,2343,1741,2409,1776,2409,1839,2363,1838,2363,1841,2361,1841,2361,1937,2318,1938,2318,1939,2317,1962,2300,1926,2300,1926,2300xm1841,2361l1838,2363,1840,2362,1841,2361xm1840,2362l1838,2363,1839,2363,1840,2362xm1841,2361l1841,2361,1840,2362,1841,2361xm1928,2299l1926,2300,1926,2300,1928,2299xm1963,2299l1928,2299,1926,2300,1962,2300,1963,2299xm2197,2137l2101,2190,2015,2233,2014,2234,1926,2300,1928,2299,1963,2299,2026,2252,2027,2252,2112,2209,2210,2155,2213,2153,2226,2138,2196,2138,2197,2137xm2027,2252l2026,2252,2024,2253,2027,2252xm2200,2136l2197,2137,2196,2138,2200,2136xm2228,2136l2200,2136,2196,2138,2226,2138,2228,2136xm2383,1962l2285,2039,2284,2040,2197,2137,2200,2136,2228,2136,2299,2055,2298,2055,2396,1980,2398,1979,2410,1964,2382,1964,2383,1962xm2300,2054l2298,2055,2299,2055,2300,2054xm2748,1764l2660,1775,2659,1776,2561,1808,2560,1808,2558,1809,2471,1863,2471,1865,2470,1865,2468,1866,2382,1964,2410,1964,2483,1883,2483,1883,2485,1880,2487,1880,2568,1829,2568,1829,2570,1827,2572,1827,2665,1796,2664,1796,2750,1785,2753,1785,2815,1765,2746,1765,2748,1764xm2485,1880l2483,1883,2483,1882,2485,1880xm2483,1882l2483,1883,2483,1883,2483,1882xm2487,1880l2485,1880,2483,1882,2487,1880xm2570,1827l2568,1829,2569,1828,2570,1827xm2569,1828l2568,1829,2568,1829,2569,1828xm2572,1827l2570,1827,2569,1828,2572,1827xm2930,1699l2844,1731,2746,1765,2815,1765,2851,1753,2939,1719,2940,1719,2941,1718,2964,1701,2928,1701,2930,1699xm3476,1383l3389,1405,3290,1437,3289,1439,3288,1439,3287,1440,3114,1569,3016,1635,2928,1701,2964,1701,3028,1653,3126,1587,3214,1523,3300,1457,3305,1457,3395,1425,3481,1404,3484,1404,3485,1403,3517,1385,3474,1385,3476,1383xm4052,986l4026,986,4036,991,4030,992,4112,1106,4199,1268,4297,1464,4385,1596,4386,1598,4388,1599,4392,1601,4489,1622,4494,1622,4582,1601,4489,1601,4491,1600,4418,1584,4403,1584,4397,1579,4400,1579,4316,1454,4218,1257,4130,1093,4052,986xm4491,1600l4489,1601,4494,1601,4491,1600xm4574,1580l4491,1600,4494,1601,4582,1601,4583,1599,4584,1599,4585,1598,4608,1581,4572,1581,4574,1580xm4397,1579l4403,1584,4400,1580,4397,1579xm4400,1580l4403,1584,4418,1584,4400,1580xm4577,1579l4574,1580,4572,1581,4577,1579xm4611,1579l4577,1579,4572,1581,4608,1581,4611,1579xm4400,1579l4397,1579,4400,1580,4400,1579xm4760,1502l4664,1513,4663,1514,4661,1514,4660,1515,4574,1580,4577,1579,4611,1579,4671,1535,4667,1535,4673,1533,4678,1533,4765,1524,4768,1524,4772,1521,4788,1506,4757,1506,4760,1502xm4673,1533l4667,1535,4672,1534,4673,1533xm4672,1534l4667,1535,4671,1535,4672,1534xm4678,1533l4673,1533,4672,1534,4678,1533xm4763,1502l4760,1502,4757,1506,4763,1502xm4791,1502l4763,1502,4757,1506,4788,1506,4791,1502xm4951,1361l4948,1361,4944,1362,4846,1417,4844,1418,4843,1418,4760,1502,4763,1502,4791,1502,4856,1436,4856,1436,4859,1434,4861,1434,4949,1384,4944,1382,4955,1381,4991,1381,4951,1361xm3305,1457l3300,1457,3298,1459,3305,1457xm4859,1434l4856,1436,4856,1436,4859,1434xm4861,1434l4859,1434,4856,1436,4861,1434xm4991,1381l4955,1381,4949,1384,5034,1427,5038,1427,5040,1425,5092,1406,5041,1406,5033,1405,5036,1404,4991,1381xm5036,1404l5033,1405,5041,1406,5036,1404xm5220,1361l5123,1371,5122,1373,5119,1373,5036,1404,5041,1406,5092,1406,5128,1393,5125,1393,5222,1382,5226,1382,5280,1362,5218,1362,5220,1361xm3476,1383l3476,1383,3474,1385,3476,1383xm3519,1383l3476,1383,3474,1385,3517,1385,3519,1383xm4955,1381l4944,1382,4949,1384,4955,1381xm3571,1329l3476,1383,3476,1383,3519,1383,3582,1349,3583,1349,3600,1332,3569,1332,3571,1329xm5310,1327l5305,1329,5218,1362,5280,1362,5312,1350,5318,1347,5321,1341,5318,1335,5317,1329,5310,1327xm4037,968l4033,969,3935,980,3932,980,3931,981,3844,1035,3743,1136,3656,1244,3569,1332,3600,1332,3672,1260,3760,1149,3857,1052,3859,1052,3938,1002,3937,1002,3942,999,3959,999,4030,992,4026,986,4052,986,4043,973,4040,971,4037,968xm3859,1052l3857,1052,3856,1055,3859,1052xm3942,999l3937,1002,3938,1002,3942,999xm3938,1002l3937,1002,3938,1002,3938,1002xm3959,999l3942,999,3938,1002,3959,999xm4026,986l4030,992,4036,991,4026,986xe" filled="true" fillcolor="#165788" stroked="false">
              <v:path arrowok="t"/>
              <v:fill type="solid"/>
            </v:shape>
            <v:shape style="position:absolute;left:1440;top:269;width:3881;height:2315" coordorigin="1440,270" coordsize="3881,2315" path="m1508,2526l1502,2529,1470,2550,1447,2562,1442,2565,1440,2571,1444,2577,1446,2582,1452,2585,1458,2581,1481,2569,1514,2547,1519,2544,1522,2538,1518,2532,1514,2527,1508,2526xm1637,2445l1632,2448,1577,2483,1572,2486,1570,2492,1573,2498,1577,2503,1583,2504,1644,2467,1649,2463,1650,2456,1648,2451,1644,2447,1637,2445xm1770,2369l1764,2372,1742,2387,1709,2405,1703,2408,1702,2414,1704,2420,1708,2425,1714,2427,1720,2424,1752,2406,1776,2390,1781,2388,1782,2381,1780,2376,1776,2371,1770,2369xm1902,2292l1896,2294,1840,2327,1834,2329,1832,2336,1837,2346,1844,2348,1849,2346,1907,2313,1912,2311,1914,2304,1910,2299,1908,2293,1902,2292xm2032,2213l2026,2215,2014,2223,1970,2250,1966,2253,1964,2261,1967,2265,1970,2270,1976,2271,1982,2269,2026,2241,2038,2234,2042,2231,2044,2225,2041,2219,2038,2214,2032,2213xm2162,2135l2158,2137,2101,2168,2100,2169,2095,2173,2093,2179,2096,2184,2100,2190,2106,2191,2111,2187,2112,2187,2168,2156,2173,2154,2176,2147,2172,2142,2170,2136,2162,2135xm2293,2055l2288,2059,2286,2060,2232,2094,2227,2096,2225,2103,2228,2108,2232,2114,2238,2115,2244,2112,2298,2078,2304,2075,2305,2069,2303,2063,2300,2058,2293,2055xm2425,1980l2419,1983,2384,2005,2364,2016,2359,2019,2357,2025,2360,2031,2363,2036,2370,2039,2375,2035,2395,2024,2431,2001,2436,1998,2438,1992,2435,1987,2431,1981,2425,1980xm2554,1899l2549,1902,2494,1937,2489,1940,2486,1946,2490,1952,2494,1957,2500,1958,2506,1956,2561,1921,2566,1917,2567,1910,2564,1905,2561,1901,2554,1899xm2687,1823l2681,1826,2657,1842,2626,1859,2620,1862,2618,1868,2621,1874,2624,1879,2630,1881,2636,1878,2668,1861,2693,1845,2698,1842,2700,1835,2693,1825,2687,1823xm2819,1746l2813,1748,2756,1781,2750,1783,2749,1790,2752,1795,2755,1801,2761,1802,2766,1800,2824,1767,2828,1765,2831,1758,2828,1753,2825,1748,2819,1746xm2948,1667l2942,1670,2929,1679,2887,1704,2882,1707,2881,1715,2884,1719,2887,1724,2893,1725,2899,1723,2940,1697,2954,1688,2959,1685,2960,1679,2958,1673,2954,1668,2948,1667xm3083,1593l3078,1596,3018,1623,3012,1626,3010,1632,3012,1638,3014,1643,3022,1645,3026,1643,3086,1616,3092,1614,3095,1608,3090,1596,3083,1593xm3214,1518l3209,1521,3200,1526,3154,1556,3148,1559,3146,1566,3150,1571,3152,1577,3160,1578,3164,1574,3212,1544,3220,1539,3226,1537,3227,1530,3223,1525,3221,1520,3214,1518xm3346,1440l3340,1443,3288,1471,3282,1475,3277,1478,3276,1485,3278,1490,3282,1495,3289,1497,3294,1494,3300,1490,3350,1461,3355,1459,3358,1452,3354,1447,3352,1442,3346,1440xm3475,1362l3470,1364,3414,1399,3409,1403,3408,1410,3412,1415,3414,1419,3421,1421,3426,1418,3481,1383,3487,1380,3488,1374,3485,1368,3481,1363,3475,1362xm3607,1286l3602,1289,3571,1308,3546,1322,3541,1325,3539,1332,3542,1337,3545,1341,3552,1344,3557,1341,3582,1327,3613,1308,3619,1304,3620,1297,3617,1292,3614,1287,3607,1286xm3737,1205l3732,1208,3676,1243,3671,1245,3670,1253,3673,1257,3676,1262,3683,1265,3688,1261,3743,1226,3748,1224,3750,1217,3746,1212,3743,1206,3737,1205xm3869,1129l3864,1133,3844,1145,3808,1165,3803,1167,3800,1175,3804,1179,3806,1184,3814,1187,3818,1184,3854,1164,3875,1151,3881,1147,3882,1141,3878,1136,3876,1130,3869,1129xm4001,1051l3996,1055,3938,1086,3934,1089,3931,1095,3934,1101,3937,1106,3943,1109,3949,1105,4006,1074,4012,1070,4013,1064,4010,1058,4007,1053,4001,1051xm4130,972l4126,975,4070,1010,4064,1014,4063,1020,4067,1025,4069,1031,4076,1032,4081,1028,4136,993,4142,991,4144,984,4140,979,4138,974,4130,972xm4262,894l4256,897,4202,927,4199,930,4194,932,4193,939,4195,944,4199,949,4206,951,4211,948,4214,945,4267,917,4272,913,4274,907,4272,901,4268,896,4262,894xm4392,816l4387,819,4326,857,4325,864,4328,869,4331,873,4338,875,4343,872,4398,837,4404,834,4405,828,4402,822,4399,817,4392,816xm4524,740l4519,743,4487,763,4464,776,4458,779,4457,786,4459,791,4462,797,4469,798,4474,795,4498,782,4530,762,4536,758,4537,751,4534,746,4531,741,4524,740xm4654,659l4649,662,4592,697,4588,699,4586,707,4590,711,4592,717,4600,719,4604,715,4660,680,4666,678,4667,671,4660,661,4654,659xm4786,583l4781,587,4759,600,4724,619,4720,621,4717,629,4721,633,4723,639,4730,641,4735,638,4770,619,4792,605,4798,601,4799,595,4795,590,4793,584,4786,583xm4918,506l4913,509,4855,540,4850,543,4848,549,4852,555,4854,560,4860,563,4866,559,4922,528,4928,524,4930,518,4927,512,4925,507,4918,506xm5047,427l5042,429,5030,437,4987,464,4981,468,4980,474,4984,480,4986,485,4993,486,4998,482,5042,456,5053,449,5059,445,5060,438,5057,433,5054,428,5047,427xm5179,349l5173,351,5118,383,5111,386,5110,393,5112,398,5116,403,5123,405,5128,402,5129,401,5184,371,5190,367,5191,361,5189,355,5185,350,5179,349xm5308,270l5303,273,5249,307,5243,311,5242,318,5245,323,5248,327,5255,330,5260,326,5315,291,5320,289,5321,282,5318,277,5315,272,5308,270xe" filled="true" fillcolor="#c00000" stroked="false">
              <v:path arrowok="t"/>
              <v:fill type="solid"/>
            </v:shape>
            <v:line style="position:absolute" from="1496,283" to="1889,283" stroked="true" strokeweight="1.08pt" strokecolor="#165788">
              <v:stroke dashstyle="solid"/>
            </v:line>
            <v:shape style="position:absolute;left:1496;top:630;width:393;height:22" coordorigin="1496,631" coordsize="393,22" path="m1579,631l1501,631,1496,636,1496,648,1501,653,1579,653,1584,648,1584,636,1579,631xm1732,631l1654,631,1649,636,1649,648,1654,653,1732,653,1736,648,1736,636,1732,631xm1884,631l1806,631,1801,636,1801,648,1806,653,1884,653,1889,648,1889,636,1884,631xe" filled="true" fillcolor="#c00000" stroked="false">
              <v:path arrowok="t"/>
              <v:fill type="solid"/>
            </v:shape>
            <v:shape style="position:absolute;left:1388;top:96;width:3992;height:3105" type="#_x0000_t202" filled="false" stroked="false">
              <v:textbox inset="0,0,0,0">
                <w:txbxContent>
                  <w:p>
                    <w:pPr>
                      <w:spacing w:before="83"/>
                      <w:ind w:left="530" w:right="0" w:firstLine="0"/>
                      <w:jc w:val="left"/>
                      <w:rPr>
                        <w:rFonts w:ascii="Calibri"/>
                        <w:sz w:val="16"/>
                      </w:rPr>
                    </w:pPr>
                    <w:r>
                      <w:rPr>
                        <w:rFonts w:ascii="Calibri"/>
                        <w:sz w:val="16"/>
                      </w:rPr>
                      <w:t>Real GDP (a)</w:t>
                    </w:r>
                  </w:p>
                  <w:p>
                    <w:pPr>
                      <w:spacing w:line="240" w:lineRule="auto" w:before="7"/>
                      <w:rPr>
                        <w:rFonts w:ascii="Calibri"/>
                        <w:sz w:val="13"/>
                      </w:rPr>
                    </w:pPr>
                  </w:p>
                  <w:p>
                    <w:pPr>
                      <w:spacing w:before="0"/>
                      <w:ind w:left="530" w:right="0" w:firstLine="0"/>
                      <w:jc w:val="left"/>
                      <w:rPr>
                        <w:rFonts w:ascii="Calibri" w:hAnsi="Calibri"/>
                        <w:sz w:val="16"/>
                      </w:rPr>
                    </w:pPr>
                    <w:r>
                      <w:rPr>
                        <w:rFonts w:ascii="Calibri" w:hAnsi="Calibri"/>
                        <w:sz w:val="16"/>
                      </w:rPr>
                      <w:t>Pre‐crisis trend of real GDP (b)</w:t>
                    </w:r>
                  </w:p>
                </w:txbxContent>
              </v:textbox>
              <w10:wrap type="none"/>
            </v:shape>
            <w10:wrap type="none"/>
          </v:group>
        </w:pict>
      </w:r>
      <w:r>
        <w:rPr>
          <w:rFonts w:ascii="Calibri"/>
          <w:spacing w:val="-5"/>
          <w:sz w:val="16"/>
        </w:rPr>
        <w:t>110</w:t>
      </w:r>
    </w:p>
    <w:p>
      <w:pPr>
        <w:pStyle w:val="BodyText"/>
        <w:spacing w:before="5"/>
        <w:rPr>
          <w:rFonts w:ascii="Calibri"/>
          <w:sz w:val="14"/>
        </w:rPr>
      </w:pPr>
    </w:p>
    <w:p>
      <w:pPr>
        <w:spacing w:before="70"/>
        <w:ind w:left="2902" w:right="4491" w:firstLine="0"/>
        <w:jc w:val="center"/>
        <w:rPr>
          <w:rFonts w:ascii="Calibri"/>
          <w:sz w:val="16"/>
        </w:rPr>
      </w:pPr>
      <w:r>
        <w:rPr>
          <w:rFonts w:ascii="Calibri"/>
          <w:spacing w:val="-5"/>
          <w:sz w:val="16"/>
        </w:rPr>
        <w:t>105</w:t>
      </w:r>
    </w:p>
    <w:p>
      <w:pPr>
        <w:pStyle w:val="BodyText"/>
        <w:spacing w:before="5"/>
        <w:rPr>
          <w:rFonts w:ascii="Calibri"/>
          <w:sz w:val="14"/>
        </w:rPr>
      </w:pPr>
    </w:p>
    <w:p>
      <w:pPr>
        <w:spacing w:before="70"/>
        <w:ind w:left="2902" w:right="4491" w:firstLine="0"/>
        <w:jc w:val="center"/>
        <w:rPr>
          <w:rFonts w:ascii="Calibri"/>
          <w:sz w:val="16"/>
        </w:rPr>
      </w:pPr>
      <w:r>
        <w:rPr/>
        <w:pict>
          <v:shape style="position:absolute;margin-left:289.937592pt;margin-top:-6.262973pt;width:10.2pt;height:77pt;mso-position-horizontal-relative:page;mso-position-vertical-relative:paragraph;z-index:251670528" type="#_x0000_t202" filled="false" stroked="false">
            <v:textbox inset="0,0,0,0" style="layout-flow:vertical">
              <w:txbxContent>
                <w:p>
                  <w:pPr>
                    <w:spacing w:line="186" w:lineRule="exact" w:before="0"/>
                    <w:ind w:left="20" w:right="0" w:firstLine="0"/>
                    <w:jc w:val="left"/>
                    <w:rPr>
                      <w:rFonts w:ascii="Calibri"/>
                      <w:sz w:val="16"/>
                    </w:rPr>
                  </w:pPr>
                  <w:r>
                    <w:rPr>
                      <w:rFonts w:ascii="Calibri"/>
                      <w:sz w:val="16"/>
                    </w:rPr>
                    <w:t>Indices, 2008 Q1=100%</w:t>
                  </w:r>
                </w:p>
              </w:txbxContent>
            </v:textbox>
            <w10:wrap type="none"/>
          </v:shape>
        </w:pict>
      </w:r>
      <w:r>
        <w:rPr>
          <w:rFonts w:ascii="Calibri"/>
          <w:spacing w:val="-5"/>
          <w:sz w:val="16"/>
        </w:rPr>
        <w:t>100</w:t>
      </w:r>
    </w:p>
    <w:p>
      <w:pPr>
        <w:pStyle w:val="BodyText"/>
        <w:spacing w:before="5"/>
        <w:rPr>
          <w:rFonts w:ascii="Calibri"/>
          <w:sz w:val="14"/>
        </w:rPr>
      </w:pPr>
    </w:p>
    <w:p>
      <w:pPr>
        <w:spacing w:before="71"/>
        <w:ind w:left="2803" w:right="4491" w:firstLine="0"/>
        <w:jc w:val="center"/>
        <w:rPr>
          <w:rFonts w:ascii="Calibri"/>
          <w:sz w:val="16"/>
        </w:rPr>
      </w:pPr>
      <w:r>
        <w:rPr>
          <w:rFonts w:ascii="Calibri"/>
          <w:spacing w:val="-6"/>
          <w:sz w:val="16"/>
        </w:rPr>
        <w:t>95</w:t>
      </w:r>
    </w:p>
    <w:p>
      <w:pPr>
        <w:pStyle w:val="BodyText"/>
        <w:spacing w:before="6"/>
        <w:rPr>
          <w:rFonts w:ascii="Calibri"/>
          <w:sz w:val="14"/>
        </w:rPr>
      </w:pPr>
    </w:p>
    <w:p>
      <w:pPr>
        <w:spacing w:before="70"/>
        <w:ind w:left="2803" w:right="4491" w:firstLine="0"/>
        <w:jc w:val="center"/>
        <w:rPr>
          <w:rFonts w:ascii="Calibri"/>
          <w:sz w:val="16"/>
        </w:rPr>
      </w:pPr>
      <w:r>
        <w:rPr>
          <w:rFonts w:ascii="Calibri"/>
          <w:spacing w:val="-6"/>
          <w:sz w:val="16"/>
        </w:rPr>
        <w:t>90</w:t>
      </w:r>
    </w:p>
    <w:p>
      <w:pPr>
        <w:pStyle w:val="BodyText"/>
        <w:spacing w:before="5"/>
        <w:rPr>
          <w:rFonts w:ascii="Calibri"/>
          <w:sz w:val="14"/>
        </w:rPr>
      </w:pPr>
    </w:p>
    <w:p>
      <w:pPr>
        <w:spacing w:before="71"/>
        <w:ind w:left="2803" w:right="4491" w:firstLine="0"/>
        <w:jc w:val="center"/>
        <w:rPr>
          <w:rFonts w:ascii="Calibri"/>
          <w:sz w:val="16"/>
        </w:rPr>
      </w:pPr>
      <w:r>
        <w:rPr>
          <w:rFonts w:ascii="Calibri"/>
          <w:spacing w:val="-6"/>
          <w:sz w:val="16"/>
        </w:rPr>
        <w:t>85</w:t>
      </w:r>
    </w:p>
    <w:p>
      <w:pPr>
        <w:pStyle w:val="BodyText"/>
        <w:spacing w:before="5"/>
        <w:rPr>
          <w:rFonts w:ascii="Calibri"/>
          <w:sz w:val="14"/>
        </w:rPr>
      </w:pPr>
    </w:p>
    <w:p>
      <w:pPr>
        <w:spacing w:before="70"/>
        <w:ind w:left="2803" w:right="4491" w:firstLine="0"/>
        <w:jc w:val="center"/>
        <w:rPr>
          <w:rFonts w:ascii="Calibri"/>
          <w:sz w:val="16"/>
        </w:rPr>
      </w:pPr>
      <w:r>
        <w:rPr>
          <w:rFonts w:ascii="Calibri"/>
          <w:spacing w:val="-6"/>
          <w:sz w:val="16"/>
        </w:rPr>
        <w:t>80</w:t>
      </w:r>
    </w:p>
    <w:p>
      <w:pPr>
        <w:pStyle w:val="BodyText"/>
        <w:spacing w:before="5"/>
        <w:rPr>
          <w:rFonts w:ascii="Calibri"/>
          <w:sz w:val="14"/>
        </w:rPr>
      </w:pPr>
    </w:p>
    <w:p>
      <w:pPr>
        <w:spacing w:before="71"/>
        <w:ind w:left="2803" w:right="4491" w:firstLine="0"/>
        <w:jc w:val="center"/>
        <w:rPr>
          <w:rFonts w:ascii="Calibri"/>
          <w:sz w:val="16"/>
        </w:rPr>
      </w:pPr>
      <w:r>
        <w:rPr>
          <w:rFonts w:ascii="Calibri"/>
          <w:spacing w:val="-6"/>
          <w:sz w:val="16"/>
        </w:rPr>
        <w:t>75</w:t>
      </w:r>
    </w:p>
    <w:p>
      <w:pPr>
        <w:tabs>
          <w:tab w:pos="730" w:val="left" w:leader="none"/>
          <w:tab w:pos="1462" w:val="left" w:leader="none"/>
          <w:tab w:pos="2193" w:val="left" w:leader="none"/>
          <w:tab w:pos="2924" w:val="left" w:leader="none"/>
          <w:tab w:pos="3656" w:val="left" w:leader="none"/>
        </w:tabs>
        <w:spacing w:before="12"/>
        <w:ind w:left="0" w:right="6314" w:firstLine="0"/>
        <w:jc w:val="center"/>
        <w:rPr>
          <w:rFonts w:ascii="Calibri"/>
          <w:sz w:val="16"/>
        </w:rPr>
      </w:pPr>
      <w:r>
        <w:rPr>
          <w:rFonts w:ascii="Calibri"/>
          <w:spacing w:val="-4"/>
          <w:sz w:val="16"/>
        </w:rPr>
        <w:t>01</w:t>
        <w:tab/>
      </w:r>
      <w:r>
        <w:rPr>
          <w:rFonts w:ascii="Calibri"/>
          <w:spacing w:val="-3"/>
          <w:sz w:val="16"/>
        </w:rPr>
        <w:t>03</w:t>
        <w:tab/>
      </w:r>
      <w:r>
        <w:rPr>
          <w:rFonts w:ascii="Calibri"/>
          <w:spacing w:val="-4"/>
          <w:sz w:val="16"/>
        </w:rPr>
        <w:t>05</w:t>
        <w:tab/>
        <w:t>07</w:t>
        <w:tab/>
      </w:r>
      <w:r>
        <w:rPr>
          <w:rFonts w:ascii="Calibri"/>
          <w:spacing w:val="-3"/>
          <w:sz w:val="16"/>
        </w:rPr>
        <w:t>09</w:t>
        <w:tab/>
      </w:r>
      <w:r>
        <w:rPr>
          <w:rFonts w:ascii="Calibri"/>
          <w:spacing w:val="-8"/>
          <w:sz w:val="16"/>
        </w:rPr>
        <w:t>11</w:t>
      </w:r>
    </w:p>
    <w:p>
      <w:pPr>
        <w:spacing w:before="46"/>
        <w:ind w:left="234" w:right="0" w:firstLine="0"/>
        <w:jc w:val="left"/>
        <w:rPr>
          <w:sz w:val="16"/>
        </w:rPr>
      </w:pPr>
      <w:r>
        <w:rPr>
          <w:sz w:val="16"/>
        </w:rPr>
        <w:t>Source: ONS, Bank of England calculations.</w:t>
      </w:r>
    </w:p>
    <w:p>
      <w:pPr>
        <w:pStyle w:val="BodyText"/>
        <w:spacing w:before="9"/>
        <w:rPr>
          <w:sz w:val="23"/>
        </w:rPr>
      </w:pPr>
    </w:p>
    <w:p>
      <w:pPr>
        <w:pStyle w:val="ListParagraph"/>
        <w:numPr>
          <w:ilvl w:val="0"/>
          <w:numId w:val="2"/>
        </w:numPr>
        <w:tabs>
          <w:tab w:pos="520" w:val="left" w:leader="none"/>
        </w:tabs>
        <w:spacing w:line="240" w:lineRule="auto" w:before="94" w:after="0"/>
        <w:ind w:left="519" w:right="0" w:hanging="286"/>
        <w:jc w:val="left"/>
        <w:rPr>
          <w:sz w:val="16"/>
        </w:rPr>
      </w:pPr>
      <w:r>
        <w:rPr>
          <w:sz w:val="16"/>
        </w:rPr>
        <w:t>Seasonally adjusted chained volume measures at market prices, indexed to 2008 Q1 =</w:t>
      </w:r>
      <w:r>
        <w:rPr>
          <w:spacing w:val="-1"/>
          <w:sz w:val="16"/>
        </w:rPr>
        <w:t> </w:t>
      </w:r>
      <w:r>
        <w:rPr>
          <w:sz w:val="16"/>
        </w:rPr>
        <w:t>100%.</w:t>
      </w:r>
    </w:p>
    <w:p>
      <w:pPr>
        <w:pStyle w:val="ListParagraph"/>
        <w:numPr>
          <w:ilvl w:val="0"/>
          <w:numId w:val="2"/>
        </w:numPr>
        <w:tabs>
          <w:tab w:pos="519" w:val="left" w:leader="none"/>
        </w:tabs>
        <w:spacing w:line="240" w:lineRule="auto" w:before="92" w:after="0"/>
        <w:ind w:left="518" w:right="0" w:hanging="286"/>
        <w:jc w:val="left"/>
        <w:rPr>
          <w:sz w:val="16"/>
        </w:rPr>
      </w:pPr>
      <w:r>
        <w:rPr>
          <w:sz w:val="16"/>
        </w:rPr>
        <w:t>Linear trend fitted to 1999 Q3 to 2008 Q3 real GDP index data and extrapolated to the period between 2008 Q3 and 2011</w:t>
      </w:r>
      <w:r>
        <w:rPr>
          <w:spacing w:val="-8"/>
          <w:sz w:val="16"/>
        </w:rPr>
        <w:t> </w:t>
      </w:r>
      <w:r>
        <w:rPr>
          <w:sz w:val="16"/>
        </w:rPr>
        <w:t>Q3.</w:t>
      </w:r>
    </w:p>
    <w:p>
      <w:pPr>
        <w:pStyle w:val="BodyText"/>
        <w:rPr>
          <w:sz w:val="18"/>
        </w:rPr>
      </w:pPr>
    </w:p>
    <w:p>
      <w:pPr>
        <w:pStyle w:val="BodyText"/>
        <w:rPr>
          <w:sz w:val="18"/>
        </w:rPr>
      </w:pPr>
    </w:p>
    <w:p>
      <w:pPr>
        <w:pStyle w:val="BodyText"/>
        <w:spacing w:before="1"/>
        <w:rPr>
          <w:sz w:val="21"/>
        </w:rPr>
      </w:pPr>
    </w:p>
    <w:p>
      <w:pPr>
        <w:pStyle w:val="Heading1"/>
        <w:spacing w:before="1"/>
      </w:pPr>
      <w:r>
        <w:rPr/>
        <w:t>Chart 7: Unemployment rate</w:t>
      </w:r>
      <w:r>
        <w:rPr>
          <w:vertAlign w:val="superscript"/>
        </w:rPr>
        <w:t>(a)</w:t>
      </w:r>
    </w:p>
    <w:p>
      <w:pPr>
        <w:spacing w:before="138"/>
        <w:ind w:left="2643" w:right="4491" w:firstLine="0"/>
        <w:jc w:val="center"/>
        <w:rPr>
          <w:rFonts w:ascii="Calibri"/>
          <w:sz w:val="16"/>
        </w:rPr>
      </w:pPr>
      <w:r>
        <w:rPr>
          <w:rFonts w:ascii="Calibri"/>
          <w:sz w:val="16"/>
        </w:rPr>
        <w:t>per cent</w:t>
      </w:r>
    </w:p>
    <w:p>
      <w:pPr>
        <w:spacing w:before="25"/>
        <w:ind w:left="3259" w:right="4491" w:firstLine="0"/>
        <w:jc w:val="center"/>
        <w:rPr>
          <w:rFonts w:ascii="Calibri"/>
          <w:sz w:val="16"/>
        </w:rPr>
      </w:pPr>
      <w:r>
        <w:rPr/>
        <w:pict>
          <v:group style="position:absolute;margin-left:69.299995pt;margin-top:5.806951pt;width:210.8pt;height:144.15pt;mso-position-horizontal-relative:page;mso-position-vertical-relative:paragraph;z-index:251669504" coordorigin="1386,116" coordsize="4216,2883">
            <v:line style="position:absolute" from="5559,122" to="5559,2993" stroked="true" strokeweight=".53998pt" strokecolor="#868686">
              <v:stroke dashstyle="solid"/>
            </v:line>
            <v:shape style="position:absolute;left:5558;top:116;width:44;height:2883" coordorigin="5558,116" coordsize="44,2883" path="m5602,2988l5558,2988,5558,2999,5602,2999,5602,2988m5602,2502l5558,2502,5558,2513,5602,2513,5602,2502m5602,2027l5558,2027,5558,2037,5602,2037,5602,2027m5602,1553l5558,1553,5558,1563,5602,1563,5602,1553m5602,1077l5558,1077,5558,1088,5602,1088,5602,1077m5602,602l5558,602,5558,613,5602,613,5602,602m5602,116l5558,116,5558,127,5602,127,5602,116e" filled="true" fillcolor="#868686" stroked="false">
              <v:path arrowok="t"/>
              <v:fill type="solid"/>
            </v:shape>
            <v:line style="position:absolute" from="1391,2993" to="5558,2993" stroked="true" strokeweight=".54001pt" strokecolor="#868686">
              <v:stroke dashstyle="solid"/>
            </v:line>
            <v:shape style="position:absolute;left:1386;top:2938;width:4103;height:54" coordorigin="1386,2939" coordsize="4103,54" path="m1397,2939l1386,2939,1386,2993,1397,2993,1397,2939m1807,2939l1796,2939,1796,2993,1807,2993,1807,2939m2207,2939l2196,2939,2196,2993,2207,2993,2207,2939m2617,2939l2606,2939,2606,2993,2617,2993,2617,2939m3026,2939l3016,2939,3016,2993,3026,2993,3026,2939m3437,2939l3426,2939,3426,2993,3437,2993,3437,2939m3847,2939l3836,2939,3836,2993,3847,2993,3847,2939m4258,2939l4247,2939,4247,2993,4258,2993,4258,2939m4668,2939l4657,2939,4657,2993,4668,2993,4668,2939m5078,2939l5068,2939,5068,2993,5078,2993,5078,2939m5489,2939l5478,2939,5478,2993,5489,2993,5489,2939e" filled="true" fillcolor="#868686" stroked="false">
              <v:path arrowok="t"/>
              <v:fill type="solid"/>
            </v:shape>
            <v:shape style="position:absolute;left:1386;top:439;width:4126;height:1436" type="#_x0000_t75" stroked="false">
              <v:imagedata r:id="rId10" o:title=""/>
            </v:shape>
            <w10:wrap type="none"/>
          </v:group>
        </w:pict>
      </w:r>
      <w:r>
        <w:rPr>
          <w:rFonts w:ascii="Calibri"/>
          <w:spacing w:val="-7"/>
          <w:sz w:val="16"/>
        </w:rPr>
        <w:t>12</w:t>
      </w:r>
    </w:p>
    <w:p>
      <w:pPr>
        <w:pStyle w:val="BodyText"/>
        <w:spacing w:before="5"/>
        <w:rPr>
          <w:rFonts w:ascii="Calibri"/>
          <w:sz w:val="17"/>
        </w:rPr>
      </w:pPr>
    </w:p>
    <w:p>
      <w:pPr>
        <w:spacing w:before="70"/>
        <w:ind w:left="3259" w:right="4491" w:firstLine="0"/>
        <w:jc w:val="center"/>
        <w:rPr>
          <w:rFonts w:ascii="Calibri"/>
          <w:sz w:val="16"/>
        </w:rPr>
      </w:pPr>
      <w:r>
        <w:rPr>
          <w:rFonts w:ascii="Calibri"/>
          <w:spacing w:val="-7"/>
          <w:sz w:val="16"/>
        </w:rPr>
        <w:t>10</w:t>
      </w:r>
    </w:p>
    <w:p>
      <w:pPr>
        <w:pStyle w:val="BodyText"/>
        <w:spacing w:before="4"/>
        <w:rPr>
          <w:rFonts w:ascii="Calibri"/>
          <w:sz w:val="17"/>
        </w:rPr>
      </w:pPr>
    </w:p>
    <w:p>
      <w:pPr>
        <w:spacing w:before="69"/>
        <w:ind w:left="0" w:right="1294" w:firstLine="0"/>
        <w:jc w:val="center"/>
        <w:rPr>
          <w:rFonts w:ascii="Calibri"/>
          <w:sz w:val="16"/>
        </w:rPr>
      </w:pPr>
      <w:r>
        <w:rPr>
          <w:rFonts w:ascii="Calibri"/>
          <w:w w:val="101"/>
          <w:sz w:val="16"/>
        </w:rPr>
        <w:t>8</w:t>
      </w:r>
    </w:p>
    <w:p>
      <w:pPr>
        <w:pStyle w:val="BodyText"/>
        <w:spacing w:before="6"/>
        <w:rPr>
          <w:rFonts w:ascii="Calibri"/>
          <w:sz w:val="17"/>
        </w:rPr>
      </w:pPr>
    </w:p>
    <w:p>
      <w:pPr>
        <w:spacing w:before="69"/>
        <w:ind w:left="0" w:right="1294" w:firstLine="0"/>
        <w:jc w:val="center"/>
        <w:rPr>
          <w:rFonts w:ascii="Calibri"/>
          <w:sz w:val="16"/>
        </w:rPr>
      </w:pPr>
      <w:r>
        <w:rPr>
          <w:rFonts w:ascii="Calibri"/>
          <w:w w:val="101"/>
          <w:sz w:val="16"/>
        </w:rPr>
        <w:t>6</w:t>
      </w:r>
    </w:p>
    <w:p>
      <w:pPr>
        <w:pStyle w:val="BodyText"/>
        <w:spacing w:before="4"/>
        <w:rPr>
          <w:rFonts w:ascii="Calibri"/>
          <w:sz w:val="17"/>
        </w:rPr>
      </w:pPr>
    </w:p>
    <w:p>
      <w:pPr>
        <w:spacing w:before="69"/>
        <w:ind w:left="0" w:right="1294" w:firstLine="0"/>
        <w:jc w:val="center"/>
        <w:rPr>
          <w:rFonts w:ascii="Calibri"/>
          <w:sz w:val="16"/>
        </w:rPr>
      </w:pPr>
      <w:r>
        <w:rPr>
          <w:rFonts w:ascii="Calibri"/>
          <w:w w:val="101"/>
          <w:sz w:val="16"/>
        </w:rPr>
        <w:t>4</w:t>
      </w:r>
    </w:p>
    <w:p>
      <w:pPr>
        <w:pStyle w:val="BodyText"/>
        <w:spacing w:before="6"/>
        <w:rPr>
          <w:rFonts w:ascii="Calibri"/>
          <w:sz w:val="17"/>
        </w:rPr>
      </w:pPr>
    </w:p>
    <w:p>
      <w:pPr>
        <w:spacing w:before="69"/>
        <w:ind w:left="0" w:right="1294" w:firstLine="0"/>
        <w:jc w:val="center"/>
        <w:rPr>
          <w:rFonts w:ascii="Calibri"/>
          <w:sz w:val="16"/>
        </w:rPr>
      </w:pPr>
      <w:r>
        <w:rPr>
          <w:rFonts w:ascii="Calibri"/>
          <w:w w:val="101"/>
          <w:sz w:val="16"/>
        </w:rPr>
        <w:t>2</w:t>
      </w:r>
    </w:p>
    <w:p>
      <w:pPr>
        <w:pStyle w:val="BodyText"/>
        <w:spacing w:before="6"/>
        <w:rPr>
          <w:rFonts w:ascii="Calibri"/>
          <w:sz w:val="17"/>
        </w:rPr>
      </w:pPr>
    </w:p>
    <w:p>
      <w:pPr>
        <w:spacing w:before="69"/>
        <w:ind w:left="0" w:right="1294" w:firstLine="0"/>
        <w:jc w:val="center"/>
        <w:rPr>
          <w:rFonts w:ascii="Calibri"/>
          <w:sz w:val="16"/>
        </w:rPr>
      </w:pPr>
      <w:r>
        <w:rPr>
          <w:rFonts w:ascii="Calibri"/>
          <w:w w:val="101"/>
          <w:sz w:val="16"/>
        </w:rPr>
        <w:t>0</w:t>
      </w:r>
    </w:p>
    <w:p>
      <w:pPr>
        <w:tabs>
          <w:tab w:pos="410" w:val="left" w:leader="none"/>
          <w:tab w:pos="819" w:val="left" w:leader="none"/>
          <w:tab w:pos="1230" w:val="left" w:leader="none"/>
          <w:tab w:pos="1640" w:val="left" w:leader="none"/>
          <w:tab w:pos="2051" w:val="left" w:leader="none"/>
          <w:tab w:pos="2460" w:val="left" w:leader="none"/>
          <w:tab w:pos="2870" w:val="left" w:leader="none"/>
          <w:tab w:pos="3281" w:val="left" w:leader="none"/>
          <w:tab w:pos="3691" w:val="left" w:leader="none"/>
          <w:tab w:pos="4100" w:val="left" w:leader="none"/>
        </w:tabs>
        <w:spacing w:before="10"/>
        <w:ind w:left="0" w:right="5917" w:firstLine="0"/>
        <w:jc w:val="center"/>
        <w:rPr>
          <w:rFonts w:ascii="Calibri"/>
          <w:sz w:val="16"/>
        </w:rPr>
      </w:pPr>
      <w:r>
        <w:rPr>
          <w:rFonts w:ascii="Calibri"/>
          <w:spacing w:val="-4"/>
          <w:sz w:val="16"/>
        </w:rPr>
        <w:t>91</w:t>
        <w:tab/>
        <w:t>93</w:t>
        <w:tab/>
        <w:t>95</w:t>
        <w:tab/>
        <w:t>97</w:t>
        <w:tab/>
        <w:t>99</w:t>
        <w:tab/>
        <w:t>01</w:t>
        <w:tab/>
        <w:t>03</w:t>
        <w:tab/>
        <w:t>05</w:t>
        <w:tab/>
        <w:t>07</w:t>
        <w:tab/>
        <w:t>09</w:t>
        <w:tab/>
      </w:r>
      <w:r>
        <w:rPr>
          <w:rFonts w:ascii="Calibri"/>
          <w:spacing w:val="-7"/>
          <w:sz w:val="16"/>
        </w:rPr>
        <w:t>11</w:t>
      </w:r>
    </w:p>
    <w:p>
      <w:pPr>
        <w:pStyle w:val="BodyText"/>
        <w:spacing w:before="4"/>
        <w:rPr>
          <w:rFonts w:ascii="Calibri"/>
        </w:rPr>
      </w:pPr>
    </w:p>
    <w:p>
      <w:pPr>
        <w:spacing w:before="95"/>
        <w:ind w:left="234" w:right="0" w:firstLine="0"/>
        <w:jc w:val="left"/>
        <w:rPr>
          <w:sz w:val="16"/>
        </w:rPr>
      </w:pPr>
      <w:r>
        <w:rPr>
          <w:sz w:val="16"/>
        </w:rPr>
        <w:t>Sources: Labour Force Survey, Bank of England calculations.</w:t>
      </w:r>
    </w:p>
    <w:p>
      <w:pPr>
        <w:pStyle w:val="BodyText"/>
        <w:rPr>
          <w:sz w:val="18"/>
        </w:rPr>
      </w:pPr>
    </w:p>
    <w:p>
      <w:pPr>
        <w:spacing w:before="161"/>
        <w:ind w:left="234" w:right="0" w:firstLine="0"/>
        <w:jc w:val="left"/>
        <w:rPr>
          <w:sz w:val="16"/>
        </w:rPr>
      </w:pPr>
      <w:r>
        <w:rPr>
          <w:sz w:val="16"/>
        </w:rPr>
        <w:t>(a) Backward-looking three-month moving averages.</w:t>
      </w:r>
    </w:p>
    <w:p>
      <w:pPr>
        <w:pStyle w:val="BodyText"/>
        <w:rPr>
          <w:sz w:val="18"/>
        </w:rPr>
      </w:pPr>
    </w:p>
    <w:p>
      <w:pPr>
        <w:pStyle w:val="BodyText"/>
        <w:spacing w:before="9"/>
        <w:rPr>
          <w:sz w:val="18"/>
        </w:rPr>
      </w:pPr>
    </w:p>
    <w:p>
      <w:pPr>
        <w:pStyle w:val="BodyText"/>
        <w:spacing w:line="360" w:lineRule="auto"/>
        <w:ind w:left="233" w:right="1161"/>
      </w:pPr>
      <w:r>
        <w:rPr/>
        <w:t>It is not surprising that the recession and the financial stresses have had a huge impact on the housing market. The real disposable income of the majority of households has fallen significantly; uncertainty about future levels of incomes has increased sharply. Uncertainty pushes down on the value of long-lived assets, and few assets are as long-lived as houses.</w:t>
      </w:r>
    </w:p>
    <w:p>
      <w:pPr>
        <w:spacing w:after="0" w:line="360" w:lineRule="auto"/>
        <w:sectPr>
          <w:pgSz w:w="11900" w:h="16840"/>
          <w:pgMar w:header="0" w:footer="1340" w:top="1600" w:bottom="1540" w:left="900" w:right="0"/>
        </w:sectPr>
      </w:pPr>
    </w:p>
    <w:p>
      <w:pPr>
        <w:pStyle w:val="BodyText"/>
        <w:spacing w:line="360" w:lineRule="auto" w:before="76"/>
        <w:ind w:left="233" w:right="1161"/>
      </w:pPr>
      <w:r>
        <w:rPr/>
        <w:t>I believe that it is likely that we will get back – maybe slowly – to more normal rates of economic growth and that households’ uncertainty about the future will fall back. And as that happens monetary policy will move back to a more normal setting. But I do not believe that the housing market and the mortgage market will get back to where we were in the years leading up to the crisis. I also do not think we should regret that. To see why I think it is useful to look at some fundamental features of how people finance home-ownership.</w:t>
      </w:r>
    </w:p>
    <w:p>
      <w:pPr>
        <w:pStyle w:val="BodyText"/>
        <w:spacing w:before="1"/>
        <w:rPr>
          <w:sz w:val="30"/>
        </w:rPr>
      </w:pPr>
    </w:p>
    <w:p>
      <w:pPr>
        <w:pStyle w:val="Heading1"/>
        <w:numPr>
          <w:ilvl w:val="0"/>
          <w:numId w:val="1"/>
        </w:numPr>
        <w:tabs>
          <w:tab w:pos="665" w:val="left" w:leader="none"/>
          <w:tab w:pos="666" w:val="left" w:leader="none"/>
        </w:tabs>
        <w:spacing w:line="240" w:lineRule="auto" w:before="0" w:after="0"/>
        <w:ind w:left="665" w:right="0" w:hanging="433"/>
        <w:jc w:val="left"/>
      </w:pPr>
      <w:r>
        <w:rPr/>
        <w:t>Transition to a more resilient housing</w:t>
      </w:r>
      <w:r>
        <w:rPr>
          <w:spacing w:val="-9"/>
        </w:rPr>
        <w:t> </w:t>
      </w:r>
      <w:r>
        <w:rPr/>
        <w:t>market</w:t>
      </w:r>
    </w:p>
    <w:p>
      <w:pPr>
        <w:pStyle w:val="BodyText"/>
        <w:rPr>
          <w:b/>
          <w:sz w:val="22"/>
        </w:rPr>
      </w:pPr>
    </w:p>
    <w:p>
      <w:pPr>
        <w:pStyle w:val="BodyText"/>
        <w:spacing w:before="10"/>
        <w:rPr>
          <w:b/>
          <w:sz w:val="17"/>
        </w:rPr>
      </w:pPr>
    </w:p>
    <w:p>
      <w:pPr>
        <w:pStyle w:val="BodyText"/>
        <w:spacing w:line="360" w:lineRule="auto"/>
        <w:ind w:left="233" w:right="1141"/>
      </w:pPr>
      <w:r>
        <w:rPr/>
        <w:t>When people buy their first house they typically finance the majority of the purchase with debt. But looking across all home-owners, the average level of leverage does not appear high. In the UK now gross housing wealth is about £4trn; the stock of mortgages is around £1.2trn. Average leverage, defined as gross housing wealth over housing equity, is a bit under 1.5 (£4trn / (£4trn - £1.2trn)=1.43). This is below the average leverage of non-financial corporations which is close to 2. But the average leverage figure in part reflects the fact that many houses have no mortgage on them – the owners have either repaid the mortgages on them or were cash buyers. At the other end of the spectrum are first-time buyers, who tend to be highly levered.</w:t>
      </w:r>
    </w:p>
    <w:p>
      <w:pPr>
        <w:pStyle w:val="BodyText"/>
        <w:spacing w:line="360" w:lineRule="auto"/>
        <w:ind w:left="233" w:right="1874"/>
      </w:pPr>
      <w:r>
        <w:rPr/>
        <w:t>Until 2007, about half of all first-time buyers took out mortgages with loan-to-value ratios of 90% or more - that is, leverage was 10 or higher for half of all first-time buyers (Chart 8). And house-price to</w:t>
      </w:r>
    </w:p>
    <w:p>
      <w:pPr>
        <w:pStyle w:val="BodyText"/>
        <w:spacing w:line="360" w:lineRule="auto"/>
        <w:ind w:left="234" w:right="1340"/>
      </w:pPr>
      <w:r>
        <w:rPr/>
        <w:t>income, as well as loan-to-income, ratios had increased sharply over the previous decade (Chart 9). This reflected ten years over which house prices were rising far faster than the average households’ disposable income (Chart 10).</w:t>
      </w:r>
    </w:p>
    <w:p>
      <w:pPr>
        <w:pStyle w:val="BodyText"/>
        <w:rPr>
          <w:sz w:val="22"/>
        </w:rPr>
      </w:pPr>
    </w:p>
    <w:p>
      <w:pPr>
        <w:pStyle w:val="BodyText"/>
        <w:spacing w:before="2"/>
        <w:rPr>
          <w:sz w:val="28"/>
        </w:rPr>
      </w:pPr>
    </w:p>
    <w:p>
      <w:pPr>
        <w:pStyle w:val="Heading1"/>
      </w:pPr>
      <w:r>
        <w:rPr/>
        <w:pict>
          <v:group style="position:absolute;margin-left:58.5pt;margin-top:17.834044pt;width:257.7pt;height:180.85pt;mso-position-horizontal-relative:page;mso-position-vertical-relative:paragraph;z-index:251672576" coordorigin="1170,357" coordsize="5154,3617">
            <v:line style="position:absolute" from="5758,696" to="5758,3408" stroked="true" strokeweight=".54001pt" strokecolor="#868686">
              <v:stroke dashstyle="solid"/>
            </v:line>
            <v:shape style="position:absolute;left:5757;top:690;width:54;height:2724" coordorigin="5758,690" coordsize="54,2724" path="m5812,3403l5758,3403,5758,3414,5812,3414,5812,3403m5812,2951l5758,2951,5758,2962,5812,2962,5812,2951m5812,2499l5758,2499,5758,2509,5812,2509,5812,2499m5812,2047l5758,2047,5758,2058,5812,2058,5812,2047m5812,1595l5758,1595,5758,1606,5812,1606,5812,1595m5812,1143l5758,1143,5758,1154,5812,1154,5812,1143m5812,690l5758,690,5758,701,5812,701,5812,690e" filled="true" fillcolor="#868686" stroked="false">
              <v:path arrowok="t"/>
              <v:fill type="solid"/>
            </v:shape>
            <v:line style="position:absolute" from="1326,3409" to="5758,3409" stroked="true" strokeweight=".53999pt" strokecolor="#868686">
              <v:stroke dashstyle="solid"/>
            </v:line>
            <v:shape style="position:absolute;left:1321;top:3408;width:4389;height:54" coordorigin="1321,3408" coordsize="4389,54" path="m1332,3408l1321,3408,1321,3462,1332,3462,1332,3408m1451,3408l1440,3408,1440,3462,1451,3462,1451,3408m1568,3408l1558,3408,1558,3462,1568,3462,1568,3408m1687,3408l1676,3408,1676,3462,1687,3462,1687,3408m1806,3408l1795,3408,1795,3462,1806,3462,1806,3408m1925,3408l1914,3408,1914,3462,1925,3462,1925,3408m2044,3408l2033,3408,2033,3462,2044,3462,2044,3408m2162,3408l2152,3408,2152,3462,2162,3462,2162,3408m2280,3408l2269,3408,2269,3462,2280,3462,2280,3408m2399,3408l2388,3408,2388,3462,2399,3462,2399,3408m2518,3408l2507,3408,2507,3462,2518,3462,2518,3408m2636,3408l2626,3408,2626,3462,2636,3462,2636,3408m2755,3408l2744,3408,2744,3462,2755,3462,2755,3408m2874,3408l2863,3408,2863,3462,2874,3462,2874,3408m2992,3408l2982,3408,2982,3462,2992,3462,2992,3408m3110,3408l3100,3408,3100,3462,3110,3462,3110,3408m3229,3408l3218,3408,3218,3462,3229,3462,3229,3408m3348,3408l3337,3408,3337,3462,3348,3462,3348,3408m3467,3408l3456,3408,3456,3462,3467,3462,3467,3408m3575,3408l3564,3408,3564,3462,3575,3462,3575,3408m3694,3408l3683,3408,3683,3462,3694,3462,3694,3408m3811,3408l3800,3408,3800,3462,3811,3462,3811,3408m3930,3408l3919,3408,3919,3462,3930,3462,3930,3408m4049,3408l4038,3408,4038,3462,4049,3462,4049,3408m4168,3408l4157,3408,4157,3462,4168,3462,4168,3408m4286,3408l4276,3408,4276,3462,4286,3462,4286,3408m4405,3408l4394,3408,4394,3462,4405,3462,4405,3408m4523,3408l4512,3408,4512,3462,4523,3462,4523,3408m4642,3408l4631,3408,4631,3462,4642,3462,4642,3408m4760,3408l4750,3408,4750,3462,4760,3462,4760,3408m4879,3408l4868,3408,4868,3462,4879,3462,4879,3408m4998,3408l4987,3408,4987,3462,4998,3462,4998,3408m5117,3408l5106,3408,5106,3462,5117,3462,5117,3408m5234,3408l5224,3408,5224,3462,5234,3462,5234,3408m5353,3408l5342,3408,5342,3462,5353,3462,5353,3408m5472,3408l5461,3408,5461,3462,5472,3462,5472,3408m5591,3408l5580,3408,5580,3462,5591,3462,5591,3408m5710,3408l5699,3408,5699,3462,5710,3462,5710,3408e" filled="true" fillcolor="#868686" stroked="false">
              <v:path arrowok="t"/>
              <v:fill type="solid"/>
            </v:shape>
            <v:shape style="position:absolute;left:1326;top:1078;width:4438;height:1894" type="#_x0000_t75" stroked="false">
              <v:imagedata r:id="rId11" o:title=""/>
            </v:shape>
            <v:shape style="position:absolute;left:1170;top:356;width:5154;height:3617" coordorigin="1170,357" coordsize="5154,3617" path="m6322,357l1172,357,1170,359,1170,3971,1172,3973,6322,3973,6324,3971,6324,3969,1181,3969,1175,3963,1181,3963,1181,367,1175,367,1181,363,6324,363,6324,359,6322,357xm1181,3963l1175,3963,1181,3969,1181,3963xm6313,3963l1181,3963,1181,3969,6313,3969,6313,3963xm6313,363l6313,3969,6319,3963,6324,3963,6324,367,6319,367,6313,363xm6324,3963l6319,3963,6313,3969,6324,3969,6324,3963xm1181,363l1175,367,1181,367,1181,363xm6313,363l1181,363,1181,367,6313,367,6313,363xm6324,363l6313,363,6319,367,6324,367,6324,363xe" filled="true" fillcolor="#ffffff" stroked="false">
              <v:path arrowok="t"/>
              <v:fill type="solid"/>
            </v:shape>
            <v:line style="position:absolute" from="3505,707" to="3505,3415" stroked="true" strokeweight=".54001pt" strokecolor="#4a7ebb">
              <v:stroke dashstyle="solid"/>
            </v:line>
            <v:line style="position:absolute" from="5025,696" to="5025,3405" stroked="true" strokeweight=".53999pt" strokecolor="#4a7ebb">
              <v:stroke dashstyle="solid"/>
            </v:line>
            <v:shape style="position:absolute;left:1170;top:356;width:5154;height:3617" type="#_x0000_t202" filled="false" stroked="false">
              <v:textbox inset="0,0,0,0">
                <w:txbxContent>
                  <w:p>
                    <w:pPr>
                      <w:spacing w:before="32"/>
                      <w:ind w:left="0" w:right="271" w:firstLine="0"/>
                      <w:jc w:val="right"/>
                      <w:rPr>
                        <w:rFonts w:ascii="Calibri"/>
                        <w:sz w:val="16"/>
                      </w:rPr>
                    </w:pPr>
                    <w:r>
                      <w:rPr>
                        <w:rFonts w:ascii="Calibri"/>
                        <w:sz w:val="16"/>
                      </w:rPr>
                      <w:t>Per cent</w:t>
                    </w:r>
                  </w:p>
                  <w:p>
                    <w:pPr>
                      <w:spacing w:before="6"/>
                      <w:ind w:left="0" w:right="174" w:firstLine="0"/>
                      <w:jc w:val="right"/>
                      <w:rPr>
                        <w:rFonts w:ascii="Calibri"/>
                        <w:sz w:val="16"/>
                      </w:rPr>
                    </w:pPr>
                    <w:r>
                      <w:rPr>
                        <w:rFonts w:ascii="Calibri"/>
                        <w:sz w:val="16"/>
                      </w:rPr>
                      <w:t>100</w:t>
                    </w:r>
                  </w:p>
                  <w:p>
                    <w:pPr>
                      <w:spacing w:line="240" w:lineRule="auto" w:before="1"/>
                      <w:rPr>
                        <w:rFonts w:ascii="Calibri"/>
                        <w:sz w:val="21"/>
                      </w:rPr>
                    </w:pPr>
                  </w:p>
                  <w:p>
                    <w:pPr>
                      <w:spacing w:before="0"/>
                      <w:ind w:left="0" w:right="258" w:firstLine="0"/>
                      <w:jc w:val="right"/>
                      <w:rPr>
                        <w:rFonts w:ascii="Calibri"/>
                        <w:sz w:val="16"/>
                      </w:rPr>
                    </w:pPr>
                    <w:r>
                      <w:rPr>
                        <w:rFonts w:ascii="Calibri"/>
                        <w:spacing w:val="-8"/>
                        <w:sz w:val="16"/>
                      </w:rPr>
                      <w:t>95</w:t>
                    </w:r>
                  </w:p>
                  <w:p>
                    <w:pPr>
                      <w:spacing w:line="240" w:lineRule="auto" w:before="2"/>
                      <w:rPr>
                        <w:rFonts w:ascii="Calibri"/>
                        <w:sz w:val="21"/>
                      </w:rPr>
                    </w:pPr>
                  </w:p>
                  <w:p>
                    <w:pPr>
                      <w:spacing w:before="0"/>
                      <w:ind w:left="0" w:right="258" w:firstLine="0"/>
                      <w:jc w:val="right"/>
                      <w:rPr>
                        <w:rFonts w:ascii="Calibri"/>
                        <w:sz w:val="16"/>
                      </w:rPr>
                    </w:pPr>
                    <w:r>
                      <w:rPr>
                        <w:rFonts w:ascii="Calibri"/>
                        <w:spacing w:val="-8"/>
                        <w:sz w:val="16"/>
                      </w:rPr>
                      <w:t>90</w:t>
                    </w:r>
                  </w:p>
                  <w:p>
                    <w:pPr>
                      <w:spacing w:line="240" w:lineRule="auto" w:before="1"/>
                      <w:rPr>
                        <w:rFonts w:ascii="Calibri"/>
                        <w:sz w:val="21"/>
                      </w:rPr>
                    </w:pPr>
                  </w:p>
                  <w:p>
                    <w:pPr>
                      <w:spacing w:before="0"/>
                      <w:ind w:left="0" w:right="258" w:firstLine="0"/>
                      <w:jc w:val="right"/>
                      <w:rPr>
                        <w:rFonts w:ascii="Calibri"/>
                        <w:sz w:val="16"/>
                      </w:rPr>
                    </w:pPr>
                    <w:r>
                      <w:rPr>
                        <w:rFonts w:ascii="Calibri"/>
                        <w:spacing w:val="-8"/>
                        <w:sz w:val="16"/>
                      </w:rPr>
                      <w:t>85</w:t>
                    </w:r>
                  </w:p>
                  <w:p>
                    <w:pPr>
                      <w:spacing w:line="240" w:lineRule="auto" w:before="2"/>
                      <w:rPr>
                        <w:rFonts w:ascii="Calibri"/>
                        <w:sz w:val="21"/>
                      </w:rPr>
                    </w:pPr>
                  </w:p>
                  <w:p>
                    <w:pPr>
                      <w:spacing w:before="0"/>
                      <w:ind w:left="0" w:right="258" w:firstLine="0"/>
                      <w:jc w:val="right"/>
                      <w:rPr>
                        <w:rFonts w:ascii="Calibri"/>
                        <w:sz w:val="16"/>
                      </w:rPr>
                    </w:pPr>
                    <w:r>
                      <w:rPr>
                        <w:rFonts w:ascii="Calibri"/>
                        <w:spacing w:val="-8"/>
                        <w:sz w:val="16"/>
                      </w:rPr>
                      <w:t>80</w:t>
                    </w:r>
                  </w:p>
                  <w:p>
                    <w:pPr>
                      <w:spacing w:line="240" w:lineRule="auto" w:before="2"/>
                      <w:rPr>
                        <w:rFonts w:ascii="Calibri"/>
                        <w:sz w:val="21"/>
                      </w:rPr>
                    </w:pPr>
                  </w:p>
                  <w:p>
                    <w:pPr>
                      <w:spacing w:before="0"/>
                      <w:ind w:left="0" w:right="258" w:firstLine="0"/>
                      <w:jc w:val="right"/>
                      <w:rPr>
                        <w:rFonts w:ascii="Calibri"/>
                        <w:sz w:val="16"/>
                      </w:rPr>
                    </w:pPr>
                    <w:r>
                      <w:rPr>
                        <w:rFonts w:ascii="Calibri"/>
                        <w:spacing w:val="-8"/>
                        <w:sz w:val="16"/>
                      </w:rPr>
                      <w:t>75</w:t>
                    </w:r>
                  </w:p>
                  <w:p>
                    <w:pPr>
                      <w:spacing w:line="240" w:lineRule="auto" w:before="0"/>
                      <w:rPr>
                        <w:rFonts w:ascii="Calibri"/>
                        <w:sz w:val="21"/>
                      </w:rPr>
                    </w:pPr>
                  </w:p>
                  <w:p>
                    <w:pPr>
                      <w:spacing w:before="0"/>
                      <w:ind w:left="0" w:right="258" w:firstLine="0"/>
                      <w:jc w:val="right"/>
                      <w:rPr>
                        <w:rFonts w:ascii="Calibri"/>
                        <w:sz w:val="16"/>
                      </w:rPr>
                    </w:pPr>
                    <w:r>
                      <w:rPr>
                        <w:rFonts w:ascii="Calibri"/>
                        <w:spacing w:val="-8"/>
                        <w:sz w:val="16"/>
                      </w:rPr>
                      <w:t>70</w:t>
                    </w:r>
                  </w:p>
                </w:txbxContent>
              </v:textbox>
              <w10:wrap type="none"/>
            </v:shape>
            <w10:wrap type="none"/>
          </v:group>
        </w:pict>
      </w:r>
      <w:r>
        <w:rPr/>
        <w:t>Chart 8: Median loan-to-value ratios for first-time buyers</w:t>
      </w:r>
      <w:r>
        <w:rPr>
          <w:vertAlign w:val="superscript"/>
        </w:rPr>
        <w:t>(a)</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5"/>
        <w:rPr>
          <w:b/>
          <w:sz w:val="27"/>
        </w:rPr>
      </w:pPr>
    </w:p>
    <w:p>
      <w:pPr>
        <w:spacing w:before="0"/>
        <w:ind w:left="234" w:right="0" w:firstLine="0"/>
        <w:jc w:val="left"/>
        <w:rPr>
          <w:sz w:val="16"/>
        </w:rPr>
      </w:pPr>
      <w:r>
        <w:rPr/>
        <w:pict>
          <v:shape style="position:absolute;margin-left:63.015049pt;margin-top:-31.422235pt;width:10.1pt;height:17.150pt;mso-position-horizontal-relative:page;mso-position-vertical-relative:paragraph;z-index:251673600"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pacing w:val="-7"/>
                      <w:sz w:val="16"/>
                    </w:rPr>
                    <w:t>1974</w:t>
                  </w:r>
                </w:p>
              </w:txbxContent>
            </v:textbox>
            <w10:wrap type="none"/>
          </v:shape>
        </w:pict>
      </w:r>
      <w:r>
        <w:rPr/>
        <w:pict>
          <v:shape style="position:absolute;margin-left:92.535187pt;margin-top:-31.422235pt;width:10.1pt;height:17.150pt;mso-position-horizontal-relative:page;mso-position-vertical-relative:paragraph;z-index:251674624"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pacing w:val="-7"/>
                      <w:sz w:val="16"/>
                    </w:rPr>
                    <w:t>1979</w:t>
                  </w:r>
                </w:p>
              </w:txbxContent>
            </v:textbox>
            <w10:wrap type="none"/>
          </v:shape>
        </w:pict>
      </w:r>
      <w:r>
        <w:rPr/>
        <w:pict>
          <v:shape style="position:absolute;margin-left:122.115158pt;margin-top:-31.422235pt;width:10.1pt;height:17.150pt;mso-position-horizontal-relative:page;mso-position-vertical-relative:paragraph;z-index:251675648"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pacing w:val="-7"/>
                      <w:sz w:val="16"/>
                    </w:rPr>
                    <w:t>1984</w:t>
                  </w:r>
                </w:p>
              </w:txbxContent>
            </v:textbox>
            <w10:wrap type="none"/>
          </v:shape>
        </w:pict>
      </w:r>
      <w:r>
        <w:rPr/>
        <w:pict>
          <v:shape style="position:absolute;margin-left:151.695129pt;margin-top:-31.422235pt;width:10.1pt;height:17.150pt;mso-position-horizontal-relative:page;mso-position-vertical-relative:paragraph;z-index:251676672"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pacing w:val="-7"/>
                      <w:sz w:val="16"/>
                    </w:rPr>
                    <w:t>1989</w:t>
                  </w:r>
                </w:p>
              </w:txbxContent>
            </v:textbox>
            <w10:wrap type="none"/>
          </v:shape>
        </w:pict>
      </w:r>
      <w:r>
        <w:rPr/>
        <w:pict>
          <v:shape style="position:absolute;margin-left:181.275101pt;margin-top:-31.422235pt;width:10.1pt;height:17.150pt;mso-position-horizontal-relative:page;mso-position-vertical-relative:paragraph;z-index:251677696"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pacing w:val="-7"/>
                      <w:sz w:val="16"/>
                    </w:rPr>
                    <w:t>1994</w:t>
                  </w:r>
                </w:p>
              </w:txbxContent>
            </v:textbox>
            <w10:wrap type="none"/>
          </v:shape>
        </w:pict>
      </w:r>
      <w:r>
        <w:rPr/>
        <w:pict>
          <v:shape style="position:absolute;margin-left:210.795242pt;margin-top:-31.422235pt;width:10.1pt;height:17.150pt;mso-position-horizontal-relative:page;mso-position-vertical-relative:paragraph;z-index:251678720"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pacing w:val="-7"/>
                      <w:sz w:val="16"/>
                    </w:rPr>
                    <w:t>1999</w:t>
                  </w:r>
                </w:p>
              </w:txbxContent>
            </v:textbox>
            <w10:wrap type="none"/>
          </v:shape>
        </w:pict>
      </w:r>
      <w:r>
        <w:rPr/>
        <w:pict>
          <v:shape style="position:absolute;margin-left:240.375214pt;margin-top:-31.422235pt;width:10.1pt;height:17.150pt;mso-position-horizontal-relative:page;mso-position-vertical-relative:paragraph;z-index:251679744"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pacing w:val="-7"/>
                      <w:sz w:val="16"/>
                    </w:rPr>
                    <w:t>2004</w:t>
                  </w:r>
                </w:p>
              </w:txbxContent>
            </v:textbox>
            <w10:wrap type="none"/>
          </v:shape>
        </w:pict>
      </w:r>
      <w:r>
        <w:rPr/>
        <w:pict>
          <v:shape style="position:absolute;margin-left:269.9552pt;margin-top:-31.422235pt;width:10.1pt;height:17.150pt;mso-position-horizontal-relative:page;mso-position-vertical-relative:paragraph;z-index:251680768"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pacing w:val="-7"/>
                      <w:sz w:val="16"/>
                    </w:rPr>
                    <w:t>2009</w:t>
                  </w:r>
                </w:p>
              </w:txbxContent>
            </v:textbox>
            <w10:wrap type="none"/>
          </v:shape>
        </w:pict>
      </w:r>
      <w:r>
        <w:rPr>
          <w:sz w:val="16"/>
        </w:rPr>
        <w:t>Source: CML</w:t>
      </w:r>
    </w:p>
    <w:p>
      <w:pPr>
        <w:spacing w:before="119"/>
        <w:ind w:left="234" w:right="0" w:firstLine="0"/>
        <w:jc w:val="left"/>
        <w:rPr>
          <w:sz w:val="16"/>
        </w:rPr>
      </w:pPr>
      <w:r>
        <w:rPr>
          <w:sz w:val="16"/>
        </w:rPr>
        <w:t>(a) Data are not available for 1978. The vertical lines represent breaks in the series.</w:t>
      </w:r>
    </w:p>
    <w:p>
      <w:pPr>
        <w:spacing w:after="0"/>
        <w:jc w:val="left"/>
        <w:rPr>
          <w:sz w:val="16"/>
        </w:rPr>
        <w:sectPr>
          <w:pgSz w:w="11900" w:h="16840"/>
          <w:pgMar w:header="0" w:footer="1340" w:top="1540" w:bottom="1540" w:left="900" w:right="0"/>
        </w:sectPr>
      </w:pPr>
    </w:p>
    <w:p>
      <w:pPr>
        <w:pStyle w:val="BodyText"/>
        <w:spacing w:line="360" w:lineRule="auto" w:before="76"/>
        <w:ind w:left="233" w:right="1326"/>
      </w:pPr>
      <w:r>
        <w:rPr/>
        <w:t>It is worth noting that this age profile of leverage amongst home-owners – very high leverage for young home-owners and very low leverage for older people – is quite different from what one observes with many companies. Start-up companies are often largely equity financed; many more established companies have greater access to debt.</w:t>
      </w:r>
    </w:p>
    <w:p>
      <w:pPr>
        <w:pStyle w:val="BodyText"/>
        <w:rPr>
          <w:sz w:val="22"/>
        </w:rPr>
      </w:pPr>
    </w:p>
    <w:p>
      <w:pPr>
        <w:pStyle w:val="BodyText"/>
        <w:spacing w:before="2"/>
        <w:rPr>
          <w:sz w:val="17"/>
        </w:rPr>
      </w:pPr>
    </w:p>
    <w:p>
      <w:pPr>
        <w:pStyle w:val="Heading1"/>
        <w:spacing w:before="1"/>
        <w:ind w:left="233"/>
      </w:pPr>
      <w:r>
        <w:rPr/>
        <w:t>Chart 9: Median loan-to-income ratios for first-time buyers</w:t>
      </w:r>
      <w:r>
        <w:rPr>
          <w:vertAlign w:val="superscript"/>
        </w:rPr>
        <w:t>(a)</w:t>
      </w:r>
    </w:p>
    <w:p>
      <w:pPr>
        <w:pStyle w:val="BodyText"/>
        <w:rPr>
          <w:b/>
        </w:rPr>
      </w:pPr>
    </w:p>
    <w:p>
      <w:pPr>
        <w:pStyle w:val="BodyText"/>
        <w:spacing w:before="4"/>
        <w:rPr>
          <w:b/>
          <w:sz w:val="15"/>
        </w:rPr>
      </w:pPr>
      <w:r>
        <w:rPr/>
        <w:drawing>
          <wp:anchor distT="0" distB="0" distL="0" distR="0" allowOverlap="1" layoutInCell="1" locked="0" behindDoc="0" simplePos="0" relativeHeight="23">
            <wp:simplePos x="0" y="0"/>
            <wp:positionH relativeFrom="page">
              <wp:posOffset>808796</wp:posOffset>
            </wp:positionH>
            <wp:positionV relativeFrom="paragraph">
              <wp:posOffset>137319</wp:posOffset>
            </wp:positionV>
            <wp:extent cx="3262027" cy="2206561"/>
            <wp:effectExtent l="0" t="0" r="0" b="0"/>
            <wp:wrapTopAndBottom/>
            <wp:docPr id="3" name="image6.png"/>
            <wp:cNvGraphicFramePr>
              <a:graphicFrameLocks noChangeAspect="1"/>
            </wp:cNvGraphicFramePr>
            <a:graphic>
              <a:graphicData uri="http://schemas.openxmlformats.org/drawingml/2006/picture">
                <pic:pic>
                  <pic:nvPicPr>
                    <pic:cNvPr id="4" name="image6.png"/>
                    <pic:cNvPicPr/>
                  </pic:nvPicPr>
                  <pic:blipFill>
                    <a:blip r:embed="rId12" cstate="print"/>
                    <a:stretch>
                      <a:fillRect/>
                    </a:stretch>
                  </pic:blipFill>
                  <pic:spPr>
                    <a:xfrm>
                      <a:off x="0" y="0"/>
                      <a:ext cx="3262027" cy="2206561"/>
                    </a:xfrm>
                    <a:prstGeom prst="rect">
                      <a:avLst/>
                    </a:prstGeom>
                  </pic:spPr>
                </pic:pic>
              </a:graphicData>
            </a:graphic>
          </wp:anchor>
        </w:drawing>
      </w:r>
    </w:p>
    <w:p>
      <w:pPr>
        <w:pStyle w:val="BodyText"/>
        <w:spacing w:before="1"/>
        <w:rPr>
          <w:b/>
          <w:sz w:val="8"/>
        </w:rPr>
      </w:pPr>
    </w:p>
    <w:p>
      <w:pPr>
        <w:spacing w:before="95"/>
        <w:ind w:left="234" w:right="0" w:firstLine="0"/>
        <w:jc w:val="left"/>
        <w:rPr>
          <w:sz w:val="16"/>
        </w:rPr>
      </w:pPr>
      <w:r>
        <w:rPr>
          <w:sz w:val="16"/>
        </w:rPr>
        <w:t>Source: CML</w:t>
      </w:r>
    </w:p>
    <w:p>
      <w:pPr>
        <w:pStyle w:val="BodyText"/>
        <w:rPr>
          <w:sz w:val="18"/>
        </w:rPr>
      </w:pPr>
    </w:p>
    <w:p>
      <w:pPr>
        <w:spacing w:before="133"/>
        <w:ind w:left="234" w:right="0" w:firstLine="0"/>
        <w:jc w:val="left"/>
        <w:rPr>
          <w:sz w:val="16"/>
        </w:rPr>
      </w:pPr>
      <w:r>
        <w:rPr>
          <w:sz w:val="16"/>
        </w:rPr>
        <w:t>(a) Data are not available for 1978. The vertical lines represent breaks in the series.</w:t>
      </w:r>
    </w:p>
    <w:p>
      <w:pPr>
        <w:pStyle w:val="BodyText"/>
        <w:rPr>
          <w:sz w:val="18"/>
        </w:rPr>
      </w:pPr>
    </w:p>
    <w:p>
      <w:pPr>
        <w:pStyle w:val="BodyText"/>
        <w:rPr>
          <w:sz w:val="18"/>
        </w:rPr>
      </w:pPr>
    </w:p>
    <w:p>
      <w:pPr>
        <w:pStyle w:val="BodyText"/>
        <w:spacing w:before="5"/>
        <w:rPr>
          <w:sz w:val="16"/>
        </w:rPr>
      </w:pPr>
    </w:p>
    <w:p>
      <w:pPr>
        <w:pStyle w:val="Heading1"/>
        <w:ind w:left="233"/>
      </w:pPr>
      <w:r>
        <w:rPr/>
        <w:t>Chart 10: House price</w:t>
      </w:r>
      <w:r>
        <w:rPr>
          <w:vertAlign w:val="superscript"/>
        </w:rPr>
        <w:t>(a)</w:t>
      </w:r>
      <w:r>
        <w:rPr>
          <w:vertAlign w:val="baseline"/>
        </w:rPr>
        <w:t> / Household disposable income</w:t>
      </w:r>
      <w:r>
        <w:rPr>
          <w:vertAlign w:val="superscript"/>
        </w:rPr>
        <w:t>(b)</w:t>
      </w:r>
      <w:r>
        <w:rPr>
          <w:spacing w:val="-36"/>
          <w:vertAlign w:val="baseline"/>
        </w:rPr>
        <w:t> </w:t>
      </w:r>
      <w:r>
        <w:rPr>
          <w:vertAlign w:val="baseline"/>
        </w:rPr>
        <w:t>ratio</w:t>
      </w:r>
    </w:p>
    <w:p>
      <w:pPr>
        <w:pStyle w:val="BodyText"/>
        <w:rPr>
          <w:b/>
        </w:rPr>
      </w:pPr>
    </w:p>
    <w:p>
      <w:pPr>
        <w:pStyle w:val="BodyText"/>
        <w:spacing w:before="8"/>
        <w:rPr>
          <w:b/>
          <w:sz w:val="16"/>
        </w:rPr>
      </w:pPr>
    </w:p>
    <w:p>
      <w:pPr>
        <w:spacing w:line="165" w:lineRule="exact" w:before="0"/>
        <w:ind w:left="0" w:right="4893" w:firstLine="0"/>
        <w:jc w:val="right"/>
        <w:rPr>
          <w:rFonts w:ascii="Calibri"/>
          <w:sz w:val="15"/>
        </w:rPr>
      </w:pPr>
      <w:r>
        <w:rPr>
          <w:rFonts w:ascii="Calibri"/>
          <w:spacing w:val="-3"/>
          <w:sz w:val="15"/>
        </w:rPr>
        <w:t>Ratio</w:t>
      </w:r>
    </w:p>
    <w:p>
      <w:pPr>
        <w:spacing w:line="165" w:lineRule="exact" w:before="0"/>
        <w:ind w:left="0" w:right="4835" w:firstLine="0"/>
        <w:jc w:val="right"/>
        <w:rPr>
          <w:rFonts w:ascii="Calibri"/>
          <w:sz w:val="15"/>
        </w:rPr>
      </w:pPr>
      <w:r>
        <w:rPr/>
        <w:pict>
          <v:group style="position:absolute;margin-left:69.959999pt;margin-top:3.853472pt;width:274.45pt;height:131.25pt;mso-position-horizontal-relative:page;mso-position-vertical-relative:paragraph;z-index:251682816" coordorigin="1399,77" coordsize="5489,2625">
            <v:line style="position:absolute" from="6847,82" to="6847,2661" stroked="true" strokeweight=".53998pt" strokecolor="#868686">
              <v:stroke dashstyle="solid"/>
            </v:line>
            <v:shape style="position:absolute;left:6847;top:77;width:41;height:2589" coordorigin="6847,77" coordsize="41,2589" path="m6888,2656l6847,2656,6847,2665,6888,2665,6888,2656m6888,2287l6847,2287,6847,2297,6888,2297,6888,2287m6888,1919l6847,1919,6847,1929,6888,1929,6888,1919m6888,1551l6847,1551,6847,1560,6888,1560,6888,1551m6888,1182l6847,1182,6847,1192,6888,1192,6888,1182m6888,814l6847,814,6847,823,6888,823,6888,814m6888,445l6847,445,6847,455,6888,455,6888,445m6888,77l6847,77,6847,87,6888,87,6888,77e" filled="true" fillcolor="#868686" stroked="false">
              <v:path arrowok="t"/>
              <v:fill type="solid"/>
            </v:shape>
            <v:line style="position:absolute" from="1440,2661" to="6847,2661" stroked="true" strokeweight=".48pt" strokecolor="#868686">
              <v:stroke dashstyle="solid"/>
            </v:line>
            <v:shape style="position:absolute;left:1435;top:2660;width:5295;height:41" coordorigin="1435,2661" coordsize="5295,41" path="m1446,2661l1435,2661,1435,2701,1446,2701,1446,2661m1885,2661l1874,2661,1874,2701,1885,2701,1885,2661m2324,2661l2315,2661,2315,2701,2324,2701,2324,2661m2764,2661l2754,2661,2754,2701,2764,2701,2764,2661m3203,2661l3193,2661,3193,2701,3203,2701,3203,2661m3653,2661l3643,2661,3643,2701,3653,2701,3653,2661m4092,2661l4082,2661,4082,2701,4092,2701,4092,2661m4532,2661l4522,2661,4522,2701,4532,2701,4532,2661m4972,2661l4961,2661,4961,2701,4972,2701,4972,2661m5411,2661l5400,2661,5400,2701,5411,2701,5411,2661m5850,2661l5840,2661,5840,2701,5850,2701,5850,2661m6289,2661l6280,2661,6280,2701,6289,2701,6289,2661m6730,2661l6719,2661,6719,2701,6730,2701,6730,2661e" filled="true" fillcolor="#868686" stroked="false">
              <v:path arrowok="t"/>
              <v:fill type="solid"/>
            </v:shape>
            <v:shape style="position:absolute;left:1405;top:1223;width:71;height:72" coordorigin="1405,1223" coordsize="71,72" path="m1440,1223l1405,1259,1440,1295,1476,1259,1440,1223xe" filled="true" fillcolor="#c0504d" stroked="false">
              <v:path arrowok="t"/>
              <v:fill type="solid"/>
            </v:shape>
            <v:shape style="position:absolute;left:1399;top:1217;width:83;height:83" coordorigin="1399,1217" coordsize="83,83" path="m1442,1217l1439,1217,1436,1219,1402,1255,1399,1258,1399,1260,1402,1263,1436,1299,1439,1300,1442,1300,1451,1291,1436,1291,1440,1288,1416,1263,1409,1263,1409,1255,1416,1255,1440,1230,1436,1227,1451,1227,1444,1219,1442,1217xm1440,1288l1436,1291,1444,1291,1440,1288xm1469,1259l1440,1288,1444,1291,1451,1291,1480,1263,1472,1263,1469,1259xm1409,1255l1409,1263,1412,1259,1409,1255xm1412,1259l1409,1263,1416,1263,1412,1259xm1472,1255l1469,1259,1472,1263,1472,1255xm1480,1255l1472,1255,1472,1263,1480,1263,1482,1260,1482,1258,1480,1255xm1416,1255l1409,1255,1412,1259,1416,1255xm1451,1227l1444,1227,1440,1230,1469,1259,1472,1255,1480,1255,1451,1227xm1444,1227l1436,1227,1440,1230,1444,1227xe" filled="true" fillcolor="#be4b48" stroked="false">
              <v:path arrowok="t"/>
              <v:fill type="solid"/>
            </v:shape>
            <v:shape style="position:absolute;left:1647;top:537;width:5207;height:1178" type="#_x0000_t75" stroked="false">
              <v:imagedata r:id="rId13" o:title=""/>
            </v:shape>
            <w10:wrap type="none"/>
          </v:group>
        </w:pict>
      </w:r>
      <w:r>
        <w:rPr>
          <w:rFonts w:ascii="Calibri"/>
          <w:w w:val="102"/>
          <w:sz w:val="15"/>
        </w:rPr>
        <w:t>7</w:t>
      </w:r>
    </w:p>
    <w:p>
      <w:pPr>
        <w:pStyle w:val="BodyText"/>
        <w:spacing w:before="3"/>
        <w:rPr>
          <w:rFonts w:ascii="Calibri"/>
          <w:sz w:val="9"/>
        </w:rPr>
      </w:pPr>
    </w:p>
    <w:p>
      <w:pPr>
        <w:spacing w:before="73"/>
        <w:ind w:left="1248" w:right="0" w:firstLine="0"/>
        <w:jc w:val="center"/>
        <w:rPr>
          <w:rFonts w:ascii="Calibri"/>
          <w:sz w:val="15"/>
        </w:rPr>
      </w:pPr>
      <w:r>
        <w:rPr>
          <w:rFonts w:ascii="Calibri"/>
          <w:w w:val="102"/>
          <w:sz w:val="15"/>
        </w:rPr>
        <w:t>6</w:t>
      </w:r>
    </w:p>
    <w:p>
      <w:pPr>
        <w:pStyle w:val="BodyText"/>
        <w:spacing w:before="4"/>
        <w:rPr>
          <w:rFonts w:ascii="Calibri"/>
          <w:sz w:val="9"/>
        </w:rPr>
      </w:pPr>
    </w:p>
    <w:p>
      <w:pPr>
        <w:spacing w:before="72"/>
        <w:ind w:left="1248" w:right="0" w:firstLine="0"/>
        <w:jc w:val="center"/>
        <w:rPr>
          <w:rFonts w:ascii="Calibri"/>
          <w:sz w:val="15"/>
        </w:rPr>
      </w:pPr>
      <w:r>
        <w:rPr>
          <w:rFonts w:ascii="Calibri"/>
          <w:w w:val="102"/>
          <w:sz w:val="15"/>
        </w:rPr>
        <w:t>5</w:t>
      </w:r>
    </w:p>
    <w:p>
      <w:pPr>
        <w:pStyle w:val="BodyText"/>
        <w:spacing w:before="3"/>
        <w:rPr>
          <w:rFonts w:ascii="Calibri"/>
          <w:sz w:val="9"/>
        </w:rPr>
      </w:pPr>
    </w:p>
    <w:p>
      <w:pPr>
        <w:spacing w:before="73"/>
        <w:ind w:left="1248" w:right="0" w:firstLine="0"/>
        <w:jc w:val="center"/>
        <w:rPr>
          <w:rFonts w:ascii="Calibri"/>
          <w:sz w:val="15"/>
        </w:rPr>
      </w:pPr>
      <w:r>
        <w:rPr>
          <w:rFonts w:ascii="Calibri"/>
          <w:w w:val="102"/>
          <w:sz w:val="15"/>
        </w:rPr>
        <w:t>4</w:t>
      </w:r>
    </w:p>
    <w:p>
      <w:pPr>
        <w:pStyle w:val="BodyText"/>
        <w:spacing w:before="3"/>
        <w:rPr>
          <w:rFonts w:ascii="Calibri"/>
          <w:sz w:val="9"/>
        </w:rPr>
      </w:pPr>
    </w:p>
    <w:p>
      <w:pPr>
        <w:spacing w:before="72"/>
        <w:ind w:left="1248" w:right="0" w:firstLine="0"/>
        <w:jc w:val="center"/>
        <w:rPr>
          <w:rFonts w:ascii="Calibri"/>
          <w:sz w:val="15"/>
        </w:rPr>
      </w:pPr>
      <w:r>
        <w:rPr>
          <w:rFonts w:ascii="Calibri"/>
          <w:w w:val="102"/>
          <w:sz w:val="15"/>
        </w:rPr>
        <w:t>3</w:t>
      </w:r>
    </w:p>
    <w:p>
      <w:pPr>
        <w:pStyle w:val="BodyText"/>
        <w:spacing w:before="4"/>
        <w:rPr>
          <w:rFonts w:ascii="Calibri"/>
          <w:sz w:val="9"/>
        </w:rPr>
      </w:pPr>
    </w:p>
    <w:p>
      <w:pPr>
        <w:spacing w:before="73"/>
        <w:ind w:left="1248" w:right="0" w:firstLine="0"/>
        <w:jc w:val="center"/>
        <w:rPr>
          <w:rFonts w:ascii="Calibri"/>
          <w:sz w:val="15"/>
        </w:rPr>
      </w:pPr>
      <w:r>
        <w:rPr>
          <w:rFonts w:ascii="Calibri"/>
          <w:w w:val="102"/>
          <w:sz w:val="15"/>
        </w:rPr>
        <w:t>2</w:t>
      </w:r>
    </w:p>
    <w:p>
      <w:pPr>
        <w:pStyle w:val="BodyText"/>
        <w:spacing w:before="3"/>
        <w:rPr>
          <w:rFonts w:ascii="Calibri"/>
          <w:sz w:val="9"/>
        </w:rPr>
      </w:pPr>
    </w:p>
    <w:p>
      <w:pPr>
        <w:spacing w:before="72"/>
        <w:ind w:left="1248" w:right="0" w:firstLine="0"/>
        <w:jc w:val="center"/>
        <w:rPr>
          <w:rFonts w:ascii="Calibri"/>
          <w:sz w:val="15"/>
        </w:rPr>
      </w:pPr>
      <w:r>
        <w:rPr>
          <w:rFonts w:ascii="Calibri"/>
          <w:w w:val="102"/>
          <w:sz w:val="15"/>
        </w:rPr>
        <w:t>1</w:t>
      </w:r>
    </w:p>
    <w:p>
      <w:pPr>
        <w:pStyle w:val="BodyText"/>
        <w:spacing w:before="3"/>
        <w:rPr>
          <w:rFonts w:ascii="Calibri"/>
          <w:sz w:val="9"/>
        </w:rPr>
      </w:pPr>
    </w:p>
    <w:p>
      <w:pPr>
        <w:spacing w:before="73"/>
        <w:ind w:left="1248" w:right="0" w:firstLine="0"/>
        <w:jc w:val="center"/>
        <w:rPr>
          <w:rFonts w:ascii="Calibri"/>
          <w:sz w:val="15"/>
        </w:rPr>
      </w:pPr>
      <w:r>
        <w:rPr>
          <w:rFonts w:ascii="Calibri"/>
          <w:w w:val="102"/>
          <w:sz w:val="15"/>
        </w:rPr>
        <w:t>0</w:t>
      </w:r>
    </w:p>
    <w:p>
      <w:pPr>
        <w:spacing w:before="12"/>
        <w:ind w:left="0" w:right="4609" w:firstLine="0"/>
        <w:jc w:val="center"/>
        <w:rPr>
          <w:rFonts w:ascii="Calibri"/>
          <w:sz w:val="15"/>
        </w:rPr>
      </w:pPr>
      <w:r>
        <w:rPr>
          <w:rFonts w:ascii="Calibri"/>
          <w:sz w:val="15"/>
        </w:rPr>
        <w:t>1950 1955 1960 1965 1970 1975 1980 1985 1990 1995 2000 2005 2010</w:t>
      </w:r>
    </w:p>
    <w:p>
      <w:pPr>
        <w:spacing w:before="85"/>
        <w:ind w:left="234" w:right="0" w:firstLine="0"/>
        <w:jc w:val="left"/>
        <w:rPr>
          <w:sz w:val="16"/>
        </w:rPr>
      </w:pPr>
      <w:r>
        <w:rPr>
          <w:sz w:val="16"/>
        </w:rPr>
        <w:t>Sources: Nationwide, ONS, Miles, D. Housing, Financial Markets and the Wider Economy, 1994 and Bank of England calculations.</w:t>
      </w:r>
    </w:p>
    <w:p>
      <w:pPr>
        <w:pStyle w:val="BodyText"/>
        <w:rPr>
          <w:sz w:val="18"/>
        </w:rPr>
      </w:pPr>
    </w:p>
    <w:p>
      <w:pPr>
        <w:pStyle w:val="ListParagraph"/>
        <w:numPr>
          <w:ilvl w:val="0"/>
          <w:numId w:val="3"/>
        </w:numPr>
        <w:tabs>
          <w:tab w:pos="519" w:val="left" w:leader="none"/>
        </w:tabs>
        <w:spacing w:line="240" w:lineRule="auto" w:before="161" w:after="0"/>
        <w:ind w:left="518" w:right="0" w:hanging="286"/>
        <w:jc w:val="left"/>
        <w:rPr>
          <w:sz w:val="16"/>
        </w:rPr>
      </w:pPr>
      <w:r>
        <w:rPr>
          <w:sz w:val="16"/>
        </w:rPr>
        <w:t>Using Nationwide house price</w:t>
      </w:r>
      <w:r>
        <w:rPr>
          <w:spacing w:val="-7"/>
          <w:sz w:val="16"/>
        </w:rPr>
        <w:t> </w:t>
      </w:r>
      <w:r>
        <w:rPr>
          <w:sz w:val="16"/>
        </w:rPr>
        <w:t>data.</w:t>
      </w:r>
    </w:p>
    <w:p>
      <w:pPr>
        <w:pStyle w:val="ListParagraph"/>
        <w:numPr>
          <w:ilvl w:val="0"/>
          <w:numId w:val="3"/>
        </w:numPr>
        <w:tabs>
          <w:tab w:pos="520" w:val="left" w:leader="none"/>
        </w:tabs>
        <w:spacing w:line="360" w:lineRule="auto" w:before="92" w:after="0"/>
        <w:ind w:left="518" w:right="1310" w:hanging="285"/>
        <w:jc w:val="left"/>
        <w:rPr>
          <w:sz w:val="16"/>
        </w:rPr>
      </w:pPr>
      <w:r>
        <w:rPr>
          <w:sz w:val="16"/>
        </w:rPr>
        <w:t>Total household disposable income divided by the number of households. Household numbers are based on census data,</w:t>
      </w:r>
      <w:r>
        <w:rPr>
          <w:spacing w:val="-19"/>
          <w:sz w:val="16"/>
        </w:rPr>
        <w:t> </w:t>
      </w:r>
      <w:r>
        <w:rPr>
          <w:sz w:val="16"/>
        </w:rPr>
        <w:t>linearly extrapolated for non census</w:t>
      </w:r>
      <w:r>
        <w:rPr>
          <w:spacing w:val="2"/>
          <w:sz w:val="16"/>
        </w:rPr>
        <w:t> </w:t>
      </w:r>
      <w:r>
        <w:rPr>
          <w:sz w:val="16"/>
        </w:rPr>
        <w:t>years.</w:t>
      </w:r>
    </w:p>
    <w:p>
      <w:pPr>
        <w:spacing w:after="0" w:line="360" w:lineRule="auto"/>
        <w:jc w:val="left"/>
        <w:rPr>
          <w:sz w:val="16"/>
        </w:rPr>
        <w:sectPr>
          <w:pgSz w:w="11900" w:h="16840"/>
          <w:pgMar w:header="0" w:footer="1340" w:top="1540" w:bottom="1540" w:left="900" w:right="0"/>
        </w:sectPr>
      </w:pPr>
    </w:p>
    <w:p>
      <w:pPr>
        <w:pStyle w:val="BodyText"/>
        <w:spacing w:line="360" w:lineRule="auto" w:before="76"/>
        <w:ind w:left="233" w:right="1161"/>
      </w:pPr>
      <w:r>
        <w:rPr/>
        <w:t>High leverage, combined with a high debt-to-income ratio, makes new buyers vulnerable to a shock to income and to a reduction in house prices. Once banks and, crucially, those that fund banks, no longer believed that rising nominal house prices were overwhelmingly the most likely outcome, the pricing and availability of mortgages to new buyers that we had got used to in the years up to 2007 was no longer sustainable. That point was reached rather suddenly in the UK in the autumn of 2007. House prices then began to fall as funding for mortgage lending became more difficult for banks. Affordability criteria were tightened.</w:t>
      </w:r>
      <w:r>
        <w:rPr>
          <w:vertAlign w:val="superscript"/>
        </w:rPr>
        <w:t>2</w:t>
      </w:r>
      <w:r>
        <w:rPr>
          <w:vertAlign w:val="baseline"/>
        </w:rPr>
        <w:t> The median LTV ratio for first time buyers fell sharply to 75%, and has only risen to 80% more recently.</w:t>
      </w:r>
    </w:p>
    <w:p>
      <w:pPr>
        <w:pStyle w:val="BodyText"/>
        <w:spacing w:before="11"/>
        <w:rPr>
          <w:sz w:val="29"/>
        </w:rPr>
      </w:pPr>
    </w:p>
    <w:p>
      <w:pPr>
        <w:pStyle w:val="BodyText"/>
        <w:spacing w:line="360" w:lineRule="auto"/>
        <w:ind w:left="234" w:right="1161"/>
      </w:pPr>
      <w:r>
        <w:rPr/>
        <w:t>Banks and building societies are now requiring that house purchases are financed with more equity. Curiously enough, they thereby apply exactly the same logic against which some have lobbied hard when banking regulators drafted tighter rules for bank capital. If banks are financed to a greater degree by equity, the banking system will be more stable. Similarly, a greater share of equity finance should increase the stability of the housing market: more equity finance means that the likelihood of arrears on debt, personal insolvencies and forced sales of homes, which tends to lead to more volatile prices, is reduced.</w:t>
      </w:r>
    </w:p>
    <w:p>
      <w:pPr>
        <w:pStyle w:val="BodyText"/>
        <w:spacing w:before="1"/>
        <w:rPr>
          <w:sz w:val="30"/>
        </w:rPr>
      </w:pPr>
    </w:p>
    <w:p>
      <w:pPr>
        <w:pStyle w:val="BodyText"/>
        <w:ind w:left="234"/>
      </w:pPr>
      <w:r>
        <w:rPr/>
        <w:t>The natural place for equity to come from is owners themselves. But it is not the only source of equity.</w:t>
      </w:r>
    </w:p>
    <w:p>
      <w:pPr>
        <w:pStyle w:val="BodyText"/>
        <w:spacing w:line="360" w:lineRule="auto" w:before="114"/>
        <w:ind w:left="234" w:right="1296"/>
      </w:pPr>
      <w:r>
        <w:rPr/>
        <w:t>The most straightforward option is for prospective buyers to postpone their purchase, while they save more to accumulate a larger deposit. As a result the average age at which people would buy their first home will rise, and the share of owner occupied houses will fall. The change in the pattern of home ownership this generates can be expected to be very large.</w:t>
      </w:r>
    </w:p>
    <w:p>
      <w:pPr>
        <w:pStyle w:val="BodyText"/>
        <w:spacing w:before="1"/>
        <w:rPr>
          <w:sz w:val="30"/>
        </w:rPr>
      </w:pPr>
    </w:p>
    <w:p>
      <w:pPr>
        <w:pStyle w:val="BodyText"/>
        <w:spacing w:line="360" w:lineRule="auto"/>
        <w:ind w:left="234" w:right="1196"/>
      </w:pPr>
      <w:r>
        <w:rPr/>
        <w:t>Consider the following, stylized, example. Imagine we start in a world where it is possible for a first-time buyer to borrow 95% of the value of a property. Suppose prospective homeowners typically start saving for the deposit on their first property when they are 28 years old, that they save 5% of their annual income and that the average price of properties bought by first time buyers is four times their annual income at the point they buy. Then it takes four years for prospective buyers to accumulate a deposit of 5% of the average house price.</w:t>
      </w:r>
      <w:r>
        <w:rPr>
          <w:vertAlign w:val="superscript"/>
        </w:rPr>
        <w:t>3</w:t>
      </w:r>
      <w:r>
        <w:rPr>
          <w:vertAlign w:val="baseline"/>
        </w:rPr>
        <w:t> In this example, the average age of first time buyers is 32 years assuming that they only need to have a deposit of 5% – as was quite usual before the crisis. Now think what happens when banks require a deposit of 20%. Assuming no change in saving behaviour, it takes four times as long to save the deposit (16 years). The average age of a first-time buyer would then rise to 28 + 16 = 44 years. The solid line in Chart 11 shows the relationship between the required deposit on the x-axis and the age of first-time buyers assuming no change in saving rates.</w:t>
      </w:r>
    </w:p>
    <w:p>
      <w:pPr>
        <w:pStyle w:val="BodyText"/>
        <w:spacing w:before="10"/>
        <w:rPr>
          <w:sz w:val="29"/>
        </w:rPr>
      </w:pPr>
    </w:p>
    <w:p>
      <w:pPr>
        <w:pStyle w:val="BodyText"/>
        <w:spacing w:line="360" w:lineRule="auto" w:before="1"/>
        <w:ind w:left="234" w:right="1530"/>
      </w:pPr>
      <w:r>
        <w:rPr/>
        <w:pict>
          <v:shape style="position:absolute;margin-left:56.700001pt;margin-top:40.867226pt;width:144pt;height:.1pt;mso-position-horizontal-relative:page;mso-position-vertical-relative:paragraph;z-index:-251632640;mso-wrap-distance-left:0;mso-wrap-distance-right:0" coordorigin="1134,817" coordsize="2880,0" path="m1134,817l4014,817e" filled="false" stroked="true" strokeweight=".47998pt" strokecolor="#000000">
            <v:path arrowok="t"/>
            <v:stroke dashstyle="solid"/>
            <w10:wrap type="topAndBottom"/>
          </v:shape>
        </w:pict>
      </w:r>
      <w:r>
        <w:rPr/>
        <w:t>It is more likely that those wishing to buy try to save more. The dotted line in Chart 11 shows what would happen to the age at which people buy if they increase their saving rate from 5% as the required deposit</w:t>
      </w:r>
    </w:p>
    <w:p>
      <w:pPr>
        <w:spacing w:before="32"/>
        <w:ind w:left="233" w:right="1681" w:firstLine="0"/>
        <w:jc w:val="left"/>
        <w:rPr>
          <w:sz w:val="16"/>
        </w:rPr>
      </w:pPr>
      <w:r>
        <w:rPr>
          <w:position w:val="8"/>
          <w:sz w:val="10"/>
        </w:rPr>
        <w:t>2 </w:t>
      </w:r>
      <w:r>
        <w:rPr>
          <w:sz w:val="16"/>
        </w:rPr>
        <w:t>The Financial Services Authority has recently reviewed mortgage lending practices and proposed a set of criteria against which mortgage lenders would be required to assess the affordability of the mortgage. See </w:t>
      </w:r>
      <w:hyperlink r:id="rId14">
        <w:r>
          <w:rPr>
            <w:color w:val="0000FF"/>
            <w:sz w:val="16"/>
            <w:u w:val="single" w:color="0000FF"/>
          </w:rPr>
          <w:t>http://www.fsa.gov.uk/pages/About/What/mmr/index.shtm</w:t>
        </w:r>
        <w:r>
          <w:rPr>
            <w:color w:val="0000FF"/>
            <w:sz w:val="16"/>
          </w:rPr>
          <w:t>l</w:t>
        </w:r>
        <w:r>
          <w:rPr>
            <w:sz w:val="16"/>
          </w:rPr>
          <w:t>.</w:t>
        </w:r>
      </w:hyperlink>
    </w:p>
    <w:p>
      <w:pPr>
        <w:spacing w:line="184" w:lineRule="exact" w:before="0"/>
        <w:ind w:left="234" w:right="0" w:firstLine="0"/>
        <w:jc w:val="left"/>
        <w:rPr>
          <w:sz w:val="16"/>
        </w:rPr>
      </w:pPr>
      <w:r>
        <w:rPr>
          <w:position w:val="8"/>
          <w:sz w:val="10"/>
        </w:rPr>
        <w:t>3 </w:t>
      </w:r>
      <w:r>
        <w:rPr>
          <w:sz w:val="16"/>
        </w:rPr>
        <w:t>We implicitly assume that incomes and house prices tend to rise in line and at a rate roughly equal to the return on savings.</w:t>
      </w:r>
    </w:p>
    <w:p>
      <w:pPr>
        <w:spacing w:after="0" w:line="184" w:lineRule="exact"/>
        <w:jc w:val="left"/>
        <w:rPr>
          <w:sz w:val="16"/>
        </w:rPr>
        <w:sectPr>
          <w:pgSz w:w="11900" w:h="16840"/>
          <w:pgMar w:header="0" w:footer="1340" w:top="1540" w:bottom="1540" w:left="900" w:right="0"/>
        </w:sectPr>
      </w:pPr>
    </w:p>
    <w:p>
      <w:pPr>
        <w:pStyle w:val="BodyText"/>
        <w:spacing w:line="360" w:lineRule="auto" w:before="76"/>
        <w:ind w:left="234" w:right="1581"/>
        <w:jc w:val="both"/>
      </w:pPr>
      <w:r>
        <w:rPr/>
        <w:t>rises, up to a saving rate of 10%. The dotted line shows what happens if having doubled the saving rate potential home-owners cannot save any more. This would mean that it takes eight years for the average first-time buyer to save 20% deposit and so the average age at the time of first purchase is 36 years.</w:t>
      </w:r>
    </w:p>
    <w:p>
      <w:pPr>
        <w:pStyle w:val="BodyText"/>
        <w:rPr>
          <w:sz w:val="22"/>
        </w:rPr>
      </w:pPr>
    </w:p>
    <w:p>
      <w:pPr>
        <w:pStyle w:val="BodyText"/>
        <w:spacing w:before="8"/>
        <w:rPr>
          <w:sz w:val="17"/>
        </w:rPr>
      </w:pPr>
    </w:p>
    <w:p>
      <w:pPr>
        <w:pStyle w:val="Heading1"/>
        <w:jc w:val="both"/>
      </w:pPr>
      <w:r>
        <w:rPr/>
        <w:pict>
          <v:group style="position:absolute;margin-left:58.5pt;margin-top:17.839323pt;width:240.1pt;height:180.85pt;mso-position-horizontal-relative:page;mso-position-vertical-relative:paragraph;z-index:251691008" coordorigin="1170,357" coordsize="4802,3617">
            <v:line style="position:absolute" from="1815,714" to="1815,3489" stroked="true" strokeweight=".54001pt" strokecolor="#868686">
              <v:stroke dashstyle="solid"/>
            </v:line>
            <v:shape style="position:absolute;left:1761;top:709;width:54;height:2732" coordorigin="1762,710" coordsize="54,2732" path="m1816,3430l1762,3430,1762,3441,1816,3441,1816,3430m1816,3088l1762,3088,1762,3099,1816,3099,1816,3088m1816,2758l1762,2758,1762,2768,1816,2768,1816,2758m1816,2416l1762,2416,1762,2427,1816,2427,1816,2416m1816,2075l1762,2075,1762,2085,1816,2085,1816,2075m1816,1733l1762,1733,1762,1744,1816,1744,1816,1733m1816,1392l1762,1392,1762,1403,1816,1403,1816,1392m1816,1050l1762,1050,1762,1061,1816,1061,1816,1050m1816,710l1762,710,1762,720,1816,720,1816,710e" filled="true" fillcolor="#868686" stroked="false">
              <v:path arrowok="t"/>
              <v:fill type="solid"/>
            </v:shape>
            <v:line style="position:absolute" from="1816,3435" to="5454,3435" stroked="true" strokeweight=".53998pt" strokecolor="#868686">
              <v:stroke dashstyle="solid"/>
            </v:line>
            <v:shape style="position:absolute;left:2162;top:3434;width:3222;height:55" coordorigin="2162,3435" coordsize="3222,55" path="m2173,3435l2162,3435,2162,3489,2173,3489,2173,3435m2536,3435l2525,3435,2525,3489,2536,3489,2536,3435m2887,3435l2876,3435,2876,3489,2887,3489,2887,3435m3251,3435l3240,3435,3240,3489,3251,3489,3251,3435m3602,3435l3592,3435,3592,3489,3602,3489,3602,3435m3965,3435l3954,3435,3954,3489,3965,3489,3965,3435m4318,3435l4307,3435,4307,3489,4318,3489,4318,3435m4680,3435l4669,3435,4669,3489,4680,3489,4680,3435m5032,3435l5021,3435,5021,3489,5032,3489,5032,3435m5384,3435l5374,3435,5374,3489,5384,3489,5384,3435e" filled="true" fillcolor="#868686" stroked="false">
              <v:path arrowok="t"/>
              <v:fill type="solid"/>
            </v:shape>
            <v:shape style="position:absolute;left:1828;top:1101;width:3611;height:1402" coordorigin="1829,1102" coordsize="3611,1402" path="m2918,2065l2844,2087,2771,2118,2705,2140,2633,2171,2557,2193,2556,2193,2555,2194,2492,2225,2419,2256,2342,2279,2269,2310,2204,2332,2131,2363,2057,2385,2054,2385,2053,2386,1990,2417,1992,2417,1915,2439,1832,2475,1829,2483,1836,2500,1846,2504,1928,2468,2002,2447,2003,2447,2004,2446,2068,2415,2069,2415,2140,2394,2216,2362,2279,2340,2356,2308,2428,2288,2504,2255,2569,2223,2571,2223,2641,2202,2718,2170,2780,2148,2856,2116,2929,2096,2930,2096,2932,2094,2989,2066,2917,2066,2918,2065xm2069,2415l2068,2415,2065,2416,2069,2415xm2571,2223l2569,2223,2567,2224,2571,2223xm2921,2064l2918,2065,2917,2066,2921,2064xm2992,2064l2921,2064,2917,2066,2989,2066,2992,2064xm3848,1713l3772,1734,3698,1766,3634,1788,3560,1820,3484,1841,3410,1872,3346,1895,3197,1958,3132,1980,3059,2012,2984,2033,2982,2033,2918,2065,2921,2064,2992,2064,2994,2063,2993,2063,2996,2062,2997,2062,3068,2042,3145,2009,3208,1989,3358,1924,3421,1904,3497,1871,3570,1850,3646,1817,3709,1797,3785,1764,3858,1743,3860,1743,3917,1714,3846,1714,3848,1713xm2996,2062l2993,2063,2996,2062,2996,2062xm2996,2062l2993,2063,2994,2063,2996,2062xm2997,2062l2996,2062,2996,2062,2997,2062xm3919,1713l3848,1713,3846,1714,3917,1714,3919,1713xm4062,1628l3985,1649,3910,1682,3848,1713,3848,1713,3919,1713,3924,1710,3998,1679,4070,1658,4073,1658,4074,1656,4130,1629,4060,1629,4062,1628xm4133,1628l4062,1628,4060,1629,4130,1629,4133,1628xm4486,1468l4412,1490,4339,1521,4273,1542,4201,1574,4126,1595,4124,1596,4123,1596,4062,1628,4062,1628,4133,1628,4138,1625,4139,1625,4210,1605,4286,1572,4349,1551,4424,1518,4498,1498,4499,1498,4500,1497,4558,1468,4486,1468,4486,1468xm4139,1625l4138,1625,4135,1626,4139,1625xm4489,1467l4486,1468,4486,1468,4489,1467xm4560,1467l4489,1467,4486,1468,4558,1468,4560,1467xm4988,1276l4914,1298,4841,1329,4775,1350,4627,1414,4553,1436,4552,1436,4550,1437,4486,1468,4489,1467,4560,1467,4562,1466,4561,1466,4565,1464,4566,1464,4637,1445,4712,1412,4788,1380,4850,1359,4926,1326,4999,1306,5000,1306,5000,1305,5002,1305,5059,1276,4987,1276,4988,1276xm4565,1464l4561,1466,4564,1465,4565,1464xm4564,1465l4561,1466,4562,1466,4564,1465xm4566,1464l4565,1464,4564,1465,4566,1464xm4991,1275l4988,1276,4987,1276,4991,1275xm5062,1275l4991,1275,4987,1276,5059,1276,5062,1275xm5423,1102l5416,1106,5340,1137,5267,1169,5202,1191,5129,1222,5054,1244,5052,1244,5052,1245,4988,1276,4991,1275,5062,1275,5064,1274,5063,1274,5066,1272,5067,1272,5138,1253,5214,1220,5278,1199,5436,1131,5440,1121,5436,1114,5432,1106,5423,1102xm5066,1272l5063,1274,5065,1273,5066,1272xm5065,1273l5063,1274,5064,1274,5065,1273xm5067,1272l5066,1272,5065,1273,5067,1272xe" filled="true" fillcolor="#be4b48" stroked="false">
              <v:path arrowok="t"/>
              <v:fill type="solid"/>
            </v:shape>
            <v:shape style="position:absolute;left:1820;top:912;width:3600;height:1600" coordorigin="1820,912" coordsize="3600,1600" path="m1874,2485l1872,2475,1866,2466,1857,2461,1847,2459,1837,2460,1828,2467,1822,2475,1820,2486,1823,2496,1829,2505,1838,2510,1847,2512,1858,2510,1867,2503,1872,2495,1874,2485m1938,924l1926,912,1897,912,1885,924,1885,953,1897,965,1926,965,1938,953,1938,924m1973,2449l1973,2439,1968,2429,1960,2423,1950,2420,1939,2421,1930,2426,1923,2434,1920,2444,1921,2454,1926,2463,1934,2470,1943,2473,1954,2472,1963,2467,1970,2459,1973,2449m2045,924l2033,912,2003,912,1992,924,1992,953,2003,965,2033,965,2045,953,2045,924m2073,2406l2070,2396,2063,2387,2054,2382,2044,2381,2034,2384,2026,2390,2020,2399,2019,2409,2022,2420,2028,2428,2037,2433,2048,2434,2058,2432,2066,2425,2071,2416,2073,2406m2152,924l2140,912,2110,912,2098,924,2098,953,2110,965,2140,965,2152,953,2152,924m2173,2374l2171,2363,2165,2355,2156,2349,2146,2348,2136,2350,2127,2356,2122,2364,2119,2374,2122,2385,2128,2393,2136,2399,2147,2400,2158,2398,2166,2392,2171,2384,2173,2374m2258,924l2246,912,2216,912,2204,924,2204,953,2216,965,2246,965,2258,953,2258,924m2274,2332l2262,2320,2233,2320,2221,2332,2221,2362,2233,2374,2262,2374,2274,2362,2274,2332m2381,2332l2369,2320,2340,2320,2328,2332,2328,2362,2340,2374,2369,2374,2381,2362,2381,2332m2488,2332l2476,2320,2447,2320,2435,2332,2435,2362,2447,2374,2476,2374,2488,2362,2488,2332m2594,2342l2592,2327,2579,2318,2564,2320,2554,2323,2547,2330,2542,2339,2542,2350,2544,2364,2557,2374,2572,2373,2582,2369,2589,2362,2594,2353,2594,2342m2700,2327l2696,2317,2690,2309,2680,2305,2670,2304,2660,2308,2652,2315,2648,2324,2647,2334,2651,2344,2658,2352,2667,2357,2677,2357,2687,2354,2695,2347,2699,2338,2700,2327m2803,2300l2801,2285,2788,2276,2773,2278,2772,2278,2758,2279,2748,2294,2750,2308,2752,2322,2766,2332,2780,2331,2790,2327,2798,2320,2802,2311,2803,2300m2909,2285l2905,2275,2898,2267,2889,2263,2879,2262,2868,2266,2861,2273,2856,2282,2856,2292,2859,2302,2866,2310,2875,2315,2886,2315,2896,2312,2904,2305,2908,2296,2909,2285m3014,2268l3011,2258,3003,2250,2994,2246,2983,2246,2973,2249,2966,2257,2962,2266,2962,2277,2964,2291,2977,2301,2992,2298,3002,2295,3009,2288,3014,2279,3014,2268m3118,2243l3114,2233,3107,2225,3098,2221,3088,2220,3077,2224,3069,2231,3065,2240,3065,2250,3068,2260,3075,2268,3084,2273,3095,2273,3105,2270,3113,2263,3117,2254,3118,2243m3223,2226l3219,2216,3212,2209,3203,2204,3192,2204,3182,2207,3175,2215,3171,2224,3170,2235,3173,2249,3186,2259,3200,2256,3211,2253,3219,2246,3223,2237,3223,2226m3326,2201l3323,2191,3316,2183,3307,2179,3296,2178,3286,2182,3279,2189,3274,2198,3274,2208,3277,2218,3284,2226,3293,2231,3304,2231,3314,2228,3321,2221,3326,2212,3326,2201m3432,2184l3428,2174,3421,2167,3411,2162,3401,2162,3391,2165,3384,2173,3380,2182,3379,2193,3382,2207,3395,2217,3409,2214,3420,2211,3427,2204,3432,2195,3432,2184m3537,2173l3536,2163,3531,2153,3523,2147,3513,2144,3503,2145,3493,2150,3487,2157,3484,2167,3485,2177,3490,2187,3497,2194,3507,2197,3517,2196,3518,2196,3527,2191,3534,2183,3537,2173m3641,2144l3638,2129,3625,2120,3611,2121,3601,2124,3593,2131,3589,2141,3588,2152,3590,2166,3604,2176,3618,2174,3628,2170,3636,2164,3640,2154,3641,2144m3746,2127l3744,2112,3731,2103,3716,2105,3706,2108,3699,2115,3694,2125,3694,2135,3696,2150,3709,2159,3724,2158,3734,2154,3741,2147,3746,2138,3746,2127m3851,2113l3850,2103,3845,2093,3837,2086,3827,2083,3817,2084,3808,2089,3801,2097,3797,2107,3798,2117,3803,2127,3811,2133,3821,2136,3832,2135,3841,2130,3848,2123,3851,2113m3955,2085l3953,2070,3940,2061,3925,2063,3915,2066,3908,2073,3903,2083,3902,2093,3905,2108,3918,2117,3932,2116,3942,2112,3950,2105,3955,2095,3955,2085m4060,2071l4058,2061,4054,2051,4046,2045,4037,2042,4026,2043,4016,2048,4010,2055,4007,2065,4008,2075,4013,2085,4020,2092,4030,2095,4040,2094,4050,2089,4057,2081,4060,2071m4164,2043l4162,2028,4148,2019,4134,2021,4124,2024,4116,2031,4112,2041,4111,2051,4114,2066,4127,2075,4141,2074,4151,2070,4159,2063,4163,2053,4164,2043m4270,2028l4266,2018,4259,2011,4250,2006,4240,2006,4230,2009,4222,2016,4217,2025,4217,2036,4220,2046,4227,2053,4236,2058,4247,2058,4257,2055,4265,2048,4269,2039,4270,2028m4373,2001l4370,1986,4357,1977,4343,1979,4333,1982,4325,1989,4321,1999,4320,2009,4322,2024,4336,2033,4350,2032,4360,2028,4368,2021,4372,2011,4373,2001m4478,1986l4475,1976,4468,1969,4459,1964,4448,1964,4438,1967,4431,1974,4426,1983,4426,1994,4429,2004,4436,2011,4445,2016,4456,2016,4466,2013,4473,2006,4478,1997,4478,1986m4584,1977l4583,1966,4578,1956,4570,1950,4561,1947,4550,1948,4541,1953,4534,1961,4531,1970,4531,1980,4536,1990,4544,1997,4554,2000,4565,1998,4574,1994,4581,1986,4584,1977m4687,1944l4684,1934,4677,1927,4668,1922,4657,1922,4647,1925,4640,1932,4635,1941,4634,1952,4638,1962,4645,1969,4654,1974,4664,1974,4674,1971,4682,1964,4687,1955,4687,1944m4793,1929l4790,1914,4777,1905,4763,1906,4753,1910,4745,1917,4741,1926,4740,1937,4742,1952,4756,1961,4770,1959,4780,1956,4788,1949,4792,1939,4793,1929m4896,1902l4892,1892,4886,1885,4876,1880,4866,1880,4856,1883,4848,1890,4844,1899,4843,1910,4847,1920,4854,1927,4863,1932,4873,1932,4883,1929,4891,1922,4895,1913,4896,1902m5002,1887l4999,1872,4986,1863,4972,1864,4962,1868,4954,1875,4949,1884,4949,1895,4951,1910,4964,1919,4979,1917,4989,1914,4997,1907,5001,1897,5002,1887m5107,1875l5106,1864,5101,1854,5093,1848,5083,1845,5072,1846,5063,1851,5056,1858,5053,1868,5054,1878,5059,1888,5067,1895,5077,1898,5087,1896,5096,1892,5103,1884,5107,1875m5210,1845l5208,1830,5195,1821,5180,1822,5170,1826,5163,1833,5158,1842,5158,1853,5160,1868,5173,1877,5188,1875,5198,1872,5205,1865,5210,1855,5210,1845m5316,1828l5314,1814,5300,1804,5286,1806,5276,1810,5268,1816,5264,1826,5263,1836,5266,1851,5279,1860,5293,1859,5303,1855,5311,1848,5315,1839,5316,1828m5420,1813l5419,1803,5414,1794,5407,1787,5397,1784,5387,1785,5377,1790,5370,1798,5367,1808,5368,1818,5373,1827,5381,1834,5391,1837,5401,1836,5411,1831,5417,1823,5420,1813e" filled="true" fillcolor="#00b050" stroked="false">
              <v:path arrowok="t"/>
              <v:fill type="solid"/>
            </v:shape>
            <v:line style="position:absolute" from="1895,576" to="2280,576" stroked="true" strokeweight="1.62pt" strokecolor="#be4b48">
              <v:stroke dashstyle="solid"/>
            </v:line>
            <v:shape style="position:absolute;left:1170;top:356;width:4802;height:3617" coordorigin="1170,357" coordsize="4802,3617" path="m5969,357l1172,357,1170,359,1170,3971,1172,3974,5969,3974,5971,3971,5971,3969,1181,3969,1175,3963,1181,3963,1181,368,1175,368,1181,363,5971,363,5971,359,5969,357xm1181,3963l1175,3963,1181,3969,1181,3963xm5960,3963l1181,3963,1181,3969,5960,3969,5960,3963xm5960,363l5960,3969,5965,3963,5971,3963,5971,368,5965,368,5960,363xm5971,3963l5965,3963,5960,3969,5971,3969,5971,3963xm1181,363l1175,368,1181,368,1181,363xm5960,363l1181,363,1181,368,5960,368,5960,363xm5971,363l5960,363,5965,368,5971,368,5971,363xe" filled="true" fillcolor="#868686" stroked="false">
              <v:path arrowok="t"/>
              <v:fill type="solid"/>
            </v:shape>
            <v:shape style="position:absolute;left:2312;top:510;width:1845;height:160" type="#_x0000_t202" filled="false" stroked="false">
              <v:textbox inset="0,0,0,0">
                <w:txbxContent>
                  <w:p>
                    <w:pPr>
                      <w:spacing w:line="160" w:lineRule="exact" w:before="0"/>
                      <w:ind w:left="0" w:right="0" w:firstLine="0"/>
                      <w:jc w:val="left"/>
                      <w:rPr>
                        <w:rFonts w:ascii="Calibri"/>
                        <w:sz w:val="16"/>
                      </w:rPr>
                    </w:pPr>
                    <w:r>
                      <w:rPr>
                        <w:rFonts w:ascii="Calibri"/>
                        <w:sz w:val="16"/>
                      </w:rPr>
                      <w:t>Unchanged</w:t>
                    </w:r>
                    <w:r>
                      <w:rPr>
                        <w:rFonts w:ascii="Calibri"/>
                        <w:spacing w:val="-15"/>
                        <w:sz w:val="16"/>
                      </w:rPr>
                      <w:t> </w:t>
                    </w:r>
                    <w:r>
                      <w:rPr>
                        <w:rFonts w:ascii="Calibri"/>
                        <w:sz w:val="16"/>
                      </w:rPr>
                      <w:t>saving</w:t>
                    </w:r>
                    <w:r>
                      <w:rPr>
                        <w:rFonts w:ascii="Calibri"/>
                        <w:spacing w:val="-17"/>
                        <w:sz w:val="16"/>
                      </w:rPr>
                      <w:t> </w:t>
                    </w:r>
                    <w:r>
                      <w:rPr>
                        <w:rFonts w:ascii="Calibri"/>
                        <w:sz w:val="16"/>
                      </w:rPr>
                      <w:t>rate</w:t>
                    </w:r>
                    <w:r>
                      <w:rPr>
                        <w:rFonts w:ascii="Calibri"/>
                        <w:spacing w:val="-11"/>
                        <w:sz w:val="16"/>
                      </w:rPr>
                      <w:t> </w:t>
                    </w:r>
                    <w:r>
                      <w:rPr>
                        <w:rFonts w:ascii="Calibri"/>
                        <w:sz w:val="16"/>
                      </w:rPr>
                      <w:t>of</w:t>
                    </w:r>
                    <w:r>
                      <w:rPr>
                        <w:rFonts w:ascii="Calibri"/>
                        <w:spacing w:val="-12"/>
                        <w:sz w:val="16"/>
                      </w:rPr>
                      <w:t> </w:t>
                    </w:r>
                    <w:r>
                      <w:rPr>
                        <w:rFonts w:ascii="Calibri"/>
                        <w:spacing w:val="-7"/>
                        <w:sz w:val="16"/>
                      </w:rPr>
                      <w:t>5%</w:t>
                    </w:r>
                  </w:p>
                </w:txbxContent>
              </v:textbox>
              <w10:wrap type="none"/>
            </v:shape>
            <v:shape style="position:absolute;left:1515;top:647;width:169;height:500" type="#_x0000_t202" filled="false" stroked="false">
              <v:textbox inset="0,0,0,0">
                <w:txbxContent>
                  <w:p>
                    <w:pPr>
                      <w:spacing w:line="163" w:lineRule="exact" w:before="0"/>
                      <w:ind w:left="0" w:right="0" w:firstLine="0"/>
                      <w:jc w:val="left"/>
                      <w:rPr>
                        <w:rFonts w:ascii="Calibri"/>
                        <w:sz w:val="16"/>
                      </w:rPr>
                    </w:pPr>
                    <w:r>
                      <w:rPr>
                        <w:rFonts w:ascii="Calibri"/>
                        <w:spacing w:val="-7"/>
                        <w:sz w:val="16"/>
                      </w:rPr>
                      <w:t>80</w:t>
                    </w:r>
                  </w:p>
                  <w:p>
                    <w:pPr>
                      <w:spacing w:line="240" w:lineRule="auto" w:before="10"/>
                      <w:rPr>
                        <w:rFonts w:ascii="Calibri"/>
                        <w:sz w:val="11"/>
                      </w:rPr>
                    </w:pPr>
                  </w:p>
                  <w:p>
                    <w:pPr>
                      <w:spacing w:line="192" w:lineRule="exact" w:before="0"/>
                      <w:ind w:left="0" w:right="0" w:firstLine="0"/>
                      <w:jc w:val="left"/>
                      <w:rPr>
                        <w:rFonts w:ascii="Calibri"/>
                        <w:sz w:val="16"/>
                      </w:rPr>
                    </w:pPr>
                    <w:r>
                      <w:rPr>
                        <w:rFonts w:ascii="Calibri"/>
                        <w:spacing w:val="-7"/>
                        <w:sz w:val="16"/>
                      </w:rPr>
                      <w:t>70</w:t>
                    </w:r>
                  </w:p>
                </w:txbxContent>
              </v:textbox>
              <w10:wrap type="none"/>
            </v:shape>
            <v:shape style="position:absolute;left:2312;top:864;width:2970;height:352" type="#_x0000_t202" filled="false" stroked="false">
              <v:textbox inset="0,0,0,0">
                <w:txbxContent>
                  <w:p>
                    <w:pPr>
                      <w:spacing w:line="161" w:lineRule="exact" w:before="0"/>
                      <w:ind w:left="0" w:right="0" w:firstLine="0"/>
                      <w:jc w:val="left"/>
                      <w:rPr>
                        <w:rFonts w:ascii="Calibri"/>
                        <w:sz w:val="16"/>
                      </w:rPr>
                    </w:pPr>
                    <w:r>
                      <w:rPr>
                        <w:rFonts w:ascii="Calibri"/>
                        <w:sz w:val="16"/>
                      </w:rPr>
                      <w:t>Saving</w:t>
                    </w:r>
                    <w:r>
                      <w:rPr>
                        <w:rFonts w:ascii="Calibri"/>
                        <w:spacing w:val="-19"/>
                        <w:sz w:val="16"/>
                      </w:rPr>
                      <w:t> </w:t>
                    </w:r>
                    <w:r>
                      <w:rPr>
                        <w:rFonts w:ascii="Calibri"/>
                        <w:sz w:val="16"/>
                      </w:rPr>
                      <w:t>rate</w:t>
                    </w:r>
                    <w:r>
                      <w:rPr>
                        <w:rFonts w:ascii="Calibri"/>
                        <w:spacing w:val="-12"/>
                        <w:sz w:val="16"/>
                      </w:rPr>
                      <w:t> </w:t>
                    </w:r>
                    <w:r>
                      <w:rPr>
                        <w:rFonts w:ascii="Calibri"/>
                        <w:sz w:val="16"/>
                      </w:rPr>
                      <w:t>increases</w:t>
                    </w:r>
                    <w:r>
                      <w:rPr>
                        <w:rFonts w:ascii="Calibri"/>
                        <w:spacing w:val="-16"/>
                        <w:sz w:val="16"/>
                      </w:rPr>
                      <w:t> </w:t>
                    </w:r>
                    <w:r>
                      <w:rPr>
                        <w:rFonts w:ascii="Calibri"/>
                        <w:sz w:val="16"/>
                      </w:rPr>
                      <w:t>with</w:t>
                    </w:r>
                    <w:r>
                      <w:rPr>
                        <w:rFonts w:ascii="Calibri"/>
                        <w:spacing w:val="-7"/>
                        <w:sz w:val="16"/>
                      </w:rPr>
                      <w:t> </w:t>
                    </w:r>
                    <w:r>
                      <w:rPr>
                        <w:rFonts w:ascii="Calibri"/>
                        <w:sz w:val="16"/>
                      </w:rPr>
                      <w:t>minimum</w:t>
                    </w:r>
                    <w:r>
                      <w:rPr>
                        <w:rFonts w:ascii="Calibri"/>
                        <w:spacing w:val="-8"/>
                        <w:sz w:val="16"/>
                      </w:rPr>
                      <w:t> </w:t>
                    </w:r>
                    <w:r>
                      <w:rPr>
                        <w:rFonts w:ascii="Calibri"/>
                        <w:sz w:val="16"/>
                      </w:rPr>
                      <w:t>deposit</w:t>
                    </w:r>
                    <w:r>
                      <w:rPr>
                        <w:rFonts w:ascii="Calibri"/>
                        <w:spacing w:val="-18"/>
                        <w:sz w:val="16"/>
                      </w:rPr>
                      <w:t> </w:t>
                    </w:r>
                    <w:r>
                      <w:rPr>
                        <w:rFonts w:ascii="Calibri"/>
                        <w:spacing w:val="-5"/>
                        <w:sz w:val="16"/>
                      </w:rPr>
                      <w:t>in</w:t>
                    </w:r>
                  </w:p>
                  <w:p>
                    <w:pPr>
                      <w:spacing w:line="191" w:lineRule="exact" w:before="0"/>
                      <w:ind w:left="0" w:right="0" w:firstLine="0"/>
                      <w:jc w:val="left"/>
                      <w:rPr>
                        <w:rFonts w:ascii="Calibri"/>
                        <w:sz w:val="16"/>
                      </w:rPr>
                    </w:pPr>
                    <w:r>
                      <w:rPr>
                        <w:rFonts w:ascii="Calibri"/>
                        <w:sz w:val="16"/>
                      </w:rPr>
                      <w:t>the 5 to 10% range, and remains 10% above</w:t>
                    </w:r>
                  </w:p>
                </w:txbxContent>
              </v:textbox>
              <w10:wrap type="none"/>
            </v:shape>
            <v:shape style="position:absolute;left:1515;top:1327;width:184;height:2202" type="#_x0000_t202" filled="false" stroked="false">
              <v:textbox inset="0,0,0,0">
                <w:txbxContent>
                  <w:p>
                    <w:pPr>
                      <w:spacing w:line="163" w:lineRule="exact" w:before="0"/>
                      <w:ind w:left="0" w:right="0" w:firstLine="0"/>
                      <w:jc w:val="left"/>
                      <w:rPr>
                        <w:rFonts w:ascii="Calibri"/>
                        <w:sz w:val="16"/>
                      </w:rPr>
                    </w:pPr>
                    <w:r>
                      <w:rPr>
                        <w:rFonts w:ascii="Calibri"/>
                        <w:spacing w:val="-7"/>
                        <w:sz w:val="16"/>
                      </w:rPr>
                      <w:t>60</w:t>
                    </w:r>
                  </w:p>
                  <w:p>
                    <w:pPr>
                      <w:spacing w:line="240" w:lineRule="auto" w:before="10"/>
                      <w:rPr>
                        <w:rFonts w:ascii="Calibri"/>
                        <w:sz w:val="11"/>
                      </w:rPr>
                    </w:pPr>
                  </w:p>
                  <w:p>
                    <w:pPr>
                      <w:spacing w:before="0"/>
                      <w:ind w:left="0" w:right="0" w:firstLine="0"/>
                      <w:jc w:val="left"/>
                      <w:rPr>
                        <w:rFonts w:ascii="Calibri"/>
                        <w:sz w:val="16"/>
                      </w:rPr>
                    </w:pPr>
                    <w:r>
                      <w:rPr>
                        <w:rFonts w:ascii="Calibri"/>
                        <w:spacing w:val="-7"/>
                        <w:sz w:val="16"/>
                      </w:rPr>
                      <w:t>50</w:t>
                    </w:r>
                  </w:p>
                  <w:p>
                    <w:pPr>
                      <w:spacing w:line="240" w:lineRule="auto" w:before="11"/>
                      <w:rPr>
                        <w:rFonts w:ascii="Calibri"/>
                        <w:sz w:val="11"/>
                      </w:rPr>
                    </w:pPr>
                  </w:p>
                  <w:p>
                    <w:pPr>
                      <w:spacing w:before="0"/>
                      <w:ind w:left="0" w:right="0" w:firstLine="0"/>
                      <w:jc w:val="left"/>
                      <w:rPr>
                        <w:rFonts w:ascii="Calibri"/>
                        <w:sz w:val="16"/>
                      </w:rPr>
                    </w:pPr>
                    <w:r>
                      <w:rPr>
                        <w:rFonts w:ascii="Calibri"/>
                        <w:spacing w:val="-7"/>
                        <w:sz w:val="16"/>
                      </w:rPr>
                      <w:t>40</w:t>
                    </w:r>
                  </w:p>
                  <w:p>
                    <w:pPr>
                      <w:spacing w:line="240" w:lineRule="auto" w:before="10"/>
                      <w:rPr>
                        <w:rFonts w:ascii="Calibri"/>
                        <w:sz w:val="11"/>
                      </w:rPr>
                    </w:pPr>
                  </w:p>
                  <w:p>
                    <w:pPr>
                      <w:spacing w:before="0"/>
                      <w:ind w:left="0" w:right="0" w:firstLine="0"/>
                      <w:jc w:val="left"/>
                      <w:rPr>
                        <w:rFonts w:ascii="Calibri"/>
                        <w:sz w:val="16"/>
                      </w:rPr>
                    </w:pPr>
                    <w:r>
                      <w:rPr>
                        <w:rFonts w:ascii="Calibri"/>
                        <w:spacing w:val="-7"/>
                        <w:sz w:val="16"/>
                      </w:rPr>
                      <w:t>30</w:t>
                    </w:r>
                  </w:p>
                  <w:p>
                    <w:pPr>
                      <w:spacing w:line="240" w:lineRule="auto" w:before="11"/>
                      <w:rPr>
                        <w:rFonts w:ascii="Calibri"/>
                        <w:sz w:val="11"/>
                      </w:rPr>
                    </w:pPr>
                  </w:p>
                  <w:p>
                    <w:pPr>
                      <w:spacing w:before="0"/>
                      <w:ind w:left="0" w:right="0" w:firstLine="0"/>
                      <w:jc w:val="left"/>
                      <w:rPr>
                        <w:rFonts w:ascii="Calibri"/>
                        <w:sz w:val="16"/>
                      </w:rPr>
                    </w:pPr>
                    <w:r>
                      <w:rPr>
                        <w:rFonts w:ascii="Calibri"/>
                        <w:spacing w:val="-7"/>
                        <w:sz w:val="16"/>
                      </w:rPr>
                      <w:t>20</w:t>
                    </w:r>
                  </w:p>
                  <w:p>
                    <w:pPr>
                      <w:spacing w:line="240" w:lineRule="auto" w:before="10"/>
                      <w:rPr>
                        <w:rFonts w:ascii="Calibri"/>
                        <w:sz w:val="11"/>
                      </w:rPr>
                    </w:pPr>
                  </w:p>
                  <w:p>
                    <w:pPr>
                      <w:spacing w:before="0"/>
                      <w:ind w:left="0" w:right="0" w:firstLine="0"/>
                      <w:jc w:val="left"/>
                      <w:rPr>
                        <w:rFonts w:ascii="Calibri"/>
                        <w:sz w:val="16"/>
                      </w:rPr>
                    </w:pPr>
                    <w:r>
                      <w:rPr>
                        <w:rFonts w:ascii="Calibri"/>
                        <w:spacing w:val="-7"/>
                        <w:sz w:val="16"/>
                      </w:rPr>
                      <w:t>10</w:t>
                    </w:r>
                  </w:p>
                  <w:p>
                    <w:pPr>
                      <w:spacing w:line="240" w:lineRule="auto" w:before="11"/>
                      <w:rPr>
                        <w:rFonts w:ascii="Calibri"/>
                        <w:sz w:val="11"/>
                      </w:rPr>
                    </w:pPr>
                  </w:p>
                  <w:p>
                    <w:pPr>
                      <w:spacing w:line="192" w:lineRule="exact" w:before="0"/>
                      <w:ind w:left="82" w:right="0" w:firstLine="0"/>
                      <w:jc w:val="left"/>
                      <w:rPr>
                        <w:rFonts w:ascii="Calibri"/>
                        <w:sz w:val="16"/>
                      </w:rPr>
                    </w:pPr>
                    <w:r>
                      <w:rPr>
                        <w:rFonts w:ascii="Calibri"/>
                        <w:w w:val="100"/>
                        <w:sz w:val="16"/>
                      </w:rPr>
                      <w:t>0</w:t>
                    </w:r>
                  </w:p>
                </w:txbxContent>
              </v:textbox>
              <w10:wrap type="none"/>
            </v:shape>
            <v:shape style="position:absolute;left:1754;top:3571;width:3814;height:374" type="#_x0000_t202" filled="false" stroked="false">
              <v:textbox inset="0,0,0,0">
                <w:txbxContent>
                  <w:p>
                    <w:pPr>
                      <w:spacing w:line="163" w:lineRule="exact" w:before="0"/>
                      <w:ind w:left="257" w:right="275" w:firstLine="0"/>
                      <w:jc w:val="center"/>
                      <w:rPr>
                        <w:rFonts w:ascii="Calibri"/>
                        <w:sz w:val="16"/>
                      </w:rPr>
                    </w:pPr>
                    <w:r>
                      <w:rPr>
                        <w:rFonts w:ascii="Calibri"/>
                        <w:sz w:val="16"/>
                      </w:rPr>
                      <w:t>0% 5% 10% 15% 20% 25% 30% 35% 40% 45% 50%</w:t>
                    </w:r>
                  </w:p>
                  <w:p>
                    <w:pPr>
                      <w:spacing w:line="192" w:lineRule="exact" w:before="18"/>
                      <w:ind w:left="234" w:right="275" w:firstLine="0"/>
                      <w:jc w:val="center"/>
                      <w:rPr>
                        <w:rFonts w:ascii="Calibri"/>
                        <w:sz w:val="16"/>
                      </w:rPr>
                    </w:pPr>
                    <w:r>
                      <w:rPr>
                        <w:rFonts w:ascii="Calibri"/>
                        <w:sz w:val="16"/>
                      </w:rPr>
                      <w:t>Minimum deposit</w:t>
                    </w:r>
                  </w:p>
                </w:txbxContent>
              </v:textbox>
              <w10:wrap type="none"/>
            </v:shape>
            <w10:wrap type="none"/>
          </v:group>
        </w:pict>
      </w:r>
      <w:r>
        <w:rPr/>
        <w:pict>
          <v:shape style="position:absolute;margin-left:63.9785pt;margin-top:54.2104pt;width:10.050pt;height:91.85pt;mso-position-horizontal-relative:page;mso-position-vertical-relative:paragraph;z-index:251692032" type="#_x0000_t202" filled="false" stroked="false">
            <v:textbox inset="0,0,0,0" style="layout-flow:vertical;mso-layout-flow-alt:bottom-to-top">
              <w:txbxContent>
                <w:p>
                  <w:pPr>
                    <w:spacing w:line="183" w:lineRule="exact" w:before="0"/>
                    <w:ind w:left="20" w:right="0" w:firstLine="0"/>
                    <w:jc w:val="left"/>
                    <w:rPr>
                      <w:rFonts w:ascii="Calibri"/>
                      <w:sz w:val="16"/>
                    </w:rPr>
                  </w:pPr>
                  <w:r>
                    <w:rPr>
                      <w:rFonts w:ascii="Calibri"/>
                      <w:sz w:val="16"/>
                    </w:rPr>
                    <w:t>Age</w:t>
                  </w:r>
                  <w:r>
                    <w:rPr>
                      <w:rFonts w:ascii="Calibri"/>
                      <w:spacing w:val="-14"/>
                      <w:sz w:val="16"/>
                    </w:rPr>
                    <w:t> </w:t>
                  </w:r>
                  <w:r>
                    <w:rPr>
                      <w:rFonts w:ascii="Calibri"/>
                      <w:sz w:val="16"/>
                    </w:rPr>
                    <w:t>at</w:t>
                  </w:r>
                  <w:r>
                    <w:rPr>
                      <w:rFonts w:ascii="Calibri"/>
                      <w:spacing w:val="-17"/>
                      <w:sz w:val="16"/>
                    </w:rPr>
                    <w:t> </w:t>
                  </w:r>
                  <w:r>
                    <w:rPr>
                      <w:rFonts w:ascii="Calibri"/>
                      <w:sz w:val="16"/>
                    </w:rPr>
                    <w:t>time</w:t>
                  </w:r>
                  <w:r>
                    <w:rPr>
                      <w:rFonts w:ascii="Calibri"/>
                      <w:spacing w:val="-3"/>
                      <w:sz w:val="16"/>
                    </w:rPr>
                    <w:t> </w:t>
                  </w:r>
                  <w:r>
                    <w:rPr>
                      <w:rFonts w:ascii="Calibri"/>
                      <w:sz w:val="16"/>
                    </w:rPr>
                    <w:t>of</w:t>
                  </w:r>
                  <w:r>
                    <w:rPr>
                      <w:rFonts w:ascii="Calibri"/>
                      <w:spacing w:val="-13"/>
                      <w:sz w:val="16"/>
                    </w:rPr>
                    <w:t> </w:t>
                  </w:r>
                  <w:r>
                    <w:rPr>
                      <w:rFonts w:ascii="Calibri"/>
                      <w:sz w:val="16"/>
                    </w:rPr>
                    <w:t>first</w:t>
                  </w:r>
                  <w:r>
                    <w:rPr>
                      <w:rFonts w:ascii="Calibri"/>
                      <w:spacing w:val="-8"/>
                      <w:sz w:val="16"/>
                    </w:rPr>
                    <w:t> </w:t>
                  </w:r>
                  <w:r>
                    <w:rPr>
                      <w:rFonts w:ascii="Calibri"/>
                      <w:sz w:val="16"/>
                    </w:rPr>
                    <w:t>purchase</w:t>
                  </w:r>
                </w:p>
              </w:txbxContent>
            </v:textbox>
            <w10:wrap type="none"/>
          </v:shape>
        </w:pict>
      </w:r>
      <w:r>
        <w:rPr/>
        <w:t>Chart 11: Stylized example: Increase in age at time of first purchase </w:t>
      </w:r>
      <w:r>
        <w:rPr>
          <w:vertAlign w:val="superscript"/>
        </w:rPr>
        <w:t>(a)</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5"/>
        <w:rPr>
          <w:b/>
          <w:sz w:val="27"/>
        </w:rPr>
      </w:pPr>
    </w:p>
    <w:p>
      <w:pPr>
        <w:spacing w:before="0"/>
        <w:ind w:left="234" w:right="0" w:firstLine="0"/>
        <w:jc w:val="both"/>
        <w:rPr>
          <w:sz w:val="16"/>
        </w:rPr>
      </w:pPr>
      <w:r>
        <w:rPr>
          <w:sz w:val="16"/>
        </w:rPr>
        <w:t>Source: own calculations.</w:t>
      </w:r>
    </w:p>
    <w:p>
      <w:pPr>
        <w:pStyle w:val="BodyText"/>
        <w:rPr>
          <w:sz w:val="18"/>
        </w:rPr>
      </w:pPr>
    </w:p>
    <w:p>
      <w:pPr>
        <w:spacing w:line="273" w:lineRule="auto" w:before="133"/>
        <w:ind w:left="518" w:right="1161" w:hanging="285"/>
        <w:jc w:val="left"/>
        <w:rPr>
          <w:sz w:val="16"/>
        </w:rPr>
      </w:pPr>
      <w:r>
        <w:rPr>
          <w:sz w:val="16"/>
        </w:rPr>
        <w:t>(a) Assumptions: The average house for the average first time buyer costs four times annual income. Representative first time buyers start saving from age 28 and the savings rate is 5% of their annual income.</w:t>
      </w:r>
    </w:p>
    <w:p>
      <w:pPr>
        <w:pStyle w:val="BodyText"/>
        <w:spacing w:before="8"/>
        <w:rPr>
          <w:sz w:val="17"/>
        </w:rPr>
      </w:pPr>
    </w:p>
    <w:p>
      <w:pPr>
        <w:pStyle w:val="BodyText"/>
        <w:spacing w:line="360" w:lineRule="auto"/>
        <w:ind w:left="233" w:right="1165"/>
      </w:pPr>
      <w:r>
        <w:rPr/>
        <w:t>A sudden transition to a situation where the average age of first-time buyers is significantly higher is particularly difficult because for some years the flow of new buyers falls very sharply, before recovering. This has major impacts on house builders. Recently announced government policies to help people buy new properties with a lower deposit are designed to help offset this and ease the transition</w:t>
      </w:r>
      <w:r>
        <w:rPr>
          <w:vertAlign w:val="superscript"/>
        </w:rPr>
        <w:t>4</w:t>
      </w:r>
      <w:r>
        <w:rPr>
          <w:vertAlign w:val="baseline"/>
        </w:rPr>
        <w:t>. But I want to think about the longer-term implications of first-time buyers typically being older. To do so let me continue with the simple stylised example.</w:t>
      </w:r>
    </w:p>
    <w:p>
      <w:pPr>
        <w:pStyle w:val="BodyText"/>
        <w:spacing w:before="11"/>
        <w:rPr>
          <w:sz w:val="29"/>
        </w:rPr>
      </w:pPr>
    </w:p>
    <w:p>
      <w:pPr>
        <w:pStyle w:val="BodyText"/>
        <w:spacing w:line="360" w:lineRule="auto"/>
        <w:ind w:left="234" w:right="1141"/>
      </w:pPr>
      <w:r>
        <w:rPr/>
        <w:t>As people buy houses later, the owner-occupation rate tends to fall. Assume we have a constant population and that people leave home at age 20 to rent, buy their first property as soon as their savings permit, and then stay in owner-occupation until, say, age 75. Everyone (sadly) then moves back into the non-owner occupied sector for the last 5 years of an 80 year life. In this stylized example the proportion of adults (that is people aged 20 to 80) who are owner occupiers falls by around 7 percentage points for every additional 5% deposit lenders require, assuming no change in saving rates. For example, if the required deposit is 5%, and people typically buy their first property when they are 32, the owner occupation rate is:</w:t>
      </w:r>
    </w:p>
    <w:p>
      <w:pPr>
        <w:pStyle w:val="BodyText"/>
        <w:rPr>
          <w:sz w:val="30"/>
        </w:rPr>
      </w:pPr>
    </w:p>
    <w:p>
      <w:pPr>
        <w:pStyle w:val="BodyText"/>
        <w:ind w:left="234"/>
      </w:pPr>
      <w:r>
        <w:rPr/>
        <w:t>(75-32) / (80-20) = 43/60 = 71%</w:t>
      </w:r>
    </w:p>
    <w:p>
      <w:pPr>
        <w:pStyle w:val="BodyText"/>
      </w:pPr>
    </w:p>
    <w:p>
      <w:pPr>
        <w:pStyle w:val="BodyText"/>
      </w:pPr>
    </w:p>
    <w:p>
      <w:pPr>
        <w:pStyle w:val="BodyText"/>
      </w:pPr>
    </w:p>
    <w:p>
      <w:pPr>
        <w:pStyle w:val="BodyText"/>
        <w:spacing w:before="3"/>
        <w:rPr>
          <w:sz w:val="16"/>
        </w:rPr>
      </w:pPr>
      <w:r>
        <w:rPr/>
        <w:pict>
          <v:shape style="position:absolute;margin-left:56.700001pt;margin-top:11.587925pt;width:144pt;height:.1pt;mso-position-horizontal-relative:page;mso-position-vertical-relative:paragraph;z-index:-251631616;mso-wrap-distance-left:0;mso-wrap-distance-right:0" coordorigin="1134,232" coordsize="2880,0" path="m1134,232l4014,232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4 </w:t>
      </w:r>
      <w:r>
        <w:rPr>
          <w:sz w:val="16"/>
        </w:rPr>
        <w:t>“Laying the Foundations: A Housing Strategy for England”. HM Government, November 2011.</w:t>
      </w:r>
    </w:p>
    <w:p>
      <w:pPr>
        <w:spacing w:after="0"/>
        <w:jc w:val="left"/>
        <w:rPr>
          <w:sz w:val="16"/>
        </w:rPr>
        <w:sectPr>
          <w:footerReference w:type="default" r:id="rId15"/>
          <w:pgSz w:w="11900" w:h="16840"/>
          <w:pgMar w:footer="1340" w:header="0" w:top="1540" w:bottom="1540" w:left="900" w:right="0"/>
          <w:pgNumType w:start="10"/>
        </w:sectPr>
      </w:pPr>
    </w:p>
    <w:p>
      <w:pPr>
        <w:pStyle w:val="BodyText"/>
        <w:spacing w:line="360" w:lineRule="auto" w:before="76"/>
        <w:ind w:left="233" w:right="1575"/>
      </w:pPr>
      <w:r>
        <w:rPr/>
        <w:t>When the required deposit rises to 20%, and people buy their first property when they are 44, the owner occupation rate is:</w:t>
      </w:r>
    </w:p>
    <w:p>
      <w:pPr>
        <w:pStyle w:val="BodyText"/>
        <w:rPr>
          <w:sz w:val="30"/>
        </w:rPr>
      </w:pPr>
    </w:p>
    <w:p>
      <w:pPr>
        <w:pStyle w:val="BodyText"/>
        <w:ind w:left="233"/>
      </w:pPr>
      <w:r>
        <w:rPr/>
        <w:t>(75-44) / (80-20) = 31/60 = 52%</w:t>
      </w:r>
    </w:p>
    <w:p>
      <w:pPr>
        <w:pStyle w:val="BodyText"/>
        <w:rPr>
          <w:sz w:val="22"/>
        </w:rPr>
      </w:pPr>
    </w:p>
    <w:p>
      <w:pPr>
        <w:pStyle w:val="BodyText"/>
        <w:rPr>
          <w:sz w:val="18"/>
        </w:rPr>
      </w:pPr>
    </w:p>
    <w:p>
      <w:pPr>
        <w:pStyle w:val="BodyText"/>
        <w:spacing w:line="360" w:lineRule="auto"/>
        <w:ind w:left="233" w:right="1174"/>
      </w:pPr>
      <w:r>
        <w:rPr/>
        <w:t>The</w:t>
      </w:r>
      <w:r>
        <w:rPr>
          <w:spacing w:val="-3"/>
        </w:rPr>
        <w:t> </w:t>
      </w:r>
      <w:r>
        <w:rPr/>
        <w:t>solid</w:t>
      </w:r>
      <w:r>
        <w:rPr>
          <w:spacing w:val="-2"/>
        </w:rPr>
        <w:t> </w:t>
      </w:r>
      <w:r>
        <w:rPr/>
        <w:t>line</w:t>
      </w:r>
      <w:r>
        <w:rPr>
          <w:spacing w:val="-3"/>
        </w:rPr>
        <w:t> </w:t>
      </w:r>
      <w:r>
        <w:rPr/>
        <w:t>in</w:t>
      </w:r>
      <w:r>
        <w:rPr>
          <w:spacing w:val="-3"/>
        </w:rPr>
        <w:t> </w:t>
      </w:r>
      <w:r>
        <w:rPr/>
        <w:t>Chart</w:t>
      </w:r>
      <w:r>
        <w:rPr>
          <w:spacing w:val="-2"/>
        </w:rPr>
        <w:t> </w:t>
      </w:r>
      <w:r>
        <w:rPr/>
        <w:t>12</w:t>
      </w:r>
      <w:r>
        <w:rPr>
          <w:spacing w:val="-2"/>
        </w:rPr>
        <w:t> </w:t>
      </w:r>
      <w:r>
        <w:rPr/>
        <w:t>illustrates</w:t>
      </w:r>
      <w:r>
        <w:rPr>
          <w:spacing w:val="-1"/>
        </w:rPr>
        <w:t> </w:t>
      </w:r>
      <w:r>
        <w:rPr/>
        <w:t>this</w:t>
      </w:r>
      <w:r>
        <w:rPr>
          <w:spacing w:val="-2"/>
        </w:rPr>
        <w:t> </w:t>
      </w:r>
      <w:r>
        <w:rPr/>
        <w:t>for</w:t>
      </w:r>
      <w:r>
        <w:rPr>
          <w:spacing w:val="-2"/>
        </w:rPr>
        <w:t> </w:t>
      </w:r>
      <w:r>
        <w:rPr/>
        <w:t>the</w:t>
      </w:r>
      <w:r>
        <w:rPr>
          <w:spacing w:val="-2"/>
        </w:rPr>
        <w:t> </w:t>
      </w:r>
      <w:r>
        <w:rPr/>
        <w:t>case</w:t>
      </w:r>
      <w:r>
        <w:rPr>
          <w:spacing w:val="-3"/>
        </w:rPr>
        <w:t> </w:t>
      </w:r>
      <w:r>
        <w:rPr/>
        <w:t>of</w:t>
      </w:r>
      <w:r>
        <w:rPr>
          <w:spacing w:val="-2"/>
        </w:rPr>
        <w:t> </w:t>
      </w:r>
      <w:r>
        <w:rPr/>
        <w:t>a</w:t>
      </w:r>
      <w:r>
        <w:rPr>
          <w:spacing w:val="-2"/>
        </w:rPr>
        <w:t> </w:t>
      </w:r>
      <w:r>
        <w:rPr/>
        <w:t>constant</w:t>
      </w:r>
      <w:r>
        <w:rPr>
          <w:spacing w:val="-3"/>
        </w:rPr>
        <w:t> </w:t>
      </w:r>
      <w:r>
        <w:rPr/>
        <w:t>savings</w:t>
      </w:r>
      <w:r>
        <w:rPr>
          <w:spacing w:val="-2"/>
        </w:rPr>
        <w:t> </w:t>
      </w:r>
      <w:r>
        <w:rPr/>
        <w:t>rate;</w:t>
      </w:r>
      <w:r>
        <w:rPr>
          <w:spacing w:val="-2"/>
        </w:rPr>
        <w:t> </w:t>
      </w:r>
      <w:r>
        <w:rPr/>
        <w:t>the</w:t>
      </w:r>
      <w:r>
        <w:rPr>
          <w:spacing w:val="-2"/>
        </w:rPr>
        <w:t> </w:t>
      </w:r>
      <w:r>
        <w:rPr/>
        <w:t>dotted</w:t>
      </w:r>
      <w:r>
        <w:rPr>
          <w:spacing w:val="-3"/>
        </w:rPr>
        <w:t> </w:t>
      </w:r>
      <w:r>
        <w:rPr/>
        <w:t>line</w:t>
      </w:r>
      <w:r>
        <w:rPr>
          <w:spacing w:val="-3"/>
        </w:rPr>
        <w:t> </w:t>
      </w:r>
      <w:r>
        <w:rPr/>
        <w:t>for</w:t>
      </w:r>
      <w:r>
        <w:rPr>
          <w:spacing w:val="-2"/>
        </w:rPr>
        <w:t> </w:t>
      </w:r>
      <w:r>
        <w:rPr/>
        <w:t>the</w:t>
      </w:r>
      <w:r>
        <w:rPr>
          <w:spacing w:val="-2"/>
        </w:rPr>
        <w:t> </w:t>
      </w:r>
      <w:r>
        <w:rPr/>
        <w:t>case</w:t>
      </w:r>
      <w:r>
        <w:rPr>
          <w:spacing w:val="-3"/>
        </w:rPr>
        <w:t> </w:t>
      </w:r>
      <w:r>
        <w:rPr/>
        <w:t>in which the savings rate increases with required deposits up to a maximum saving rate of 10%. With the higher saving rate the owner occupation would fall to</w:t>
      </w:r>
      <w:r>
        <w:rPr>
          <w:spacing w:val="-11"/>
        </w:rPr>
        <w:t> </w:t>
      </w:r>
      <w:r>
        <w:rPr/>
        <w:t>65%.</w:t>
      </w:r>
    </w:p>
    <w:p>
      <w:pPr>
        <w:pStyle w:val="BodyText"/>
        <w:rPr>
          <w:sz w:val="22"/>
        </w:rPr>
      </w:pPr>
    </w:p>
    <w:p>
      <w:pPr>
        <w:pStyle w:val="BodyText"/>
        <w:spacing w:before="7"/>
        <w:rPr>
          <w:sz w:val="17"/>
        </w:rPr>
      </w:pPr>
    </w:p>
    <w:p>
      <w:pPr>
        <w:pStyle w:val="Heading1"/>
        <w:spacing w:before="1"/>
        <w:ind w:left="233"/>
      </w:pPr>
      <w:r>
        <w:rPr/>
        <w:pict>
          <v:group style="position:absolute;margin-left:58.5pt;margin-top:17.948193pt;width:241.45pt;height:180.8pt;mso-position-horizontal-relative:page;mso-position-vertical-relative:paragraph;z-index:251697152" coordorigin="1170,359" coordsize="4829,3616">
            <v:line style="position:absolute" from="1916,676" to="1916,3294" stroked="true" strokeweight=".53999pt" strokecolor="#868686">
              <v:stroke dashstyle="solid"/>
            </v:line>
            <v:shape style="position:absolute;left:1862;top:669;width:54;height:2587" coordorigin="1862,670" coordsize="54,2587" path="m1916,3245l1862,3245,1862,3256,1916,3256,1916,3245m1916,2956l1862,2956,1862,2967,1916,2967,1916,2956m1916,2665l1862,2665,1862,2676,1916,2676,1916,2665m1916,2387l1862,2387,1862,2398,1916,2398,1916,2387m1916,2097l1862,2097,1862,2107,1916,2107,1916,2097m1916,1818l1862,1818,1862,1829,1916,1829,1916,1818m1916,1528l1862,1528,1862,1539,1916,1539,1916,1528m1916,1239l1862,1239,1862,1249,1916,1249,1916,1239m1916,959l1862,959,1862,970,1916,970,1916,959m1916,670l1862,670,1862,681,1916,681,1916,670e" filled="true" fillcolor="#868686" stroked="false">
              <v:path arrowok="t"/>
              <v:fill type="solid"/>
            </v:shape>
            <v:line style="position:absolute" from="1916,3250" to="5597,3250" stroked="true" strokeweight=".54001pt" strokecolor="#868686">
              <v:stroke dashstyle="solid"/>
            </v:line>
            <v:shape style="position:absolute;left:2264;top:3250;width:3263;height:44" coordorigin="2264,3251" coordsize="3263,44" path="m2275,3251l2264,3251,2264,3294,2275,3294,2275,3251m2640,3251l2629,3251,2629,3294,2640,3294,2640,3251m3005,3251l2994,3251,2994,3294,3005,3294,3005,3251m3359,3251l3348,3251,3348,3294,3359,3294,3359,3251m3724,3251l3714,3251,3714,3294,3724,3294,3724,3251m4090,3251l4079,3251,4079,3294,4090,3294,4090,3251m4444,3251l4433,3251,4433,3294,4444,3294,4444,3251m4808,3251l4798,3251,4798,3294,4808,3294,4808,3251m5173,3251l5162,3251,5162,3294,5173,3294,5173,3251m5527,3251l5516,3251,5516,3294,5527,3294,5527,3251e" filled="true" fillcolor="#868686" stroked="false">
              <v:path arrowok="t"/>
              <v:fill type="solid"/>
            </v:shape>
            <v:shape style="position:absolute;left:1929;top:988;width:3654;height:1948" coordorigin="1930,989" coordsize="3654,1948" path="m5266,2771l5330,2813,5406,2857,5483,2890,5557,2932,5564,2937,5574,2934,5579,2926,5584,2919,5580,2909,5573,2904,5496,2860,5423,2829,5348,2787,5327,2772,5269,2772,5266,2771xm5033,2620l4976,2620,5041,2663,5041,2664,5044,2664,5118,2697,5192,2739,5269,2772,5327,2772,5284,2743,5282,2742,5281,2742,5208,2711,5131,2667,5059,2637,5058,2637,5056,2635,5056,2635,5033,2620xm5056,2635l5058,2637,5057,2636,5056,2635xm5057,2636l5058,2637,5059,2637,5057,2636xm5056,2635l5056,2635,5057,2636,5056,2635xm4473,2353l4536,2395,4538,2395,4538,2397,4614,2429,4687,2471,4763,2513,4828,2547,4902,2589,4979,2622,4976,2620,5033,2620,4994,2593,4993,2593,4992,2592,4918,2561,4842,2518,4778,2485,4704,2442,4627,2399,4554,2368,4554,2368,4552,2367,4552,2367,4532,2353,4475,2353,4473,2353xm4552,2367l4554,2368,4553,2367,4552,2367xm4553,2367l4554,2368,4554,2368,4553,2367xm4552,2367l4552,2367,4553,2367,4552,2367xm4472,2352l4473,2353,4475,2353,4472,2352xm4531,2352l4472,2352,4475,2353,4532,2353,4531,2352xm4183,2203l4247,2244,4247,2245,4248,2245,4249,2247,4324,2278,4398,2320,4473,2353,4472,2352,4531,2352,4489,2325,4488,2325,4487,2323,4414,2292,4337,2249,4261,2217,4263,2217,4243,2203,4184,2203,4183,2203xm4263,2217l4261,2217,4265,2218,4263,2217xm4182,2202l4183,2203,4184,2203,4182,2202xm4241,2202l4182,2202,4184,2203,4243,2203,4241,2202xm3679,1934l3742,1977,3743,1977,3744,1978,3745,1978,3820,2010,3968,2095,4033,2128,4108,2170,4183,2203,4182,2202,4241,2202,4200,2175,4199,2175,4199,2173,4198,2173,4124,2142,4048,2099,3984,2067,3910,2025,3833,1980,3760,1949,3760,1949,3757,1948,3758,1948,3738,1935,3680,1935,3679,1934xm3757,1948l3760,1949,3759,1948,3757,1948xm3759,1948l3760,1949,3760,1949,3759,1948xm3758,1948l3757,1948,3759,1948,3758,1948xm3678,1933l3679,1934,3680,1935,3678,1933xm3736,1933l3678,1933,3680,1935,3738,1935,3736,1933xm3388,1784l3452,1827,3454,1827,3455,1828,3530,1860,3604,1902,3679,1934,3678,1933,3736,1933,3696,1907,3695,1906,3692,1906,3619,1873,3542,1830,3471,1799,3470,1799,3468,1798,3469,1798,3448,1785,3390,1785,3388,1784xm3468,1798l3470,1799,3470,1798,3468,1798xm3470,1798l3470,1799,3471,1799,3470,1798xm3469,1798l3468,1798,3470,1798,3469,1798xm3388,1783l3388,1784,3390,1785,3388,1783xm3446,1783l3388,1783,3390,1785,3448,1785,3446,1783xm2884,1515l2948,1558,2950,1559,2951,1559,3025,1591,3100,1633,3164,1666,3239,1709,3313,1751,3388,1784,3388,1783,3446,1783,3406,1757,3403,1755,3330,1723,3179,1637,3115,1606,3038,1561,2966,1531,2965,1531,2963,1530,2963,1530,2942,1516,2886,1516,2884,1515xm2963,1530l2965,1531,2964,1531,2963,1530xm2964,1531l2965,1531,2966,1531,2964,1531xm2963,1530l2963,1530,2964,1531,2963,1530xm2884,1515l2884,1515,2886,1516,2884,1515xm2940,1515l2884,1515,2886,1516,2942,1516,2940,1515xm2147,1096l2089,1096,2154,1139,2154,1140,2156,1140,2232,1173,2305,1215,2370,1248,2444,1290,2521,1323,2594,1366,2658,1408,2659,1408,2660,1409,2736,1441,2809,1483,2884,1515,2884,1515,2940,1515,2902,1488,2900,1487,2899,1487,2825,1456,2748,1411,2679,1381,2676,1381,2611,1337,2534,1294,2460,1263,2384,1219,2321,1187,2244,1144,2168,1111,2170,1111,2147,1096xm2674,1379l2676,1381,2679,1381,2674,1379xm2170,1111l2168,1111,2172,1113,2170,1111xm1949,989l1938,993,1934,1000,1930,1008,1932,1018,1940,1021,2015,1065,2092,1098,2089,1096,2147,1096,2107,1069,2106,1069,2106,1068,2105,1068,2032,1037,1956,994,1949,989xe" filled="true" fillcolor="#4a7ebb" stroked="false">
              <v:path arrowok="t"/>
              <v:fill type="solid"/>
            </v:shape>
            <v:shape style="position:absolute;left:1921;top:819;width:3664;height:1169" coordorigin="1922,820" coordsize="3664,1169" path="m1975,1010l1974,1000,1969,991,1961,984,1950,981,1940,982,1931,987,1925,995,1922,1005,1923,1016,1927,1025,1936,1032,1946,1035,1956,1033,1965,1028,1972,1020,1975,1010m2070,1060l2069,1050,2064,1041,2056,1035,2045,1031,2035,1032,2026,1037,2020,1045,2016,1056,2017,1066,2022,1075,2030,1081,2041,1085,2051,1084,2060,1079,2066,1071,2070,1060m2164,1111l2163,1100,2159,1091,2150,1085,2140,1082,2130,1083,2121,1088,2114,1096,2111,1106,2112,1116,2117,1125,2125,1132,2136,1135,2146,1134,2155,1129,2161,1121,2164,1111m2260,1161l2258,1151,2253,1141,2245,1134,2235,1132,2225,1133,2216,1138,2209,1146,2206,1156,2207,1166,2212,1175,2220,1182,2230,1185,2241,1184,2250,1179,2257,1171,2260,1161m2357,1187l2345,1175,2315,1175,2303,1186,2303,1216,2315,1228,2329,1229,2344,1229,2357,1217,2357,1187m2464,1185l2452,1173,2422,1173,2410,1185,2410,1213,2422,1225,2452,1225,2464,1213,2464,1185m2533,832l2521,820,2491,820,2479,832,2479,862,2491,874,2521,874,2533,862,2533,832m2572,1185l2560,1173,2530,1173,2518,1185,2518,1213,2530,1225,2560,1225,2572,1213,2572,1185m2640,832l2628,820,2599,820,2587,832,2587,862,2599,874,2628,874,2640,862,2640,832m2678,1182l2666,1170,2652,1170,2636,1171,2624,1183,2624,1198,2626,1212,2638,1224,2666,1224,2678,1212,2678,1182m2748,832l2736,820,2706,820,2694,832,2694,862,2706,874,2736,874,2748,862,2748,832m2783,1217l2779,1208,2772,1200,2762,1195,2752,1195,2742,1198,2735,1205,2730,1215,2729,1225,2733,1235,2740,1242,2749,1247,2760,1248,2769,1244,2777,1237,2782,1228,2783,1217m2855,832l2843,820,2813,820,2801,832,2801,862,2813,874,2843,874,2855,862,2855,832m2887,1245l2883,1235,2876,1228,2867,1223,2856,1222,2847,1226,2839,1233,2834,1242,2833,1253,2837,1262,2844,1270,2854,1275,2864,1275,2873,1272,2881,1265,2886,1255,2887,1245m2990,1272l2987,1263,2980,1255,2971,1251,2970,1251,2960,1250,2950,1253,2942,1260,2938,1270,2937,1280,2940,1290,2947,1297,2957,1302,2967,1303,2977,1299,2985,1293,2989,1283,2990,1272m3094,1300l3091,1290,3084,1283,3074,1278,3064,1277,3054,1280,3047,1287,3042,1296,3041,1307,3044,1317,3051,1325,3061,1330,3072,1330,3081,1327,3089,1320,3094,1311,3094,1300m3198,1327l3194,1317,3187,1309,3178,1305,3167,1304,3158,1307,3150,1314,3145,1324,3145,1334,3148,1344,3155,1352,3164,1357,3175,1358,3185,1355,3192,1348,3197,1338,3198,1327m3302,1355l3298,1345,3292,1337,3282,1332,3271,1332,3262,1335,3254,1342,3250,1351,3249,1362,3252,1372,3259,1379,3269,1384,3279,1385,3289,1382,3297,1375,3301,1366,3302,1355m3405,1382l3402,1372,3395,1364,3386,1360,3385,1360,3375,1359,3365,1363,3358,1369,3353,1379,3352,1390,3356,1399,3362,1407,3372,1411,3383,1412,3392,1409,3400,1402,3404,1392,3405,1382m3509,1409l3506,1400,3499,1392,3490,1387,3479,1387,3469,1390,3462,1397,3457,1407,3457,1417,3460,1427,3467,1434,3476,1439,3487,1440,3497,1436,3504,1429,3509,1420,3509,1409m3613,1437l3610,1427,3604,1420,3594,1415,3583,1414,3573,1418,3565,1425,3560,1434,3560,1445,3563,1454,3570,1462,3580,1467,3590,1467,3600,1464,3607,1457,3612,1447,3613,1437m3717,1464l3714,1455,3707,1447,3697,1443,3687,1442,3677,1445,3669,1452,3665,1461,3664,1471,3668,1481,3674,1489,3684,1494,3695,1495,3704,1491,3712,1485,3716,1475,3717,1464m3821,1492l3818,1482,3811,1474,3802,1469,3791,1468,3781,1472,3773,1479,3768,1488,3767,1499,3771,1509,3778,1517,3787,1522,3798,1522,3807,1519,3815,1512,3820,1503,3821,1492m3925,1519l3921,1509,3914,1501,3905,1497,3894,1496,3885,1499,3877,1506,3872,1516,3872,1526,3875,1536,3882,1544,3892,1548,3902,1549,3912,1546,3919,1539,3924,1530,3925,1519m4029,1546l4026,1537,4019,1529,4009,1524,3998,1524,3988,1527,3980,1534,3976,1543,3975,1554,3978,1564,3985,1571,3995,1576,4005,1577,4015,1573,4023,1566,4028,1557,4029,1546m4132,1574l4129,1564,4122,1556,4112,1552,4102,1551,4092,1555,4085,1561,4080,1571,4079,1582,4083,1591,4090,1599,4099,1603,4110,1604,4119,1601,4127,1594,4132,1584,4132,1574m4237,1601l4233,1592,4226,1584,4217,1579,4206,1579,4196,1582,4188,1589,4183,1599,4183,1609,4186,1619,4193,1626,4202,1631,4213,1632,4223,1628,4231,1621,4236,1612,4237,1601m4340,1629l4336,1619,4330,1612,4320,1607,4309,1606,4300,1609,4292,1616,4288,1626,4287,1637,4290,1646,4297,1654,4307,1659,4317,1659,4327,1656,4335,1649,4339,1639,4340,1629m4444,1656l4441,1647,4434,1639,4424,1635,4424,1633,4414,1633,4404,1636,4396,1643,4391,1653,4390,1663,4394,1673,4400,1681,4410,1686,4421,1687,4430,1683,4438,1677,4444,1667,4444,1656m4547,1684l4544,1674,4537,1666,4528,1661,4517,1660,4507,1664,4500,1671,4495,1680,4495,1691,4498,1701,4505,1709,4514,1714,4525,1714,4535,1711,4542,1704,4547,1695,4547,1684m4652,1711l4648,1701,4642,1693,4632,1689,4621,1688,4611,1691,4603,1698,4598,1708,4598,1718,4601,1728,4608,1736,4618,1740,4628,1741,4638,1738,4646,1731,4651,1722,4652,1711m4755,1738l4752,1728,4745,1721,4735,1716,4725,1716,4715,1719,4707,1726,4703,1735,4702,1746,4706,1756,4712,1763,4722,1768,4733,1768,4742,1765,4750,1758,4754,1749,4755,1738m4859,1766l4856,1756,4849,1748,4840,1744,4829,1743,4819,1747,4811,1753,4806,1763,4805,1774,4809,1783,4816,1791,4825,1795,4836,1796,4846,1793,4854,1786,4859,1776,4859,1766m4963,1793l4959,1784,4952,1776,4943,1771,4932,1771,4923,1774,4915,1781,4910,1791,4910,1801,4913,1811,4920,1818,4930,1823,4940,1824,4950,1820,4957,1813,4962,1804,4963,1793m5067,1821l5064,1811,5057,1804,5047,1799,5037,1798,5027,1801,5019,1808,5014,1817,5013,1828,5016,1838,5023,1846,5033,1851,5044,1851,5054,1848,5062,1841,5066,1831,5067,1821m5170,1848l5167,1839,5160,1831,5150,1825,5140,1825,5130,1828,5123,1835,5118,1845,5117,1855,5121,1865,5128,1873,5137,1878,5148,1879,5157,1875,5165,1869,5170,1859,5170,1848m5275,1876l5271,1866,5264,1858,5255,1853,5244,1852,5234,1856,5226,1863,5221,1872,5221,1883,5224,1892,5231,1900,5240,1905,5240,1906,5251,1906,5261,1903,5269,1896,5274,1887,5275,1876m5378,1902l5374,1893,5368,1885,5358,1881,5347,1880,5338,1883,5330,1890,5326,1900,5325,1910,5328,1920,5335,1928,5345,1932,5355,1933,5365,1929,5373,1923,5377,1913,5378,1902m5482,1930l5479,1920,5472,1913,5462,1908,5452,1908,5442,1911,5434,1918,5429,1927,5428,1938,5432,1948,5438,1955,5448,1960,5459,1960,5469,1957,5477,1950,5482,1941,5482,1930m5585,1958l5582,1948,5575,1940,5566,1936,5555,1935,5545,1939,5538,1945,5533,1955,5533,1966,5536,1975,5543,1983,5552,1987,5563,1988,5573,1985,5580,1978,5585,1968,5585,1958e" filled="true" fillcolor="#e46c0a" stroked="false">
              <v:path arrowok="t"/>
              <v:fill type="solid"/>
            </v:shape>
            <v:line style="position:absolute" from="2490,493" to="2876,493" stroked="true" strokeweight="1.62pt" strokecolor="#4a7ebb">
              <v:stroke dashstyle="solid"/>
            </v:line>
            <v:shape style="position:absolute;left:1170;top:358;width:4829;height:3616" coordorigin="1170,359" coordsize="4829,3616" path="m5996,359l1172,359,1170,361,1170,3972,1172,3975,5996,3975,5999,3972,5999,3970,1181,3970,1175,3964,1181,3964,1181,370,1175,370,1181,364,5999,364,5999,361,5996,359xm1181,3964l1175,3964,1181,3970,1181,3964xm5989,3964l1181,3964,1181,3970,5989,3970,5989,3964xm5989,364l5989,3970,5994,3964,5999,3964,5999,370,5994,370,5989,364xm5999,3964l5994,3964,5989,3970,5999,3970,5999,3964xm1181,364l1175,370,1181,370,1181,364xm5989,364l1181,364,1181,370,5989,370,5989,364xm5999,364l5989,364,5994,370,5999,370,5999,364xe" filled="true" fillcolor="#868686" stroked="false">
              <v:path arrowok="t"/>
              <v:fill type="solid"/>
            </v:shape>
            <v:shape style="position:absolute;left:2908;top:426;width:1856;height:161" type="#_x0000_t202" filled="false" stroked="false">
              <v:textbox inset="0,0,0,0">
                <w:txbxContent>
                  <w:p>
                    <w:pPr>
                      <w:spacing w:line="161" w:lineRule="exact" w:before="0"/>
                      <w:ind w:left="0" w:right="0" w:firstLine="0"/>
                      <w:jc w:val="left"/>
                      <w:rPr>
                        <w:rFonts w:ascii="Calibri"/>
                        <w:sz w:val="16"/>
                      </w:rPr>
                    </w:pPr>
                    <w:r>
                      <w:rPr>
                        <w:rFonts w:ascii="Calibri"/>
                        <w:sz w:val="16"/>
                      </w:rPr>
                      <w:t>Unchanged</w:t>
                    </w:r>
                    <w:r>
                      <w:rPr>
                        <w:rFonts w:ascii="Calibri"/>
                        <w:spacing w:val="-15"/>
                        <w:sz w:val="16"/>
                      </w:rPr>
                      <w:t> </w:t>
                    </w:r>
                    <w:r>
                      <w:rPr>
                        <w:rFonts w:ascii="Calibri"/>
                        <w:sz w:val="16"/>
                      </w:rPr>
                      <w:t>saving</w:t>
                    </w:r>
                    <w:r>
                      <w:rPr>
                        <w:rFonts w:ascii="Calibri"/>
                        <w:spacing w:val="-15"/>
                        <w:sz w:val="16"/>
                      </w:rPr>
                      <w:t> </w:t>
                    </w:r>
                    <w:r>
                      <w:rPr>
                        <w:rFonts w:ascii="Calibri"/>
                        <w:sz w:val="16"/>
                      </w:rPr>
                      <w:t>rate</w:t>
                    </w:r>
                    <w:r>
                      <w:rPr>
                        <w:rFonts w:ascii="Calibri"/>
                        <w:spacing w:val="-8"/>
                        <w:sz w:val="16"/>
                      </w:rPr>
                      <w:t> </w:t>
                    </w:r>
                    <w:r>
                      <w:rPr>
                        <w:rFonts w:ascii="Calibri"/>
                        <w:sz w:val="16"/>
                      </w:rPr>
                      <w:t>of</w:t>
                    </w:r>
                    <w:r>
                      <w:rPr>
                        <w:rFonts w:ascii="Calibri"/>
                        <w:spacing w:val="-10"/>
                        <w:sz w:val="16"/>
                      </w:rPr>
                      <w:t> </w:t>
                    </w:r>
                    <w:r>
                      <w:rPr>
                        <w:rFonts w:ascii="Calibri"/>
                        <w:spacing w:val="-8"/>
                        <w:sz w:val="16"/>
                      </w:rPr>
                      <w:t>5%</w:t>
                    </w:r>
                  </w:p>
                </w:txbxContent>
              </v:textbox>
              <w10:wrap type="none"/>
            </v:shape>
            <v:shape style="position:absolute;left:1501;top:604;width:281;height:2736" type="#_x0000_t202" filled="false" stroked="false">
              <v:textbox inset="0,0,0,0">
                <w:txbxContent>
                  <w:p>
                    <w:pPr>
                      <w:spacing w:line="164" w:lineRule="exact" w:before="0"/>
                      <w:ind w:left="0" w:right="0" w:firstLine="0"/>
                      <w:jc w:val="left"/>
                      <w:rPr>
                        <w:rFonts w:ascii="Calibri"/>
                        <w:sz w:val="16"/>
                      </w:rPr>
                    </w:pPr>
                    <w:r>
                      <w:rPr>
                        <w:rFonts w:ascii="Calibri"/>
                        <w:spacing w:val="-6"/>
                        <w:sz w:val="16"/>
                      </w:rPr>
                      <w:t>90%</w:t>
                    </w:r>
                  </w:p>
                  <w:p>
                    <w:pPr>
                      <w:spacing w:before="91"/>
                      <w:ind w:left="0" w:right="0" w:firstLine="0"/>
                      <w:jc w:val="left"/>
                      <w:rPr>
                        <w:rFonts w:ascii="Calibri"/>
                        <w:sz w:val="16"/>
                      </w:rPr>
                    </w:pPr>
                    <w:r>
                      <w:rPr>
                        <w:rFonts w:ascii="Calibri"/>
                        <w:spacing w:val="-6"/>
                        <w:sz w:val="16"/>
                      </w:rPr>
                      <w:t>80%</w:t>
                    </w:r>
                  </w:p>
                  <w:p>
                    <w:pPr>
                      <w:spacing w:before="90"/>
                      <w:ind w:left="0" w:right="0" w:firstLine="0"/>
                      <w:jc w:val="left"/>
                      <w:rPr>
                        <w:rFonts w:ascii="Calibri"/>
                        <w:sz w:val="16"/>
                      </w:rPr>
                    </w:pPr>
                    <w:r>
                      <w:rPr>
                        <w:rFonts w:ascii="Calibri"/>
                        <w:spacing w:val="-6"/>
                        <w:sz w:val="16"/>
                      </w:rPr>
                      <w:t>70%</w:t>
                    </w:r>
                  </w:p>
                  <w:p>
                    <w:pPr>
                      <w:spacing w:before="91"/>
                      <w:ind w:left="0" w:right="0" w:firstLine="0"/>
                      <w:jc w:val="left"/>
                      <w:rPr>
                        <w:rFonts w:ascii="Calibri"/>
                        <w:sz w:val="16"/>
                      </w:rPr>
                    </w:pPr>
                    <w:r>
                      <w:rPr>
                        <w:rFonts w:ascii="Calibri"/>
                        <w:spacing w:val="-6"/>
                        <w:sz w:val="16"/>
                      </w:rPr>
                      <w:t>60%</w:t>
                    </w:r>
                  </w:p>
                  <w:p>
                    <w:pPr>
                      <w:spacing w:before="91"/>
                      <w:ind w:left="0" w:right="0" w:firstLine="0"/>
                      <w:jc w:val="left"/>
                      <w:rPr>
                        <w:rFonts w:ascii="Calibri"/>
                        <w:sz w:val="16"/>
                      </w:rPr>
                    </w:pPr>
                    <w:r>
                      <w:rPr>
                        <w:rFonts w:ascii="Calibri"/>
                        <w:spacing w:val="-6"/>
                        <w:sz w:val="16"/>
                      </w:rPr>
                      <w:t>50%</w:t>
                    </w:r>
                  </w:p>
                  <w:p>
                    <w:pPr>
                      <w:spacing w:before="91"/>
                      <w:ind w:left="0" w:right="0" w:firstLine="0"/>
                      <w:jc w:val="left"/>
                      <w:rPr>
                        <w:rFonts w:ascii="Calibri"/>
                        <w:sz w:val="16"/>
                      </w:rPr>
                    </w:pPr>
                    <w:r>
                      <w:rPr>
                        <w:rFonts w:ascii="Calibri"/>
                        <w:spacing w:val="-6"/>
                        <w:sz w:val="16"/>
                      </w:rPr>
                      <w:t>40%</w:t>
                    </w:r>
                  </w:p>
                  <w:p>
                    <w:pPr>
                      <w:spacing w:before="90"/>
                      <w:ind w:left="0" w:right="0" w:firstLine="0"/>
                      <w:jc w:val="left"/>
                      <w:rPr>
                        <w:rFonts w:ascii="Calibri"/>
                        <w:sz w:val="16"/>
                      </w:rPr>
                    </w:pPr>
                    <w:r>
                      <w:rPr>
                        <w:rFonts w:ascii="Calibri"/>
                        <w:spacing w:val="-6"/>
                        <w:sz w:val="16"/>
                      </w:rPr>
                      <w:t>30%</w:t>
                    </w:r>
                  </w:p>
                  <w:p>
                    <w:pPr>
                      <w:spacing w:before="90"/>
                      <w:ind w:left="0" w:right="0" w:firstLine="0"/>
                      <w:jc w:val="left"/>
                      <w:rPr>
                        <w:rFonts w:ascii="Calibri"/>
                        <w:sz w:val="16"/>
                      </w:rPr>
                    </w:pPr>
                    <w:r>
                      <w:rPr>
                        <w:rFonts w:ascii="Calibri"/>
                        <w:spacing w:val="-6"/>
                        <w:sz w:val="16"/>
                      </w:rPr>
                      <w:t>20%</w:t>
                    </w:r>
                  </w:p>
                  <w:p>
                    <w:pPr>
                      <w:spacing w:before="92"/>
                      <w:ind w:left="0" w:right="0" w:firstLine="0"/>
                      <w:jc w:val="left"/>
                      <w:rPr>
                        <w:rFonts w:ascii="Calibri"/>
                        <w:sz w:val="16"/>
                      </w:rPr>
                    </w:pPr>
                    <w:r>
                      <w:rPr>
                        <w:rFonts w:ascii="Calibri"/>
                        <w:spacing w:val="-6"/>
                        <w:sz w:val="16"/>
                      </w:rPr>
                      <w:t>10%</w:t>
                    </w:r>
                  </w:p>
                  <w:p>
                    <w:pPr>
                      <w:spacing w:line="193" w:lineRule="exact" w:before="90"/>
                      <w:ind w:left="72" w:right="0" w:firstLine="0"/>
                      <w:jc w:val="left"/>
                      <w:rPr>
                        <w:rFonts w:ascii="Calibri"/>
                        <w:sz w:val="16"/>
                      </w:rPr>
                    </w:pPr>
                    <w:r>
                      <w:rPr>
                        <w:rFonts w:ascii="Calibri"/>
                        <w:spacing w:val="-6"/>
                        <w:sz w:val="16"/>
                      </w:rPr>
                      <w:t>0%</w:t>
                    </w:r>
                  </w:p>
                </w:txbxContent>
              </v:textbox>
              <w10:wrap type="none"/>
            </v:shape>
            <v:shape style="position:absolute;left:2908;top:775;width:2986;height:355" type="#_x0000_t202" filled="false" stroked="false">
              <v:textbox inset="0,0,0,0">
                <w:txbxContent>
                  <w:p>
                    <w:pPr>
                      <w:spacing w:line="163" w:lineRule="exact" w:before="0"/>
                      <w:ind w:left="0" w:right="0" w:firstLine="0"/>
                      <w:jc w:val="left"/>
                      <w:rPr>
                        <w:rFonts w:ascii="Calibri"/>
                        <w:sz w:val="16"/>
                      </w:rPr>
                    </w:pPr>
                    <w:r>
                      <w:rPr>
                        <w:rFonts w:ascii="Calibri"/>
                        <w:sz w:val="16"/>
                      </w:rPr>
                      <w:t>Saving</w:t>
                    </w:r>
                    <w:r>
                      <w:rPr>
                        <w:rFonts w:ascii="Calibri"/>
                        <w:spacing w:val="-17"/>
                        <w:sz w:val="16"/>
                      </w:rPr>
                      <w:t> </w:t>
                    </w:r>
                    <w:r>
                      <w:rPr>
                        <w:rFonts w:ascii="Calibri"/>
                        <w:sz w:val="16"/>
                      </w:rPr>
                      <w:t>rate</w:t>
                    </w:r>
                    <w:r>
                      <w:rPr>
                        <w:rFonts w:ascii="Calibri"/>
                        <w:spacing w:val="-10"/>
                        <w:sz w:val="16"/>
                      </w:rPr>
                      <w:t> </w:t>
                    </w:r>
                    <w:r>
                      <w:rPr>
                        <w:rFonts w:ascii="Calibri"/>
                        <w:sz w:val="16"/>
                      </w:rPr>
                      <w:t>increases</w:t>
                    </w:r>
                    <w:r>
                      <w:rPr>
                        <w:rFonts w:ascii="Calibri"/>
                        <w:spacing w:val="-15"/>
                        <w:sz w:val="16"/>
                      </w:rPr>
                      <w:t> </w:t>
                    </w:r>
                    <w:r>
                      <w:rPr>
                        <w:rFonts w:ascii="Calibri"/>
                        <w:sz w:val="16"/>
                      </w:rPr>
                      <w:t>with</w:t>
                    </w:r>
                    <w:r>
                      <w:rPr>
                        <w:rFonts w:ascii="Calibri"/>
                        <w:spacing w:val="-4"/>
                        <w:sz w:val="16"/>
                      </w:rPr>
                      <w:t> </w:t>
                    </w:r>
                    <w:r>
                      <w:rPr>
                        <w:rFonts w:ascii="Calibri"/>
                        <w:sz w:val="16"/>
                      </w:rPr>
                      <w:t>minimum</w:t>
                    </w:r>
                    <w:r>
                      <w:rPr>
                        <w:rFonts w:ascii="Calibri"/>
                        <w:spacing w:val="-5"/>
                        <w:sz w:val="16"/>
                      </w:rPr>
                      <w:t> </w:t>
                    </w:r>
                    <w:r>
                      <w:rPr>
                        <w:rFonts w:ascii="Calibri"/>
                        <w:sz w:val="16"/>
                      </w:rPr>
                      <w:t>deposit</w:t>
                    </w:r>
                    <w:r>
                      <w:rPr>
                        <w:rFonts w:ascii="Calibri"/>
                        <w:spacing w:val="-16"/>
                        <w:sz w:val="16"/>
                      </w:rPr>
                      <w:t> </w:t>
                    </w:r>
                    <w:r>
                      <w:rPr>
                        <w:rFonts w:ascii="Calibri"/>
                        <w:spacing w:val="-6"/>
                        <w:sz w:val="16"/>
                      </w:rPr>
                      <w:t>in</w:t>
                    </w:r>
                  </w:p>
                  <w:p>
                    <w:pPr>
                      <w:spacing w:line="192" w:lineRule="exact" w:before="0"/>
                      <w:ind w:left="0" w:right="0" w:firstLine="0"/>
                      <w:jc w:val="left"/>
                      <w:rPr>
                        <w:rFonts w:ascii="Calibri"/>
                        <w:sz w:val="16"/>
                      </w:rPr>
                    </w:pPr>
                    <w:r>
                      <w:rPr>
                        <w:rFonts w:ascii="Calibri"/>
                        <w:sz w:val="16"/>
                      </w:rPr>
                      <w:t>the 5 to 10% range, and remains 10% above</w:t>
                    </w:r>
                  </w:p>
                </w:txbxContent>
              </v:textbox>
              <w10:wrap type="none"/>
            </v:shape>
            <v:shape style="position:absolute;left:1851;top:3383;width:3866;height:416" type="#_x0000_t202" filled="false" stroked="false">
              <v:textbox inset="0,0,0,0">
                <w:txbxContent>
                  <w:p>
                    <w:pPr>
                      <w:spacing w:line="164" w:lineRule="exact" w:before="0"/>
                      <w:ind w:left="283" w:right="301" w:firstLine="0"/>
                      <w:jc w:val="center"/>
                      <w:rPr>
                        <w:rFonts w:ascii="Calibri"/>
                        <w:sz w:val="16"/>
                      </w:rPr>
                    </w:pPr>
                    <w:r>
                      <w:rPr>
                        <w:rFonts w:ascii="Calibri"/>
                        <w:sz w:val="16"/>
                      </w:rPr>
                      <w:t>0% 5% 10% 15% 20% 25% 30% 35% 40% 45% 50%</w:t>
                    </w:r>
                  </w:p>
                  <w:p>
                    <w:pPr>
                      <w:spacing w:line="193" w:lineRule="exact" w:before="59"/>
                      <w:ind w:left="250" w:right="301" w:firstLine="0"/>
                      <w:jc w:val="center"/>
                      <w:rPr>
                        <w:rFonts w:ascii="Calibri"/>
                        <w:sz w:val="16"/>
                      </w:rPr>
                    </w:pPr>
                    <w:r>
                      <w:rPr>
                        <w:rFonts w:ascii="Calibri"/>
                        <w:sz w:val="16"/>
                      </w:rPr>
                      <w:t>Minimum deposit</w:t>
                    </w:r>
                  </w:p>
                </w:txbxContent>
              </v:textbox>
              <w10:wrap type="none"/>
            </v:shape>
            <w10:wrap type="none"/>
          </v:group>
        </w:pict>
      </w:r>
      <w:r>
        <w:rPr/>
        <w:pict>
          <v:shape style="position:absolute;margin-left:63.642426pt;margin-top:69.633514pt;width:10.050pt;height:69.350pt;mso-position-horizontal-relative:page;mso-position-vertical-relative:paragraph;z-index:251698176" type="#_x0000_t202" filled="false" stroked="false">
            <v:textbox inset="0,0,0,0" style="layout-flow:vertical;mso-layout-flow-alt:bottom-to-top">
              <w:txbxContent>
                <w:p>
                  <w:pPr>
                    <w:spacing w:line="184" w:lineRule="exact" w:before="0"/>
                    <w:ind w:left="20" w:right="0" w:firstLine="0"/>
                    <w:jc w:val="left"/>
                    <w:rPr>
                      <w:rFonts w:ascii="Calibri" w:hAnsi="Calibri"/>
                      <w:sz w:val="16"/>
                    </w:rPr>
                  </w:pPr>
                  <w:r>
                    <w:rPr>
                      <w:rFonts w:ascii="Calibri" w:hAnsi="Calibri"/>
                      <w:sz w:val="16"/>
                    </w:rPr>
                    <w:t>Owner‐occupier rate</w:t>
                  </w:r>
                </w:p>
              </w:txbxContent>
            </v:textbox>
            <w10:wrap type="none"/>
          </v:shape>
        </w:pict>
      </w:r>
      <w:r>
        <w:rPr/>
        <w:t>Chart 12: Stylized example: decline in owner-occupier rate </w:t>
      </w:r>
      <w:r>
        <w:rPr>
          <w:vertAlign w:val="superscript"/>
        </w:rPr>
        <w:t>(a)</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4"/>
        <w:rPr>
          <w:b/>
          <w:sz w:val="27"/>
        </w:rPr>
      </w:pPr>
    </w:p>
    <w:p>
      <w:pPr>
        <w:spacing w:before="0"/>
        <w:ind w:left="234" w:right="0" w:firstLine="0"/>
        <w:jc w:val="left"/>
        <w:rPr>
          <w:sz w:val="16"/>
        </w:rPr>
      </w:pPr>
      <w:r>
        <w:rPr>
          <w:sz w:val="16"/>
        </w:rPr>
        <w:t>Source: own calculations.</w:t>
      </w:r>
    </w:p>
    <w:p>
      <w:pPr>
        <w:spacing w:line="276" w:lineRule="auto" w:before="121"/>
        <w:ind w:left="518" w:right="1161" w:hanging="285"/>
        <w:jc w:val="left"/>
        <w:rPr>
          <w:sz w:val="16"/>
        </w:rPr>
      </w:pPr>
      <w:r>
        <w:rPr>
          <w:sz w:val="16"/>
        </w:rPr>
        <w:t>(a) Assumptions: The house for the average first time buyer costs four times his annual income. Representative first time buyers start saving from age 28. People leave home at 20 to rent and move back to the non-owner occupied sector from age 75.</w:t>
      </w:r>
    </w:p>
    <w:p>
      <w:pPr>
        <w:pStyle w:val="BodyText"/>
        <w:rPr>
          <w:sz w:val="18"/>
        </w:rPr>
      </w:pPr>
    </w:p>
    <w:p>
      <w:pPr>
        <w:pStyle w:val="BodyText"/>
        <w:spacing w:line="360" w:lineRule="auto" w:before="125"/>
        <w:ind w:left="234" w:right="1174"/>
      </w:pPr>
      <w:r>
        <w:rPr/>
        <w:t>The increase in the age of first-time buyers and the decline in the owner-occupation rate in this example</w:t>
      </w:r>
      <w:r>
        <w:rPr>
          <w:spacing w:val="-23"/>
        </w:rPr>
        <w:t> </w:t>
      </w:r>
      <w:r>
        <w:rPr/>
        <w:t>look very substantial, even if potential first-time buyers can double their saving rate over an extended period. But this is because the required equity is only provided by the prospective home-owners themselves. That is not the only way forward. Again, consider the analogy to bank capital. To increase their equity, banks can save by retaining profit instead of paying dividends. Or, they can offer new equity shares.  It may take time to build capital by accumulating earnings; but issuing shares increases bank capital</w:t>
      </w:r>
      <w:r>
        <w:rPr>
          <w:spacing w:val="-15"/>
        </w:rPr>
        <w:t> </w:t>
      </w:r>
      <w:r>
        <w:rPr/>
        <w:t>immediately.</w:t>
      </w:r>
    </w:p>
    <w:p>
      <w:pPr>
        <w:pStyle w:val="BodyText"/>
        <w:spacing w:before="11"/>
        <w:rPr>
          <w:sz w:val="29"/>
        </w:rPr>
      </w:pPr>
    </w:p>
    <w:p>
      <w:pPr>
        <w:pStyle w:val="BodyText"/>
        <w:spacing w:line="360" w:lineRule="auto"/>
        <w:ind w:left="234" w:right="1296"/>
      </w:pPr>
      <w:r>
        <w:rPr/>
        <w:t>We can hardly expect prospective first-time buyers to issue shares on the London Stock Exchange. But there are feasible contracts which are a bit like issuing shares.</w:t>
      </w:r>
    </w:p>
    <w:p>
      <w:pPr>
        <w:pStyle w:val="BodyText"/>
        <w:spacing w:before="11"/>
        <w:rPr>
          <w:sz w:val="29"/>
        </w:rPr>
      </w:pPr>
    </w:p>
    <w:p>
      <w:pPr>
        <w:pStyle w:val="BodyText"/>
        <w:spacing w:line="360" w:lineRule="auto"/>
        <w:ind w:left="234" w:right="1196"/>
      </w:pPr>
      <w:r>
        <w:rPr/>
        <w:t>One variant is shared ownership schemes, in which the buyer acquires only a share of the home and pays rent on the fraction owned by the (outside) equity provider. This reduces the buyer’s exposure to changes in the value of the house because they only own a fraction of it. And it </w:t>
      </w:r>
      <w:r>
        <w:rPr>
          <w:i/>
        </w:rPr>
        <w:t>may </w:t>
      </w:r>
      <w:r>
        <w:rPr/>
        <w:t>reduce their monthly cash outflows if the rent is lower than the increase in the monthly mortgage payments had they bought the entire house.</w:t>
      </w:r>
    </w:p>
    <w:p>
      <w:pPr>
        <w:spacing w:after="0" w:line="360" w:lineRule="auto"/>
        <w:sectPr>
          <w:footerReference w:type="default" r:id="rId16"/>
          <w:pgSz w:w="11900" w:h="16840"/>
          <w:pgMar w:footer="1340" w:header="0" w:top="1540" w:bottom="1540" w:left="900" w:right="0"/>
          <w:pgNumType w:start="11"/>
        </w:sectPr>
      </w:pPr>
    </w:p>
    <w:p>
      <w:pPr>
        <w:pStyle w:val="BodyText"/>
        <w:spacing w:line="360" w:lineRule="auto" w:before="76"/>
        <w:ind w:left="233" w:right="1161"/>
      </w:pPr>
      <w:r>
        <w:rPr/>
        <w:t>The buyer’s leverage and debt-to-income ratios are lower than if they acquired 100% of the property, financed by a deposit and traditional mortgage. The buyer may have the option to increase their share in the ownership when they have accumulated further savings. Under the schemes that exist today the ownership of the part the occupier does not own typically lies with government or property developers, or both.</w:t>
      </w:r>
    </w:p>
    <w:p>
      <w:pPr>
        <w:pStyle w:val="BodyText"/>
        <w:rPr>
          <w:sz w:val="30"/>
        </w:rPr>
      </w:pPr>
    </w:p>
    <w:p>
      <w:pPr>
        <w:pStyle w:val="BodyText"/>
        <w:spacing w:line="360" w:lineRule="auto"/>
        <w:ind w:left="233" w:right="1245"/>
      </w:pPr>
      <w:r>
        <w:rPr/>
        <w:t>Another variant are so-called equity loans. In contrast to shared ownership schemes, the buyer retains the ownership of the entire property</w:t>
      </w:r>
      <w:r>
        <w:rPr>
          <w:vertAlign w:val="superscript"/>
        </w:rPr>
        <w:t>5</w:t>
      </w:r>
      <w:r>
        <w:rPr>
          <w:vertAlign w:val="baseline"/>
        </w:rPr>
        <w:t>. But those who provide equity loans accept some of the risk – both upside and downside – that the value of the house changes. Effectively the interest rate on the loan becomes linked to the evolution of the value of the house. Finance experts would probably describe equity loans as hybrid instruments, with characteristics somewhere between straightforward debt and equity.</w:t>
      </w:r>
    </w:p>
    <w:p>
      <w:pPr>
        <w:pStyle w:val="BodyText"/>
        <w:spacing w:before="11"/>
        <w:rPr>
          <w:sz w:val="29"/>
        </w:rPr>
      </w:pPr>
    </w:p>
    <w:p>
      <w:pPr>
        <w:pStyle w:val="BodyText"/>
        <w:spacing w:line="360" w:lineRule="auto"/>
        <w:ind w:left="234" w:right="1296"/>
      </w:pPr>
      <w:r>
        <w:rPr/>
        <w:t>An equity loan enables a buyer to take out a smaller traditional mortgage. They might obtain this mortgage at a lower interest rate because the mortgage bank’s risk has fallen: the bank is protected against house price falls not only by the homeowner’s deposit, but also by the equity loan.</w:t>
      </w:r>
    </w:p>
    <w:p>
      <w:pPr>
        <w:pStyle w:val="BodyText"/>
        <w:rPr>
          <w:sz w:val="30"/>
        </w:rPr>
      </w:pPr>
    </w:p>
    <w:p>
      <w:pPr>
        <w:pStyle w:val="BodyText"/>
        <w:spacing w:line="360" w:lineRule="auto"/>
        <w:ind w:left="234" w:right="1161"/>
      </w:pPr>
      <w:r>
        <w:rPr/>
        <w:t>Of course, the provider of the equity loan requires a return. For investors in hybrid instruments in firms, this compensation usually comes in the form of some contractual payments during and at the end of the maturity of the investment.  These contractual payments can be quite low if investors also expect that their stake might gain in value over time. Similarly, the provider of an equity loan might require regular payments from the homeowner. But such regular payments may not be necessary so long as the final payment is adjusted up. In the case of equity loans, this final payment typically depends on the terminal value of the property. So in exchange for taking a higher share of a capital gain on a property a provider of an equity loan might agree to receive no payments until the property is sold (or at least up until some set</w:t>
      </w:r>
      <w:r>
        <w:rPr>
          <w:spacing w:val="-25"/>
        </w:rPr>
        <w:t> </w:t>
      </w:r>
      <w:r>
        <w:rPr/>
        <w:t>date).</w:t>
      </w:r>
    </w:p>
    <w:p>
      <w:pPr>
        <w:pStyle w:val="BodyText"/>
        <w:spacing w:before="1"/>
        <w:rPr>
          <w:sz w:val="30"/>
        </w:rPr>
      </w:pPr>
    </w:p>
    <w:p>
      <w:pPr>
        <w:pStyle w:val="BodyText"/>
        <w:spacing w:line="360" w:lineRule="auto"/>
        <w:ind w:left="234" w:right="1161"/>
      </w:pPr>
      <w:r>
        <w:rPr/>
        <w:t>Consider the following example. An investor provides an equity loan of £10,000 for a house worth £100,000. In exchange for paying no annual return on this loan the homeowner agrees to give up 20% of any gain in the value of the home and the loan provider agrees to take 10% of any loss in the value of the house. Five years later the homeowner decides to sell the house. If the house at that point is worth £135,000, they repay the investor the initial £10,000 plus 20% of the £35,000 gain in the value of his house, that is, £17,000 in total. If, instead, the house is worth only £80,000, they repay the investor the initial £10,000 less 10% of</w:t>
      </w:r>
      <w:r>
        <w:rPr>
          <w:spacing w:val="-19"/>
        </w:rPr>
        <w:t> </w:t>
      </w:r>
      <w:r>
        <w:rPr/>
        <w:t>the</w:t>
      </w:r>
    </w:p>
    <w:p>
      <w:pPr>
        <w:pStyle w:val="BodyText"/>
        <w:spacing w:line="360" w:lineRule="auto"/>
        <w:ind w:left="234" w:right="1373"/>
      </w:pPr>
      <w:r>
        <w:rPr/>
        <w:t>£20,000 loss in the value of his house, a total repayment of £8,000. Were both price movements equally likely, the investor would expect to receive ½*(£17,000) + ½*(£8,000) = £12,500 on an initial investment of</w:t>
      </w:r>
    </w:p>
    <w:p>
      <w:pPr>
        <w:pStyle w:val="BodyText"/>
        <w:ind w:left="234"/>
      </w:pPr>
      <w:r>
        <w:rPr/>
        <w:t>£10,000. This is an expected return of 25% over five years.</w:t>
      </w:r>
    </w:p>
    <w:p>
      <w:pPr>
        <w:pStyle w:val="BodyText"/>
        <w:rPr>
          <w:sz w:val="22"/>
        </w:rPr>
      </w:pPr>
    </w:p>
    <w:p>
      <w:pPr>
        <w:pStyle w:val="BodyText"/>
        <w:spacing w:before="10"/>
        <w:rPr>
          <w:sz w:val="17"/>
        </w:rPr>
      </w:pPr>
    </w:p>
    <w:p>
      <w:pPr>
        <w:pStyle w:val="BodyText"/>
        <w:spacing w:line="360" w:lineRule="auto" w:before="1"/>
        <w:ind w:left="234" w:right="1462"/>
      </w:pPr>
      <w:r>
        <w:rPr/>
        <w:t>Figuring out what share in the upside (rises in house values) and the downside (falls in house values) the provider of an equity loan would need to take to make it a reasonable deal – given that the loan pays no regular interest – is not straightforward. It depends on the probabilities of house price changes over long</w:t>
      </w:r>
    </w:p>
    <w:p>
      <w:pPr>
        <w:pStyle w:val="BodyText"/>
        <w:spacing w:before="1"/>
        <w:rPr>
          <w:sz w:val="25"/>
        </w:rPr>
      </w:pPr>
      <w:r>
        <w:rPr/>
        <w:pict>
          <v:shape style="position:absolute;margin-left:56.700001pt;margin-top:16.664097pt;width:144pt;height:.1pt;mso-position-horizontal-relative:page;mso-position-vertical-relative:paragraph;z-index:-251617280;mso-wrap-distance-left:0;mso-wrap-distance-right:0" coordorigin="1134,333" coordsize="2880,0" path="m1134,333l4014,333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5 </w:t>
      </w:r>
      <w:r>
        <w:rPr>
          <w:sz w:val="16"/>
        </w:rPr>
        <w:t>Shared equity schemes and equity loans are offered as part of the UK government’s affordable housing schemes.</w:t>
      </w:r>
    </w:p>
    <w:p>
      <w:pPr>
        <w:spacing w:after="0"/>
        <w:jc w:val="left"/>
        <w:rPr>
          <w:sz w:val="16"/>
        </w:rPr>
        <w:sectPr>
          <w:footerReference w:type="default" r:id="rId17"/>
          <w:pgSz w:w="11900" w:h="16840"/>
          <w:pgMar w:footer="1340" w:header="0" w:top="1540" w:bottom="1540" w:left="900" w:right="0"/>
          <w:pgNumType w:start="12"/>
        </w:sectPr>
      </w:pPr>
    </w:p>
    <w:p>
      <w:pPr>
        <w:pStyle w:val="BodyText"/>
        <w:spacing w:line="360" w:lineRule="auto" w:before="76"/>
        <w:ind w:left="233" w:right="1196"/>
      </w:pPr>
      <w:r>
        <w:rPr/>
        <w:t>periods. And there are a continuum of contracts that could be acceptable to lenders, some of which have smaller shares of the upside but also smaller shares of the downside. In the example above – and if we assume that we somehow know that the only two, equally probably outcomes are the house falls to £80,000 or rises to £135,000 in value – we can work out what such contracts look like. If, as in the example above, we assume people need to earn an expected return of 25% on a loan of £10,000 any pair of values of x and y that satisfy this equation work:</w:t>
      </w:r>
    </w:p>
    <w:p>
      <w:pPr>
        <w:pStyle w:val="BodyText"/>
        <w:spacing w:before="11"/>
        <w:rPr>
          <w:sz w:val="29"/>
        </w:rPr>
      </w:pPr>
    </w:p>
    <w:p>
      <w:pPr>
        <w:pStyle w:val="BodyText"/>
        <w:ind w:left="233"/>
      </w:pPr>
      <w:r>
        <w:rPr/>
        <w:t>½ *y*£35,000 - ½*x*£20,000 = £2,500</w:t>
      </w:r>
    </w:p>
    <w:p>
      <w:pPr>
        <w:pStyle w:val="BodyText"/>
        <w:rPr>
          <w:sz w:val="22"/>
        </w:rPr>
      </w:pPr>
    </w:p>
    <w:p>
      <w:pPr>
        <w:pStyle w:val="BodyText"/>
        <w:rPr>
          <w:sz w:val="18"/>
        </w:rPr>
      </w:pPr>
    </w:p>
    <w:p>
      <w:pPr>
        <w:pStyle w:val="BodyText"/>
        <w:ind w:left="233"/>
      </w:pPr>
      <w:r>
        <w:rPr/>
        <w:t>So that: y = [2 * 2,500 + x * 20,000]/35,000</w:t>
      </w:r>
    </w:p>
    <w:p>
      <w:pPr>
        <w:pStyle w:val="BodyText"/>
        <w:rPr>
          <w:sz w:val="22"/>
        </w:rPr>
      </w:pPr>
    </w:p>
    <w:p>
      <w:pPr>
        <w:pStyle w:val="BodyText"/>
        <w:rPr>
          <w:sz w:val="18"/>
        </w:rPr>
      </w:pPr>
    </w:p>
    <w:p>
      <w:pPr>
        <w:pStyle w:val="BodyText"/>
        <w:spacing w:line="360" w:lineRule="auto"/>
        <w:ind w:left="233" w:right="1161"/>
      </w:pPr>
      <w:r>
        <w:rPr/>
        <w:t>where y is the share of any upside that the provider of the equity loan takes and x is the share of any downside. Chart 13 shows combinations of possible upside and downside shares, which generate the required return to the provider of the equity loan.</w:t>
      </w:r>
    </w:p>
    <w:p>
      <w:pPr>
        <w:pStyle w:val="BodyText"/>
        <w:rPr>
          <w:sz w:val="30"/>
        </w:rPr>
      </w:pPr>
    </w:p>
    <w:p>
      <w:pPr>
        <w:pStyle w:val="BodyText"/>
        <w:spacing w:line="360" w:lineRule="auto"/>
        <w:ind w:left="234" w:right="1151"/>
      </w:pPr>
      <w:r>
        <w:rPr/>
        <w:t>We have seen that y= 20% and x = 10% work. So do y = 33% and x = 33% or y=40% and x = 45%. It is possible in this example to share upside and downside risks equally, but also for home-owners to hand more of any losses over than they hand over of any gains.</w:t>
      </w:r>
    </w:p>
    <w:p>
      <w:pPr>
        <w:pStyle w:val="BodyText"/>
        <w:rPr>
          <w:sz w:val="22"/>
        </w:rPr>
      </w:pPr>
    </w:p>
    <w:p>
      <w:pPr>
        <w:pStyle w:val="BodyText"/>
        <w:spacing w:before="2"/>
        <w:rPr>
          <w:sz w:val="28"/>
        </w:rPr>
      </w:pPr>
    </w:p>
    <w:p>
      <w:pPr>
        <w:pStyle w:val="Heading1"/>
      </w:pPr>
      <w:r>
        <w:rPr/>
        <w:pict>
          <v:group style="position:absolute;margin-left:58.5pt;margin-top:17.833921pt;width:243.25pt;height:180.85pt;mso-position-horizontal-relative:page;mso-position-vertical-relative:paragraph;z-index:251702272" coordorigin="1170,357" coordsize="4865,3617">
            <v:line style="position:absolute" from="2114,522" to="2114,3307" stroked="true" strokeweight=".54001pt" strokecolor="#868686">
              <v:stroke dashstyle="solid"/>
            </v:line>
            <v:shape style="position:absolute;left:2071;top:517;width:44;height:2752" coordorigin="2071,517" coordsize="44,2752" path="m2114,3259l2071,3259,2071,3269,2114,3269,2114,3259m2114,2917l2071,2917,2071,2928,2114,2928,2114,2917m2114,2577l2071,2577,2071,2586,2114,2586,2114,2577m2114,2224l2071,2224,2071,2235,2114,2235,2114,2224m2114,1883l2071,1883,2071,1894,2114,1894,2114,1883m2114,1541l2071,1541,2071,1552,2114,1552,2114,1541m2114,1200l2071,1200,2071,1211,2114,1211,2114,1200m2114,858l2071,858,2071,869,2114,869,2114,858m2114,517l2071,517,2071,528,2114,528,2114,517e" filled="true" fillcolor="#868686" stroked="false">
              <v:path arrowok="t"/>
              <v:fill type="solid"/>
            </v:shape>
            <v:line style="position:absolute" from="2114,3264" to="5720,3264" stroked="true" strokeweight=".48001pt" strokecolor="#868686">
              <v:stroke dashstyle="solid"/>
            </v:line>
            <v:shape style="position:absolute;left:2472;top:3264;width:3212;height:44" coordorigin="2472,3264" coordsize="3212,44" path="m2482,3264l2472,3264,2472,3307,2482,3307,2482,3264m2834,3264l2824,3264,2824,3307,2834,3307,2834,3264m3186,3264l3175,3264,3175,3307,3186,3307,3186,3264m3550,3264l3539,3264,3539,3307,3550,3307,3550,3264m3901,3264l3890,3264,3890,3307,3901,3307,3901,3264m4264,3264l4253,3264,4253,3307,4264,3307,4264,3264m4616,3264l4606,3264,4606,3307,4616,3307,4616,3264m4968,3264l4957,3264,4957,3307,4968,3307,4968,3264m5330,3264l5320,3264,5320,3307,5330,3307,5330,3264m5683,3264l5672,3264,5672,3307,5683,3307,5683,3264e" filled="true" fillcolor="#868686" stroked="false">
              <v:path arrowok="t"/>
              <v:fill type="solid"/>
            </v:shape>
            <v:shape style="position:absolute;left:2116;top:803;width:3600;height:1988" coordorigin="2117,803" coordsize="3600,1988" path="m2269,2683l2237,2695,2236,2695,2233,2697,2203,2717,2159,2739,2126,2761,2119,2765,2117,2775,2122,2783,2128,2791,2137,2791,2177,2765,2218,2745,2248,2725,2248,2725,2251,2723,2253,2723,2279,2713,2281,2713,2324,2693,2336,2685,2267,2685,2269,2683xm2251,2723l2248,2725,2249,2725,2251,2723xm2249,2725l2248,2725,2248,2725,2249,2725xm2253,2723l2251,2723,2249,2725,2253,2723xm3336,2097l3304,2107,3302,2107,3300,2111,3270,2131,3226,2153,3193,2173,3163,2195,3120,2215,3122,2215,3090,2225,3089,2225,3088,2227,3086,2227,3056,2247,3012,2269,2980,2291,2950,2311,2908,2333,2909,2333,2878,2343,2876,2343,2874,2345,2873,2345,2843,2365,2798,2387,2767,2409,2736,2429,2694,2451,2696,2451,2664,2459,2663,2461,2660,2461,2629,2483,2585,2505,2554,2525,2524,2545,2480,2567,2483,2567,2450,2577,2449,2579,2447,2579,2417,2599,2372,2621,2340,2643,2310,2663,2267,2685,2336,2685,2358,2669,2389,2649,2431,2629,2465,2605,2471,2605,2492,2597,2495,2597,2537,2575,2572,2553,2603,2531,2644,2511,2674,2491,2674,2491,2677,2489,2679,2489,2706,2479,2708,2479,2750,2457,2784,2435,2816,2413,2857,2393,2888,2373,2887,2373,2891,2371,2894,2371,2920,2363,2921,2363,2922,2361,2964,2341,2998,2317,3030,2297,3071,2275,3104,2255,3101,2255,3133,2245,3134,2245,3178,2223,3211,2201,3244,2179,3284,2159,3318,2137,3314,2137,3346,2127,3348,2127,3391,2105,3400,2099,3334,2099,3336,2097xm2471,2605l2465,2605,2460,2609,2471,2605xm2677,2489l2674,2491,2675,2491,2677,2489xm2675,2491l2674,2491,2674,2491,2675,2491xm2679,2489l2677,2489,2675,2491,2679,2489xm2891,2371l2887,2373,2888,2373,2891,2371xm2888,2373l2887,2373,2888,2373,2888,2373xm2894,2371l2891,2371,2888,2373,2894,2371xm3550,1979l3517,1991,3515,1991,3514,1993,3484,2013,3439,2035,3407,2057,3377,2077,3334,2099,3400,2099,3425,2083,3456,2063,3498,2041,3529,2021,3528,2021,3532,2019,3534,2019,3559,2011,3560,2011,3560,2009,3562,2009,3605,1987,3615,1981,3547,1981,3550,1979xm3532,2019l3528,2021,3529,2021,3532,2019xm3529,2021l3528,2021,3529,2021,3529,2021xm3534,2019l3532,2019,3529,2021,3534,2019xm3774,1861l3732,1873,3728,1873,3727,1875,3695,1897,3665,1917,3620,1939,3590,1959,3547,1981,3615,1981,3638,1967,3679,1945,3713,1923,3742,1903,3739,1903,3745,1901,3748,1901,3782,1893,3784,1893,3786,1891,3787,1891,3820,1871,3828,1865,3769,1865,3774,1861xm3745,1901l3739,1903,3744,1902,3745,1901xm3744,1902l3739,1903,3742,1903,3744,1902xm3748,1901l3745,1901,3744,1902,3748,1901xm3985,1746l3946,1755,3943,1757,3941,1757,3908,1779,3878,1799,3834,1823,3802,1843,3769,1865,3828,1865,3851,1849,3893,1829,3958,1783,3967,1783,3996,1775,4001,1775,4033,1753,4042,1747,3983,1747,3985,1746xm3967,1783l3958,1783,3953,1787,3967,1783xm3988,1745l3985,1746,3983,1747,3988,1745xm4045,1745l3988,1745,3983,1747,4042,1747,4045,1745xm4201,1627l4159,1639,4153,1639,4122,1661,4091,1681,4046,1705,4015,1727,3985,1746,3988,1745,4045,1745,4064,1731,4105,1711,4168,1669,4166,1669,4171,1667,4175,1667,4210,1659,4211,1657,4214,1657,4246,1635,4251,1631,4196,1631,4201,1627xm4171,1667l4166,1669,4169,1669,4171,1667xm4169,1669l4166,1669,4168,1669,4169,1669xm4175,1667l4171,1667,4169,1669,4175,1667xm4412,1512l4372,1521,4370,1521,4368,1523,4367,1523,4304,1565,4260,1587,4229,1609,4196,1631,4251,1631,4278,1613,4319,1593,4352,1571,4385,1549,4394,1549,4422,1541,4426,1541,4428,1539,4459,1517,4465,1513,4410,1513,4412,1512xm4394,1549l4385,1549,4380,1553,4394,1549xm4415,1511l4412,1512,4410,1513,4415,1511xm4468,1511l4415,1511,4410,1513,4465,1513,4468,1511xm4625,1394l4585,1403,4584,1403,4582,1405,4580,1405,4548,1427,4518,1447,4474,1469,4441,1491,4412,1512,4415,1511,4468,1511,4492,1495,4532,1475,4566,1453,4595,1435,4594,1435,4598,1433,4601,1433,4636,1423,4638,1423,4640,1421,4673,1399,4679,1395,4624,1395,4625,1394xm4598,1433l4594,1435,4597,1435,4598,1433xm4597,1435l4594,1435,4595,1435,4597,1435xm4601,1433l4598,1433,4597,1435,4601,1433xm4628,1393l4625,1394,4624,1395,4628,1393xm4683,1393l4628,1393,4624,1395,4679,1395,4683,1393xm4837,1277l4799,1285,4798,1287,4795,1287,4794,1289,4762,1309,4732,1331,4687,1351,4655,1373,4625,1394,4628,1393,4683,1393,4705,1379,4746,1359,4780,1337,4809,1317,4806,1317,4812,1315,4815,1315,4849,1307,4852,1307,4854,1303,4886,1283,4895,1277,4836,1277,4837,1277xm4812,1315l4806,1317,4811,1316,4812,1315xm4811,1316l4806,1317,4809,1317,4811,1316xm4815,1315l4812,1315,4811,1316,4815,1315xm4842,1275l4837,1277,4836,1277,4842,1275xm4898,1275l4842,1275,4836,1277,4895,1277,4898,1275xm5266,1042l5236,1051,5233,1051,5233,1053,5189,1075,5159,1095,5114,1117,5082,1139,5050,1159,5054,1159,5012,1169,5009,1169,5008,1171,4975,1193,4945,1213,4901,1235,4868,1255,4837,1277,4842,1275,4898,1275,4919,1261,4960,1241,4993,1219,5024,1199,5020,1199,5063,1189,5064,1189,5066,1187,5068,1187,5100,1165,5131,1145,5172,1123,5207,1101,5248,1081,5245,1081,5278,1071,5279,1071,5280,1069,5281,1069,5314,1049,5325,1043,5263,1043,5266,1042xm5267,1041l5266,1042,5263,1043,5267,1041xm5328,1041l5267,1041,5263,1043,5325,1043,5328,1041xm5480,924l5448,935,5447,935,5402,959,5370,979,5340,999,5296,1021,5266,1042,5267,1041,5328,1041,5354,1027,5388,1005,5419,985,5461,965,5459,965,5490,955,5492,953,5495,953,5526,931,5538,925,5477,925,5480,924xm5480,923l5480,924,5477,925,5480,923xm5542,923l5480,923,5477,925,5538,925,5542,923xm5702,803l5694,805,5662,817,5659,817,5615,841,5584,863,5554,881,5509,905,5480,924,5480,923,5542,923,5567,911,5602,889,5633,867,5674,847,5672,847,5704,837,5712,833,5717,825,5714,817,5711,809,5702,803xe" filled="true" fillcolor="#4a7ebb" stroked="false">
              <v:path arrowok="t"/>
              <v:fill type="solid"/>
            </v:shape>
            <v:shape style="position:absolute;left:1170;top:356;width:4865;height:3617" coordorigin="1170,357" coordsize="4865,3617" path="m6032,357l1172,357,1170,359,1170,3971,1172,3973,6032,3973,6035,3971,6035,3969,1181,3969,1175,3963,1181,3963,1181,367,1175,367,1181,363,6035,363,6035,359,6032,357xm1181,3963l1175,3963,1181,3969,1181,3963xm6024,3963l1181,3963,1181,3969,6024,3969,6024,3963xm6024,363l6024,3969,6030,3963,6035,3963,6035,367,6030,367,6024,363xm6035,3963l6030,3963,6024,3969,6035,3969,6035,3963xm1181,363l1175,367,1181,367,1181,363xm6024,363l1181,363,1181,367,6024,367,6024,363xm6035,363l6024,363,6030,367,6035,367,6035,363xe" filled="true" fillcolor="#868686" stroked="false">
              <v:path arrowok="t"/>
              <v:fill type="solid"/>
            </v:shape>
            <v:shape style="position:absolute;left:1584;top:453;width:409;height:2899" type="#_x0000_t202" filled="false" stroked="false">
              <v:textbox inset="0,0,0,0">
                <w:txbxContent>
                  <w:p>
                    <w:pPr>
                      <w:spacing w:line="163" w:lineRule="exact" w:before="0"/>
                      <w:ind w:left="0" w:right="0" w:firstLine="0"/>
                      <w:jc w:val="left"/>
                      <w:rPr>
                        <w:rFonts w:ascii="Calibri"/>
                        <w:sz w:val="16"/>
                      </w:rPr>
                    </w:pPr>
                    <w:r>
                      <w:rPr>
                        <w:rFonts w:ascii="Calibri"/>
                        <w:spacing w:val="-6"/>
                        <w:sz w:val="16"/>
                      </w:rPr>
                      <w:t>80.0%</w:t>
                    </w:r>
                  </w:p>
                  <w:p>
                    <w:pPr>
                      <w:spacing w:line="240" w:lineRule="auto" w:before="1"/>
                      <w:rPr>
                        <w:rFonts w:ascii="Calibri"/>
                        <w:sz w:val="12"/>
                      </w:rPr>
                    </w:pPr>
                  </w:p>
                  <w:p>
                    <w:pPr>
                      <w:spacing w:before="0"/>
                      <w:ind w:left="0" w:right="0" w:firstLine="0"/>
                      <w:jc w:val="left"/>
                      <w:rPr>
                        <w:rFonts w:ascii="Calibri"/>
                        <w:sz w:val="16"/>
                      </w:rPr>
                    </w:pPr>
                    <w:r>
                      <w:rPr>
                        <w:rFonts w:ascii="Calibri"/>
                        <w:spacing w:val="-6"/>
                        <w:sz w:val="16"/>
                      </w:rPr>
                      <w:t>70.0%</w:t>
                    </w:r>
                  </w:p>
                  <w:p>
                    <w:pPr>
                      <w:spacing w:line="240" w:lineRule="auto" w:before="0"/>
                      <w:rPr>
                        <w:rFonts w:ascii="Calibri"/>
                        <w:sz w:val="12"/>
                      </w:rPr>
                    </w:pPr>
                  </w:p>
                  <w:p>
                    <w:pPr>
                      <w:spacing w:before="0"/>
                      <w:ind w:left="0" w:right="0" w:firstLine="0"/>
                      <w:jc w:val="left"/>
                      <w:rPr>
                        <w:rFonts w:ascii="Calibri"/>
                        <w:sz w:val="16"/>
                      </w:rPr>
                    </w:pPr>
                    <w:r>
                      <w:rPr>
                        <w:rFonts w:ascii="Calibri"/>
                        <w:spacing w:val="-6"/>
                        <w:sz w:val="16"/>
                      </w:rPr>
                      <w:t>60.0%</w:t>
                    </w:r>
                  </w:p>
                  <w:p>
                    <w:pPr>
                      <w:spacing w:line="240" w:lineRule="auto" w:before="0"/>
                      <w:rPr>
                        <w:rFonts w:ascii="Calibri"/>
                        <w:sz w:val="12"/>
                      </w:rPr>
                    </w:pPr>
                  </w:p>
                  <w:p>
                    <w:pPr>
                      <w:spacing w:before="1"/>
                      <w:ind w:left="0" w:right="0" w:firstLine="0"/>
                      <w:jc w:val="left"/>
                      <w:rPr>
                        <w:rFonts w:ascii="Calibri"/>
                        <w:sz w:val="16"/>
                      </w:rPr>
                    </w:pPr>
                    <w:r>
                      <w:rPr>
                        <w:rFonts w:ascii="Calibri"/>
                        <w:spacing w:val="-6"/>
                        <w:sz w:val="16"/>
                      </w:rPr>
                      <w:t>50.0%</w:t>
                    </w:r>
                  </w:p>
                  <w:p>
                    <w:pPr>
                      <w:spacing w:line="240" w:lineRule="auto" w:before="0"/>
                      <w:rPr>
                        <w:rFonts w:ascii="Calibri"/>
                        <w:sz w:val="12"/>
                      </w:rPr>
                    </w:pPr>
                  </w:p>
                  <w:p>
                    <w:pPr>
                      <w:spacing w:before="0"/>
                      <w:ind w:left="0" w:right="0" w:firstLine="0"/>
                      <w:jc w:val="left"/>
                      <w:rPr>
                        <w:rFonts w:ascii="Calibri"/>
                        <w:sz w:val="16"/>
                      </w:rPr>
                    </w:pPr>
                    <w:r>
                      <w:rPr>
                        <w:rFonts w:ascii="Calibri"/>
                        <w:spacing w:val="-6"/>
                        <w:sz w:val="16"/>
                      </w:rPr>
                      <w:t>40.0%</w:t>
                    </w:r>
                  </w:p>
                  <w:p>
                    <w:pPr>
                      <w:spacing w:line="240" w:lineRule="auto" w:before="0"/>
                      <w:rPr>
                        <w:rFonts w:ascii="Calibri"/>
                        <w:sz w:val="12"/>
                      </w:rPr>
                    </w:pPr>
                  </w:p>
                  <w:p>
                    <w:pPr>
                      <w:spacing w:before="0"/>
                      <w:ind w:left="0" w:right="0" w:firstLine="0"/>
                      <w:jc w:val="left"/>
                      <w:rPr>
                        <w:rFonts w:ascii="Calibri"/>
                        <w:sz w:val="16"/>
                      </w:rPr>
                    </w:pPr>
                    <w:r>
                      <w:rPr>
                        <w:rFonts w:ascii="Calibri"/>
                        <w:spacing w:val="-6"/>
                        <w:sz w:val="16"/>
                      </w:rPr>
                      <w:t>30.0%</w:t>
                    </w:r>
                  </w:p>
                  <w:p>
                    <w:pPr>
                      <w:spacing w:line="240" w:lineRule="auto" w:before="1"/>
                      <w:rPr>
                        <w:rFonts w:ascii="Calibri"/>
                        <w:sz w:val="12"/>
                      </w:rPr>
                    </w:pPr>
                  </w:p>
                  <w:p>
                    <w:pPr>
                      <w:spacing w:before="0"/>
                      <w:ind w:left="0" w:right="0" w:firstLine="0"/>
                      <w:jc w:val="left"/>
                      <w:rPr>
                        <w:rFonts w:ascii="Calibri"/>
                        <w:sz w:val="16"/>
                      </w:rPr>
                    </w:pPr>
                    <w:r>
                      <w:rPr>
                        <w:rFonts w:ascii="Calibri"/>
                        <w:spacing w:val="-6"/>
                        <w:sz w:val="16"/>
                      </w:rPr>
                      <w:t>20.0%</w:t>
                    </w:r>
                  </w:p>
                  <w:p>
                    <w:pPr>
                      <w:spacing w:line="240" w:lineRule="auto" w:before="0"/>
                      <w:rPr>
                        <w:rFonts w:ascii="Calibri"/>
                        <w:sz w:val="12"/>
                      </w:rPr>
                    </w:pPr>
                  </w:p>
                  <w:p>
                    <w:pPr>
                      <w:spacing w:before="1"/>
                      <w:ind w:left="0" w:right="0" w:firstLine="0"/>
                      <w:jc w:val="left"/>
                      <w:rPr>
                        <w:rFonts w:ascii="Calibri"/>
                        <w:sz w:val="16"/>
                      </w:rPr>
                    </w:pPr>
                    <w:r>
                      <w:rPr>
                        <w:rFonts w:ascii="Calibri"/>
                        <w:spacing w:val="-6"/>
                        <w:sz w:val="16"/>
                      </w:rPr>
                      <w:t>10.0%</w:t>
                    </w:r>
                  </w:p>
                  <w:p>
                    <w:pPr>
                      <w:spacing w:line="240" w:lineRule="auto" w:before="0"/>
                      <w:rPr>
                        <w:rFonts w:ascii="Calibri"/>
                        <w:sz w:val="12"/>
                      </w:rPr>
                    </w:pPr>
                  </w:p>
                  <w:p>
                    <w:pPr>
                      <w:spacing w:line="192" w:lineRule="exact" w:before="0"/>
                      <w:ind w:left="81" w:right="0" w:firstLine="0"/>
                      <w:jc w:val="left"/>
                      <w:rPr>
                        <w:rFonts w:ascii="Calibri"/>
                        <w:sz w:val="16"/>
                      </w:rPr>
                    </w:pPr>
                    <w:r>
                      <w:rPr>
                        <w:rFonts w:ascii="Calibri"/>
                        <w:spacing w:val="-3"/>
                        <w:sz w:val="16"/>
                      </w:rPr>
                      <w:t>0.0%</w:t>
                    </w:r>
                  </w:p>
                </w:txbxContent>
              </v:textbox>
              <w10:wrap type="none"/>
            </v:shape>
            <v:shape style="position:absolute;left:2043;top:3395;width:3844;height:480" type="#_x0000_t202" filled="false" stroked="false">
              <v:textbox inset="0,0,0,0">
                <w:txbxContent>
                  <w:p>
                    <w:pPr>
                      <w:spacing w:line="163" w:lineRule="exact" w:before="0"/>
                      <w:ind w:left="0" w:right="0" w:firstLine="0"/>
                      <w:jc w:val="left"/>
                      <w:rPr>
                        <w:rFonts w:ascii="Calibri"/>
                        <w:sz w:val="16"/>
                      </w:rPr>
                    </w:pPr>
                    <w:r>
                      <w:rPr>
                        <w:rFonts w:ascii="Calibri"/>
                        <w:sz w:val="16"/>
                      </w:rPr>
                      <w:t>0% 10% 20% 30% 40% 50% 60% 70% 80% 90% 100%</w:t>
                    </w:r>
                  </w:p>
                  <w:p>
                    <w:pPr>
                      <w:spacing w:line="192" w:lineRule="exact" w:before="124"/>
                      <w:ind w:left="1249" w:right="0" w:firstLine="0"/>
                      <w:jc w:val="left"/>
                      <w:rPr>
                        <w:rFonts w:ascii="Calibri"/>
                        <w:b/>
                        <w:sz w:val="16"/>
                      </w:rPr>
                    </w:pPr>
                    <w:r>
                      <w:rPr>
                        <w:rFonts w:ascii="Calibri"/>
                        <w:b/>
                        <w:sz w:val="16"/>
                      </w:rPr>
                      <w:t>Downside shares</w:t>
                    </w:r>
                  </w:p>
                </w:txbxContent>
              </v:textbox>
              <w10:wrap type="none"/>
            </v:shape>
            <w10:wrap type="none"/>
          </v:group>
        </w:pict>
      </w:r>
      <w:r>
        <w:rPr/>
        <w:pict>
          <v:shape style="position:absolute;margin-left:63.797375pt;margin-top:70.40728pt;width:10.050pt;height:47.85pt;mso-position-horizontal-relative:page;mso-position-vertical-relative:paragraph;z-index:251703296" type="#_x0000_t202" filled="false" stroked="false">
            <v:textbox inset="0,0,0,0" style="layout-flow:vertical;mso-layout-flow-alt:bottom-to-top">
              <w:txbxContent>
                <w:p>
                  <w:pPr>
                    <w:spacing w:line="183" w:lineRule="exact" w:before="0"/>
                    <w:ind w:left="20" w:right="0" w:firstLine="0"/>
                    <w:jc w:val="left"/>
                    <w:rPr>
                      <w:rFonts w:ascii="Calibri"/>
                      <w:b/>
                      <w:sz w:val="16"/>
                    </w:rPr>
                  </w:pPr>
                  <w:r>
                    <w:rPr>
                      <w:rFonts w:ascii="Calibri"/>
                      <w:b/>
                      <w:sz w:val="16"/>
                    </w:rPr>
                    <w:t>Upside shares</w:t>
                  </w:r>
                </w:p>
              </w:txbxContent>
            </v:textbox>
            <w10:wrap type="none"/>
          </v:shape>
        </w:pict>
      </w:r>
      <w:r>
        <w:rPr/>
        <w:t>Chart 13: Stylized example of equity loan – neutral upside and downside shares of investor</w:t>
      </w:r>
      <w:r>
        <w:rPr>
          <w:vertAlign w:val="superscript"/>
        </w:rPr>
        <w:t>(a)</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8"/>
        <w:rPr>
          <w:b/>
          <w:sz w:val="37"/>
        </w:rPr>
      </w:pPr>
    </w:p>
    <w:p>
      <w:pPr>
        <w:spacing w:before="1"/>
        <w:ind w:left="234" w:right="0" w:firstLine="0"/>
        <w:jc w:val="left"/>
        <w:rPr>
          <w:sz w:val="16"/>
        </w:rPr>
      </w:pPr>
      <w:r>
        <w:rPr>
          <w:sz w:val="16"/>
        </w:rPr>
        <w:t>Source: own calculations.</w:t>
      </w:r>
    </w:p>
    <w:p>
      <w:pPr>
        <w:pStyle w:val="ListParagraph"/>
        <w:numPr>
          <w:ilvl w:val="0"/>
          <w:numId w:val="4"/>
        </w:numPr>
        <w:tabs>
          <w:tab w:pos="553" w:val="left" w:leader="none"/>
        </w:tabs>
        <w:spacing w:line="360" w:lineRule="auto" w:before="92" w:after="0"/>
        <w:ind w:left="552" w:right="1269" w:hanging="318"/>
        <w:jc w:val="left"/>
        <w:rPr>
          <w:sz w:val="16"/>
        </w:rPr>
      </w:pPr>
      <w:r>
        <w:rPr>
          <w:sz w:val="16"/>
        </w:rPr>
        <w:t>Assumptions: Equity loan is 10% of house value. Equal probability of 20% fall and 35% rise in the value of property. Required</w:t>
      </w:r>
      <w:r>
        <w:rPr>
          <w:spacing w:val="-23"/>
          <w:sz w:val="16"/>
        </w:rPr>
        <w:t> </w:t>
      </w:r>
      <w:r>
        <w:rPr>
          <w:sz w:val="16"/>
        </w:rPr>
        <w:t>rate of return on equity loan is</w:t>
      </w:r>
      <w:r>
        <w:rPr>
          <w:spacing w:val="-2"/>
          <w:sz w:val="16"/>
        </w:rPr>
        <w:t> </w:t>
      </w:r>
      <w:r>
        <w:rPr>
          <w:sz w:val="16"/>
        </w:rPr>
        <w:t>25%.</w:t>
      </w:r>
    </w:p>
    <w:p>
      <w:pPr>
        <w:pStyle w:val="BodyText"/>
        <w:rPr>
          <w:sz w:val="24"/>
        </w:rPr>
      </w:pPr>
    </w:p>
    <w:p>
      <w:pPr>
        <w:pStyle w:val="BodyText"/>
        <w:spacing w:line="360" w:lineRule="auto" w:before="1"/>
        <w:ind w:left="233" w:right="1218"/>
      </w:pPr>
      <w:r>
        <w:rPr/>
        <w:t>A more realistic example would be one where house price changes follow a normal distribution. The table below shows combinations of upside and downside shares due to an equity lender where the percentage change in the value of a house follows a normal distribution with a mean of 10% and a standard deviation of</w:t>
      </w:r>
    </w:p>
    <w:p>
      <w:pPr>
        <w:spacing w:after="0" w:line="360" w:lineRule="auto"/>
        <w:sectPr>
          <w:pgSz w:w="11900" w:h="16840"/>
          <w:pgMar w:header="0" w:footer="1340" w:top="1540" w:bottom="1540" w:left="900" w:right="0"/>
        </w:sectPr>
      </w:pPr>
    </w:p>
    <w:p>
      <w:pPr>
        <w:pStyle w:val="BodyText"/>
        <w:spacing w:line="360" w:lineRule="auto" w:before="76"/>
        <w:ind w:left="233" w:right="1161"/>
      </w:pPr>
      <w:r>
        <w:rPr/>
        <w:t>20% </w:t>
      </w:r>
      <w:r>
        <w:rPr>
          <w:sz w:val="18"/>
        </w:rPr>
        <w:t>over five years</w:t>
      </w:r>
      <w:r>
        <w:rPr/>
        <w:t>. We assume that the required expected (or average) return is 25% </w:t>
      </w:r>
      <w:r>
        <w:rPr>
          <w:sz w:val="18"/>
        </w:rPr>
        <w:t>over five years</w:t>
      </w:r>
      <w:r>
        <w:rPr/>
        <w:t>. In this example we consider a loan worth 20% of the value of a property:</w:t>
      </w:r>
    </w:p>
    <w:p>
      <w:pPr>
        <w:pStyle w:val="BodyText"/>
        <w:rPr>
          <w:sz w:val="22"/>
        </w:rPr>
      </w:pPr>
    </w:p>
    <w:p>
      <w:pPr>
        <w:pStyle w:val="BodyText"/>
        <w:spacing w:before="1"/>
        <w:rPr>
          <w:sz w:val="28"/>
        </w:rPr>
      </w:pPr>
    </w:p>
    <w:p>
      <w:pPr>
        <w:pStyle w:val="Heading1"/>
        <w:ind w:left="341"/>
      </w:pPr>
      <w:r>
        <w:rPr/>
        <w:t>Table 1: Stylized example of equity loan – neutral upside and downside shares of investor</w:t>
      </w:r>
      <w:r>
        <w:rPr>
          <w:vertAlign w:val="superscript"/>
        </w:rPr>
        <w:t>(a)</w:t>
      </w:r>
    </w:p>
    <w:p>
      <w:pPr>
        <w:pStyle w:val="BodyText"/>
        <w:spacing w:before="2"/>
        <w:rPr>
          <w:b/>
          <w:sz w:val="13"/>
        </w:rPr>
      </w:pPr>
    </w:p>
    <w:tbl>
      <w:tblPr>
        <w:tblW w:w="0" w:type="auto"/>
        <w:jc w:val="left"/>
        <w:tblInd w:w="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5"/>
        <w:gridCol w:w="676"/>
        <w:gridCol w:w="623"/>
        <w:gridCol w:w="622"/>
        <w:gridCol w:w="623"/>
        <w:gridCol w:w="623"/>
        <w:gridCol w:w="622"/>
        <w:gridCol w:w="623"/>
        <w:gridCol w:w="624"/>
        <w:gridCol w:w="644"/>
        <w:gridCol w:w="723"/>
      </w:tblGrid>
      <w:tr>
        <w:trPr>
          <w:trHeight w:val="475" w:hRule="atLeast"/>
        </w:trPr>
        <w:tc>
          <w:tcPr>
            <w:tcW w:w="1895" w:type="dxa"/>
            <w:tcBorders>
              <w:top w:val="single" w:sz="8" w:space="0" w:color="C0504D"/>
              <w:bottom w:val="single" w:sz="8" w:space="0" w:color="C0504D"/>
            </w:tcBorders>
          </w:tcPr>
          <w:p>
            <w:pPr>
              <w:pStyle w:val="TableParagraph"/>
              <w:jc w:val="left"/>
              <w:rPr>
                <w:b/>
                <w:sz w:val="18"/>
              </w:rPr>
            </w:pPr>
            <w:r>
              <w:rPr>
                <w:b/>
                <w:sz w:val="18"/>
              </w:rPr>
              <w:t>Share of upside</w:t>
            </w:r>
          </w:p>
        </w:tc>
        <w:tc>
          <w:tcPr>
            <w:tcW w:w="676" w:type="dxa"/>
            <w:tcBorders>
              <w:top w:val="single" w:sz="8" w:space="0" w:color="C0504D"/>
              <w:bottom w:val="single" w:sz="8" w:space="0" w:color="C0504D"/>
            </w:tcBorders>
          </w:tcPr>
          <w:p>
            <w:pPr>
              <w:pStyle w:val="TableParagraph"/>
              <w:spacing w:before="144"/>
              <w:ind w:left="184"/>
              <w:jc w:val="left"/>
              <w:rPr>
                <w:sz w:val="18"/>
              </w:rPr>
            </w:pPr>
            <w:r>
              <w:rPr>
                <w:sz w:val="18"/>
              </w:rPr>
              <w:t>36%</w:t>
            </w:r>
          </w:p>
        </w:tc>
        <w:tc>
          <w:tcPr>
            <w:tcW w:w="623" w:type="dxa"/>
            <w:tcBorders>
              <w:top w:val="single" w:sz="8" w:space="0" w:color="C0504D"/>
              <w:bottom w:val="single" w:sz="8" w:space="0" w:color="C0504D"/>
            </w:tcBorders>
          </w:tcPr>
          <w:p>
            <w:pPr>
              <w:pStyle w:val="TableParagraph"/>
              <w:spacing w:before="144"/>
              <w:ind w:right="108"/>
              <w:rPr>
                <w:sz w:val="18"/>
              </w:rPr>
            </w:pPr>
            <w:r>
              <w:rPr>
                <w:sz w:val="18"/>
              </w:rPr>
              <w:t>39%</w:t>
            </w:r>
          </w:p>
        </w:tc>
        <w:tc>
          <w:tcPr>
            <w:tcW w:w="622" w:type="dxa"/>
            <w:tcBorders>
              <w:top w:val="single" w:sz="8" w:space="0" w:color="C0504D"/>
              <w:bottom w:val="single" w:sz="8" w:space="0" w:color="C0504D"/>
            </w:tcBorders>
          </w:tcPr>
          <w:p>
            <w:pPr>
              <w:pStyle w:val="TableParagraph"/>
              <w:spacing w:before="144"/>
              <w:ind w:left="0" w:right="131"/>
              <w:jc w:val="right"/>
              <w:rPr>
                <w:sz w:val="18"/>
              </w:rPr>
            </w:pPr>
            <w:r>
              <w:rPr>
                <w:w w:val="95"/>
                <w:sz w:val="18"/>
              </w:rPr>
              <w:t>42%</w:t>
            </w:r>
          </w:p>
        </w:tc>
        <w:tc>
          <w:tcPr>
            <w:tcW w:w="623" w:type="dxa"/>
            <w:tcBorders>
              <w:top w:val="single" w:sz="8" w:space="0" w:color="C0504D"/>
              <w:bottom w:val="single" w:sz="8" w:space="0" w:color="C0504D"/>
            </w:tcBorders>
          </w:tcPr>
          <w:p>
            <w:pPr>
              <w:pStyle w:val="TableParagraph"/>
              <w:spacing w:before="144"/>
              <w:ind w:right="110"/>
              <w:rPr>
                <w:sz w:val="18"/>
              </w:rPr>
            </w:pPr>
            <w:r>
              <w:rPr>
                <w:sz w:val="18"/>
              </w:rPr>
              <w:t>45%</w:t>
            </w:r>
          </w:p>
        </w:tc>
        <w:tc>
          <w:tcPr>
            <w:tcW w:w="623" w:type="dxa"/>
            <w:tcBorders>
              <w:top w:val="single" w:sz="8" w:space="0" w:color="C0504D"/>
              <w:bottom w:val="single" w:sz="8" w:space="0" w:color="C0504D"/>
            </w:tcBorders>
          </w:tcPr>
          <w:p>
            <w:pPr>
              <w:pStyle w:val="TableParagraph"/>
              <w:spacing w:before="144"/>
              <w:ind w:right="110"/>
              <w:rPr>
                <w:sz w:val="18"/>
              </w:rPr>
            </w:pPr>
            <w:r>
              <w:rPr>
                <w:sz w:val="18"/>
              </w:rPr>
              <w:t>48%</w:t>
            </w:r>
          </w:p>
        </w:tc>
        <w:tc>
          <w:tcPr>
            <w:tcW w:w="622" w:type="dxa"/>
            <w:tcBorders>
              <w:top w:val="single" w:sz="8" w:space="0" w:color="C0504D"/>
              <w:bottom w:val="single" w:sz="8" w:space="0" w:color="C0504D"/>
            </w:tcBorders>
          </w:tcPr>
          <w:p>
            <w:pPr>
              <w:pStyle w:val="TableParagraph"/>
              <w:spacing w:before="144"/>
              <w:ind w:left="127"/>
              <w:jc w:val="left"/>
              <w:rPr>
                <w:sz w:val="18"/>
              </w:rPr>
            </w:pPr>
            <w:r>
              <w:rPr>
                <w:sz w:val="18"/>
              </w:rPr>
              <w:t>52%</w:t>
            </w:r>
          </w:p>
        </w:tc>
        <w:tc>
          <w:tcPr>
            <w:tcW w:w="623" w:type="dxa"/>
            <w:tcBorders>
              <w:top w:val="single" w:sz="8" w:space="0" w:color="C0504D"/>
              <w:bottom w:val="single" w:sz="8" w:space="0" w:color="C0504D"/>
            </w:tcBorders>
          </w:tcPr>
          <w:p>
            <w:pPr>
              <w:pStyle w:val="TableParagraph"/>
              <w:spacing w:before="144"/>
              <w:ind w:left="104" w:right="111"/>
              <w:rPr>
                <w:sz w:val="18"/>
              </w:rPr>
            </w:pPr>
            <w:r>
              <w:rPr>
                <w:sz w:val="18"/>
              </w:rPr>
              <w:t>55%</w:t>
            </w:r>
          </w:p>
        </w:tc>
        <w:tc>
          <w:tcPr>
            <w:tcW w:w="624" w:type="dxa"/>
            <w:tcBorders>
              <w:top w:val="single" w:sz="8" w:space="0" w:color="C0504D"/>
              <w:bottom w:val="single" w:sz="8" w:space="0" w:color="C0504D"/>
            </w:tcBorders>
          </w:tcPr>
          <w:p>
            <w:pPr>
              <w:pStyle w:val="TableParagraph"/>
              <w:spacing w:before="144"/>
              <w:ind w:right="115"/>
              <w:rPr>
                <w:sz w:val="18"/>
              </w:rPr>
            </w:pPr>
            <w:r>
              <w:rPr>
                <w:sz w:val="18"/>
              </w:rPr>
              <w:t>58%</w:t>
            </w:r>
          </w:p>
        </w:tc>
        <w:tc>
          <w:tcPr>
            <w:tcW w:w="644" w:type="dxa"/>
            <w:tcBorders>
              <w:top w:val="single" w:sz="8" w:space="0" w:color="C0504D"/>
              <w:bottom w:val="single" w:sz="8" w:space="0" w:color="C0504D"/>
            </w:tcBorders>
          </w:tcPr>
          <w:p>
            <w:pPr>
              <w:pStyle w:val="TableParagraph"/>
              <w:spacing w:before="144"/>
              <w:ind w:left="105" w:right="136"/>
              <w:rPr>
                <w:sz w:val="18"/>
              </w:rPr>
            </w:pPr>
            <w:r>
              <w:rPr>
                <w:sz w:val="18"/>
              </w:rPr>
              <w:t>61%</w:t>
            </w:r>
          </w:p>
        </w:tc>
        <w:tc>
          <w:tcPr>
            <w:tcW w:w="723" w:type="dxa"/>
            <w:tcBorders>
              <w:top w:val="single" w:sz="8" w:space="0" w:color="C0504D"/>
              <w:bottom w:val="single" w:sz="8" w:space="0" w:color="C0504D"/>
            </w:tcBorders>
          </w:tcPr>
          <w:p>
            <w:pPr>
              <w:pStyle w:val="TableParagraph"/>
              <w:spacing w:before="144"/>
              <w:ind w:left="144"/>
              <w:jc w:val="left"/>
              <w:rPr>
                <w:sz w:val="18"/>
              </w:rPr>
            </w:pPr>
            <w:r>
              <w:rPr>
                <w:sz w:val="18"/>
              </w:rPr>
              <w:t>64%</w:t>
            </w:r>
          </w:p>
        </w:tc>
      </w:tr>
      <w:tr>
        <w:trPr>
          <w:trHeight w:val="475" w:hRule="atLeast"/>
        </w:trPr>
        <w:tc>
          <w:tcPr>
            <w:tcW w:w="1895" w:type="dxa"/>
            <w:tcBorders>
              <w:top w:val="single" w:sz="8" w:space="0" w:color="C0504D"/>
              <w:bottom w:val="single" w:sz="8" w:space="0" w:color="C0504D"/>
            </w:tcBorders>
            <w:shd w:val="clear" w:color="auto" w:fill="EFD3D2"/>
          </w:tcPr>
          <w:p>
            <w:pPr>
              <w:pStyle w:val="TableParagraph"/>
              <w:spacing w:before="141"/>
              <w:jc w:val="left"/>
              <w:rPr>
                <w:b/>
                <w:sz w:val="18"/>
              </w:rPr>
            </w:pPr>
            <w:r>
              <w:rPr>
                <w:b/>
                <w:sz w:val="18"/>
              </w:rPr>
              <w:t>Share of downside</w:t>
            </w:r>
          </w:p>
        </w:tc>
        <w:tc>
          <w:tcPr>
            <w:tcW w:w="676" w:type="dxa"/>
            <w:tcBorders>
              <w:top w:val="single" w:sz="8" w:space="0" w:color="C0504D"/>
              <w:bottom w:val="single" w:sz="8" w:space="0" w:color="C0504D"/>
            </w:tcBorders>
            <w:shd w:val="clear" w:color="auto" w:fill="EFD3D2"/>
          </w:tcPr>
          <w:p>
            <w:pPr>
              <w:pStyle w:val="TableParagraph"/>
              <w:ind w:left="184"/>
              <w:jc w:val="left"/>
              <w:rPr>
                <w:sz w:val="18"/>
              </w:rPr>
            </w:pPr>
            <w:r>
              <w:rPr>
                <w:sz w:val="18"/>
              </w:rPr>
              <w:t>0%</w:t>
            </w:r>
          </w:p>
        </w:tc>
        <w:tc>
          <w:tcPr>
            <w:tcW w:w="623" w:type="dxa"/>
            <w:tcBorders>
              <w:top w:val="single" w:sz="8" w:space="0" w:color="C0504D"/>
              <w:bottom w:val="single" w:sz="8" w:space="0" w:color="C0504D"/>
            </w:tcBorders>
            <w:shd w:val="clear" w:color="auto" w:fill="EFD3D2"/>
          </w:tcPr>
          <w:p>
            <w:pPr>
              <w:pStyle w:val="TableParagraph"/>
              <w:ind w:right="108"/>
              <w:rPr>
                <w:sz w:val="18"/>
              </w:rPr>
            </w:pPr>
            <w:r>
              <w:rPr>
                <w:sz w:val="18"/>
              </w:rPr>
              <w:t>11%</w:t>
            </w:r>
          </w:p>
        </w:tc>
        <w:tc>
          <w:tcPr>
            <w:tcW w:w="622" w:type="dxa"/>
            <w:tcBorders>
              <w:top w:val="single" w:sz="8" w:space="0" w:color="C0504D"/>
              <w:bottom w:val="single" w:sz="8" w:space="0" w:color="C0504D"/>
            </w:tcBorders>
            <w:shd w:val="clear" w:color="auto" w:fill="EFD3D2"/>
          </w:tcPr>
          <w:p>
            <w:pPr>
              <w:pStyle w:val="TableParagraph"/>
              <w:ind w:left="0" w:right="131"/>
              <w:jc w:val="right"/>
              <w:rPr>
                <w:sz w:val="18"/>
              </w:rPr>
            </w:pPr>
            <w:r>
              <w:rPr>
                <w:w w:val="95"/>
                <w:sz w:val="18"/>
              </w:rPr>
              <w:t>22%</w:t>
            </w:r>
          </w:p>
        </w:tc>
        <w:tc>
          <w:tcPr>
            <w:tcW w:w="623" w:type="dxa"/>
            <w:tcBorders>
              <w:top w:val="single" w:sz="8" w:space="0" w:color="C0504D"/>
              <w:bottom w:val="single" w:sz="8" w:space="0" w:color="C0504D"/>
            </w:tcBorders>
            <w:shd w:val="clear" w:color="auto" w:fill="EFD3D2"/>
          </w:tcPr>
          <w:p>
            <w:pPr>
              <w:pStyle w:val="TableParagraph"/>
              <w:ind w:right="110"/>
              <w:rPr>
                <w:sz w:val="18"/>
              </w:rPr>
            </w:pPr>
            <w:r>
              <w:rPr>
                <w:sz w:val="18"/>
              </w:rPr>
              <w:t>32%</w:t>
            </w:r>
          </w:p>
        </w:tc>
        <w:tc>
          <w:tcPr>
            <w:tcW w:w="623" w:type="dxa"/>
            <w:tcBorders>
              <w:top w:val="single" w:sz="8" w:space="0" w:color="C0504D"/>
              <w:bottom w:val="single" w:sz="8" w:space="0" w:color="C0504D"/>
            </w:tcBorders>
            <w:shd w:val="clear" w:color="auto" w:fill="EFD3D2"/>
          </w:tcPr>
          <w:p>
            <w:pPr>
              <w:pStyle w:val="TableParagraph"/>
              <w:ind w:right="110"/>
              <w:rPr>
                <w:sz w:val="18"/>
              </w:rPr>
            </w:pPr>
            <w:r>
              <w:rPr>
                <w:sz w:val="18"/>
              </w:rPr>
              <w:t>43%</w:t>
            </w:r>
          </w:p>
        </w:tc>
        <w:tc>
          <w:tcPr>
            <w:tcW w:w="622" w:type="dxa"/>
            <w:tcBorders>
              <w:top w:val="single" w:sz="8" w:space="0" w:color="C0504D"/>
              <w:bottom w:val="single" w:sz="8" w:space="0" w:color="C0504D"/>
            </w:tcBorders>
            <w:shd w:val="clear" w:color="auto" w:fill="EFD3D2"/>
          </w:tcPr>
          <w:p>
            <w:pPr>
              <w:pStyle w:val="TableParagraph"/>
              <w:ind w:left="128"/>
              <w:jc w:val="left"/>
              <w:rPr>
                <w:sz w:val="18"/>
              </w:rPr>
            </w:pPr>
            <w:r>
              <w:rPr>
                <w:sz w:val="18"/>
              </w:rPr>
              <w:t>57%</w:t>
            </w:r>
          </w:p>
        </w:tc>
        <w:tc>
          <w:tcPr>
            <w:tcW w:w="623" w:type="dxa"/>
            <w:tcBorders>
              <w:top w:val="single" w:sz="8" w:space="0" w:color="C0504D"/>
              <w:bottom w:val="single" w:sz="8" w:space="0" w:color="C0504D"/>
            </w:tcBorders>
            <w:shd w:val="clear" w:color="auto" w:fill="EFD3D2"/>
          </w:tcPr>
          <w:p>
            <w:pPr>
              <w:pStyle w:val="TableParagraph"/>
              <w:ind w:left="104" w:right="111"/>
              <w:rPr>
                <w:sz w:val="18"/>
              </w:rPr>
            </w:pPr>
            <w:r>
              <w:rPr>
                <w:sz w:val="18"/>
              </w:rPr>
              <w:t>68%</w:t>
            </w:r>
          </w:p>
        </w:tc>
        <w:tc>
          <w:tcPr>
            <w:tcW w:w="624" w:type="dxa"/>
            <w:tcBorders>
              <w:top w:val="single" w:sz="8" w:space="0" w:color="C0504D"/>
              <w:bottom w:val="single" w:sz="8" w:space="0" w:color="C0504D"/>
            </w:tcBorders>
            <w:shd w:val="clear" w:color="auto" w:fill="EFD3D2"/>
          </w:tcPr>
          <w:p>
            <w:pPr>
              <w:pStyle w:val="TableParagraph"/>
              <w:ind w:right="115"/>
              <w:rPr>
                <w:sz w:val="18"/>
              </w:rPr>
            </w:pPr>
            <w:r>
              <w:rPr>
                <w:sz w:val="18"/>
              </w:rPr>
              <w:t>78%</w:t>
            </w:r>
          </w:p>
        </w:tc>
        <w:tc>
          <w:tcPr>
            <w:tcW w:w="644" w:type="dxa"/>
            <w:tcBorders>
              <w:top w:val="single" w:sz="8" w:space="0" w:color="C0504D"/>
              <w:bottom w:val="single" w:sz="8" w:space="0" w:color="C0504D"/>
            </w:tcBorders>
            <w:shd w:val="clear" w:color="auto" w:fill="EFD3D2"/>
          </w:tcPr>
          <w:p>
            <w:pPr>
              <w:pStyle w:val="TableParagraph"/>
              <w:ind w:left="106" w:right="136"/>
              <w:rPr>
                <w:sz w:val="18"/>
              </w:rPr>
            </w:pPr>
            <w:r>
              <w:rPr>
                <w:sz w:val="18"/>
              </w:rPr>
              <w:t>89%</w:t>
            </w:r>
          </w:p>
        </w:tc>
        <w:tc>
          <w:tcPr>
            <w:tcW w:w="723" w:type="dxa"/>
            <w:tcBorders>
              <w:top w:val="single" w:sz="8" w:space="0" w:color="C0504D"/>
              <w:bottom w:val="single" w:sz="8" w:space="0" w:color="C0504D"/>
            </w:tcBorders>
            <w:shd w:val="clear" w:color="auto" w:fill="EFD3D2"/>
          </w:tcPr>
          <w:p>
            <w:pPr>
              <w:pStyle w:val="TableParagraph"/>
              <w:ind w:left="144"/>
              <w:jc w:val="left"/>
              <w:rPr>
                <w:sz w:val="18"/>
              </w:rPr>
            </w:pPr>
            <w:r>
              <w:rPr>
                <w:sz w:val="18"/>
              </w:rPr>
              <w:t>100%</w:t>
            </w:r>
          </w:p>
        </w:tc>
      </w:tr>
    </w:tbl>
    <w:p>
      <w:pPr>
        <w:spacing w:before="144"/>
        <w:ind w:left="342" w:right="0" w:firstLine="0"/>
        <w:jc w:val="left"/>
        <w:rPr>
          <w:sz w:val="16"/>
        </w:rPr>
      </w:pPr>
      <w:r>
        <w:rPr>
          <w:sz w:val="16"/>
        </w:rPr>
        <w:t>Source: own calculations.</w:t>
      </w:r>
    </w:p>
    <w:p>
      <w:pPr>
        <w:pStyle w:val="ListParagraph"/>
        <w:numPr>
          <w:ilvl w:val="1"/>
          <w:numId w:val="4"/>
        </w:numPr>
        <w:tabs>
          <w:tab w:pos="1063" w:val="left" w:leader="none"/>
        </w:tabs>
        <w:spacing w:line="276" w:lineRule="auto" w:before="119" w:after="0"/>
        <w:ind w:left="1062" w:right="2475" w:hanging="360"/>
        <w:jc w:val="left"/>
        <w:rPr>
          <w:sz w:val="16"/>
        </w:rPr>
      </w:pPr>
      <w:r>
        <w:rPr>
          <w:sz w:val="16"/>
        </w:rPr>
        <w:t>Assumptions: Equity loan is 20% of house value. Percentage change in house price value over 5 years follows a normal distribution with mean of 10% and standard deviation of 20%. Required rate of return</w:t>
      </w:r>
      <w:r>
        <w:rPr>
          <w:spacing w:val="-14"/>
          <w:sz w:val="16"/>
        </w:rPr>
        <w:t> </w:t>
      </w:r>
      <w:r>
        <w:rPr>
          <w:sz w:val="16"/>
        </w:rPr>
        <w:t>on equity loan is 25% over five</w:t>
      </w:r>
      <w:r>
        <w:rPr>
          <w:spacing w:val="-2"/>
          <w:sz w:val="16"/>
        </w:rPr>
        <w:t> </w:t>
      </w:r>
      <w:r>
        <w:rPr>
          <w:sz w:val="16"/>
        </w:rPr>
        <w:t>years.</w:t>
      </w:r>
    </w:p>
    <w:p>
      <w:pPr>
        <w:pStyle w:val="BodyText"/>
        <w:rPr>
          <w:sz w:val="18"/>
        </w:rPr>
      </w:pPr>
    </w:p>
    <w:p>
      <w:pPr>
        <w:pStyle w:val="BodyText"/>
        <w:rPr>
          <w:sz w:val="18"/>
        </w:rPr>
      </w:pPr>
    </w:p>
    <w:p>
      <w:pPr>
        <w:pStyle w:val="BodyText"/>
        <w:spacing w:line="360" w:lineRule="auto" w:before="131"/>
        <w:ind w:left="234" w:right="1116"/>
      </w:pPr>
      <w:r>
        <w:rPr/>
        <w:t>The attractive thing about there being a continuum of contracts is that home-owners could decide how much house price risk they wanted to sell and how asymmetric the contract they were prepared to accept to reduce the monthly servicing cost of the overall debt on a property. But there are practical issues to do with the timing of people moving house and making sure that home-owners understand contracts they have entered to.</w:t>
      </w:r>
    </w:p>
    <w:p>
      <w:pPr>
        <w:pStyle w:val="BodyText"/>
        <w:rPr>
          <w:sz w:val="30"/>
        </w:rPr>
      </w:pPr>
    </w:p>
    <w:p>
      <w:pPr>
        <w:pStyle w:val="BodyText"/>
        <w:spacing w:line="360" w:lineRule="auto"/>
        <w:ind w:left="234" w:right="1161"/>
      </w:pPr>
      <w:r>
        <w:rPr/>
        <w:t>So there are many ways, in principle, for reducing leverage in house financing beyond the accumulation of more savings by each prospective buyer. Some such contracts exist already – mainly sponsored by the government. I think more will come. And they could be useful because pure debt contracts (standard mortgages) have become more difficult to get. Banks are, for understandable reasons, substantially more cautious in granting mortgage credit compared to before the crisis. Banks’ own creditors appear much more concerned about the risk of banks’ portfolio of assets than they used to be. One reflection of this is that the cost of insuring against a bank’s default has risen dramatically during the crisis (Chart 14).</w:t>
      </w:r>
    </w:p>
    <w:p>
      <w:pPr>
        <w:spacing w:after="0" w:line="360" w:lineRule="auto"/>
        <w:sectPr>
          <w:pgSz w:w="11900" w:h="16840"/>
          <w:pgMar w:header="0" w:footer="1340" w:top="1540" w:bottom="1540" w:left="900" w:right="0"/>
        </w:sectPr>
      </w:pPr>
    </w:p>
    <w:p>
      <w:pPr>
        <w:pStyle w:val="Heading1"/>
        <w:spacing w:before="127"/>
      </w:pPr>
      <w:r>
        <w:rPr/>
        <w:t>Chart 14: 5-year CDS premia for the major UK banks</w:t>
      </w:r>
      <w:r>
        <w:rPr>
          <w:vertAlign w:val="superscript"/>
        </w:rPr>
        <w:t>(a)</w:t>
      </w:r>
    </w:p>
    <w:p>
      <w:pPr>
        <w:pStyle w:val="BodyText"/>
        <w:rPr>
          <w:b/>
        </w:rPr>
      </w:pPr>
    </w:p>
    <w:p>
      <w:pPr>
        <w:pStyle w:val="BodyText"/>
        <w:spacing w:before="9"/>
        <w:rPr>
          <w:b/>
        </w:rPr>
      </w:pPr>
    </w:p>
    <w:p>
      <w:pPr>
        <w:spacing w:line="228" w:lineRule="exact" w:before="0"/>
        <w:ind w:left="0" w:right="5055" w:firstLine="0"/>
        <w:jc w:val="right"/>
        <w:rPr>
          <w:rFonts w:ascii="Calibri"/>
          <w:sz w:val="19"/>
        </w:rPr>
      </w:pPr>
      <w:r>
        <w:rPr>
          <w:rFonts w:ascii="Calibri"/>
          <w:spacing w:val="-3"/>
          <w:sz w:val="19"/>
        </w:rPr>
        <w:t>Basis</w:t>
      </w:r>
      <w:r>
        <w:rPr>
          <w:rFonts w:ascii="Calibri"/>
          <w:spacing w:val="-16"/>
          <w:sz w:val="19"/>
        </w:rPr>
        <w:t> </w:t>
      </w:r>
      <w:r>
        <w:rPr>
          <w:rFonts w:ascii="Calibri"/>
          <w:sz w:val="19"/>
        </w:rPr>
        <w:t>points</w:t>
      </w:r>
    </w:p>
    <w:p>
      <w:pPr>
        <w:spacing w:line="228" w:lineRule="exact" w:before="0"/>
        <w:ind w:left="0" w:right="5055" w:firstLine="0"/>
        <w:jc w:val="right"/>
        <w:rPr>
          <w:rFonts w:ascii="Calibri"/>
          <w:sz w:val="19"/>
        </w:rPr>
      </w:pPr>
      <w:r>
        <w:rPr/>
        <w:pict>
          <v:group style="position:absolute;margin-left:79.260002pt;margin-top:5.40537pt;width:243.2pt;height:130.65pt;mso-position-horizontal-relative:page;mso-position-vertical-relative:paragraph;z-index:251705344" coordorigin="1585,108" coordsize="4864,2613">
            <v:line style="position:absolute" from="6398,114" to="6398,2715" stroked="true" strokeweight=".599980pt" strokecolor="#000000">
              <v:stroke dashstyle="solid"/>
            </v:line>
            <v:shape style="position:absolute;left:6398;top:108;width:51;height:2613" coordorigin="6398,108" coordsize="51,2613" path="m6449,2709l6398,2709,6398,2721,6449,2721,6449,2709m6449,2277l6398,2277,6398,2290,6449,2290,6449,2277m6449,1846l6398,1846,6398,1859,6449,1859,6449,1846m6449,1415l6398,1415,6398,1427,6449,1427,6449,1415m6449,971l6398,971,6398,983,6449,983,6449,971m6449,539l6398,539,6398,552,6449,552,6449,539m6449,108l6398,108,6398,121,6449,121,6449,108e" filled="true" fillcolor="#000000" stroked="false">
              <v:path arrowok="t"/>
              <v:fill type="solid"/>
            </v:shape>
            <v:line style="position:absolute" from="1591,2715" to="6398,2715" stroked="true" strokeweight=".60004pt" strokecolor="#000000">
              <v:stroke dashstyle="solid"/>
            </v:line>
            <v:shape style="position:absolute;left:1585;top:2650;width:3742;height:64" coordorigin="1585,2651" coordsize="3742,64" path="m1597,2651l1585,2651,1585,2715,1597,2715,1597,2651m2840,2651l2828,2651,2828,2715,2840,2715,2840,2651m4084,2651l4070,2651,4070,2715,4084,2715,4084,2651m5327,2651l5314,2651,5314,2715,5327,2715,5327,2651e" filled="true" fillcolor="#000000" stroked="false">
              <v:path arrowok="t"/>
              <v:fill type="solid"/>
            </v:shape>
            <v:shape style="position:absolute;left:1591;top:298;width:4815;height:2055" type="#_x0000_t75" stroked="false">
              <v:imagedata r:id="rId18" o:title=""/>
            </v:shape>
            <w10:wrap type="none"/>
          </v:group>
        </w:pict>
      </w:r>
      <w:r>
        <w:rPr>
          <w:rFonts w:ascii="Calibri"/>
          <w:color w:val="323232"/>
          <w:spacing w:val="-9"/>
          <w:sz w:val="19"/>
        </w:rPr>
        <w:t>300</w:t>
      </w:r>
    </w:p>
    <w:p>
      <w:pPr>
        <w:pStyle w:val="BodyText"/>
        <w:spacing w:before="5"/>
        <w:rPr>
          <w:rFonts w:ascii="Calibri"/>
          <w:sz w:val="11"/>
        </w:rPr>
      </w:pPr>
    </w:p>
    <w:p>
      <w:pPr>
        <w:spacing w:before="62"/>
        <w:ind w:left="4285" w:right="3667" w:firstLine="0"/>
        <w:jc w:val="center"/>
        <w:rPr>
          <w:rFonts w:ascii="Calibri"/>
          <w:sz w:val="19"/>
        </w:rPr>
      </w:pPr>
      <w:r>
        <w:rPr>
          <w:rFonts w:ascii="Calibri"/>
          <w:color w:val="323232"/>
          <w:spacing w:val="-8"/>
          <w:sz w:val="19"/>
        </w:rPr>
        <w:t>250</w:t>
      </w:r>
    </w:p>
    <w:p>
      <w:pPr>
        <w:pStyle w:val="BodyText"/>
        <w:spacing w:before="5"/>
        <w:rPr>
          <w:rFonts w:ascii="Calibri"/>
          <w:sz w:val="11"/>
        </w:rPr>
      </w:pPr>
    </w:p>
    <w:p>
      <w:pPr>
        <w:spacing w:before="62"/>
        <w:ind w:left="4285" w:right="3667" w:firstLine="0"/>
        <w:jc w:val="center"/>
        <w:rPr>
          <w:rFonts w:ascii="Calibri"/>
          <w:sz w:val="19"/>
        </w:rPr>
      </w:pPr>
      <w:r>
        <w:rPr>
          <w:rFonts w:ascii="Calibri"/>
          <w:color w:val="323232"/>
          <w:spacing w:val="-8"/>
          <w:sz w:val="19"/>
        </w:rPr>
        <w:t>200</w:t>
      </w:r>
    </w:p>
    <w:p>
      <w:pPr>
        <w:pStyle w:val="BodyText"/>
        <w:spacing w:before="5"/>
        <w:rPr>
          <w:rFonts w:ascii="Calibri"/>
          <w:sz w:val="11"/>
        </w:rPr>
      </w:pPr>
    </w:p>
    <w:p>
      <w:pPr>
        <w:spacing w:before="62"/>
        <w:ind w:left="4285" w:right="3667" w:firstLine="0"/>
        <w:jc w:val="center"/>
        <w:rPr>
          <w:rFonts w:ascii="Calibri"/>
          <w:sz w:val="19"/>
        </w:rPr>
      </w:pPr>
      <w:r>
        <w:rPr>
          <w:rFonts w:ascii="Calibri"/>
          <w:color w:val="323232"/>
          <w:spacing w:val="-8"/>
          <w:sz w:val="19"/>
        </w:rPr>
        <w:t>150</w:t>
      </w:r>
    </w:p>
    <w:p>
      <w:pPr>
        <w:pStyle w:val="BodyText"/>
        <w:spacing w:before="5"/>
        <w:rPr>
          <w:rFonts w:ascii="Calibri"/>
          <w:sz w:val="11"/>
        </w:rPr>
      </w:pPr>
    </w:p>
    <w:p>
      <w:pPr>
        <w:spacing w:before="62"/>
        <w:ind w:left="4285" w:right="3667" w:firstLine="0"/>
        <w:jc w:val="center"/>
        <w:rPr>
          <w:rFonts w:ascii="Calibri"/>
          <w:sz w:val="19"/>
        </w:rPr>
      </w:pPr>
      <w:r>
        <w:rPr>
          <w:rFonts w:ascii="Calibri"/>
          <w:color w:val="323232"/>
          <w:spacing w:val="-8"/>
          <w:sz w:val="19"/>
        </w:rPr>
        <w:t>100</w:t>
      </w:r>
    </w:p>
    <w:p>
      <w:pPr>
        <w:pStyle w:val="BodyText"/>
        <w:spacing w:before="5"/>
        <w:rPr>
          <w:rFonts w:ascii="Calibri"/>
          <w:sz w:val="11"/>
        </w:rPr>
      </w:pPr>
    </w:p>
    <w:p>
      <w:pPr>
        <w:spacing w:before="62"/>
        <w:ind w:left="4285" w:right="3749" w:firstLine="0"/>
        <w:jc w:val="center"/>
        <w:rPr>
          <w:rFonts w:ascii="Calibri"/>
          <w:sz w:val="19"/>
        </w:rPr>
      </w:pPr>
      <w:r>
        <w:rPr>
          <w:rFonts w:ascii="Calibri"/>
          <w:color w:val="323232"/>
          <w:spacing w:val="-8"/>
          <w:sz w:val="19"/>
        </w:rPr>
        <w:t>50</w:t>
      </w:r>
    </w:p>
    <w:p>
      <w:pPr>
        <w:pStyle w:val="BodyText"/>
        <w:spacing w:before="5"/>
        <w:rPr>
          <w:rFonts w:ascii="Calibri"/>
          <w:sz w:val="11"/>
        </w:rPr>
      </w:pPr>
    </w:p>
    <w:p>
      <w:pPr>
        <w:spacing w:line="208" w:lineRule="exact" w:before="62"/>
        <w:ind w:left="436" w:right="0" w:firstLine="0"/>
        <w:jc w:val="center"/>
        <w:rPr>
          <w:rFonts w:ascii="Calibri"/>
          <w:sz w:val="19"/>
        </w:rPr>
      </w:pPr>
      <w:r>
        <w:rPr>
          <w:rFonts w:ascii="Calibri"/>
          <w:color w:val="323232"/>
          <w:w w:val="100"/>
          <w:sz w:val="19"/>
        </w:rPr>
        <w:t>0</w:t>
      </w:r>
    </w:p>
    <w:p>
      <w:pPr>
        <w:tabs>
          <w:tab w:pos="1245" w:val="left" w:leader="none"/>
          <w:tab w:pos="2487" w:val="left" w:leader="none"/>
          <w:tab w:pos="3729" w:val="left" w:leader="none"/>
        </w:tabs>
        <w:spacing w:line="208" w:lineRule="exact" w:before="0"/>
        <w:ind w:left="0" w:right="5892" w:firstLine="0"/>
        <w:jc w:val="center"/>
        <w:rPr>
          <w:rFonts w:ascii="Calibri"/>
          <w:sz w:val="19"/>
        </w:rPr>
      </w:pPr>
      <w:r>
        <w:rPr>
          <w:rFonts w:ascii="Calibri"/>
          <w:color w:val="323232"/>
          <w:spacing w:val="-6"/>
          <w:sz w:val="19"/>
        </w:rPr>
        <w:t>2008</w:t>
        <w:tab/>
        <w:t>2009</w:t>
        <w:tab/>
        <w:t>2010</w:t>
        <w:tab/>
      </w:r>
      <w:r>
        <w:rPr>
          <w:rFonts w:ascii="Calibri"/>
          <w:color w:val="323232"/>
          <w:spacing w:val="-8"/>
          <w:sz w:val="19"/>
        </w:rPr>
        <w:t>2011</w:t>
      </w:r>
    </w:p>
    <w:p>
      <w:pPr>
        <w:pStyle w:val="BodyText"/>
        <w:spacing w:before="4"/>
        <w:rPr>
          <w:rFonts w:ascii="Calibri"/>
          <w:sz w:val="13"/>
        </w:rPr>
      </w:pPr>
    </w:p>
    <w:p>
      <w:pPr>
        <w:spacing w:before="95"/>
        <w:ind w:left="234" w:right="0" w:firstLine="0"/>
        <w:jc w:val="left"/>
        <w:rPr>
          <w:sz w:val="16"/>
        </w:rPr>
      </w:pPr>
      <w:r>
        <w:rPr>
          <w:sz w:val="16"/>
        </w:rPr>
        <w:t>Source: Markit Group Limited.</w:t>
      </w:r>
    </w:p>
    <w:p>
      <w:pPr>
        <w:spacing w:line="360" w:lineRule="auto" w:before="92"/>
        <w:ind w:left="518" w:right="1296" w:hanging="285"/>
        <w:jc w:val="left"/>
        <w:rPr>
          <w:sz w:val="16"/>
        </w:rPr>
      </w:pPr>
      <w:r>
        <w:rPr>
          <w:sz w:val="16"/>
        </w:rPr>
        <w:t>(a) Unweighted averages of five-year, senior CDS prices of Barclays, HSBC, Lloyds Banking Group, RBS and Standard Chartered. Data are up to 14 November 2011.</w:t>
      </w:r>
    </w:p>
    <w:p>
      <w:pPr>
        <w:pStyle w:val="BodyText"/>
        <w:spacing w:before="1"/>
        <w:rPr>
          <w:sz w:val="24"/>
        </w:rPr>
      </w:pPr>
    </w:p>
    <w:p>
      <w:pPr>
        <w:pStyle w:val="BodyText"/>
        <w:spacing w:line="360" w:lineRule="auto"/>
        <w:ind w:left="234" w:right="1174"/>
      </w:pPr>
      <w:r>
        <w:rPr/>
        <w:t>The sudden tightening in mortgage availability is causing severe difficulties – most clearly in the construction sector</w:t>
      </w:r>
      <w:r>
        <w:rPr>
          <w:vertAlign w:val="superscript"/>
        </w:rPr>
        <w:t>6</w:t>
      </w:r>
      <w:r>
        <w:rPr>
          <w:vertAlign w:val="baseline"/>
        </w:rPr>
        <w:t>. In the longer run, investors may well become less concerned about banks’ risk than they are today and the cost of banks funds will fall. When this happens, I would expect to see banks becoming less</w:t>
      </w:r>
    </w:p>
    <w:p>
      <w:pPr>
        <w:pStyle w:val="BodyText"/>
        <w:spacing w:line="360" w:lineRule="auto" w:before="1"/>
        <w:ind w:left="233" w:right="1153"/>
      </w:pPr>
      <w:r>
        <w:rPr/>
        <w:t>risk-averse in their own lending. Banks may then accept higher loan to value ratios on mortgage loans than today. But we are not likely to get back to where we were before the crisis. First-time buyers are likely to need to raise more equity than they did in the years before 2007. Some of that may come from outside providers of equity. But it is likely that much will need to come from buyers. It will take time for first-time buyers to accumulate larger deposits, so they will typically buy later and the share of home-ownership will be lower. But in the longer-run it is not at all clear that a lower rate of home ownership represents a big loss to society. The need to save for a larger deposit offsets incentives created by the tax system against renting and towards owner-occupation. Those tax incentives are both substantial and are a distortion.</w:t>
      </w:r>
    </w:p>
    <w:p>
      <w:pPr>
        <w:pStyle w:val="BodyText"/>
        <w:spacing w:before="6"/>
        <w:rPr>
          <w:sz w:val="29"/>
        </w:rPr>
      </w:pPr>
    </w:p>
    <w:p>
      <w:pPr>
        <w:pStyle w:val="BodyText"/>
        <w:spacing w:line="360" w:lineRule="auto"/>
        <w:ind w:left="234" w:right="1170"/>
      </w:pPr>
      <w:r>
        <w:rPr/>
        <w:t>The imputed income from home ownership – that is, the benefit derived from having a place to live in – is not taxed in the UK. Tax is different for the rental sector; landlords pay tax on rental income. Landlords can offset interest paid on loans against rents received in calculating tax. Owner-occupiers can no longer</w:t>
      </w:r>
      <w:r>
        <w:rPr>
          <w:spacing w:val="-28"/>
        </w:rPr>
        <w:t> </w:t>
      </w:r>
      <w:r>
        <w:rPr/>
        <w:t>deduct mortgage interest payments from taxable income. Capital gains tax is not levied on owner-occupied housing (at least for primary residences); but it is levied on capital gains made on rented</w:t>
      </w:r>
      <w:r>
        <w:rPr>
          <w:spacing w:val="-31"/>
        </w:rPr>
        <w:t> </w:t>
      </w:r>
      <w:r>
        <w:rPr/>
        <w:t>property.</w:t>
      </w:r>
    </w:p>
    <w:p>
      <w:pPr>
        <w:pStyle w:val="BodyText"/>
        <w:rPr>
          <w:sz w:val="30"/>
        </w:rPr>
      </w:pPr>
    </w:p>
    <w:p>
      <w:pPr>
        <w:pStyle w:val="BodyText"/>
        <w:spacing w:line="360" w:lineRule="auto"/>
        <w:ind w:left="234" w:right="1205" w:hanging="1"/>
        <w:jc w:val="both"/>
      </w:pPr>
      <w:r>
        <w:rPr/>
        <w:t>These differences in the tax treatment of owner-occupied and rented property generate incentives for tenure that depend on how investments in rental property are financed. The tax incentives against renting are least when rental property is financed with debt. They are greatest when rental property is financed from equity</w:t>
      </w:r>
    </w:p>
    <w:p>
      <w:pPr>
        <w:pStyle w:val="BodyText"/>
        <w:spacing w:before="10"/>
        <w:rPr>
          <w:sz w:val="18"/>
        </w:rPr>
      </w:pPr>
      <w:r>
        <w:rPr/>
        <w:pict>
          <v:shape style="position:absolute;margin-left:56.700001pt;margin-top:13.097219pt;width:144pt;height:.1pt;mso-position-horizontal-relative:page;mso-position-vertical-relative:paragraph;z-index:-251612160;mso-wrap-distance-left:0;mso-wrap-distance-right:0" coordorigin="1134,262" coordsize="2880,0" path="m1134,262l4014,262e" filled="false" stroked="true" strokeweight=".48001pt" strokecolor="#000000">
            <v:path arrowok="t"/>
            <v:stroke dashstyle="solid"/>
            <w10:wrap type="topAndBottom"/>
          </v:shape>
        </w:pict>
      </w:r>
    </w:p>
    <w:p>
      <w:pPr>
        <w:spacing w:before="31"/>
        <w:ind w:left="233" w:right="1440" w:firstLine="0"/>
        <w:jc w:val="left"/>
        <w:rPr>
          <w:sz w:val="16"/>
        </w:rPr>
      </w:pPr>
      <w:r>
        <w:rPr>
          <w:position w:val="8"/>
          <w:sz w:val="10"/>
        </w:rPr>
        <w:t>6 </w:t>
      </w:r>
      <w:r>
        <w:rPr>
          <w:sz w:val="16"/>
        </w:rPr>
        <w:t>Yesterday’s policy announcements from the government are designed to address these problems. See “Laying the Foundations: A Housing Strategy for England”. H M Government, November 2011.</w:t>
      </w:r>
    </w:p>
    <w:p>
      <w:pPr>
        <w:spacing w:after="0"/>
        <w:jc w:val="left"/>
        <w:rPr>
          <w:sz w:val="16"/>
        </w:rPr>
        <w:sectPr>
          <w:pgSz w:w="11900" w:h="16840"/>
          <w:pgMar w:header="0" w:footer="1340" w:top="1600" w:bottom="1540" w:left="900" w:right="0"/>
        </w:sectPr>
      </w:pPr>
    </w:p>
    <w:p>
      <w:pPr>
        <w:pStyle w:val="BodyText"/>
        <w:spacing w:line="360" w:lineRule="auto" w:before="76"/>
        <w:ind w:left="233" w:right="1231"/>
      </w:pPr>
      <w:r>
        <w:rPr/>
        <w:t>(e.g. when buy to let investors use accumulated savings to invest in properties to rent out – especially if those savings were in tax sheltered investments). In either case the capital gains system creates incentives that work against renting.</w:t>
      </w:r>
    </w:p>
    <w:p>
      <w:pPr>
        <w:pStyle w:val="BodyText"/>
        <w:rPr>
          <w:sz w:val="30"/>
        </w:rPr>
      </w:pPr>
    </w:p>
    <w:p>
      <w:pPr>
        <w:pStyle w:val="BodyText"/>
        <w:spacing w:line="360" w:lineRule="auto"/>
        <w:ind w:left="233" w:right="1161"/>
      </w:pPr>
      <w:r>
        <w:rPr/>
        <w:t>The reduction in the availability of debt to finance house purchase has reduced the levels of gearing on properties bought by new owner-occupiers </w:t>
      </w:r>
      <w:r>
        <w:rPr>
          <w:i/>
        </w:rPr>
        <w:t>and </w:t>
      </w:r>
      <w:r>
        <w:rPr/>
        <w:t>by new buy to let investors. So it is not entirely obvious how they have combined with the tax system to change the net incentives to own versus rent. But it seems to me highly likely that the negative impact on demand for owner-occupied property arising from first-time buyers needing to have a larger equity stake more than offsets the greater tax distortions against renting because potential landlords may be less able to use tax sheltered forms of finance. In fact the owner-occupation rate has been falling steadily for some years now and so it seems clear which is the stronger force.</w:t>
      </w:r>
    </w:p>
    <w:p>
      <w:pPr>
        <w:pStyle w:val="BodyText"/>
        <w:rPr>
          <w:sz w:val="30"/>
        </w:rPr>
      </w:pPr>
    </w:p>
    <w:p>
      <w:pPr>
        <w:pStyle w:val="BodyText"/>
        <w:ind w:left="233"/>
      </w:pPr>
      <w:r>
        <w:rPr/>
        <w:t>The natural way of addressing the tax distortions is to change the tax treatment of rental versus</w:t>
      </w:r>
    </w:p>
    <w:p>
      <w:pPr>
        <w:pStyle w:val="BodyText"/>
        <w:spacing w:line="360" w:lineRule="auto" w:before="115"/>
        <w:ind w:left="233" w:right="1203"/>
      </w:pPr>
      <w:r>
        <w:rPr/>
        <w:t>owner-occupied property. The recent Mirrlees Review</w:t>
      </w:r>
      <w:r>
        <w:rPr>
          <w:vertAlign w:val="superscript"/>
        </w:rPr>
        <w:t>7</w:t>
      </w:r>
      <w:r>
        <w:rPr>
          <w:vertAlign w:val="baseline"/>
        </w:rPr>
        <w:t> describes how this might be done. But changing the tax system is not easy. Losers are invariably created. No one should expect change to come quickly.  But so long as the tax system favours owner-occupation we should recognize that – other things equal – this will make the owner-occupation rate inefficiently high. That needs to be born in mind when we consider how changes in the availability of mortgage finance for owner-occupiers might be reducing the owner-occupation rate.</w:t>
      </w:r>
    </w:p>
    <w:p>
      <w:pPr>
        <w:pStyle w:val="BodyText"/>
        <w:rPr>
          <w:sz w:val="30"/>
        </w:rPr>
      </w:pPr>
    </w:p>
    <w:p>
      <w:pPr>
        <w:pStyle w:val="BodyText"/>
        <w:spacing w:line="360" w:lineRule="auto"/>
        <w:ind w:left="233" w:right="1161"/>
      </w:pPr>
      <w:r>
        <w:rPr/>
        <w:t>Chart 15 shows that the share of owner-occupied housing has never before been as high as just before the crisis. It is now falling. The level to which home-ownership rates will decline will depend on the availability of alternatives to mortgage debt – that is of the sorts of equity and hybrid funding described above.</w:t>
      </w:r>
    </w:p>
    <w:p>
      <w:pPr>
        <w:pStyle w:val="BodyText"/>
        <w:spacing w:before="1"/>
        <w:rPr>
          <w:sz w:val="24"/>
        </w:rPr>
      </w:pPr>
    </w:p>
    <w:p>
      <w:pPr>
        <w:pStyle w:val="Heading1"/>
      </w:pPr>
      <w:r>
        <w:rPr/>
        <w:pict>
          <v:group style="position:absolute;margin-left:58.5pt;margin-top:17.600269pt;width:241.15pt;height:180.85pt;mso-position-horizontal-relative:page;mso-position-vertical-relative:paragraph;z-index:251708416" coordorigin="1170,352" coordsize="4823,3617">
            <v:line style="position:absolute" from="5552,794" to="5552,3507" stroked="true" strokeweight=".54001pt" strokecolor="#868686">
              <v:stroke dashstyle="solid"/>
            </v:line>
            <v:shape style="position:absolute;left:5551;top:788;width:53;height:2723" coordorigin="5551,789" coordsize="53,2723" path="m5604,3502l5551,3502,5551,3512,5604,3512,5604,3502m5604,3159l5551,3159,5551,3168,5604,3168,5604,3159m5604,2826l5551,2826,5551,2836,5604,2836,5604,2826m5604,2483l5551,2483,5551,2493,5604,2493,5604,2483m5604,2151l5551,2151,5551,2160,5604,2160,5604,2151m5604,1808l5551,1808,5551,1818,5604,1818,5604,1808m5604,1464l5551,1464,5551,1475,5604,1475,5604,1464m5604,1132l5551,1132,5551,1143,5604,1143,5604,1132m5604,789l5551,789,5551,800,5604,800,5604,789e" filled="true" fillcolor="#868686" stroked="false">
              <v:path arrowok="t"/>
              <v:fill type="solid"/>
            </v:shape>
            <v:line style="position:absolute" from="1331,3507" to="5551,3507" stroked="true" strokeweight=".48pt" strokecolor="#868686">
              <v:stroke dashstyle="solid"/>
            </v:line>
            <v:shape style="position:absolute;left:1326;top:3506;width:4190;height:52" coordorigin="1326,3507" coordsize="4190,52" path="m1336,3507l1326,3507,1326,3558,1336,3558,1336,3507m1596,3507l1585,3507,1585,3558,1596,3558,1596,3507m1856,3507l1846,3507,1846,3558,1856,3558,1856,3507m2116,3507l2105,3507,2105,3558,2116,3558,2116,3507m2376,3507l2365,3507,2365,3558,2376,3558,2376,3507m2646,3507l2635,3507,2635,3558,2646,3558,2646,3507m2906,3507l2896,3507,2896,3558,2906,3558,2906,3507m3166,3507l3155,3507,3155,3558,3166,3558,3166,3507m3426,3507l3415,3507,3415,3558,3426,3558,3426,3507m3685,3507l3676,3507,3676,3558,3685,3558,3685,3507m3946,3507l3935,3507,3935,3558,3946,3558,3946,3507m4205,3507l4195,3507,4195,3558,4205,3558,4205,3507m4476,3507l4465,3507,4465,3558,4476,3558,4476,3507m4735,3507l4726,3507,4726,3558,4735,3558,4735,3507m4996,3507l4985,3507,4985,3558,4996,3558,4996,3507m5255,3507l5245,3507,5245,3558,5255,3558,5255,3507m5515,3507l5504,3507,5504,3558,5515,3558,5515,3507e" filled="true" fillcolor="#868686" stroked="false">
              <v:path arrowok="t"/>
              <v:fill type="solid"/>
            </v:shape>
            <v:shape style="position:absolute;left:4203;top:1090;width:1346;height:512" coordorigin="4204,1090" coordsize="1346,512" path="m4265,1549l4216,1570,4207,1572,4204,1582,4206,1589,4210,1598,4219,1601,4226,1599,4279,1577,4280,1577,4283,1576,4307,1552,4262,1552,4265,1549xm4267,1548l4265,1549,4262,1552,4267,1548xm4310,1548l4267,1548,4262,1552,4307,1552,4310,1548xm4480,1344l4432,1373,4430,1373,4344,1460,4303,1510,4265,1549,4267,1548,4310,1548,4326,1533,4368,1479,4409,1439,4447,1400,4447,1400,4450,1397,4451,1397,4499,1368,4500,1368,4524,1344,4480,1344,4480,1344xm4450,1397l4447,1400,4447,1400,4450,1397xm4447,1400l4447,1400,4447,1400,4447,1400xm4451,1397l4450,1397,4447,1400,4451,1397xm4483,1342l4480,1344,4480,1344,4483,1342xm4526,1342l4483,1342,4480,1344,4524,1344,4526,1342xm4879,1163l4830,1163,4747,1185,4745,1185,4744,1186,4704,1205,4650,1227,4609,1248,4567,1269,4566,1269,4566,1270,4565,1270,4523,1301,4523,1302,4522,1302,4480,1344,4483,1342,4526,1342,4543,1325,4544,1325,4582,1296,4582,1296,4622,1276,4664,1254,4715,1235,4756,1215,4754,1215,4758,1214,4759,1214,4838,1193,4973,1193,5015,1184,5017,1182,5018,1182,5021,1181,5030,1174,4924,1174,4927,1173,4879,1163xm4544,1325l4543,1325,4542,1326,4544,1325xm4584,1295l4582,1296,4582,1296,4584,1295xm5483,1214l5524,1234,5532,1238,5540,1235,5545,1227,5549,1220,5547,1215,5485,1215,5483,1214xm4758,1214l4754,1215,4757,1214,4758,1214xm4757,1214l4754,1215,4756,1215,4757,1214xm5482,1214l5483,1214,5485,1215,5482,1214xm5547,1214l5482,1214,5485,1215,5547,1215,5547,1214xm5398,1161l5436,1200,5438,1202,5441,1204,5443,1204,5483,1214,5482,1214,5547,1214,5545,1210,5538,1206,5496,1186,5495,1185,5492,1185,5465,1178,5459,1178,5452,1174,5455,1174,5443,1162,5400,1162,5398,1161xm4759,1214l4758,1214,4757,1214,4759,1214xm4973,1193l4838,1193,4835,1194,4873,1194,4925,1204,4927,1205,4930,1205,4932,1204,4973,1193xm5452,1174l5459,1178,5456,1175,5452,1174xm5456,1175l5459,1178,5465,1178,5456,1175xm5455,1174l5452,1174,5456,1175,5455,1174xm4927,1173l4924,1174,4931,1174,4927,1173xm5004,1155l4966,1163,4927,1173,4931,1174,5030,1174,5054,1156,5002,1156,5004,1155xm5395,1158l5398,1161,5400,1162,5395,1158xm5439,1158l5395,1158,5400,1162,5443,1162,5439,1158xm5382,1121l5267,1121,5309,1132,5351,1142,5398,1161,5395,1158,5439,1158,5417,1137,5416,1134,5413,1133,5412,1133,5382,1121xm5008,1154l5004,1155,5002,1156,5008,1154xm5057,1154l5008,1154,5002,1156,5054,1156,5057,1154xm5273,1090l5227,1090,5226,1091,5184,1101,5089,1101,5087,1102,5046,1124,5044,1124,5044,1125,5004,1155,5008,1154,5057,1154,5060,1151,5059,1151,5062,1150,5062,1150,5099,1132,5094,1132,5101,1131,5196,1131,5233,1121,5382,1121,5358,1112,5316,1101,5275,1091,5273,1090xm5062,1150l5059,1151,5061,1150,5062,1150xm5061,1150l5059,1151,5060,1151,5061,1150xm5062,1150l5062,1150,5061,1150,5062,1150xm5101,1131l5094,1132,5099,1132,5101,1131xm5196,1131l5101,1131,5099,1132,5191,1132,5196,1131xe" filled="true" fillcolor="#4a7ebb" stroked="false">
              <v:path arrowok="t"/>
              <v:fill type="solid"/>
            </v:shape>
            <v:shape style="position:absolute;left:1305;top:1745;width:2576;height:1470" coordorigin="1306,1745" coordsize="2576,1470" path="m1399,3168l1352,3122,1306,3168,1352,3215,1399,3168m2488,2388l2441,2342,2394,2388,2441,2435,2488,2388m3097,2337l3050,2290,3004,2337,3050,2384,3097,2337m3445,2073l3398,2026,3352,2073,3398,2120,3445,2073m3881,1792l3834,1745,3787,1792,3834,1838,3881,1792e" filled="true" fillcolor="#4f81bd" stroked="false">
              <v:path arrowok="t"/>
              <v:fill type="solid"/>
            </v:shape>
            <v:shape style="position:absolute;left:1170;top:352;width:4823;height:3617" coordorigin="1170,352" coordsize="4823,3617" path="m5990,352l1172,352,1170,354,1170,3966,1172,3969,5990,3969,5993,3966,5993,3964,1180,3964,1175,3959,1180,3959,1180,363,1175,363,1180,358,5993,358,5993,354,5990,352xm1180,3959l1175,3959,1180,3964,1180,3959xm5983,3959l1180,3959,1180,3964,5983,3964,5983,3959xm5983,358l5983,3964,5988,3959,5993,3959,5993,363,5988,363,5983,358xm5993,3959l5988,3959,5983,3964,5993,3964,5993,3959xm1180,358l1175,363,1180,363,1180,358xm5983,358l1180,358,1180,363,5983,363,5983,358xm5993,358l5983,358,5988,363,5993,363,5993,358xe" filled="true" fillcolor="#ffffff" stroked="false">
              <v:path arrowok="t"/>
              <v:fill type="solid"/>
            </v:shape>
            <v:shape style="position:absolute;left:1170;top:352;width:4823;height:3617" type="#_x0000_t202" filled="false" stroked="false">
              <v:textbox inset="0,0,0,0">
                <w:txbxContent>
                  <w:p>
                    <w:pPr>
                      <w:spacing w:line="240" w:lineRule="auto" w:before="11"/>
                      <w:rPr>
                        <w:sz w:val="13"/>
                      </w:rPr>
                    </w:pPr>
                  </w:p>
                  <w:p>
                    <w:pPr>
                      <w:spacing w:before="0"/>
                      <w:ind w:left="4164" w:right="0" w:firstLine="0"/>
                      <w:jc w:val="left"/>
                      <w:rPr>
                        <w:rFonts w:ascii="Calibri"/>
                        <w:sz w:val="15"/>
                      </w:rPr>
                    </w:pPr>
                    <w:r>
                      <w:rPr>
                        <w:rFonts w:ascii="Calibri"/>
                        <w:w w:val="105"/>
                        <w:sz w:val="15"/>
                      </w:rPr>
                      <w:t>Per cent</w:t>
                    </w:r>
                  </w:p>
                  <w:p>
                    <w:pPr>
                      <w:spacing w:before="5"/>
                      <w:ind w:left="4532" w:right="0" w:firstLine="0"/>
                      <w:jc w:val="left"/>
                      <w:rPr>
                        <w:rFonts w:ascii="Calibri"/>
                        <w:sz w:val="15"/>
                      </w:rPr>
                    </w:pPr>
                    <w:r>
                      <w:rPr>
                        <w:rFonts w:ascii="Calibri"/>
                        <w:spacing w:val="-6"/>
                        <w:w w:val="105"/>
                        <w:sz w:val="15"/>
                      </w:rPr>
                      <w:t>80%</w:t>
                    </w:r>
                  </w:p>
                  <w:p>
                    <w:pPr>
                      <w:spacing w:line="240" w:lineRule="auto" w:before="9"/>
                      <w:rPr>
                        <w:rFonts w:ascii="Calibri"/>
                        <w:sz w:val="12"/>
                      </w:rPr>
                    </w:pPr>
                  </w:p>
                  <w:p>
                    <w:pPr>
                      <w:spacing w:before="0"/>
                      <w:ind w:left="4532" w:right="0" w:firstLine="0"/>
                      <w:jc w:val="left"/>
                      <w:rPr>
                        <w:rFonts w:ascii="Calibri"/>
                        <w:sz w:val="15"/>
                      </w:rPr>
                    </w:pPr>
                    <w:r>
                      <w:rPr>
                        <w:rFonts w:ascii="Calibri"/>
                        <w:spacing w:val="-6"/>
                        <w:w w:val="105"/>
                        <w:sz w:val="15"/>
                      </w:rPr>
                      <w:t>70%</w:t>
                    </w:r>
                  </w:p>
                  <w:p>
                    <w:pPr>
                      <w:spacing w:line="240" w:lineRule="auto" w:before="10"/>
                      <w:rPr>
                        <w:rFonts w:ascii="Calibri"/>
                        <w:sz w:val="12"/>
                      </w:rPr>
                    </w:pPr>
                  </w:p>
                  <w:p>
                    <w:pPr>
                      <w:spacing w:before="0"/>
                      <w:ind w:left="4532" w:right="0" w:firstLine="0"/>
                      <w:jc w:val="left"/>
                      <w:rPr>
                        <w:rFonts w:ascii="Calibri"/>
                        <w:sz w:val="15"/>
                      </w:rPr>
                    </w:pPr>
                    <w:r>
                      <w:rPr>
                        <w:rFonts w:ascii="Calibri"/>
                        <w:spacing w:val="-6"/>
                        <w:w w:val="105"/>
                        <w:sz w:val="15"/>
                      </w:rPr>
                      <w:t>60%</w:t>
                    </w:r>
                  </w:p>
                  <w:p>
                    <w:pPr>
                      <w:spacing w:line="240" w:lineRule="auto" w:before="10"/>
                      <w:rPr>
                        <w:rFonts w:ascii="Calibri"/>
                        <w:sz w:val="12"/>
                      </w:rPr>
                    </w:pPr>
                  </w:p>
                  <w:p>
                    <w:pPr>
                      <w:spacing w:before="0"/>
                      <w:ind w:left="4532" w:right="0" w:firstLine="0"/>
                      <w:jc w:val="left"/>
                      <w:rPr>
                        <w:rFonts w:ascii="Calibri"/>
                        <w:sz w:val="15"/>
                      </w:rPr>
                    </w:pPr>
                    <w:r>
                      <w:rPr>
                        <w:rFonts w:ascii="Calibri"/>
                        <w:spacing w:val="-6"/>
                        <w:w w:val="105"/>
                        <w:sz w:val="15"/>
                      </w:rPr>
                      <w:t>50%</w:t>
                    </w:r>
                  </w:p>
                  <w:p>
                    <w:pPr>
                      <w:spacing w:line="240" w:lineRule="auto" w:before="9"/>
                      <w:rPr>
                        <w:rFonts w:ascii="Calibri"/>
                        <w:sz w:val="12"/>
                      </w:rPr>
                    </w:pPr>
                  </w:p>
                  <w:p>
                    <w:pPr>
                      <w:spacing w:before="0"/>
                      <w:ind w:left="4532" w:right="0" w:firstLine="0"/>
                      <w:jc w:val="left"/>
                      <w:rPr>
                        <w:rFonts w:ascii="Calibri"/>
                        <w:sz w:val="15"/>
                      </w:rPr>
                    </w:pPr>
                    <w:r>
                      <w:rPr>
                        <w:rFonts w:ascii="Calibri"/>
                        <w:spacing w:val="-6"/>
                        <w:w w:val="105"/>
                        <w:sz w:val="15"/>
                      </w:rPr>
                      <w:t>40%</w:t>
                    </w:r>
                  </w:p>
                  <w:p>
                    <w:pPr>
                      <w:spacing w:line="240" w:lineRule="auto" w:before="10"/>
                      <w:rPr>
                        <w:rFonts w:ascii="Calibri"/>
                        <w:sz w:val="12"/>
                      </w:rPr>
                    </w:pPr>
                  </w:p>
                  <w:p>
                    <w:pPr>
                      <w:spacing w:before="0"/>
                      <w:ind w:left="4532" w:right="0" w:firstLine="0"/>
                      <w:jc w:val="left"/>
                      <w:rPr>
                        <w:rFonts w:ascii="Calibri"/>
                        <w:sz w:val="15"/>
                      </w:rPr>
                    </w:pPr>
                    <w:r>
                      <w:rPr>
                        <w:rFonts w:ascii="Calibri"/>
                        <w:spacing w:val="-6"/>
                        <w:w w:val="105"/>
                        <w:sz w:val="15"/>
                      </w:rPr>
                      <w:t>30%</w:t>
                    </w:r>
                  </w:p>
                  <w:p>
                    <w:pPr>
                      <w:spacing w:line="240" w:lineRule="auto" w:before="9"/>
                      <w:rPr>
                        <w:rFonts w:ascii="Calibri"/>
                        <w:sz w:val="12"/>
                      </w:rPr>
                    </w:pPr>
                  </w:p>
                  <w:p>
                    <w:pPr>
                      <w:spacing w:before="0"/>
                      <w:ind w:left="4532" w:right="0" w:firstLine="0"/>
                      <w:jc w:val="left"/>
                      <w:rPr>
                        <w:rFonts w:ascii="Calibri"/>
                        <w:sz w:val="15"/>
                      </w:rPr>
                    </w:pPr>
                    <w:r>
                      <w:rPr>
                        <w:rFonts w:ascii="Calibri"/>
                        <w:spacing w:val="-6"/>
                        <w:w w:val="105"/>
                        <w:sz w:val="15"/>
                      </w:rPr>
                      <w:t>20%</w:t>
                    </w:r>
                  </w:p>
                  <w:p>
                    <w:pPr>
                      <w:spacing w:line="240" w:lineRule="auto" w:before="10"/>
                      <w:rPr>
                        <w:rFonts w:ascii="Calibri"/>
                        <w:sz w:val="12"/>
                      </w:rPr>
                    </w:pPr>
                  </w:p>
                  <w:p>
                    <w:pPr>
                      <w:spacing w:before="0"/>
                      <w:ind w:left="4532" w:right="0" w:firstLine="0"/>
                      <w:jc w:val="left"/>
                      <w:rPr>
                        <w:rFonts w:ascii="Calibri"/>
                        <w:sz w:val="15"/>
                      </w:rPr>
                    </w:pPr>
                    <w:r>
                      <w:rPr>
                        <w:rFonts w:ascii="Calibri"/>
                        <w:spacing w:val="-6"/>
                        <w:w w:val="105"/>
                        <w:sz w:val="15"/>
                      </w:rPr>
                      <w:t>10%</w:t>
                    </w:r>
                  </w:p>
                  <w:p>
                    <w:pPr>
                      <w:spacing w:line="240" w:lineRule="auto" w:before="10"/>
                      <w:rPr>
                        <w:rFonts w:ascii="Calibri"/>
                        <w:sz w:val="12"/>
                      </w:rPr>
                    </w:pPr>
                  </w:p>
                  <w:p>
                    <w:pPr>
                      <w:spacing w:before="0"/>
                      <w:ind w:left="4525" w:right="0" w:firstLine="0"/>
                      <w:jc w:val="left"/>
                      <w:rPr>
                        <w:rFonts w:ascii="Calibri"/>
                        <w:sz w:val="15"/>
                      </w:rPr>
                    </w:pPr>
                    <w:r>
                      <w:rPr>
                        <w:rFonts w:ascii="Calibri"/>
                        <w:w w:val="105"/>
                        <w:sz w:val="15"/>
                      </w:rPr>
                      <w:t>0%</w:t>
                    </w:r>
                  </w:p>
                </w:txbxContent>
              </v:textbox>
              <w10:wrap type="none"/>
            </v:shape>
            <w10:wrap type="none"/>
          </v:group>
        </w:pict>
      </w:r>
      <w:r>
        <w:rPr/>
        <w:t>Chart 15: Share of owner-occupied housing</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4"/>
        <w:rPr>
          <w:b/>
          <w:sz w:val="19"/>
        </w:rPr>
      </w:pPr>
    </w:p>
    <w:p>
      <w:pPr>
        <w:spacing w:before="0"/>
        <w:ind w:left="234" w:right="0" w:firstLine="0"/>
        <w:jc w:val="left"/>
        <w:rPr>
          <w:sz w:val="16"/>
        </w:rPr>
      </w:pPr>
      <w:r>
        <w:rPr/>
        <w:pict>
          <v:shape style="position:absolute;margin-left:63.591576pt;margin-top:-32.442257pt;width:218.95pt;height:16.6pt;mso-position-horizontal-relative:page;mso-position-vertical-relative:paragraph;z-index:251709440" type="#_x0000_t202" filled="false" stroked="false">
            <v:textbox inset="0,0,0,0" style="layout-flow:vertical;mso-layout-flow-alt:bottom-to-top">
              <w:txbxContent>
                <w:p>
                  <w:pPr>
                    <w:spacing w:line="177" w:lineRule="exact" w:before="0"/>
                    <w:ind w:left="20" w:right="0" w:firstLine="0"/>
                    <w:jc w:val="left"/>
                    <w:rPr>
                      <w:rFonts w:ascii="Calibri"/>
                      <w:sz w:val="15"/>
                    </w:rPr>
                  </w:pPr>
                  <w:r>
                    <w:rPr>
                      <w:rFonts w:ascii="Calibri"/>
                      <w:spacing w:val="-7"/>
                      <w:w w:val="105"/>
                      <w:sz w:val="15"/>
                    </w:rPr>
                    <w:t>1914</w:t>
                  </w:r>
                </w:p>
                <w:p>
                  <w:pPr>
                    <w:spacing w:before="78"/>
                    <w:ind w:left="20" w:right="0" w:firstLine="0"/>
                    <w:jc w:val="left"/>
                    <w:rPr>
                      <w:rFonts w:ascii="Calibri"/>
                      <w:sz w:val="15"/>
                    </w:rPr>
                  </w:pPr>
                  <w:r>
                    <w:rPr>
                      <w:rFonts w:ascii="Calibri"/>
                      <w:spacing w:val="-7"/>
                      <w:w w:val="105"/>
                      <w:sz w:val="15"/>
                    </w:rPr>
                    <w:t>1920</w:t>
                  </w:r>
                </w:p>
                <w:p>
                  <w:pPr>
                    <w:spacing w:before="79"/>
                    <w:ind w:left="20" w:right="0" w:firstLine="0"/>
                    <w:jc w:val="left"/>
                    <w:rPr>
                      <w:rFonts w:ascii="Calibri"/>
                      <w:sz w:val="15"/>
                    </w:rPr>
                  </w:pPr>
                  <w:r>
                    <w:rPr>
                      <w:rFonts w:ascii="Calibri"/>
                      <w:spacing w:val="-7"/>
                      <w:w w:val="105"/>
                      <w:sz w:val="15"/>
                    </w:rPr>
                    <w:t>1926</w:t>
                  </w:r>
                </w:p>
                <w:p>
                  <w:pPr>
                    <w:spacing w:before="78"/>
                    <w:ind w:left="20" w:right="0" w:firstLine="0"/>
                    <w:jc w:val="left"/>
                    <w:rPr>
                      <w:rFonts w:ascii="Calibri"/>
                      <w:sz w:val="15"/>
                    </w:rPr>
                  </w:pPr>
                  <w:r>
                    <w:rPr>
                      <w:rFonts w:ascii="Calibri"/>
                      <w:spacing w:val="-7"/>
                      <w:w w:val="105"/>
                      <w:sz w:val="15"/>
                    </w:rPr>
                    <w:t>1932</w:t>
                  </w:r>
                </w:p>
                <w:p>
                  <w:pPr>
                    <w:spacing w:before="77"/>
                    <w:ind w:left="20" w:right="0" w:firstLine="0"/>
                    <w:jc w:val="left"/>
                    <w:rPr>
                      <w:rFonts w:ascii="Calibri"/>
                      <w:sz w:val="15"/>
                    </w:rPr>
                  </w:pPr>
                  <w:r>
                    <w:rPr>
                      <w:rFonts w:ascii="Calibri"/>
                      <w:spacing w:val="-7"/>
                      <w:w w:val="105"/>
                      <w:sz w:val="15"/>
                    </w:rPr>
                    <w:t>1938</w:t>
                  </w:r>
                </w:p>
                <w:p>
                  <w:pPr>
                    <w:spacing w:before="79"/>
                    <w:ind w:left="20" w:right="0" w:firstLine="0"/>
                    <w:jc w:val="left"/>
                    <w:rPr>
                      <w:rFonts w:ascii="Calibri"/>
                      <w:sz w:val="15"/>
                    </w:rPr>
                  </w:pPr>
                  <w:r>
                    <w:rPr>
                      <w:rFonts w:ascii="Calibri"/>
                      <w:spacing w:val="-7"/>
                      <w:w w:val="105"/>
                      <w:sz w:val="15"/>
                    </w:rPr>
                    <w:t>1944</w:t>
                  </w:r>
                </w:p>
                <w:p>
                  <w:pPr>
                    <w:spacing w:before="78"/>
                    <w:ind w:left="20" w:right="0" w:firstLine="0"/>
                    <w:jc w:val="left"/>
                    <w:rPr>
                      <w:rFonts w:ascii="Calibri"/>
                      <w:sz w:val="15"/>
                    </w:rPr>
                  </w:pPr>
                  <w:r>
                    <w:rPr>
                      <w:rFonts w:ascii="Calibri"/>
                      <w:spacing w:val="-7"/>
                      <w:w w:val="105"/>
                      <w:sz w:val="15"/>
                    </w:rPr>
                    <w:t>1950</w:t>
                  </w:r>
                </w:p>
                <w:p>
                  <w:pPr>
                    <w:spacing w:before="79"/>
                    <w:ind w:left="20" w:right="0" w:firstLine="0"/>
                    <w:jc w:val="left"/>
                    <w:rPr>
                      <w:rFonts w:ascii="Calibri"/>
                      <w:sz w:val="15"/>
                    </w:rPr>
                  </w:pPr>
                  <w:r>
                    <w:rPr>
                      <w:rFonts w:ascii="Calibri"/>
                      <w:spacing w:val="-7"/>
                      <w:w w:val="105"/>
                      <w:sz w:val="15"/>
                    </w:rPr>
                    <w:t>1956</w:t>
                  </w:r>
                </w:p>
                <w:p>
                  <w:pPr>
                    <w:spacing w:before="77"/>
                    <w:ind w:left="20" w:right="0" w:firstLine="0"/>
                    <w:jc w:val="left"/>
                    <w:rPr>
                      <w:rFonts w:ascii="Calibri"/>
                      <w:sz w:val="15"/>
                    </w:rPr>
                  </w:pPr>
                  <w:r>
                    <w:rPr>
                      <w:rFonts w:ascii="Calibri"/>
                      <w:spacing w:val="-7"/>
                      <w:w w:val="105"/>
                      <w:sz w:val="15"/>
                    </w:rPr>
                    <w:t>1962</w:t>
                  </w:r>
                </w:p>
                <w:p>
                  <w:pPr>
                    <w:spacing w:before="79"/>
                    <w:ind w:left="20" w:right="0" w:firstLine="0"/>
                    <w:jc w:val="left"/>
                    <w:rPr>
                      <w:rFonts w:ascii="Calibri"/>
                      <w:sz w:val="15"/>
                    </w:rPr>
                  </w:pPr>
                  <w:r>
                    <w:rPr>
                      <w:rFonts w:ascii="Calibri"/>
                      <w:spacing w:val="-7"/>
                      <w:w w:val="105"/>
                      <w:sz w:val="15"/>
                    </w:rPr>
                    <w:t>1968</w:t>
                  </w:r>
                </w:p>
                <w:p>
                  <w:pPr>
                    <w:spacing w:before="78"/>
                    <w:ind w:left="20" w:right="0" w:firstLine="0"/>
                    <w:jc w:val="left"/>
                    <w:rPr>
                      <w:rFonts w:ascii="Calibri"/>
                      <w:sz w:val="15"/>
                    </w:rPr>
                  </w:pPr>
                  <w:r>
                    <w:rPr>
                      <w:rFonts w:ascii="Calibri"/>
                      <w:spacing w:val="-7"/>
                      <w:w w:val="105"/>
                      <w:sz w:val="15"/>
                    </w:rPr>
                    <w:t>1974</w:t>
                  </w:r>
                </w:p>
                <w:p>
                  <w:pPr>
                    <w:spacing w:before="79"/>
                    <w:ind w:left="20" w:right="0" w:firstLine="0"/>
                    <w:jc w:val="left"/>
                    <w:rPr>
                      <w:rFonts w:ascii="Calibri"/>
                      <w:sz w:val="15"/>
                    </w:rPr>
                  </w:pPr>
                  <w:r>
                    <w:rPr>
                      <w:rFonts w:ascii="Calibri"/>
                      <w:spacing w:val="-7"/>
                      <w:w w:val="105"/>
                      <w:sz w:val="15"/>
                    </w:rPr>
                    <w:t>1980</w:t>
                  </w:r>
                </w:p>
                <w:p>
                  <w:pPr>
                    <w:spacing w:before="78"/>
                    <w:ind w:left="20" w:right="0" w:firstLine="0"/>
                    <w:jc w:val="left"/>
                    <w:rPr>
                      <w:rFonts w:ascii="Calibri"/>
                      <w:sz w:val="15"/>
                    </w:rPr>
                  </w:pPr>
                  <w:r>
                    <w:rPr>
                      <w:rFonts w:ascii="Calibri"/>
                      <w:spacing w:val="-7"/>
                      <w:w w:val="105"/>
                      <w:sz w:val="15"/>
                    </w:rPr>
                    <w:t>1986</w:t>
                  </w:r>
                </w:p>
                <w:p>
                  <w:pPr>
                    <w:spacing w:before="78"/>
                    <w:ind w:left="20" w:right="0" w:firstLine="0"/>
                    <w:jc w:val="left"/>
                    <w:rPr>
                      <w:rFonts w:ascii="Calibri"/>
                      <w:sz w:val="15"/>
                    </w:rPr>
                  </w:pPr>
                  <w:r>
                    <w:rPr>
                      <w:rFonts w:ascii="Calibri"/>
                      <w:spacing w:val="-7"/>
                      <w:w w:val="105"/>
                      <w:sz w:val="15"/>
                    </w:rPr>
                    <w:t>1992</w:t>
                  </w:r>
                </w:p>
                <w:p>
                  <w:pPr>
                    <w:spacing w:before="78"/>
                    <w:ind w:left="20" w:right="0" w:firstLine="0"/>
                    <w:jc w:val="left"/>
                    <w:rPr>
                      <w:rFonts w:ascii="Calibri"/>
                      <w:sz w:val="15"/>
                    </w:rPr>
                  </w:pPr>
                  <w:r>
                    <w:rPr>
                      <w:rFonts w:ascii="Calibri"/>
                      <w:spacing w:val="-7"/>
                      <w:w w:val="105"/>
                      <w:sz w:val="15"/>
                    </w:rPr>
                    <w:t>1998</w:t>
                  </w:r>
                </w:p>
                <w:p>
                  <w:pPr>
                    <w:spacing w:before="79"/>
                    <w:ind w:left="20" w:right="0" w:firstLine="0"/>
                    <w:jc w:val="left"/>
                    <w:rPr>
                      <w:rFonts w:ascii="Calibri"/>
                      <w:sz w:val="15"/>
                    </w:rPr>
                  </w:pPr>
                  <w:r>
                    <w:rPr>
                      <w:rFonts w:ascii="Calibri"/>
                      <w:spacing w:val="-7"/>
                      <w:w w:val="105"/>
                      <w:sz w:val="15"/>
                    </w:rPr>
                    <w:t>2004</w:t>
                  </w:r>
                </w:p>
                <w:p>
                  <w:pPr>
                    <w:spacing w:before="78"/>
                    <w:ind w:left="20" w:right="0" w:firstLine="0"/>
                    <w:jc w:val="left"/>
                    <w:rPr>
                      <w:rFonts w:ascii="Calibri"/>
                      <w:sz w:val="15"/>
                    </w:rPr>
                  </w:pPr>
                  <w:r>
                    <w:rPr>
                      <w:rFonts w:ascii="Calibri"/>
                      <w:spacing w:val="-7"/>
                      <w:w w:val="105"/>
                      <w:sz w:val="15"/>
                    </w:rPr>
                    <w:t>2010</w:t>
                  </w:r>
                </w:p>
              </w:txbxContent>
            </v:textbox>
            <w10:wrap type="none"/>
          </v:shape>
        </w:pict>
      </w:r>
      <w:r>
        <w:rPr>
          <w:sz w:val="16"/>
        </w:rPr>
        <w:t>Sources: English Housing Survey 2009/10 and Miles, D. Housing, Financial Markets and the Wider Economy, 1994, Table 3.2, p 40.</w:t>
      </w:r>
    </w:p>
    <w:p>
      <w:pPr>
        <w:pStyle w:val="BodyText"/>
      </w:pPr>
    </w:p>
    <w:p>
      <w:pPr>
        <w:pStyle w:val="BodyText"/>
        <w:spacing w:before="8"/>
        <w:rPr>
          <w:sz w:val="15"/>
        </w:rPr>
      </w:pPr>
      <w:r>
        <w:rPr/>
        <w:pict>
          <v:shape style="position:absolute;margin-left:56.700001pt;margin-top:11.239145pt;width:144pt;height:.1pt;mso-position-horizontal-relative:page;mso-position-vertical-relative:paragraph;z-index:-251610112;mso-wrap-distance-left:0;mso-wrap-distance-right:0" coordorigin="1134,225" coordsize="2880,0" path="m1134,225l4014,225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7 </w:t>
      </w:r>
      <w:r>
        <w:rPr>
          <w:sz w:val="16"/>
        </w:rPr>
        <w:t>‘The Taxation of Land and Property’ in J. Mirrlees et al (2011), ‘Tax by Design: the Mirrlees Review’, Oxford University Press.</w:t>
      </w:r>
    </w:p>
    <w:p>
      <w:pPr>
        <w:spacing w:after="0"/>
        <w:jc w:val="left"/>
        <w:rPr>
          <w:sz w:val="16"/>
        </w:rPr>
        <w:sectPr>
          <w:footerReference w:type="default" r:id="rId19"/>
          <w:pgSz w:w="11900" w:h="16840"/>
          <w:pgMar w:footer="1340" w:header="0" w:top="1540" w:bottom="1540" w:left="900" w:right="0"/>
          <w:pgNumType w:start="16"/>
        </w:sectPr>
      </w:pPr>
    </w:p>
    <w:p>
      <w:pPr>
        <w:pStyle w:val="BodyText"/>
        <w:spacing w:line="360" w:lineRule="auto" w:before="76"/>
        <w:ind w:left="233" w:right="1161"/>
      </w:pPr>
      <w:r>
        <w:rPr/>
        <w:t>Lower owner-occupation rates need not mean big welfare losses. But a lower owner-occupation rate and a lower stock of mortgages (relative to the size of the economy) will have effects on how monetary policy works. Will this be a problem?</w:t>
      </w:r>
    </w:p>
    <w:p>
      <w:pPr>
        <w:pStyle w:val="BodyText"/>
        <w:spacing w:before="1"/>
        <w:rPr>
          <w:sz w:val="30"/>
        </w:rPr>
      </w:pPr>
    </w:p>
    <w:p>
      <w:pPr>
        <w:pStyle w:val="Heading1"/>
        <w:numPr>
          <w:ilvl w:val="0"/>
          <w:numId w:val="1"/>
        </w:numPr>
        <w:tabs>
          <w:tab w:pos="665" w:val="left" w:leader="none"/>
          <w:tab w:pos="666" w:val="left" w:leader="none"/>
        </w:tabs>
        <w:spacing w:line="240" w:lineRule="auto" w:before="0" w:after="0"/>
        <w:ind w:left="665" w:right="0" w:hanging="433"/>
        <w:jc w:val="left"/>
      </w:pPr>
      <w:r>
        <w:rPr/>
        <w:t>Implications for monetary</w:t>
      </w:r>
      <w:r>
        <w:rPr>
          <w:spacing w:val="-6"/>
        </w:rPr>
        <w:t> </w:t>
      </w:r>
      <w:r>
        <w:rPr/>
        <w:t>policy</w:t>
      </w:r>
    </w:p>
    <w:p>
      <w:pPr>
        <w:pStyle w:val="BodyText"/>
        <w:rPr>
          <w:b/>
          <w:sz w:val="22"/>
        </w:rPr>
      </w:pPr>
    </w:p>
    <w:p>
      <w:pPr>
        <w:pStyle w:val="BodyText"/>
        <w:spacing w:before="5"/>
        <w:rPr>
          <w:b/>
          <w:sz w:val="17"/>
        </w:rPr>
      </w:pPr>
    </w:p>
    <w:p>
      <w:pPr>
        <w:pStyle w:val="BodyText"/>
        <w:spacing w:line="360" w:lineRule="auto" w:before="1"/>
        <w:ind w:left="233" w:right="1286"/>
      </w:pPr>
      <w:r>
        <w:rPr/>
        <w:t>Chart 16 shows a stylized presentation of the role the housing market plays in the transmission mechanism of monetary policy.</w:t>
      </w:r>
    </w:p>
    <w:p>
      <w:pPr>
        <w:pStyle w:val="BodyText"/>
        <w:rPr>
          <w:sz w:val="22"/>
        </w:rPr>
      </w:pPr>
    </w:p>
    <w:p>
      <w:pPr>
        <w:pStyle w:val="BodyText"/>
        <w:spacing w:before="2"/>
        <w:rPr>
          <w:sz w:val="17"/>
        </w:rPr>
      </w:pPr>
    </w:p>
    <w:p>
      <w:pPr>
        <w:pStyle w:val="Heading1"/>
        <w:ind w:left="233"/>
      </w:pPr>
      <w:r>
        <w:rPr/>
        <w:t>Chart 16: Transmission of monetary policy via the housing market</w:t>
      </w:r>
      <w:r>
        <w:rPr>
          <w:vertAlign w:val="superscript"/>
        </w:rPr>
        <w:t>8</w:t>
      </w:r>
    </w:p>
    <w:p>
      <w:pPr>
        <w:pStyle w:val="BodyText"/>
        <w:spacing w:before="5"/>
        <w:rPr>
          <w:b/>
          <w:sz w:val="28"/>
        </w:rPr>
      </w:pPr>
      <w:r>
        <w:rPr/>
        <w:pict>
          <v:group style="position:absolute;margin-left:58.380001pt;margin-top:18.31455pt;width:228.6pt;height:118.15pt;mso-position-horizontal-relative:page;mso-position-vertical-relative:paragraph;z-index:-251599872;mso-wrap-distance-left:0;mso-wrap-distance-right:0" coordorigin="1168,366" coordsize="4572,2363">
            <v:shape style="position:absolute;left:2628;top:366;width:1612;height:459" coordorigin="2628,366" coordsize="1612,459" path="m4170,366l2706,366,2681,370,2660,381,2643,399,2632,421,2629,429,2628,436,2628,753,2629,761,2634,775,2637,784,2649,801,2657,805,2663,810,2669,814,2679,819,2695,825,2706,823,4170,823,4177,822,4190,817,2706,817,2684,813,2663,803,2647,787,2638,766,2635,760,2635,753,2634,744,2634,444,2638,423,2640,417,2646,403,2650,399,2660,389,2666,384,2672,381,2684,377,2694,371,4186,371,4170,366xm4186,371l2694,371,2706,372,4169,372,4176,373,4198,382,4215,396,4227,415,4234,437,4234,753,4232,760,4224,781,4210,798,4191,811,4169,816,4162,817,4190,817,4201,813,4220,798,4234,777,4240,753,4240,436,4238,429,4230,406,4215,387,4194,373,4186,371xe" filled="true" fillcolor="#000000" stroked="false">
              <v:path arrowok="t"/>
              <v:fill type="solid"/>
            </v:shape>
            <v:shape style="position:absolute;left:2628;top:1115;width:1612;height:459" coordorigin="2628,1115" coordsize="1612,459" path="m4178,1571l2692,1571,2706,1573,4162,1573,4170,1572,4177,1571,4178,1571xm4162,1115l2706,1115,2680,1120,2659,1130,2643,1147,2632,1170,2629,1179,2628,1186,2628,1503,2629,1510,2632,1518,2634,1525,2640,1536,2646,1548,2657,1555,2663,1560,2669,1564,2682,1572,2692,1571,4178,1571,4191,1566,2706,1566,2684,1563,2664,1552,2647,1536,2638,1516,2635,1509,2635,1501,2634,1494,2634,1194,2635,1186,2636,1179,2638,1173,2640,1165,2649,1152,2648,1149,2660,1138,2678,1127,2686,1125,2692,1123,2699,1122,4194,1122,4193,1122,4170,1116,4162,1115xm4194,1122l4169,1122,4176,1123,4198,1132,4215,1146,4227,1165,4234,1187,4234,1501,4232,1509,4224,1531,4210,1548,4191,1560,4169,1566,4191,1566,4200,1563,4220,1547,4233,1527,4240,1503,4240,1186,4238,1177,4230,1155,4214,1136,4194,1122xe" filled="true" fillcolor="#000000" stroked="false">
              <v:path arrowok="t"/>
              <v:fill type="solid"/>
            </v:shape>
            <v:shape style="position:absolute;left:4128;top:2269;width:1612;height:459" coordorigin="4128,2269" coordsize="1612,459" path="m5669,2269l4206,2269,4181,2273,4159,2285,4142,2302,4130,2325,4129,2332,4128,2339,4128,2657,4130,2671,4134,2679,4136,2690,4148,2701,4156,2709,4162,2713,4169,2717,4178,2722,4196,2728,4206,2727,5670,2727,5677,2725,5689,2721,4206,2721,4184,2717,4164,2706,4148,2690,4138,2670,4135,2663,4134,2656,4134,2340,4135,2333,4138,2326,4140,2320,4144,2308,4152,2301,4160,2292,4172,2285,4183,2277,4199,2277,4206,2275,5690,2275,5669,2269xm5690,2275l5662,2275,5676,2278,5697,2285,5715,2300,5727,2319,5732,2340,5734,2347,5734,2649,5731,2663,5724,2684,5709,2702,5690,2715,5669,2719,5662,2721,5689,2721,5701,2716,5720,2701,5733,2680,5740,2656,5740,2339,5738,2332,5729,2308,5714,2290,5693,2276,5690,2275xm4199,2277l4183,2277,4194,2278,4199,2277xe" filled="true" fillcolor="#000000" stroked="false">
              <v:path arrowok="t"/>
              <v:fill type="solid"/>
            </v:shape>
            <v:shape style="position:absolute;left:4237;top:591;width:737;height:1683" coordorigin="4237,592" coordsize="737,1683" path="m4936,2255l4936,2268,4939,2274,4943,2268,4943,2266,4937,2266,4939,2262,4936,2255xm4936,2268l4936,2268,4936,2268,4936,2268xm4943,2268l4943,2268,4943,2268,4943,2268xm4908,2211l4907,2212,4904,2213,4904,2214,4906,2217,4936,2268,4936,2255,4912,2213,4910,2212,4908,2211xm4970,2211l4968,2212,4967,2213,4943,2255,4943,2268,4973,2217,4974,2214,4974,2213,4972,2212,4970,2211xm4939,2262l4937,2266,4942,2266,4939,2262xm4943,2255l4939,2262,4942,2266,4943,2266,4943,2255xm4936,594l4936,2255,4939,2262,4943,2255,4943,598,4939,598,4936,594xm4940,592l4237,592,4237,598,4936,598,4936,594,4943,594,4943,593,4940,592xm4943,594l4936,594,4939,598,4943,598,4943,594xe" filled="true" fillcolor="#000000" stroked="false">
              <v:path arrowok="t"/>
              <v:fill type="solid"/>
            </v:shape>
            <v:shape style="position:absolute;left:1167;top:2269;width:1613;height:458" coordorigin="1168,2269" coordsize="1613,458" path="m2710,2269l1247,2269,1222,2273,1200,2285,1182,2302,1171,2325,1170,2332,1169,2340,1168,2347,1168,2649,1169,2657,1171,2671,1174,2679,1182,2695,1183,2697,1196,2709,1202,2713,1210,2717,1216,2721,1223,2723,1231,2725,1238,2727,2710,2727,2718,2725,2730,2721,1247,2721,1224,2717,1204,2706,1188,2691,1177,2670,1175,2656,1175,2340,1176,2333,1178,2326,1183,2314,1187,2308,1192,2302,1195,2297,1201,2292,1206,2289,1226,2277,1239,2277,1247,2275,2731,2275,2710,2269xm2731,2275l2702,2275,2717,2278,2738,2286,2755,2300,2768,2319,2773,2340,2773,2656,2772,2663,2764,2684,2750,2702,2731,2714,2710,2719,2701,2721,2730,2721,2742,2716,2760,2701,2774,2680,2780,2656,2780,2339,2779,2332,2770,2308,2754,2290,2734,2276,2731,2275xm1239,2277l1226,2277,1232,2278,1239,2277xe" filled="true" fillcolor="#000000" stroked="false">
              <v:path arrowok="t"/>
              <v:fill type="solid"/>
            </v:shape>
            <v:shape style="position:absolute;left:1939;top:591;width:688;height:1683" coordorigin="1939,592" coordsize="688,1683" path="m1970,2255l1971,2268,1974,2274,1978,2268,1978,2266,1972,2266,1974,2262,1970,2255xm1970,2268l1970,2268,1971,2268,1970,2268xm1978,2268l1978,2268,1978,2268,1978,2268xm1943,2211l1939,2214,1940,2217,1970,2268,1970,2255,1946,2213,1945,2212,1943,2211xm2005,2211l2003,2212,2003,2213,1978,2256,1978,2268,2008,2217,2009,2214,2009,2213,2006,2212,2005,2211xm1974,2262l1972,2266,1976,2266,1974,2262xm1978,2256l1974,2262,1976,2266,1978,2266,1978,2256xm2627,592l1973,592,1970,593,1970,2255,1974,2262,1978,2256,1978,598,1974,598,1978,594,2627,594,2627,592xm1978,594l1974,598,1978,598,1978,594xm2627,594l1978,594,1978,598,2627,598,2627,594xe" filled="true" fillcolor="#000000" stroked="false">
              <v:path arrowok="t"/>
              <v:fill type="solid"/>
            </v:shape>
            <v:shape style="position:absolute;left:3399;top:819;width:70;height:302" coordorigin="3400,820" coordsize="70,302" path="m3404,1057l3403,1057,3401,1059,3400,1060,3400,1063,3434,1121,3439,1114,3431,1114,3431,1103,3406,1060,3404,1057xm3434,1108l3431,1113,3431,1114,3437,1114,3437,1113,3434,1108xm3466,1057l3463,1057,3462,1060,3437,1103,3437,1114,3439,1114,3468,1063,3469,1061,3466,1057xm3431,1103l3431,1113,3434,1108,3431,1103xm3437,1103l3434,1108,3437,1113,3437,1103xm3437,820l3431,820,3431,1103,3434,1108,3437,1103,3437,820xe" filled="true" fillcolor="#000000" stroked="false">
              <v:path arrowok="t"/>
              <v:fill type="solid"/>
            </v:shape>
            <v:shape style="position:absolute;left:2145;top:1340;width:486;height:932" coordorigin="2146,1341" coordsize="486,932" path="m2150,2208l2149,2208,2147,2209,2146,2211,2146,2214,2180,2272,2185,2265,2177,2265,2177,2253,2152,2211,2150,2208xm2180,2258l2177,2263,2177,2265,2183,2265,2183,2263,2180,2258xm2210,2208l2209,2208,2208,2211,2183,2253,2183,2265,2185,2265,2214,2214,2214,2211,2213,2209,2210,2208xm2177,2253l2177,2263,2180,2258,2177,2253xm2183,2253l2180,2258,2183,2263,2183,2253xm2632,1341l2178,1341,2177,1342,2177,2253,2180,2258,2183,2253,2183,1348,2180,1348,2183,1344,2632,1344,2632,1341xm2183,1344l2180,1348,2183,1348,2183,1344xm2632,1344l2183,1344,2183,1348,2632,1348,2632,1344xe" filled="true" fillcolor="#000000" stroked="false">
              <v:path arrowok="t"/>
              <v:fill type="solid"/>
            </v:shape>
            <v:shape style="position:absolute;left:4237;top:1340;width:486;height:932" coordorigin="4237,1341" coordsize="486,932" path="m4660,2208l4657,2208,4656,2209,4654,2211,4654,2212,4655,2214,4688,2272,4693,2265,4685,2265,4685,2253,4660,2211,4660,2208xm4685,2253l4685,2265,4692,2265,4692,2263,4686,2263,4688,2259,4685,2253xm4720,2208l4717,2208,4716,2211,4692,2253,4692,2265,4693,2265,4722,2214,4723,2212,4720,2208xm4688,2259l4686,2263,4691,2263,4688,2259xm4692,2253l4688,2259,4691,2263,4692,2263,4692,2253xm4685,1344l4685,2253,4688,2259,4692,2253,4692,1348,4688,1348,4685,1344xm4690,1341l4237,1341,4237,1348,4685,1348,4685,1344,4692,1344,4692,1342,4690,1341xm4692,1344l4685,1344,4688,1348,4692,1348,4692,1344xe" filled="true" fillcolor="#000000" stroked="false">
              <v:path arrowok="t"/>
              <v:fill type="solid"/>
            </v:shape>
            <v:shape style="position:absolute;left:2740;top:429;width:1400;height:352" type="#_x0000_t202" filled="false" stroked="false">
              <v:textbox inset="0,0,0,0">
                <w:txbxContent>
                  <w:p>
                    <w:pPr>
                      <w:spacing w:line="161" w:lineRule="exact" w:before="0"/>
                      <w:ind w:left="-1" w:right="18" w:firstLine="0"/>
                      <w:jc w:val="center"/>
                      <w:rPr>
                        <w:rFonts w:ascii="Calibri"/>
                        <w:sz w:val="16"/>
                      </w:rPr>
                    </w:pPr>
                    <w:r>
                      <w:rPr>
                        <w:rFonts w:ascii="Calibri"/>
                        <w:sz w:val="16"/>
                      </w:rPr>
                      <w:t>Increase in Bank</w:t>
                    </w:r>
                    <w:r>
                      <w:rPr>
                        <w:rFonts w:ascii="Calibri"/>
                        <w:spacing w:val="-24"/>
                        <w:sz w:val="16"/>
                      </w:rPr>
                      <w:t> </w:t>
                    </w:r>
                    <w:r>
                      <w:rPr>
                        <w:rFonts w:ascii="Calibri"/>
                        <w:sz w:val="16"/>
                      </w:rPr>
                      <w:t>Rate</w:t>
                    </w:r>
                  </w:p>
                  <w:p>
                    <w:pPr>
                      <w:spacing w:line="190" w:lineRule="exact" w:before="0"/>
                      <w:ind w:left="102" w:right="125" w:firstLine="0"/>
                      <w:jc w:val="center"/>
                      <w:rPr>
                        <w:rFonts w:ascii="Calibri"/>
                        <w:sz w:val="16"/>
                      </w:rPr>
                    </w:pPr>
                    <w:r>
                      <w:rPr>
                        <w:rFonts w:ascii="Calibri"/>
                        <w:sz w:val="16"/>
                      </w:rPr>
                      <w:t>and cost of credit</w:t>
                    </w:r>
                  </w:p>
                </w:txbxContent>
              </v:textbox>
              <w10:wrap type="none"/>
            </v:shape>
            <v:shape style="position:absolute;left:2821;top:1276;width:1243;height:160" type="#_x0000_t202" filled="false" stroked="false">
              <v:textbox inset="0,0,0,0">
                <w:txbxContent>
                  <w:p>
                    <w:pPr>
                      <w:spacing w:line="159" w:lineRule="exact" w:before="0"/>
                      <w:ind w:left="0" w:right="0" w:firstLine="0"/>
                      <w:jc w:val="left"/>
                      <w:rPr>
                        <w:rFonts w:ascii="Calibri"/>
                        <w:sz w:val="16"/>
                      </w:rPr>
                    </w:pPr>
                    <w:r>
                      <w:rPr>
                        <w:rFonts w:ascii="Calibri"/>
                        <w:sz w:val="16"/>
                      </w:rPr>
                      <w:t>Fall in house prices</w:t>
                    </w:r>
                  </w:p>
                </w:txbxContent>
              </v:textbox>
              <w10:wrap type="none"/>
            </v:shape>
            <v:shape style="position:absolute;left:2236;top:1878;width:605;height:160" type="#_x0000_t202" filled="false" stroked="false">
              <v:textbox inset="0,0,0,0">
                <w:txbxContent>
                  <w:p>
                    <w:pPr>
                      <w:spacing w:line="159" w:lineRule="exact" w:before="0"/>
                      <w:ind w:left="0" w:right="0" w:firstLine="0"/>
                      <w:jc w:val="left"/>
                      <w:rPr>
                        <w:rFonts w:ascii="Calibri" w:hAnsi="Calibri"/>
                        <w:sz w:val="16"/>
                      </w:rPr>
                    </w:pPr>
                    <w:r>
                      <w:rPr>
                        <w:rFonts w:ascii="Calibri" w:hAnsi="Calibri"/>
                        <w:sz w:val="16"/>
                      </w:rPr>
                      <w:t>Tobin’s</w:t>
                    </w:r>
                    <w:r>
                      <w:rPr>
                        <w:rFonts w:ascii="Calibri" w:hAnsi="Calibri"/>
                        <w:spacing w:val="-25"/>
                        <w:sz w:val="16"/>
                      </w:rPr>
                      <w:t> </w:t>
                    </w:r>
                    <w:r>
                      <w:rPr>
                        <w:rFonts w:ascii="Calibri" w:hAnsi="Calibri"/>
                        <w:sz w:val="16"/>
                      </w:rPr>
                      <w:t>Q</w:t>
                    </w:r>
                  </w:p>
                </w:txbxContent>
              </v:textbox>
              <w10:wrap type="none"/>
            </v:shape>
            <v:shape style="position:absolute;left:3551;top:1782;width:1075;height:352" type="#_x0000_t202" filled="false" stroked="false">
              <v:textbox inset="0,0,0,0">
                <w:txbxContent>
                  <w:p>
                    <w:pPr>
                      <w:spacing w:line="161" w:lineRule="exact" w:before="0"/>
                      <w:ind w:left="0" w:right="18" w:firstLine="0"/>
                      <w:jc w:val="center"/>
                      <w:rPr>
                        <w:rFonts w:ascii="Calibri"/>
                        <w:sz w:val="16"/>
                      </w:rPr>
                    </w:pPr>
                    <w:r>
                      <w:rPr>
                        <w:rFonts w:ascii="Calibri"/>
                        <w:sz w:val="16"/>
                      </w:rPr>
                      <w:t>House collateral</w:t>
                    </w:r>
                  </w:p>
                  <w:p>
                    <w:pPr>
                      <w:spacing w:line="190" w:lineRule="exact" w:before="0"/>
                      <w:ind w:left="0" w:right="17" w:firstLine="0"/>
                      <w:jc w:val="center"/>
                      <w:rPr>
                        <w:rFonts w:ascii="Calibri"/>
                        <w:sz w:val="16"/>
                      </w:rPr>
                    </w:pPr>
                    <w:r>
                      <w:rPr>
                        <w:rFonts w:ascii="Calibri"/>
                        <w:sz w:val="16"/>
                      </w:rPr>
                      <w:t>effect</w:t>
                    </w:r>
                  </w:p>
                </w:txbxContent>
              </v:textbox>
              <w10:wrap type="none"/>
            </v:shape>
            <v:shape style="position:absolute;left:1425;top:2334;width:1119;height:352" type="#_x0000_t202" filled="false" stroked="false">
              <v:textbox inset="0,0,0,0">
                <w:txbxContent>
                  <w:p>
                    <w:pPr>
                      <w:spacing w:line="161" w:lineRule="exact" w:before="0"/>
                      <w:ind w:left="0" w:right="18" w:firstLine="0"/>
                      <w:jc w:val="center"/>
                      <w:rPr>
                        <w:rFonts w:ascii="Calibri"/>
                        <w:sz w:val="16"/>
                      </w:rPr>
                    </w:pPr>
                    <w:r>
                      <w:rPr>
                        <w:rFonts w:ascii="Calibri"/>
                        <w:sz w:val="16"/>
                      </w:rPr>
                      <w:t>Fall in</w:t>
                    </w:r>
                    <w:r>
                      <w:rPr>
                        <w:rFonts w:ascii="Calibri"/>
                        <w:spacing w:val="-14"/>
                        <w:sz w:val="16"/>
                      </w:rPr>
                      <w:t> </w:t>
                    </w:r>
                    <w:r>
                      <w:rPr>
                        <w:rFonts w:ascii="Calibri"/>
                        <w:sz w:val="16"/>
                      </w:rPr>
                      <w:t>residential</w:t>
                    </w:r>
                  </w:p>
                  <w:p>
                    <w:pPr>
                      <w:spacing w:line="190" w:lineRule="exact" w:before="0"/>
                      <w:ind w:left="0" w:right="18" w:firstLine="0"/>
                      <w:jc w:val="center"/>
                      <w:rPr>
                        <w:rFonts w:ascii="Calibri"/>
                        <w:sz w:val="16"/>
                      </w:rPr>
                    </w:pPr>
                    <w:r>
                      <w:rPr>
                        <w:rFonts w:ascii="Calibri"/>
                        <w:sz w:val="16"/>
                      </w:rPr>
                      <w:t>investment</w:t>
                    </w:r>
                  </w:p>
                </w:txbxContent>
              </v:textbox>
              <w10:wrap type="none"/>
            </v:shape>
            <v:shape style="position:absolute;left:4299;top:2429;width:1287;height:160" type="#_x0000_t202" filled="false" stroked="false">
              <v:textbox inset="0,0,0,0">
                <w:txbxContent>
                  <w:p>
                    <w:pPr>
                      <w:spacing w:line="159" w:lineRule="exact" w:before="0"/>
                      <w:ind w:left="0" w:right="0" w:firstLine="0"/>
                      <w:jc w:val="left"/>
                      <w:rPr>
                        <w:rFonts w:ascii="Calibri"/>
                        <w:sz w:val="16"/>
                      </w:rPr>
                    </w:pPr>
                    <w:r>
                      <w:rPr>
                        <w:rFonts w:ascii="Calibri"/>
                        <w:sz w:val="16"/>
                      </w:rPr>
                      <w:t>Fall in consumption</w:t>
                    </w:r>
                  </w:p>
                </w:txbxContent>
              </v:textbox>
              <w10:wrap type="none"/>
            </v:shape>
            <w10:wrap type="topAndBottom"/>
          </v:group>
        </w:pict>
      </w:r>
    </w:p>
    <w:p>
      <w:pPr>
        <w:pStyle w:val="BodyText"/>
        <w:rPr>
          <w:b/>
          <w:sz w:val="26"/>
        </w:rPr>
      </w:pPr>
    </w:p>
    <w:p>
      <w:pPr>
        <w:pStyle w:val="BodyText"/>
        <w:spacing w:before="6"/>
        <w:rPr>
          <w:b/>
          <w:sz w:val="30"/>
        </w:rPr>
      </w:pPr>
    </w:p>
    <w:p>
      <w:pPr>
        <w:pStyle w:val="BodyText"/>
        <w:spacing w:line="360" w:lineRule="auto"/>
        <w:ind w:left="234" w:right="1215"/>
        <w:jc w:val="both"/>
      </w:pPr>
      <w:r>
        <w:rPr/>
        <w:t>An increase in Bank Rate increases the cost of credit and therefore tends to reduce residential investment, the demand for housing, and consumption. To the extent that demand for housing falls by more than supply</w:t>
      </w:r>
    </w:p>
    <w:p>
      <w:pPr>
        <w:pStyle w:val="BodyText"/>
        <w:spacing w:line="360" w:lineRule="auto"/>
        <w:ind w:left="234" w:right="1238"/>
        <w:jc w:val="both"/>
      </w:pPr>
      <w:r>
        <w:rPr/>
        <w:t>– which in the short run is overwhelmingly likely to be the case – this pushes down on house prices. This is likely to further lower residential investment: assuming that the cost of building houses is constant, a decline in house prices reduces the gain from building additional houses</w:t>
      </w:r>
      <w:r>
        <w:rPr>
          <w:vertAlign w:val="superscript"/>
        </w:rPr>
        <w:t>9</w:t>
      </w:r>
      <w:r>
        <w:rPr>
          <w:vertAlign w:val="baseline"/>
        </w:rPr>
        <w:t>.</w:t>
      </w:r>
    </w:p>
    <w:p>
      <w:pPr>
        <w:pStyle w:val="BodyText"/>
        <w:rPr>
          <w:sz w:val="30"/>
        </w:rPr>
      </w:pPr>
    </w:p>
    <w:p>
      <w:pPr>
        <w:pStyle w:val="BodyText"/>
        <w:spacing w:line="360" w:lineRule="auto"/>
        <w:ind w:left="234" w:right="1196" w:hanging="1"/>
      </w:pPr>
      <w:r>
        <w:rPr/>
        <w:t>A decline in house prices can also have an effect on the consumption of those households that would, in the absence of the decline, have withdrawn equity from their houses. Houses are probably the best source of collateral that households can offer to their creditors. If the value of the collateral falls, households can borrow less and may need to reduce their consumption expenditure.</w:t>
      </w:r>
    </w:p>
    <w:p>
      <w:pPr>
        <w:pStyle w:val="BodyText"/>
        <w:spacing w:before="1"/>
        <w:rPr>
          <w:sz w:val="30"/>
        </w:rPr>
      </w:pPr>
    </w:p>
    <w:p>
      <w:pPr>
        <w:pStyle w:val="BodyText"/>
        <w:spacing w:line="360" w:lineRule="auto"/>
        <w:ind w:left="234" w:right="1150"/>
      </w:pPr>
      <w:r>
        <w:rPr/>
        <w:pict>
          <v:shape style="position:absolute;margin-left:56.700001pt;margin-top:90.017204pt;width:144pt;height:.1pt;mso-position-horizontal-relative:page;mso-position-vertical-relative:paragraph;z-index:-251598848;mso-wrap-distance-left:0;mso-wrap-distance-right:0" coordorigin="1134,1800" coordsize="2880,0" path="m1134,1800l4014,1800e" filled="false" stroked="true" strokeweight=".47998pt" strokecolor="#000000">
            <v:path arrowok="t"/>
            <v:stroke dashstyle="solid"/>
            <w10:wrap type="topAndBottom"/>
          </v:shape>
        </w:pict>
      </w:r>
      <w:r>
        <w:rPr/>
        <w:t>Qualitatively, this transmission mechanism would remain the same when leverage in the housing market and the share of owner-occupation are lower. But quantitatively it is likely to change, requiring monetary policy to be recalibrated. With a smaller stock of mortgages relative to gross housing wealth, a change in interest rates has a proportionally smaller impact on households’ income and, for many households, on their consumption. A given increase in house prices increases households’ housing collateral by</w:t>
      </w:r>
      <w:r>
        <w:rPr>
          <w:spacing w:val="8"/>
        </w:rPr>
        <w:t> </w:t>
      </w:r>
      <w:r>
        <w:rPr/>
        <w:t>proportionately</w:t>
      </w:r>
    </w:p>
    <w:p>
      <w:pPr>
        <w:spacing w:line="196" w:lineRule="exact" w:before="31"/>
        <w:ind w:left="234" w:right="0" w:firstLine="0"/>
        <w:jc w:val="left"/>
        <w:rPr>
          <w:sz w:val="16"/>
        </w:rPr>
      </w:pPr>
      <w:r>
        <w:rPr>
          <w:position w:val="8"/>
          <w:sz w:val="10"/>
        </w:rPr>
        <w:t>8 </w:t>
      </w:r>
      <w:r>
        <w:rPr>
          <w:sz w:val="16"/>
        </w:rPr>
        <w:t>This is a modified version of Figure 3.8 in IMF (2008), World Economic Outlook.</w:t>
      </w:r>
    </w:p>
    <w:p>
      <w:pPr>
        <w:spacing w:line="196" w:lineRule="exact" w:before="0"/>
        <w:ind w:left="234" w:right="0" w:firstLine="0"/>
        <w:jc w:val="left"/>
        <w:rPr>
          <w:sz w:val="16"/>
        </w:rPr>
      </w:pPr>
      <w:r>
        <w:rPr>
          <w:position w:val="8"/>
          <w:sz w:val="10"/>
        </w:rPr>
        <w:t>9 </w:t>
      </w:r>
      <w:r>
        <w:rPr>
          <w:sz w:val="16"/>
        </w:rPr>
        <w:t>James Tobin pointed out this relationship between investment and the ratio of the market value and the replacement value of an asset</w:t>
      </w:r>
    </w:p>
    <w:p>
      <w:pPr>
        <w:spacing w:before="0"/>
        <w:ind w:left="234" w:right="0" w:firstLine="0"/>
        <w:jc w:val="left"/>
        <w:rPr>
          <w:sz w:val="20"/>
        </w:rPr>
      </w:pPr>
      <w:r>
        <w:rPr>
          <w:sz w:val="16"/>
        </w:rPr>
        <w:t>(“q”) many years ago</w:t>
      </w:r>
      <w:r>
        <w:rPr>
          <w:sz w:val="20"/>
        </w:rPr>
        <w:t>.</w:t>
      </w:r>
    </w:p>
    <w:p>
      <w:pPr>
        <w:spacing w:after="0"/>
        <w:jc w:val="left"/>
        <w:rPr>
          <w:sz w:val="20"/>
        </w:rPr>
        <w:sectPr>
          <w:footerReference w:type="default" r:id="rId20"/>
          <w:pgSz w:w="11900" w:h="16840"/>
          <w:pgMar w:footer="1340" w:header="0" w:top="1540" w:bottom="1540" w:left="900" w:right="0"/>
          <w:pgNumType w:start="17"/>
        </w:sectPr>
      </w:pPr>
    </w:p>
    <w:p>
      <w:pPr>
        <w:pStyle w:val="BodyText"/>
        <w:spacing w:line="360" w:lineRule="auto" w:before="76"/>
        <w:ind w:left="234" w:right="1418"/>
      </w:pPr>
      <w:r>
        <w:rPr/>
        <w:t>less – and also limits the amount of new borrowing that can allow – when households are less able to use leverage.</w:t>
      </w:r>
    </w:p>
    <w:p>
      <w:pPr>
        <w:pStyle w:val="BodyText"/>
        <w:rPr>
          <w:sz w:val="30"/>
        </w:rPr>
      </w:pPr>
    </w:p>
    <w:p>
      <w:pPr>
        <w:pStyle w:val="BodyText"/>
        <w:spacing w:line="360" w:lineRule="auto"/>
        <w:ind w:left="233" w:right="1230"/>
      </w:pPr>
      <w:r>
        <w:rPr/>
        <w:t>This suggests that when the housing market is less levered, a change in Bank Rate could have somewhat less traction. Whether this is indeed the case depends on how those people who are trying to build the necessary deposit for a house would react to a change in Bank Rate. Take an increase in Bank Rate, which tends to dampen economic growth. If households were determined to regularly save a certain amount for their house, they might adjust their consumption to variations in their income, effectively behaving as if they were credit constrained.</w:t>
      </w:r>
    </w:p>
    <w:p>
      <w:pPr>
        <w:pStyle w:val="BodyText"/>
        <w:rPr>
          <w:sz w:val="30"/>
        </w:rPr>
      </w:pPr>
    </w:p>
    <w:p>
      <w:pPr>
        <w:pStyle w:val="BodyText"/>
        <w:spacing w:line="360" w:lineRule="auto"/>
        <w:ind w:left="233" w:right="1139"/>
      </w:pPr>
      <w:r>
        <w:rPr/>
        <w:t>While it remains uncertain whether the traction of monetary policy would indeed decline when leverage in the housing market is lower, it seems clear that changes in house prices that originate from other sources than a variation of Bank Rate might have less impact on the real economy. That transmission chain is a variant of what is sometimes referred to as the financial accelerator: a decline in house prices reduces collateral values, consumption, GDP, and employment, in response to which house prices may decline even more.</w:t>
      </w:r>
    </w:p>
    <w:p>
      <w:pPr>
        <w:pStyle w:val="BodyText"/>
        <w:spacing w:line="360" w:lineRule="auto"/>
        <w:ind w:left="234" w:right="1207"/>
      </w:pPr>
      <w:r>
        <w:rPr/>
        <w:t>This financial accelerator will be less potent when leverage is lower. The economy would become more stable. That would make the task of setting monetary policy easier and would, I believe, be far more significant – and beneficial – than some limited reduction in the impact of a given change in interest rates on the wider economy.</w:t>
      </w:r>
    </w:p>
    <w:p>
      <w:pPr>
        <w:pStyle w:val="BodyText"/>
        <w:rPr>
          <w:sz w:val="30"/>
        </w:rPr>
      </w:pPr>
    </w:p>
    <w:p>
      <w:pPr>
        <w:pStyle w:val="BodyText"/>
        <w:spacing w:line="360" w:lineRule="auto"/>
        <w:ind w:left="234" w:right="1463"/>
      </w:pPr>
      <w:r>
        <w:rPr/>
        <w:t>Finally, if reduced leverage is also accompanied by a reduced share of owner-occupation, labour mobility may improve. For most people the costs of selling and buying houses are far higher than those of terminating old, and arranging new, rental contracts. When people can move more easily to take up new jobs, the risks of structural unemployment are lower.</w:t>
      </w:r>
    </w:p>
    <w:p>
      <w:pPr>
        <w:pStyle w:val="BodyText"/>
        <w:spacing w:before="1"/>
        <w:rPr>
          <w:sz w:val="30"/>
        </w:rPr>
      </w:pPr>
    </w:p>
    <w:p>
      <w:pPr>
        <w:pStyle w:val="Heading1"/>
        <w:numPr>
          <w:ilvl w:val="0"/>
          <w:numId w:val="1"/>
        </w:numPr>
        <w:tabs>
          <w:tab w:pos="665" w:val="left" w:leader="none"/>
          <w:tab w:pos="666" w:val="left" w:leader="none"/>
        </w:tabs>
        <w:spacing w:line="240" w:lineRule="auto" w:before="0" w:after="0"/>
        <w:ind w:left="665" w:right="0" w:hanging="432"/>
        <w:jc w:val="left"/>
      </w:pPr>
      <w:r>
        <w:rPr/>
        <w:t>Conclusion</w:t>
      </w:r>
    </w:p>
    <w:p>
      <w:pPr>
        <w:pStyle w:val="BodyText"/>
        <w:rPr>
          <w:b/>
          <w:sz w:val="22"/>
        </w:rPr>
      </w:pPr>
    </w:p>
    <w:p>
      <w:pPr>
        <w:pStyle w:val="BodyText"/>
        <w:spacing w:before="6"/>
        <w:rPr>
          <w:b/>
          <w:sz w:val="17"/>
        </w:rPr>
      </w:pPr>
    </w:p>
    <w:p>
      <w:pPr>
        <w:pStyle w:val="BodyText"/>
        <w:spacing w:line="360" w:lineRule="auto"/>
        <w:ind w:left="234" w:right="1245"/>
      </w:pPr>
      <w:r>
        <w:rPr/>
        <w:t>As a result of the major changes in financial markets in the wake of the crises of 2007 and 2008 the ways in which home-ownership is financed are changing. Many of these changes will be permanent. More equity will be used by new buyers to finance house purchase than was typical in the years before the crisis. Some of that equity will come from outside financing – which creates benefits in terms of risk sharing. But much will have to come from buyers. That is likely to mean a lower rate of owner-occupation and a bigger rental sector. Today this is causing severe transitional difficulties. But in the longer-run this is not likely to be a source of major net losses. To the extent that it offsets tax distortions and creates a more stable housing market</w:t>
      </w:r>
      <w:r>
        <w:rPr>
          <w:spacing w:val="-4"/>
        </w:rPr>
        <w:t> </w:t>
      </w:r>
      <w:r>
        <w:rPr/>
        <w:t>it</w:t>
      </w:r>
      <w:r>
        <w:rPr>
          <w:spacing w:val="-4"/>
        </w:rPr>
        <w:t> </w:t>
      </w:r>
      <w:r>
        <w:rPr/>
        <w:t>will</w:t>
      </w:r>
      <w:r>
        <w:rPr>
          <w:spacing w:val="-4"/>
        </w:rPr>
        <w:t> </w:t>
      </w:r>
      <w:r>
        <w:rPr/>
        <w:t>create</w:t>
      </w:r>
      <w:r>
        <w:rPr>
          <w:spacing w:val="-4"/>
        </w:rPr>
        <w:t> </w:t>
      </w:r>
      <w:r>
        <w:rPr/>
        <w:t>some</w:t>
      </w:r>
      <w:r>
        <w:rPr>
          <w:spacing w:val="-5"/>
        </w:rPr>
        <w:t> </w:t>
      </w:r>
      <w:r>
        <w:rPr/>
        <w:t>gains.</w:t>
      </w:r>
      <w:r>
        <w:rPr>
          <w:spacing w:val="-4"/>
        </w:rPr>
        <w:t> </w:t>
      </w:r>
      <w:r>
        <w:rPr/>
        <w:t>Monetary</w:t>
      </w:r>
      <w:r>
        <w:rPr>
          <w:spacing w:val="-4"/>
        </w:rPr>
        <w:t> </w:t>
      </w:r>
      <w:r>
        <w:rPr/>
        <w:t>policy</w:t>
      </w:r>
      <w:r>
        <w:rPr>
          <w:spacing w:val="-3"/>
        </w:rPr>
        <w:t> </w:t>
      </w:r>
      <w:r>
        <w:rPr/>
        <w:t>may</w:t>
      </w:r>
      <w:r>
        <w:rPr>
          <w:spacing w:val="-4"/>
        </w:rPr>
        <w:t> </w:t>
      </w:r>
      <w:r>
        <w:rPr/>
        <w:t>need</w:t>
      </w:r>
      <w:r>
        <w:rPr>
          <w:spacing w:val="-1"/>
        </w:rPr>
        <w:t> </w:t>
      </w:r>
      <w:r>
        <w:rPr/>
        <w:t>to</w:t>
      </w:r>
      <w:r>
        <w:rPr>
          <w:spacing w:val="-4"/>
        </w:rPr>
        <w:t> </w:t>
      </w:r>
      <w:r>
        <w:rPr/>
        <w:t>re-calibrated;</w:t>
      </w:r>
      <w:r>
        <w:rPr>
          <w:spacing w:val="-4"/>
        </w:rPr>
        <w:t> </w:t>
      </w:r>
      <w:r>
        <w:rPr/>
        <w:t>but</w:t>
      </w:r>
      <w:r>
        <w:rPr>
          <w:spacing w:val="-4"/>
        </w:rPr>
        <w:t> </w:t>
      </w:r>
      <w:r>
        <w:rPr/>
        <w:t>it</w:t>
      </w:r>
      <w:r>
        <w:rPr>
          <w:spacing w:val="-4"/>
        </w:rPr>
        <w:t> </w:t>
      </w:r>
      <w:r>
        <w:rPr/>
        <w:t>will</w:t>
      </w:r>
      <w:r>
        <w:rPr>
          <w:spacing w:val="-4"/>
        </w:rPr>
        <w:t> </w:t>
      </w:r>
      <w:r>
        <w:rPr/>
        <w:t>not</w:t>
      </w:r>
      <w:r>
        <w:rPr>
          <w:spacing w:val="-4"/>
        </w:rPr>
        <w:t> </w:t>
      </w:r>
      <w:r>
        <w:rPr/>
        <w:t>be</w:t>
      </w:r>
      <w:r>
        <w:rPr>
          <w:spacing w:val="-4"/>
        </w:rPr>
        <w:t> </w:t>
      </w:r>
      <w:r>
        <w:rPr/>
        <w:t>less</w:t>
      </w:r>
      <w:r>
        <w:rPr>
          <w:spacing w:val="-3"/>
        </w:rPr>
        <w:t> </w:t>
      </w:r>
      <w:r>
        <w:rPr/>
        <w:t>effective.</w:t>
      </w:r>
    </w:p>
    <w:sectPr>
      <w:pgSz w:w="11900" w:h="16840"/>
      <w:pgMar w:header="0" w:footer="1340" w:top="1540" w:bottom="154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50176"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84915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4812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8471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284608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84505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44032"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84300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9.35pt;height:13.2pt;mso-position-horizontal-relative:page;mso-position-vertical-relative:page;z-index:-25284198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840960" type="#_x0000_t202" filled="false" stroked="false">
          <v:textbox inset="0,0,0,0">
            <w:txbxContent>
              <w:p>
                <w:pPr>
                  <w:pStyle w:val="BodyText"/>
                  <w:spacing w:before="14"/>
                  <w:ind w:left="20"/>
                </w:pPr>
                <w:r>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39936"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83891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71.849426pt;width:379.35pt;height:13.2pt;mso-position-horizontal-relative:page;mso-position-vertical-relative:page;z-index:-25283788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836864" type="#_x0000_t202" filled="false" stroked="false">
          <v:textbox inset="0,0,0,0">
            <w:txbxContent>
              <w:p>
                <w:pPr>
                  <w:pStyle w:val="BodyText"/>
                  <w:spacing w:before="14"/>
                  <w:ind w:left="20"/>
                </w:pPr>
                <w:r>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35840"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83481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777pt;margin-top:771.849426pt;width:379.35pt;height:13.2pt;mso-position-horizontal-relative:page;mso-position-vertical-relative:page;z-index:-25283379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832768" type="#_x0000_t202" filled="false" stroked="false">
          <v:textbox inset="0,0,0,0">
            <w:txbxContent>
              <w:p>
                <w:pPr>
                  <w:pStyle w:val="BodyText"/>
                  <w:spacing w:before="14"/>
                  <w:ind w:left="20"/>
                </w:pPr>
                <w:r>
                  <w:rPr/>
                  <w:t>12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31744"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83072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61.099777pt;margin-top:771.849426pt;width:379.35pt;height:13.2pt;mso-position-horizontal-relative:page;mso-position-vertical-relative:page;z-index:-25282969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828672" type="#_x0000_t202" filled="false" stroked="false">
          <v:textbox inset="0,0,0,0">
            <w:txbxContent>
              <w:p>
                <w:pPr>
                  <w:pStyle w:val="BodyText"/>
                  <w:spacing w:before="14"/>
                  <w:ind w:left="20"/>
                </w:pPr>
                <w:r>
                  <w:rPr/>
                  <w:t>16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27648"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82662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61.099777pt;margin-top:771.849426pt;width:379.35pt;height:13.2pt;mso-position-horizontal-relative:page;mso-position-vertical-relative:page;z-index:-25282560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824576" type="#_x0000_t202" filled="false" stroked="false">
          <v:textbox inset="0,0,0,0">
            <w:txbxContent>
              <w:p>
                <w:pPr>
                  <w:pStyle w:val="BodyText"/>
                  <w:spacing w:before="14"/>
                  <w:ind w:left="20"/>
                </w:pPr>
                <w:r>
                  <w:rPr/>
                  <w:t>17</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552" w:hanging="319"/>
        <w:jc w:val="left"/>
      </w:pPr>
      <w:rPr>
        <w:rFonts w:hint="default" w:ascii="Arial" w:hAnsi="Arial" w:eastAsia="Arial" w:cs="Arial"/>
        <w:w w:val="99"/>
        <w:sz w:val="16"/>
        <w:szCs w:val="16"/>
      </w:rPr>
    </w:lvl>
    <w:lvl w:ilvl="1">
      <w:start w:val="1"/>
      <w:numFmt w:val="lowerLetter"/>
      <w:lvlText w:val="(%2)"/>
      <w:lvlJc w:val="left"/>
      <w:pPr>
        <w:ind w:left="1062" w:hanging="361"/>
        <w:jc w:val="left"/>
      </w:pPr>
      <w:rPr>
        <w:rFonts w:hint="default" w:ascii="Arial" w:hAnsi="Arial" w:eastAsia="Arial" w:cs="Arial"/>
        <w:w w:val="99"/>
        <w:sz w:val="16"/>
        <w:szCs w:val="16"/>
      </w:rPr>
    </w:lvl>
    <w:lvl w:ilvl="2">
      <w:start w:val="0"/>
      <w:numFmt w:val="bullet"/>
      <w:lvlText w:val="•"/>
      <w:lvlJc w:val="left"/>
      <w:pPr>
        <w:ind w:left="2164" w:hanging="361"/>
      </w:pPr>
      <w:rPr>
        <w:rFonts w:hint="default"/>
      </w:rPr>
    </w:lvl>
    <w:lvl w:ilvl="3">
      <w:start w:val="0"/>
      <w:numFmt w:val="bullet"/>
      <w:lvlText w:val="•"/>
      <w:lvlJc w:val="left"/>
      <w:pPr>
        <w:ind w:left="3268" w:hanging="361"/>
      </w:pPr>
      <w:rPr>
        <w:rFonts w:hint="default"/>
      </w:rPr>
    </w:lvl>
    <w:lvl w:ilvl="4">
      <w:start w:val="0"/>
      <w:numFmt w:val="bullet"/>
      <w:lvlText w:val="•"/>
      <w:lvlJc w:val="left"/>
      <w:pPr>
        <w:ind w:left="4373" w:hanging="361"/>
      </w:pPr>
      <w:rPr>
        <w:rFonts w:hint="default"/>
      </w:rPr>
    </w:lvl>
    <w:lvl w:ilvl="5">
      <w:start w:val="0"/>
      <w:numFmt w:val="bullet"/>
      <w:lvlText w:val="•"/>
      <w:lvlJc w:val="left"/>
      <w:pPr>
        <w:ind w:left="5477" w:hanging="361"/>
      </w:pPr>
      <w:rPr>
        <w:rFonts w:hint="default"/>
      </w:rPr>
    </w:lvl>
    <w:lvl w:ilvl="6">
      <w:start w:val="0"/>
      <w:numFmt w:val="bullet"/>
      <w:lvlText w:val="•"/>
      <w:lvlJc w:val="left"/>
      <w:pPr>
        <w:ind w:left="6582" w:hanging="361"/>
      </w:pPr>
      <w:rPr>
        <w:rFonts w:hint="default"/>
      </w:rPr>
    </w:lvl>
    <w:lvl w:ilvl="7">
      <w:start w:val="0"/>
      <w:numFmt w:val="bullet"/>
      <w:lvlText w:val="•"/>
      <w:lvlJc w:val="left"/>
      <w:pPr>
        <w:ind w:left="7686" w:hanging="361"/>
      </w:pPr>
      <w:rPr>
        <w:rFonts w:hint="default"/>
      </w:rPr>
    </w:lvl>
    <w:lvl w:ilvl="8">
      <w:start w:val="0"/>
      <w:numFmt w:val="bullet"/>
      <w:lvlText w:val="•"/>
      <w:lvlJc w:val="left"/>
      <w:pPr>
        <w:ind w:left="8791" w:hanging="361"/>
      </w:pPr>
      <w:rPr>
        <w:rFonts w:hint="default"/>
      </w:rPr>
    </w:lvl>
  </w:abstractNum>
  <w:abstractNum w:abstractNumId="2">
    <w:multiLevelType w:val="hybridMultilevel"/>
    <w:lvl w:ilvl="0">
      <w:start w:val="1"/>
      <w:numFmt w:val="lowerLetter"/>
      <w:lvlText w:val="(%1)"/>
      <w:lvlJc w:val="left"/>
      <w:pPr>
        <w:ind w:left="518" w:hanging="285"/>
        <w:jc w:val="left"/>
      </w:pPr>
      <w:rPr>
        <w:rFonts w:hint="default" w:ascii="Arial" w:hAnsi="Arial" w:eastAsia="Arial" w:cs="Arial"/>
        <w:w w:val="99"/>
        <w:sz w:val="16"/>
        <w:szCs w:val="16"/>
      </w:rPr>
    </w:lvl>
    <w:lvl w:ilvl="1">
      <w:start w:val="0"/>
      <w:numFmt w:val="bullet"/>
      <w:lvlText w:val="•"/>
      <w:lvlJc w:val="left"/>
      <w:pPr>
        <w:ind w:left="1568" w:hanging="285"/>
      </w:pPr>
      <w:rPr>
        <w:rFonts w:hint="default"/>
      </w:rPr>
    </w:lvl>
    <w:lvl w:ilvl="2">
      <w:start w:val="0"/>
      <w:numFmt w:val="bullet"/>
      <w:lvlText w:val="•"/>
      <w:lvlJc w:val="left"/>
      <w:pPr>
        <w:ind w:left="2616" w:hanging="285"/>
      </w:pPr>
      <w:rPr>
        <w:rFonts w:hint="default"/>
      </w:rPr>
    </w:lvl>
    <w:lvl w:ilvl="3">
      <w:start w:val="0"/>
      <w:numFmt w:val="bullet"/>
      <w:lvlText w:val="•"/>
      <w:lvlJc w:val="left"/>
      <w:pPr>
        <w:ind w:left="3664" w:hanging="285"/>
      </w:pPr>
      <w:rPr>
        <w:rFonts w:hint="default"/>
      </w:rPr>
    </w:lvl>
    <w:lvl w:ilvl="4">
      <w:start w:val="0"/>
      <w:numFmt w:val="bullet"/>
      <w:lvlText w:val="•"/>
      <w:lvlJc w:val="left"/>
      <w:pPr>
        <w:ind w:left="4712" w:hanging="285"/>
      </w:pPr>
      <w:rPr>
        <w:rFonts w:hint="default"/>
      </w:rPr>
    </w:lvl>
    <w:lvl w:ilvl="5">
      <w:start w:val="0"/>
      <w:numFmt w:val="bullet"/>
      <w:lvlText w:val="•"/>
      <w:lvlJc w:val="left"/>
      <w:pPr>
        <w:ind w:left="5760" w:hanging="285"/>
      </w:pPr>
      <w:rPr>
        <w:rFonts w:hint="default"/>
      </w:rPr>
    </w:lvl>
    <w:lvl w:ilvl="6">
      <w:start w:val="0"/>
      <w:numFmt w:val="bullet"/>
      <w:lvlText w:val="•"/>
      <w:lvlJc w:val="left"/>
      <w:pPr>
        <w:ind w:left="6808" w:hanging="285"/>
      </w:pPr>
      <w:rPr>
        <w:rFonts w:hint="default"/>
      </w:rPr>
    </w:lvl>
    <w:lvl w:ilvl="7">
      <w:start w:val="0"/>
      <w:numFmt w:val="bullet"/>
      <w:lvlText w:val="•"/>
      <w:lvlJc w:val="left"/>
      <w:pPr>
        <w:ind w:left="7856" w:hanging="285"/>
      </w:pPr>
      <w:rPr>
        <w:rFonts w:hint="default"/>
      </w:rPr>
    </w:lvl>
    <w:lvl w:ilvl="8">
      <w:start w:val="0"/>
      <w:numFmt w:val="bullet"/>
      <w:lvlText w:val="•"/>
      <w:lvlJc w:val="left"/>
      <w:pPr>
        <w:ind w:left="8904" w:hanging="285"/>
      </w:pPr>
      <w:rPr>
        <w:rFonts w:hint="default"/>
      </w:rPr>
    </w:lvl>
  </w:abstractNum>
  <w:abstractNum w:abstractNumId="1">
    <w:multiLevelType w:val="hybridMultilevel"/>
    <w:lvl w:ilvl="0">
      <w:start w:val="1"/>
      <w:numFmt w:val="lowerLetter"/>
      <w:lvlText w:val="(%1)"/>
      <w:lvlJc w:val="left"/>
      <w:pPr>
        <w:ind w:left="519" w:hanging="286"/>
        <w:jc w:val="left"/>
      </w:pPr>
      <w:rPr>
        <w:rFonts w:hint="default" w:ascii="Arial" w:hAnsi="Arial" w:eastAsia="Arial" w:cs="Arial"/>
        <w:w w:val="99"/>
        <w:sz w:val="16"/>
        <w:szCs w:val="16"/>
      </w:rPr>
    </w:lvl>
    <w:lvl w:ilvl="1">
      <w:start w:val="0"/>
      <w:numFmt w:val="bullet"/>
      <w:lvlText w:val="•"/>
      <w:lvlJc w:val="left"/>
      <w:pPr>
        <w:ind w:left="1568" w:hanging="286"/>
      </w:pPr>
      <w:rPr>
        <w:rFonts w:hint="default"/>
      </w:rPr>
    </w:lvl>
    <w:lvl w:ilvl="2">
      <w:start w:val="0"/>
      <w:numFmt w:val="bullet"/>
      <w:lvlText w:val="•"/>
      <w:lvlJc w:val="left"/>
      <w:pPr>
        <w:ind w:left="2616" w:hanging="286"/>
      </w:pPr>
      <w:rPr>
        <w:rFonts w:hint="default"/>
      </w:rPr>
    </w:lvl>
    <w:lvl w:ilvl="3">
      <w:start w:val="0"/>
      <w:numFmt w:val="bullet"/>
      <w:lvlText w:val="•"/>
      <w:lvlJc w:val="left"/>
      <w:pPr>
        <w:ind w:left="3664" w:hanging="286"/>
      </w:pPr>
      <w:rPr>
        <w:rFonts w:hint="default"/>
      </w:rPr>
    </w:lvl>
    <w:lvl w:ilvl="4">
      <w:start w:val="0"/>
      <w:numFmt w:val="bullet"/>
      <w:lvlText w:val="•"/>
      <w:lvlJc w:val="left"/>
      <w:pPr>
        <w:ind w:left="4712" w:hanging="286"/>
      </w:pPr>
      <w:rPr>
        <w:rFonts w:hint="default"/>
      </w:rPr>
    </w:lvl>
    <w:lvl w:ilvl="5">
      <w:start w:val="0"/>
      <w:numFmt w:val="bullet"/>
      <w:lvlText w:val="•"/>
      <w:lvlJc w:val="left"/>
      <w:pPr>
        <w:ind w:left="5760" w:hanging="286"/>
      </w:pPr>
      <w:rPr>
        <w:rFonts w:hint="default"/>
      </w:rPr>
    </w:lvl>
    <w:lvl w:ilvl="6">
      <w:start w:val="0"/>
      <w:numFmt w:val="bullet"/>
      <w:lvlText w:val="•"/>
      <w:lvlJc w:val="left"/>
      <w:pPr>
        <w:ind w:left="6808" w:hanging="286"/>
      </w:pPr>
      <w:rPr>
        <w:rFonts w:hint="default"/>
      </w:rPr>
    </w:lvl>
    <w:lvl w:ilvl="7">
      <w:start w:val="0"/>
      <w:numFmt w:val="bullet"/>
      <w:lvlText w:val="•"/>
      <w:lvlJc w:val="left"/>
      <w:pPr>
        <w:ind w:left="7856" w:hanging="286"/>
      </w:pPr>
      <w:rPr>
        <w:rFonts w:hint="default"/>
      </w:rPr>
    </w:lvl>
    <w:lvl w:ilvl="8">
      <w:start w:val="0"/>
      <w:numFmt w:val="bullet"/>
      <w:lvlText w:val="•"/>
      <w:lvlJc w:val="left"/>
      <w:pPr>
        <w:ind w:left="8904" w:hanging="286"/>
      </w:pPr>
      <w:rPr>
        <w:rFonts w:hint="default"/>
      </w:rPr>
    </w:lvl>
  </w:abstractNum>
  <w:abstractNum w:abstractNumId="0">
    <w:multiLevelType w:val="hybridMultilevel"/>
    <w:lvl w:ilvl="0">
      <w:start w:val="1"/>
      <w:numFmt w:val="decimal"/>
      <w:lvlText w:val="%1"/>
      <w:lvlJc w:val="left"/>
      <w:pPr>
        <w:ind w:left="665" w:hanging="432"/>
        <w:jc w:val="left"/>
      </w:pPr>
      <w:rPr>
        <w:rFonts w:hint="default" w:ascii="Arial" w:hAnsi="Arial" w:eastAsia="Arial" w:cs="Arial"/>
        <w:b/>
        <w:bCs/>
        <w:w w:val="100"/>
        <w:sz w:val="20"/>
        <w:szCs w:val="20"/>
      </w:rPr>
    </w:lvl>
    <w:lvl w:ilvl="1">
      <w:start w:val="0"/>
      <w:numFmt w:val="bullet"/>
      <w:lvlText w:val="•"/>
      <w:lvlJc w:val="left"/>
      <w:pPr>
        <w:ind w:left="1694" w:hanging="432"/>
      </w:pPr>
      <w:rPr>
        <w:rFonts w:hint="default"/>
      </w:rPr>
    </w:lvl>
    <w:lvl w:ilvl="2">
      <w:start w:val="0"/>
      <w:numFmt w:val="bullet"/>
      <w:lvlText w:val="•"/>
      <w:lvlJc w:val="left"/>
      <w:pPr>
        <w:ind w:left="2728" w:hanging="432"/>
      </w:pPr>
      <w:rPr>
        <w:rFonts w:hint="default"/>
      </w:rPr>
    </w:lvl>
    <w:lvl w:ilvl="3">
      <w:start w:val="0"/>
      <w:numFmt w:val="bullet"/>
      <w:lvlText w:val="•"/>
      <w:lvlJc w:val="left"/>
      <w:pPr>
        <w:ind w:left="3762" w:hanging="432"/>
      </w:pPr>
      <w:rPr>
        <w:rFonts w:hint="default"/>
      </w:rPr>
    </w:lvl>
    <w:lvl w:ilvl="4">
      <w:start w:val="0"/>
      <w:numFmt w:val="bullet"/>
      <w:lvlText w:val="•"/>
      <w:lvlJc w:val="left"/>
      <w:pPr>
        <w:ind w:left="4796" w:hanging="432"/>
      </w:pPr>
      <w:rPr>
        <w:rFonts w:hint="default"/>
      </w:rPr>
    </w:lvl>
    <w:lvl w:ilvl="5">
      <w:start w:val="0"/>
      <w:numFmt w:val="bullet"/>
      <w:lvlText w:val="•"/>
      <w:lvlJc w:val="left"/>
      <w:pPr>
        <w:ind w:left="5830" w:hanging="432"/>
      </w:pPr>
      <w:rPr>
        <w:rFonts w:hint="default"/>
      </w:rPr>
    </w:lvl>
    <w:lvl w:ilvl="6">
      <w:start w:val="0"/>
      <w:numFmt w:val="bullet"/>
      <w:lvlText w:val="•"/>
      <w:lvlJc w:val="left"/>
      <w:pPr>
        <w:ind w:left="6864" w:hanging="432"/>
      </w:pPr>
      <w:rPr>
        <w:rFonts w:hint="default"/>
      </w:rPr>
    </w:lvl>
    <w:lvl w:ilvl="7">
      <w:start w:val="0"/>
      <w:numFmt w:val="bullet"/>
      <w:lvlText w:val="•"/>
      <w:lvlJc w:val="left"/>
      <w:pPr>
        <w:ind w:left="7898" w:hanging="432"/>
      </w:pPr>
      <w:rPr>
        <w:rFonts w:hint="default"/>
      </w:rPr>
    </w:lvl>
    <w:lvl w:ilvl="8">
      <w:start w:val="0"/>
      <w:numFmt w:val="bullet"/>
      <w:lvlText w:val="•"/>
      <w:lvlJc w:val="left"/>
      <w:pPr>
        <w:ind w:left="8932" w:hanging="432"/>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ind w:left="665" w:hanging="432"/>
    </w:pPr>
    <w:rPr>
      <w:rFonts w:ascii="Arial" w:hAnsi="Arial" w:eastAsia="Arial" w:cs="Arial"/>
    </w:rPr>
  </w:style>
  <w:style w:styleId="TableParagraph" w:type="paragraph">
    <w:name w:val="Table Paragraph"/>
    <w:basedOn w:val="Normal"/>
    <w:uiPriority w:val="1"/>
    <w:qFormat/>
    <w:pPr>
      <w:spacing w:before="142"/>
      <w:ind w:left="107"/>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www.fsa.gov.uk/pages/About/What/mmr/index.shtml"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8.png"/><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Speeches by David Miles</dc:subject>
  <dc:title>Mortgages, Housing and Monetary Policy - What Lies Ahead? - Speech by David Miles to the Northern Housing Consortium, York Racecourse on 22 November 2011</dc:title>
  <dcterms:created xsi:type="dcterms:W3CDTF">2020-06-02T18:04:48Z</dcterms:created>
  <dcterms:modified xsi:type="dcterms:W3CDTF">2020-06-02T18:04:48Z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2011-11-21T00:00:00Z</vt:filetime>
  </property>
  <property fmtid="{D5CDD505-2E9C-101B-9397-08002B2CF9AE}" pid="3" name="Creator">
    <vt:lpwstr>PScript5.dll Version 5.2.2</vt:lpwstr>
  </property>
  <property fmtid="{D5CDD505-2E9C-101B-9397-08002B2CF9AE}" pid="4" name="LastSaved">
    <vt:filetime>2020-06-02T00:00:00Z</vt:filetime>
  </property>
</Properties>
</file>