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608"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National Association of Pension Funds Annual Investment Conference</w:t>
      </w:r>
    </w:p>
    <w:p>
      <w:pPr>
        <w:pStyle w:val="BodyText"/>
        <w:spacing w:before="280"/>
        <w:ind w:left="352"/>
        <w:rPr>
          <w:rFonts w:ascii="Arial"/>
        </w:rPr>
      </w:pPr>
      <w:r>
        <w:rPr>
          <w:rFonts w:ascii="Arial"/>
        </w:rPr>
        <w:t>Speech given</w:t>
      </w:r>
      <w:r>
        <w:rPr>
          <w:rFonts w:ascii="Arial"/>
          <w:spacing w:val="-8"/>
        </w:rPr>
        <w:t> </w:t>
      </w:r>
      <w:r>
        <w:rPr>
          <w:rFonts w:ascii="Arial"/>
        </w:rPr>
        <w:t>by</w:t>
      </w:r>
    </w:p>
    <w:p>
      <w:pPr>
        <w:pStyle w:val="BodyText"/>
        <w:spacing w:line="360" w:lineRule="auto" w:before="137"/>
        <w:ind w:left="352" w:right="107"/>
        <w:rPr>
          <w:rFonts w:ascii="Arial"/>
        </w:rPr>
      </w:pPr>
      <w:r>
        <w:rPr>
          <w:rFonts w:ascii="Arial"/>
        </w:rPr>
        <w:t>Paul Tucker, Executive Director and Member of the Monetary Policy Committee, Bank of England</w:t>
      </w:r>
    </w:p>
    <w:p>
      <w:pPr>
        <w:pStyle w:val="BodyText"/>
        <w:spacing w:before="1"/>
        <w:rPr>
          <w:rFonts w:ascii="Arial"/>
          <w:sz w:val="36"/>
        </w:rPr>
      </w:pPr>
    </w:p>
    <w:p>
      <w:pPr>
        <w:pStyle w:val="BodyText"/>
        <w:spacing w:line="360" w:lineRule="auto"/>
        <w:ind w:left="352" w:right="2973"/>
        <w:rPr>
          <w:rFonts w:ascii="Arial"/>
        </w:rPr>
      </w:pPr>
      <w:r>
        <w:rPr>
          <w:rFonts w:ascii="Arial"/>
        </w:rPr>
        <w:t>At the Edinburgh International Conference Centre in Scotland 19 March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2"/>
        <w:ind w:left="117" w:right="929"/>
      </w:pPr>
      <w:r>
        <w:rPr/>
        <w:t>NAPF ANNUAL INVESTMENT CONFERENCE, EDINBURGH, 19 MARCH 2004: ‘KEYNOTE SPEECH’</w:t>
      </w:r>
    </w:p>
    <w:p>
      <w:pPr>
        <w:pStyle w:val="BodyText"/>
        <w:rPr>
          <w:b/>
          <w:sz w:val="26"/>
        </w:rPr>
      </w:pPr>
    </w:p>
    <w:p>
      <w:pPr>
        <w:pStyle w:val="BodyText"/>
        <w:rPr>
          <w:b/>
          <w:sz w:val="26"/>
        </w:rPr>
      </w:pPr>
    </w:p>
    <w:p>
      <w:pPr>
        <w:pStyle w:val="BodyText"/>
        <w:spacing w:before="9"/>
        <w:rPr>
          <w:b/>
          <w:sz w:val="31"/>
        </w:rPr>
      </w:pPr>
    </w:p>
    <w:p>
      <w:pPr>
        <w:pStyle w:val="BodyText"/>
        <w:spacing w:line="360" w:lineRule="auto"/>
        <w:ind w:left="117" w:right="339"/>
      </w:pPr>
      <w:r>
        <w:rPr/>
        <w:t>It’s very good to be here – or, I should say, good to be back. About seven or eight years ago I spoke to this conference about the raft of reforms then underway in the gilt market: repo, strips, regular auction schedules etc.</w:t>
      </w:r>
    </w:p>
    <w:p>
      <w:pPr>
        <w:pStyle w:val="BodyText"/>
        <w:spacing w:before="2"/>
        <w:rPr>
          <w:sz w:val="36"/>
        </w:rPr>
      </w:pPr>
    </w:p>
    <w:p>
      <w:pPr>
        <w:pStyle w:val="Heading1"/>
        <w:spacing w:before="1"/>
        <w:ind w:left="117"/>
      </w:pPr>
      <w:r>
        <w:rPr/>
        <w:t>Market intelligence and the Bank of England’s mission</w:t>
      </w:r>
    </w:p>
    <w:p>
      <w:pPr>
        <w:pStyle w:val="BodyText"/>
        <w:rPr>
          <w:b/>
          <w:sz w:val="26"/>
        </w:rPr>
      </w:pPr>
    </w:p>
    <w:p>
      <w:pPr>
        <w:pStyle w:val="BodyText"/>
        <w:spacing w:before="9"/>
        <w:rPr>
          <w:b/>
          <w:sz w:val="21"/>
        </w:rPr>
      </w:pPr>
    </w:p>
    <w:p>
      <w:pPr>
        <w:pStyle w:val="BodyText"/>
        <w:spacing w:line="360" w:lineRule="auto"/>
        <w:ind w:left="117" w:right="309"/>
      </w:pPr>
      <w:r>
        <w:rPr/>
        <w:t>Since the 1997-98 reforms that gave the Bank monetary independence, codified our financial stability role and created the FSA, gilt issuance has, of course, been the responsibility of the Debt Management Office. There is, though, an important continuity in the Bank’s role and outlook: seeking dialogue with market practitioners.  Just as many of those mid-1990s’ reforms came from listening to the asset managers who bought and held gilts, so now we seek a dialogue to support our core mission: monetary and financial system stability. Let me stress: the Bank’s interest in financial markets and participants in markets – and our use of market intelligence to help us figure out what is going on in markets – is undiminished. If anything, our range of interests and contacts has been expanding as financial markets become more sophisticated and integrated.</w:t>
      </w:r>
    </w:p>
    <w:p>
      <w:pPr>
        <w:pStyle w:val="BodyText"/>
        <w:spacing w:before="10"/>
        <w:rPr>
          <w:sz w:val="35"/>
        </w:rPr>
      </w:pPr>
    </w:p>
    <w:p>
      <w:pPr>
        <w:pStyle w:val="BodyText"/>
        <w:spacing w:line="360" w:lineRule="auto" w:before="1"/>
        <w:ind w:left="117" w:right="185"/>
      </w:pPr>
      <w:r>
        <w:rPr/>
        <w:t>On the </w:t>
      </w:r>
      <w:r>
        <w:rPr>
          <w:u w:val="single"/>
        </w:rPr>
        <w:t>monetary</w:t>
      </w:r>
      <w:r>
        <w:rPr/>
        <w:t> side, the main focus is on markets and financial intermediaries as part of the transmission mechanism through which our interest rate settings affect the economy: credit conditions, financial wealth, the exchange rate etc. And, of course, we implement policy in the money markets, with the yield curve reflecting expectations of the path of policy. This means that, on the monetary side of our business, we tend to focus on core markets – money markets and government bonds, equities, exchange rates. Markets that are, on the whole, pretty efficient. So our starting point – our default hypothesis, if you like – is to assume that asset prices in these markets reflect fundamentals, and that we can use them as a diagnostic of expectations of economic prospects and of the path of policy. We do not, though, kid ourselves that we can stop there. We are on the look out for where there are transitory or persistent frictions that distort the message from asset prices – for example, on account of regulation, features of the infrastructure, particular market conventions, or information asymmetries. Identifying and making sense of such frictions requires intelligence about actual markets in the real world. Plenty of examples come</w:t>
      </w:r>
      <w:r>
        <w:rPr>
          <w:spacing w:val="-17"/>
        </w:rPr>
        <w:t> </w:t>
      </w:r>
      <w:r>
        <w:rPr/>
        <w:t>to</w:t>
      </w:r>
    </w:p>
    <w:p>
      <w:pPr>
        <w:spacing w:after="0" w:line="360" w:lineRule="auto"/>
        <w:sectPr>
          <w:headerReference w:type="default" r:id="rId7"/>
          <w:pgSz w:w="11900" w:h="16840"/>
          <w:pgMar w:header="717" w:footer="0" w:top="1340" w:bottom="280" w:left="1140" w:right="980"/>
          <w:pgNumType w:start="2"/>
        </w:sectPr>
      </w:pPr>
    </w:p>
    <w:p>
      <w:pPr>
        <w:pStyle w:val="BodyText"/>
        <w:spacing w:line="360" w:lineRule="auto" w:before="80"/>
        <w:ind w:left="117" w:right="339"/>
      </w:pPr>
      <w:r>
        <w:rPr/>
        <w:t>mind that will be familiar to this audience, not least the hump that featured in the gilt forward curve for so many years on account of the demand for long-dated bonds from life companies and pension funds.</w:t>
      </w:r>
    </w:p>
    <w:p>
      <w:pPr>
        <w:pStyle w:val="BodyText"/>
        <w:spacing w:before="11"/>
        <w:rPr>
          <w:sz w:val="35"/>
        </w:rPr>
      </w:pPr>
    </w:p>
    <w:p>
      <w:pPr>
        <w:pStyle w:val="BodyText"/>
        <w:spacing w:line="360" w:lineRule="auto"/>
        <w:ind w:left="117" w:right="119"/>
      </w:pPr>
      <w:r>
        <w:rPr/>
        <w:t>On the </w:t>
      </w:r>
      <w:r>
        <w:rPr>
          <w:u w:val="single"/>
        </w:rPr>
        <w:t>financial stability</w:t>
      </w:r>
      <w:r>
        <w:rPr/>
        <w:t> side of our business, we think of markets as a medium for taking and hedging risk. Most of the time, they promote stability by dispersing risk. But they are also part of the mechanism through which a crisis could spread from one part of the system to others, including across product, sector and geographical boundaries. Contributing to avoiding, or containing, debilitating systemic disorder in markets is part of our mission. So for financial stability, the canvas is wide. We are on the look out for symptoms of actual or incipient stress: for example, high leverage coupled with ‘crowded’ trades – ie with ‘everyone’ positioned similarly – in markets that could prove illiquid just when trades are suddenly unwound.  In the event of a crisis, we are not going to be able to cope – indeed, the financial authorities collectively, here and internationally, are not going to be able to meet the challenge – unless we can comprehend the instruments and structures involved. Given the growing technical sophistication and complexity of today’s capital markets, that is unavoidably more difficult than a decade or more ago – a world in which exotic options, securitisation, hedge funds etc hardly featured. One precondition for doing our job properly is that we should understand how global financial markets and the key players in them fit together. Another is to understand modern risk management structures and</w:t>
      </w:r>
      <w:r>
        <w:rPr>
          <w:spacing w:val="-14"/>
        </w:rPr>
        <w:t> </w:t>
      </w:r>
      <w:r>
        <w:rPr/>
        <w:t>practices.</w:t>
      </w:r>
    </w:p>
    <w:p>
      <w:pPr>
        <w:pStyle w:val="BodyText"/>
        <w:spacing w:before="11"/>
        <w:rPr>
          <w:sz w:val="35"/>
        </w:rPr>
      </w:pPr>
    </w:p>
    <w:p>
      <w:pPr>
        <w:pStyle w:val="BodyText"/>
        <w:spacing w:line="360" w:lineRule="auto"/>
        <w:ind w:left="117" w:right="119"/>
      </w:pPr>
      <w:r>
        <w:rPr/>
        <w:t>For many of the core markets, we have a natural entry – in the sterling money markets because that is where we implement monetary policy; in the high-grade sovereign bond, swap and foreign exchange markets through our management of the government’s foreign exchange reserves and liabilities and of our own balance sheet. But for both monetary policy and financial stability, the Bank’s market surveillance role has to extend beyond those markets, including to a wide range of derivative markets and structured finance.</w:t>
      </w:r>
    </w:p>
    <w:p>
      <w:pPr>
        <w:pStyle w:val="BodyText"/>
        <w:rPr>
          <w:sz w:val="36"/>
        </w:rPr>
      </w:pPr>
    </w:p>
    <w:p>
      <w:pPr>
        <w:pStyle w:val="BodyText"/>
        <w:spacing w:line="360" w:lineRule="auto"/>
        <w:ind w:left="117" w:right="133"/>
      </w:pPr>
      <w:r>
        <w:rPr/>
        <w:t>This is not the kind of task we can begin to fulfil solely by sitting in our building doing desk-based analysis and research. That vital work has to be integrated with intelligence gained from a wealth of relationships across the market, both in the UK and overseas. Thanks to many of you here – </w:t>
      </w:r>
      <w:r>
        <w:rPr>
          <w:spacing w:val="-4"/>
        </w:rPr>
        <w:t>and </w:t>
      </w:r>
      <w:r>
        <w:rPr/>
        <w:t>I really do mean a big thank you – we already have a good network. But we have more to do. The Governor, Mervyn King, has asked me to develop a medium-term strategy to deliver our goals on this front, so I was really delighted to be invited here today to leave the Bank’s calling</w:t>
      </w:r>
      <w:r>
        <w:rPr>
          <w:spacing w:val="-15"/>
        </w:rPr>
        <w:t> </w:t>
      </w:r>
      <w:r>
        <w:rPr/>
        <w:t>card.</w:t>
      </w:r>
    </w:p>
    <w:p>
      <w:pPr>
        <w:spacing w:after="0" w:line="360" w:lineRule="auto"/>
        <w:sectPr>
          <w:pgSz w:w="11900" w:h="16840"/>
          <w:pgMar w:header="717" w:footer="0" w:top="1340" w:bottom="280" w:left="1140" w:right="980"/>
        </w:sectPr>
      </w:pPr>
    </w:p>
    <w:p>
      <w:pPr>
        <w:pStyle w:val="BodyText"/>
        <w:spacing w:line="360" w:lineRule="auto" w:before="80"/>
        <w:ind w:left="117" w:right="785"/>
      </w:pPr>
      <w:r>
        <w:rPr/>
        <w:t>With that bit of advertising out of the way, let me say something about how I see the current environment as it affects monetary policy and financial stability.</w:t>
      </w:r>
    </w:p>
    <w:p>
      <w:pPr>
        <w:pStyle w:val="BodyText"/>
        <w:spacing w:before="2"/>
        <w:rPr>
          <w:sz w:val="36"/>
        </w:rPr>
      </w:pPr>
    </w:p>
    <w:p>
      <w:pPr>
        <w:pStyle w:val="Heading1"/>
        <w:ind w:left="117"/>
      </w:pPr>
      <w:r>
        <w:rPr/>
        <w:t>The monetary policy environment</w:t>
      </w:r>
    </w:p>
    <w:p>
      <w:pPr>
        <w:pStyle w:val="BodyText"/>
        <w:rPr>
          <w:b/>
          <w:sz w:val="26"/>
        </w:rPr>
      </w:pPr>
    </w:p>
    <w:p>
      <w:pPr>
        <w:pStyle w:val="BodyText"/>
        <w:spacing w:before="9"/>
        <w:rPr>
          <w:b/>
          <w:sz w:val="21"/>
        </w:rPr>
      </w:pPr>
    </w:p>
    <w:p>
      <w:pPr>
        <w:pStyle w:val="BodyText"/>
        <w:spacing w:line="360" w:lineRule="auto"/>
        <w:ind w:left="117" w:right="158"/>
      </w:pPr>
      <w:r>
        <w:rPr/>
        <w:t>Compared with when you met at this event a year ago, conditions both for you as asset managers – or rather, I should stress, asset-liability managers – and for us as monetary policy makers are brighter in some important respects but uncomfortably familiar in others.</w:t>
      </w:r>
    </w:p>
    <w:p>
      <w:pPr>
        <w:pStyle w:val="BodyText"/>
        <w:rPr>
          <w:sz w:val="36"/>
        </w:rPr>
      </w:pPr>
    </w:p>
    <w:p>
      <w:pPr>
        <w:pStyle w:val="BodyText"/>
        <w:spacing w:line="360" w:lineRule="auto"/>
        <w:ind w:left="117" w:right="105"/>
      </w:pPr>
      <w:r>
        <w:rPr/>
        <w:t>Most obviously in the context of today’s event, equity prices are some 15% off their March 2003 low, even after the falls since the second half of last week. And default risk in the corporate bond markets seems to have receded – partly reflecting balance sheet restructuring amongst large corporates on both sides of the Atlantic, itself aided by low yields encouraging firms to extend debt maturities.</w:t>
      </w:r>
    </w:p>
    <w:p>
      <w:pPr>
        <w:pStyle w:val="BodyText"/>
        <w:rPr>
          <w:sz w:val="36"/>
        </w:rPr>
      </w:pPr>
    </w:p>
    <w:p>
      <w:pPr>
        <w:pStyle w:val="BodyText"/>
        <w:spacing w:line="360" w:lineRule="auto" w:before="1"/>
        <w:ind w:left="117" w:right="425"/>
      </w:pPr>
      <w:r>
        <w:rPr/>
        <w:t>These improvements in asset markets have, of course, both reflected and contributed to stronger global macroeconomic conditions. I was recently asked at a conference whether the external environment mattered to UK monetary policy – with a goal specified in terms of preserving domestic purchasing power, did we look beyond the domestic economy?</w:t>
      </w:r>
    </w:p>
    <w:p>
      <w:pPr>
        <w:pStyle w:val="BodyText"/>
        <w:spacing w:before="10"/>
        <w:rPr>
          <w:sz w:val="35"/>
        </w:rPr>
      </w:pPr>
    </w:p>
    <w:p>
      <w:pPr>
        <w:pStyle w:val="BodyText"/>
        <w:spacing w:line="360" w:lineRule="auto"/>
        <w:ind w:left="117" w:right="241"/>
      </w:pPr>
      <w:r>
        <w:rPr/>
        <w:t>In fact, of course, as a highly open economy, the UK is very much affected by international conditions: more so than either the US or the euro area.  Indeed, for some years now, UK monetary policy has been directed at offsetting weaknesses in the external environment. In other words, we have been stimulating domestic spending in order to keep aggregate demand more or less in line with the expansion in the economy’s productive potential, consistent with keeping inflation expectations in line with our target. In terms of our mandate, it has worked: inflation has stayed pretty close to target, averaging 2.3% on the RPIX measure since the beginning of</w:t>
      </w:r>
      <w:r>
        <w:rPr>
          <w:spacing w:val="-20"/>
        </w:rPr>
        <w:t> </w:t>
      </w:r>
      <w:r>
        <w:rPr/>
        <w:t>2000.</w:t>
      </w:r>
    </w:p>
    <w:p>
      <w:pPr>
        <w:pStyle w:val="BodyText"/>
        <w:spacing w:line="360" w:lineRule="auto"/>
        <w:ind w:left="117" w:right="285"/>
      </w:pPr>
      <w:r>
        <w:rPr/>
        <w:t>But as is now familiar, this has been accompanied by accumulating ‘imbalances’ in the economy, manifested in a variety of ways – weak manufacturing but strong services; consumption growing well above its long run average rate for the past three years, or more rapidly than disposable income since; rapid accumulation of debt by the household sector alongside burgeoning house price inflation.</w:t>
      </w:r>
    </w:p>
    <w:p>
      <w:pPr>
        <w:spacing w:after="0" w:line="360" w:lineRule="auto"/>
        <w:sectPr>
          <w:pgSz w:w="11900" w:h="16840"/>
          <w:pgMar w:header="717" w:footer="0" w:top="1340" w:bottom="280" w:left="1140" w:right="980"/>
        </w:sectPr>
      </w:pPr>
    </w:p>
    <w:p>
      <w:pPr>
        <w:pStyle w:val="BodyText"/>
        <w:spacing w:line="360" w:lineRule="auto" w:before="80"/>
        <w:ind w:left="117" w:right="285"/>
      </w:pPr>
      <w:r>
        <w:rPr/>
        <w:t>That strategy has in principle always had limits, but whether they would be tested – and whether we would identify them – has depended, in part, on external prospects. Other things being equal, the healthier the international environment, the more we could withdraw the stimulus to domestic spending.</w:t>
      </w:r>
    </w:p>
    <w:p>
      <w:pPr>
        <w:pStyle w:val="BodyText"/>
        <w:spacing w:before="11"/>
        <w:rPr>
          <w:sz w:val="35"/>
        </w:rPr>
      </w:pPr>
    </w:p>
    <w:p>
      <w:pPr>
        <w:pStyle w:val="BodyText"/>
        <w:spacing w:line="360" w:lineRule="auto"/>
        <w:ind w:left="117" w:right="133"/>
      </w:pPr>
      <w:r>
        <w:rPr/>
        <w:t>For policy, that is the significance of the recovery over the past year in the US. Until last summer, the risks looked to me to be pretty clearly weighted to the downside relative to a central projection of a fairly rapid return to trend levels of output. But, after declining for five quarters, business investment spending in the US has bounced back since Q2, with output recovering rapidly back towards trend and capacity utilisation rising. Risks do nevertheless remain.  For a while last autumn it looked like the recovery in demand was being accompanied by similarly robust job growth, but since December net job creation has fallen back to well below the average rate of growth of the workforce. Commentators – and policymakers, it should be said – take two views on this. The first view sees employment picking up in an environment of sustained output growth and reduced scope, over time, for extracting greater efficiency from current labour and capital inputs at the rates recently achieved. That’s persuasive, particularly with US monetary policy remaining so accommodative. The other view worries that protracted weakness in the jobs market could dent household confidence and so spending, slowing output growth. US surveys suggest that sentiment </w:t>
      </w:r>
      <w:r>
        <w:rPr>
          <w:u w:val="single"/>
        </w:rPr>
        <w:t>is</w:t>
      </w:r>
      <w:r>
        <w:rPr/>
        <w:t> sensitive to job prospects, but so far spending has remained robust, as has house price inflation (over 3½% quarter-on-quarter in Q4). My take is that the most likely outlook is positive but that downside risks have, again, become</w:t>
      </w:r>
      <w:r>
        <w:rPr>
          <w:spacing w:val="-1"/>
        </w:rPr>
        <w:t> </w:t>
      </w:r>
      <w:r>
        <w:rPr/>
        <w:t>tangible.</w:t>
      </w:r>
    </w:p>
    <w:p>
      <w:pPr>
        <w:pStyle w:val="BodyText"/>
        <w:spacing w:before="11"/>
        <w:rPr>
          <w:sz w:val="35"/>
        </w:rPr>
      </w:pPr>
    </w:p>
    <w:p>
      <w:pPr>
        <w:pStyle w:val="BodyText"/>
        <w:spacing w:line="360" w:lineRule="auto"/>
        <w:ind w:left="117" w:right="158"/>
      </w:pPr>
      <w:r>
        <w:rPr/>
        <w:t>I think it is fair to say that analysis of the euro area is tougher – on both the monetary policy and financial stability sides of our business. Essentially, that reflects less timely and rich data, together with varying regional conditions – and so economic stories – across the area. For some time now, we have been forecasting recovery. That is based on stimulative monetary policy – short real rates are around zero in the euro area as a whole – and some recovery in consumer and, particularly, business confidence. Signs of recovery have, though, recently been more apparent in the surveys than in the data. In particular, domestic demand has remained weak, although it picked up in France in Q4. In Germany, not only has household spending been subdued, but investment (at current prices) is lower relative to economy-wide output than at any time since unification. On the one hand, that suggests that there is plenty of scope for recovery back to trend levels. But, on the other hand, there has to be some risk – perhaps not high – that trend output growth is down a bit.</w:t>
      </w:r>
    </w:p>
    <w:p>
      <w:pPr>
        <w:pStyle w:val="BodyText"/>
        <w:ind w:left="117"/>
      </w:pPr>
      <w:r>
        <w:rPr/>
        <w:t>If so, and </w:t>
      </w:r>
      <w:r>
        <w:rPr>
          <w:u w:val="single"/>
        </w:rPr>
        <w:t>if</w:t>
      </w:r>
      <w:r>
        <w:rPr/>
        <w:t> that were to have adverse knock-on effects on other parts of the euro area, it would</w:t>
      </w:r>
    </w:p>
    <w:p>
      <w:pPr>
        <w:spacing w:after="0"/>
        <w:sectPr>
          <w:pgSz w:w="11900" w:h="16840"/>
          <w:pgMar w:header="717" w:footer="0" w:top="1340" w:bottom="280" w:left="1140" w:right="980"/>
        </w:sectPr>
      </w:pPr>
    </w:p>
    <w:p>
      <w:pPr>
        <w:pStyle w:val="BodyText"/>
        <w:spacing w:line="360" w:lineRule="auto" w:before="80"/>
        <w:ind w:left="117" w:right="241"/>
      </w:pPr>
      <w:r>
        <w:rPr/>
        <w:t>create downside risks for us as the euro area is by far our largest trading partner. For the moment, I continue to place greater weight on the encouraging surveys.</w:t>
      </w:r>
    </w:p>
    <w:p>
      <w:pPr>
        <w:pStyle w:val="BodyText"/>
        <w:spacing w:before="11"/>
        <w:rPr>
          <w:sz w:val="35"/>
        </w:rPr>
      </w:pPr>
    </w:p>
    <w:p>
      <w:pPr>
        <w:pStyle w:val="BodyText"/>
        <w:spacing w:line="360" w:lineRule="auto"/>
        <w:ind w:left="117" w:right="105"/>
      </w:pPr>
      <w:r>
        <w:rPr/>
        <w:t>The euro area may be our biggest trading partner, but conditions in the rest of the world make quite a difference to us, both directly and indirectly. In fact, growth has been so strong in parts of Asia that in 2002-03, the ‘rest of the world’ contributed more than a percentage point on average to</w:t>
      </w:r>
    </w:p>
    <w:p>
      <w:pPr>
        <w:pStyle w:val="BodyText"/>
        <w:spacing w:line="360" w:lineRule="auto"/>
        <w:ind w:left="117" w:right="339"/>
      </w:pPr>
      <w:r>
        <w:rPr/>
        <w:t>UK-weighted world output growth. The outlook in various parts of Asia and the Far East may mean we have a second engine of global growth alongside the US.</w:t>
      </w:r>
    </w:p>
    <w:p>
      <w:pPr>
        <w:pStyle w:val="BodyText"/>
        <w:rPr>
          <w:sz w:val="36"/>
        </w:rPr>
      </w:pPr>
    </w:p>
    <w:p>
      <w:pPr>
        <w:pStyle w:val="BodyText"/>
        <w:spacing w:line="360" w:lineRule="auto"/>
        <w:ind w:left="117" w:right="153"/>
      </w:pPr>
      <w:r>
        <w:rPr/>
        <w:t>The domestic picture has also gradually changed since the autumn. Last October, there were the upward revisions to the Q2 GDP data, a pick up in business surveys, and greater-than-expected strength in the housing market.   Taken alongside diminished risks in the external environment, that was enough for me to vote for a 25bp rise. I regarded that as unwinding the Committee’s July cut, which I had viewed as ‘precautionary’ or ‘insurance’ against the downside risks then</w:t>
      </w:r>
      <w:r>
        <w:rPr>
          <w:spacing w:val="-12"/>
        </w:rPr>
        <w:t> </w:t>
      </w:r>
      <w:r>
        <w:rPr/>
        <w:t>apparent.</w:t>
      </w:r>
    </w:p>
    <w:p>
      <w:pPr>
        <w:pStyle w:val="BodyText"/>
        <w:rPr>
          <w:sz w:val="36"/>
        </w:rPr>
      </w:pPr>
    </w:p>
    <w:p>
      <w:pPr>
        <w:pStyle w:val="BodyText"/>
        <w:spacing w:line="360" w:lineRule="auto" w:before="1"/>
        <w:ind w:left="117" w:right="140"/>
      </w:pPr>
      <w:r>
        <w:rPr/>
        <w:t>In the event, the MPC’s rate was raised a month later, November, and since then the debate about the course of policy has altered somewhat. There have been references to ‘caution’ in raising rates, and to moving ‘gradually’ as medium-term inflationary pressures mount. I hope I can provide some clarity about what those terms mean for</w:t>
      </w:r>
      <w:r>
        <w:rPr>
          <w:spacing w:val="-1"/>
        </w:rPr>
        <w:t> </w:t>
      </w:r>
      <w:r>
        <w:rPr/>
        <w:t>me.</w:t>
      </w:r>
    </w:p>
    <w:p>
      <w:pPr>
        <w:pStyle w:val="BodyText"/>
        <w:spacing w:before="10"/>
        <w:rPr>
          <w:sz w:val="35"/>
        </w:rPr>
      </w:pPr>
    </w:p>
    <w:p>
      <w:pPr>
        <w:pStyle w:val="BodyText"/>
        <w:spacing w:line="360" w:lineRule="auto"/>
        <w:ind w:left="117" w:right="138"/>
      </w:pPr>
      <w:r>
        <w:rPr/>
        <w:t>Our January minutes recorded that if the economy evolved as envisaged in the November </w:t>
      </w:r>
      <w:r>
        <w:rPr>
          <w:i/>
        </w:rPr>
        <w:t>Inflation </w:t>
      </w:r>
      <w:r>
        <w:rPr>
          <w:i/>
        </w:rPr>
        <w:t>Report</w:t>
      </w:r>
      <w:r>
        <w:rPr/>
        <w:t>, with inflationary pressures gradually building, then a gradual rise in interest rates would be necessary. We are in a similar position now. The February increase in the MPC’s rate, bringing it to 4%, leaves policy stimulating the economy. Indeed, I prefer to think of our recent policy adjustments as withdrawing </w:t>
      </w:r>
      <w:r>
        <w:rPr>
          <w:u w:val="single"/>
        </w:rPr>
        <w:t>some</w:t>
      </w:r>
      <w:r>
        <w:rPr/>
        <w:t> – but not all – of the previous stimulus.</w:t>
      </w:r>
    </w:p>
    <w:p>
      <w:pPr>
        <w:pStyle w:val="BodyText"/>
        <w:rPr>
          <w:sz w:val="36"/>
        </w:rPr>
      </w:pPr>
    </w:p>
    <w:p>
      <w:pPr>
        <w:pStyle w:val="BodyText"/>
        <w:spacing w:line="360" w:lineRule="auto"/>
        <w:ind w:left="117" w:right="265"/>
      </w:pPr>
      <w:r>
        <w:rPr/>
        <w:t>If, as projected, output continues to grow above trend then, depending of course on any other developments affecting the outlook, I for one would expect us to continue gradually to reduce the degree of stimulus to demand broadly in line with the take up of slack in the economy and any consequent pick up in inflationary pressures looking ahead. That seems to be more or less the view of the market, as reflected in our February </w:t>
      </w:r>
      <w:r>
        <w:rPr>
          <w:i/>
        </w:rPr>
        <w:t>Inflation Report </w:t>
      </w:r>
      <w:r>
        <w:rPr/>
        <w:t>projections using market interest rates; and in the implied forward curve, derived from index-linked gilts, for short-maturity real rates relative to longer-maturity real rates, which in principle should not be affected by cyclical variations (Chart 1).</w:t>
      </w:r>
    </w:p>
    <w:p>
      <w:pPr>
        <w:spacing w:after="0" w:line="360" w:lineRule="auto"/>
        <w:sectPr>
          <w:pgSz w:w="11900" w:h="16840"/>
          <w:pgMar w:header="717" w:footer="0" w:top="1340" w:bottom="280" w:left="1140" w:right="980"/>
        </w:sectPr>
      </w:pPr>
    </w:p>
    <w:p>
      <w:pPr>
        <w:pStyle w:val="BodyText"/>
        <w:rPr>
          <w:sz w:val="20"/>
        </w:rPr>
      </w:pPr>
    </w:p>
    <w:p>
      <w:pPr>
        <w:pStyle w:val="BodyText"/>
        <w:spacing w:before="10"/>
        <w:rPr>
          <w:sz w:val="22"/>
        </w:rPr>
      </w:pPr>
    </w:p>
    <w:p>
      <w:pPr>
        <w:pStyle w:val="BodyText"/>
        <w:spacing w:line="360" w:lineRule="auto" w:before="1"/>
        <w:ind w:left="117" w:right="177"/>
      </w:pPr>
      <w:r>
        <w:rPr/>
        <w:t>While policy must be forward-looking rather than overly focused on the current rate of inflation, which at 1.3% in February is obviously below our 2% CPI target, there is already some evidence of inflationary pressure. Looking at the categories of goods and services in the CPI basket, the median rate of inflation has risen over the past year or so, as have the 70</w:t>
      </w:r>
      <w:r>
        <w:rPr>
          <w:vertAlign w:val="superscript"/>
        </w:rPr>
        <w:t>th</w:t>
      </w:r>
      <w:r>
        <w:rPr>
          <w:vertAlign w:val="baseline"/>
        </w:rPr>
        <w:t> and 30</w:t>
      </w:r>
      <w:r>
        <w:rPr>
          <w:vertAlign w:val="superscript"/>
        </w:rPr>
        <w:t>th</w:t>
      </w:r>
      <w:r>
        <w:rPr>
          <w:vertAlign w:val="baseline"/>
        </w:rPr>
        <w:t> percentiles (ie cutting out the categories for which prices have risen most and least in order to exclude erratic changes) (Chart 2). But we take a month at a time. As each month passes, data may reveal that</w:t>
      </w:r>
      <w:r>
        <w:rPr>
          <w:spacing w:val="-28"/>
          <w:vertAlign w:val="baseline"/>
        </w:rPr>
        <w:t> </w:t>
      </w:r>
      <w:r>
        <w:rPr>
          <w:vertAlign w:val="baseline"/>
        </w:rPr>
        <w:t>the outlook is either weaker or stronger than</w:t>
      </w:r>
      <w:r>
        <w:rPr>
          <w:spacing w:val="-5"/>
          <w:vertAlign w:val="baseline"/>
        </w:rPr>
        <w:t> </w:t>
      </w:r>
      <w:r>
        <w:rPr>
          <w:vertAlign w:val="baseline"/>
        </w:rPr>
        <w:t>expected.</w:t>
      </w:r>
    </w:p>
    <w:p>
      <w:pPr>
        <w:pStyle w:val="BodyText"/>
        <w:rPr>
          <w:sz w:val="36"/>
        </w:rPr>
      </w:pPr>
    </w:p>
    <w:p>
      <w:pPr>
        <w:pStyle w:val="BodyText"/>
        <w:spacing w:line="360" w:lineRule="auto"/>
        <w:ind w:left="117" w:right="241"/>
      </w:pPr>
      <w:r>
        <w:rPr/>
        <w:t>This takes me to what has been said about ‘caution’ in raising rates, which at times has perhaps been misconstrued as implying ‘hesitant’. The idea here is that we care about the extent to which inflation varies around the target and so, amongst other things, about the degree of uncertainty about the effect on inflation of changes in our interest rate. The marked increases in household debt do somewhat increase that uncertainty. With higher debts relative to incomes, interest rate changes will tend to have a bigger effect on the income that households have free to spend after servicing their debts. But we do not </w:t>
      </w:r>
      <w:r>
        <w:rPr>
          <w:u w:val="single"/>
        </w:rPr>
        <w:t>know</w:t>
      </w:r>
      <w:r>
        <w:rPr/>
        <w:t> what the sensitivities are. The implication is that, other things being equal, policy would tend to move towards neutral more slowly than would otherwise be optimal, or ‘cautiously’ for want of a better word.</w:t>
      </w:r>
    </w:p>
    <w:p>
      <w:pPr>
        <w:pStyle w:val="BodyText"/>
        <w:spacing w:before="10"/>
        <w:rPr>
          <w:sz w:val="35"/>
        </w:rPr>
      </w:pPr>
    </w:p>
    <w:p>
      <w:pPr>
        <w:pStyle w:val="BodyText"/>
        <w:spacing w:line="360" w:lineRule="auto"/>
        <w:ind w:left="117" w:right="439"/>
      </w:pPr>
      <w:r>
        <w:rPr/>
        <w:t>But care is needed here, as developments in the economy associated with the debt accumulation have other possible implications. I want to mention two.</w:t>
      </w:r>
    </w:p>
    <w:p>
      <w:pPr>
        <w:pStyle w:val="BodyText"/>
        <w:rPr>
          <w:sz w:val="36"/>
        </w:rPr>
      </w:pPr>
    </w:p>
    <w:p>
      <w:pPr>
        <w:pStyle w:val="BodyText"/>
        <w:spacing w:line="360" w:lineRule="auto" w:before="1"/>
        <w:ind w:left="117" w:right="139"/>
      </w:pPr>
      <w:r>
        <w:rPr/>
        <w:t>First, household borrowing has grown alongside a robust housing market.  The ratio of house prices to earnings is up by over 40 percentage points since 2001. The increased value of collateral consequently available to households to secure borrowing has, unsurprisingly, been evident in mortgage equity withdrawal, which as a percentage of personal disposable income is estimated to have reached around 7% in the third quarter of last year. Some of that borrowing has probably substituted for more expensive unsecured debt; some of it has been used to finance consumption. Either way, the increased collateral values will plausibly have reduced the credit constraints faced by some households. If so, other things being equal, the short-run effect may have been to increase slightly the level of interest rates at which output and inflation are stabilised. So the same underlying phenomenon could have more than one effect on the optimal path of interest</w:t>
      </w:r>
      <w:r>
        <w:rPr>
          <w:spacing w:val="-6"/>
        </w:rPr>
        <w:t> </w:t>
      </w:r>
      <w:r>
        <w:rPr/>
        <w:t>rates.</w:t>
      </w:r>
    </w:p>
    <w:p>
      <w:pPr>
        <w:spacing w:after="0" w:line="360" w:lineRule="auto"/>
        <w:sectPr>
          <w:pgSz w:w="11900" w:h="16840"/>
          <w:pgMar w:header="717" w:footer="0" w:top="1340" w:bottom="280" w:left="1140" w:right="980"/>
        </w:sectPr>
      </w:pPr>
    </w:p>
    <w:p>
      <w:pPr>
        <w:pStyle w:val="BodyText"/>
        <w:spacing w:line="360" w:lineRule="auto" w:before="80"/>
        <w:ind w:left="117" w:right="265"/>
      </w:pPr>
      <w:r>
        <w:rPr/>
        <w:t>The second point is that, although there has been some deceleration since the end of 2002, house prices have continued to rise more rapidly than expected over recent months. This is not especially a London or South East of England thing. Over the past nine months or so, prices have risen more strongly in the north of England, Scotland and Wales. Indeed, the regional dispersion of house price inflation remains very high by historical standards (Chart 3 and 4).</w:t>
      </w:r>
    </w:p>
    <w:p>
      <w:pPr>
        <w:pStyle w:val="BodyText"/>
        <w:rPr>
          <w:sz w:val="36"/>
        </w:rPr>
      </w:pPr>
    </w:p>
    <w:p>
      <w:pPr>
        <w:pStyle w:val="BodyText"/>
        <w:spacing w:line="360" w:lineRule="auto"/>
        <w:ind w:left="117" w:right="152"/>
      </w:pPr>
      <w:r>
        <w:rPr/>
        <w:t>For the UK as a whole, relative to the path we incorporated into our February projections, there appear to be upside risks in the near-term. As well as straightforward momentum, that would seem to be the message from the rise over the past few months of the ratio of the number of houses sold by estate agents to the stocks of unsold houses on their books – one measure of ‘tightness’ in the market.  This has been a reasonable contemporaneous, or even slightly leading, indicator in the past (Chart 5). The significance for policy is that, taken together with fairly buoyant business surveys, it suggests that the near-term outlook for domestic demand may be slightly stronger than it looked a couple of months ago. We will need to consider that in reaching our policy judgment, alongside other developments, including risks in the international</w:t>
      </w:r>
      <w:r>
        <w:rPr>
          <w:spacing w:val="-3"/>
        </w:rPr>
        <w:t> </w:t>
      </w:r>
      <w:r>
        <w:rPr/>
        <w:t>environment.</w:t>
      </w:r>
    </w:p>
    <w:p>
      <w:pPr>
        <w:pStyle w:val="BodyText"/>
        <w:rPr>
          <w:sz w:val="36"/>
        </w:rPr>
      </w:pPr>
    </w:p>
    <w:p>
      <w:pPr>
        <w:pStyle w:val="BodyText"/>
        <w:spacing w:line="360" w:lineRule="auto"/>
        <w:ind w:left="117" w:right="120"/>
      </w:pPr>
      <w:r>
        <w:rPr/>
        <w:t>But, in addition, it separately suggests an argument to be placed alongside that in favour of ‘caution’. Namely, that it could be argued that policy may need to be tighter than would otherwise be the case in order to arrest somewhat the continuing strength in the household sector. The argument would be that we should try to reduce the risk of an abrupt correction, which would complicate monetary policy and so make achievement of the inflation target more uncertain further ahead. This is an argument that has to be weighed alongside the analysis pointing towards ‘caution’. I would not, however, subscribe to making a surprise policy tightening as a form of shock therapy. One of the emphases of the MPC’s approach has been to do our utmost to help households, businesses and financial markets to understand our strategy and, in particular, how we react to developments in the economy.</w:t>
      </w:r>
    </w:p>
    <w:p>
      <w:pPr>
        <w:pStyle w:val="BodyText"/>
        <w:spacing w:before="11"/>
        <w:rPr>
          <w:sz w:val="35"/>
        </w:rPr>
      </w:pPr>
    </w:p>
    <w:p>
      <w:pPr>
        <w:pStyle w:val="BodyText"/>
        <w:spacing w:line="360" w:lineRule="auto"/>
        <w:ind w:left="117" w:right="165"/>
      </w:pPr>
      <w:r>
        <w:rPr/>
        <w:t>From my perspective, that was the backdrop to the Committee’s debate and to my vote at our most recent meeting at the beginning of March. A tightening then would have come as a surprise. My own view was that there was not sufficient evidence to construct a compelling explanation for a rise in terms of the outlook for inflation. And that being so, I was concerned that an</w:t>
      </w:r>
    </w:p>
    <w:p>
      <w:pPr>
        <w:pStyle w:val="BodyText"/>
        <w:spacing w:line="360" w:lineRule="auto"/>
        <w:ind w:left="117" w:right="319"/>
      </w:pPr>
      <w:r>
        <w:rPr/>
        <w:t>earlier-than-expected policy change might well have been misunderstood as implying that my, or more broadly the Committee’s, policy reaction function had changed for some reason. With inflation expectations well anchored, that was not a risk worth taking. So I voted for no change.</w:t>
      </w:r>
    </w:p>
    <w:p>
      <w:pPr>
        <w:spacing w:after="0" w:line="360" w:lineRule="auto"/>
        <w:sectPr>
          <w:pgSz w:w="11900" w:h="16840"/>
          <w:pgMar w:header="717" w:footer="0" w:top="1340" w:bottom="280" w:left="1140" w:right="980"/>
        </w:sectPr>
      </w:pPr>
    </w:p>
    <w:p>
      <w:pPr>
        <w:pStyle w:val="BodyText"/>
        <w:spacing w:line="360" w:lineRule="auto" w:before="80"/>
        <w:ind w:left="117" w:right="278"/>
      </w:pPr>
      <w:r>
        <w:rPr/>
        <w:t>Looking ahead, I just take one month at a time, assessing the domestic and international data, and revising my view of the outlook where necessary.</w:t>
      </w:r>
    </w:p>
    <w:p>
      <w:pPr>
        <w:pStyle w:val="BodyText"/>
        <w:spacing w:before="2"/>
        <w:rPr>
          <w:sz w:val="36"/>
        </w:rPr>
      </w:pPr>
    </w:p>
    <w:p>
      <w:pPr>
        <w:pStyle w:val="Heading1"/>
        <w:ind w:left="117"/>
      </w:pPr>
      <w:r>
        <w:rPr/>
        <w:t>Financial stability environment</w:t>
      </w:r>
    </w:p>
    <w:p>
      <w:pPr>
        <w:pStyle w:val="BodyText"/>
        <w:rPr>
          <w:b/>
          <w:sz w:val="26"/>
        </w:rPr>
      </w:pPr>
    </w:p>
    <w:p>
      <w:pPr>
        <w:pStyle w:val="BodyText"/>
        <w:spacing w:before="9"/>
        <w:rPr>
          <w:b/>
          <w:sz w:val="21"/>
        </w:rPr>
      </w:pPr>
    </w:p>
    <w:p>
      <w:pPr>
        <w:pStyle w:val="BodyText"/>
        <w:spacing w:line="360" w:lineRule="auto"/>
        <w:ind w:left="117" w:right="112"/>
      </w:pPr>
      <w:r>
        <w:rPr/>
        <w:t>A few words on financial stability. The past year or so has also brought calmer conditions in most financial markets. Signs of some potential fragility were perhaps most evident around October 2002. Credit default swap prices for a number of the world’s largest banks registered sharp rises as losses in corporate loan portfolios, and volatile trading revenues coincided with an uncertain macro outlook, the unwinding of the equity bubble, continuing worries about some emerging market economies, and the fallout from Enron and Worldcom.</w:t>
      </w:r>
    </w:p>
    <w:p>
      <w:pPr>
        <w:pStyle w:val="BodyText"/>
        <w:rPr>
          <w:sz w:val="36"/>
        </w:rPr>
      </w:pPr>
    </w:p>
    <w:p>
      <w:pPr>
        <w:pStyle w:val="BodyText"/>
        <w:spacing w:line="360" w:lineRule="auto"/>
        <w:ind w:left="117" w:right="262"/>
      </w:pPr>
      <w:r>
        <w:rPr/>
        <w:t>On the whole, the environment now looks somewhat more comfortable. In the equity markets, realised and forward-looking volatility is down, and the IPO market seems to have sprung back to life. Most measures of credit risk – spreads, credit default swap premia, default rates, ratings downgrades-to-upgrades – have improved (Chart 6). At the banks and dealers, profits have been used to bolster or replenish capital; and credit default spreads are lower for virtually all banks (Chart 7).</w:t>
      </w:r>
    </w:p>
    <w:p>
      <w:pPr>
        <w:pStyle w:val="BodyText"/>
        <w:spacing w:before="11"/>
        <w:rPr>
          <w:sz w:val="35"/>
        </w:rPr>
      </w:pPr>
    </w:p>
    <w:p>
      <w:pPr>
        <w:pStyle w:val="BodyText"/>
        <w:spacing w:line="360" w:lineRule="auto"/>
        <w:ind w:left="117" w:right="117"/>
      </w:pPr>
      <w:r>
        <w:rPr/>
        <w:t>But the environment is not without hazards. One may be sourced in the ‘search for yield’ that has been a feature of international markets over the past [18] months or so – as evidenced, for example, by record inflows into hedge funds and into emerging market and high-yield bond mutual funds in the US (Chart 8). Just as eighteen months ago some commentators asked whether credit spreads may have overshot on the upside, over the past few months some have wondered whether they might have overshot on the downside – although there has perhaps been a degree of correction since</w:t>
      </w:r>
      <w:r>
        <w:rPr>
          <w:spacing w:val="-1"/>
        </w:rPr>
        <w:t> </w:t>
      </w:r>
      <w:r>
        <w:rPr/>
        <w:t>January.</w:t>
      </w:r>
    </w:p>
    <w:p>
      <w:pPr>
        <w:pStyle w:val="BodyText"/>
        <w:rPr>
          <w:sz w:val="36"/>
        </w:rPr>
      </w:pPr>
    </w:p>
    <w:p>
      <w:pPr>
        <w:pStyle w:val="BodyText"/>
        <w:spacing w:line="360" w:lineRule="auto"/>
        <w:ind w:left="117" w:right="419"/>
      </w:pPr>
      <w:r>
        <w:rPr/>
        <w:t>Separately, the global pattern of current account deficits and surpluses creates risks for financial markets, most obviously the foreign exchange markets – although, as I have taken to noting on these occasions, one wouldn’t guess that from what seem to be quite low implied volatilities on most currency pairs.</w:t>
      </w:r>
    </w:p>
    <w:p>
      <w:pPr>
        <w:pStyle w:val="BodyText"/>
        <w:rPr>
          <w:sz w:val="36"/>
        </w:rPr>
      </w:pPr>
    </w:p>
    <w:p>
      <w:pPr>
        <w:pStyle w:val="BodyText"/>
        <w:spacing w:line="360" w:lineRule="auto"/>
        <w:ind w:left="117" w:right="472"/>
      </w:pPr>
      <w:r>
        <w:rPr/>
        <w:t>Perhaps more significantly, there are risks of volatility in fixed-income markets given the inevitable uncertainty about the path that the FOMC will take back towards a more neutral rate.</w:t>
      </w:r>
    </w:p>
    <w:p>
      <w:pPr>
        <w:spacing w:after="0" w:line="360" w:lineRule="auto"/>
        <w:sectPr>
          <w:pgSz w:w="11900" w:h="16840"/>
          <w:pgMar w:header="717" w:footer="0" w:top="1340" w:bottom="280" w:left="1140" w:right="980"/>
        </w:sectPr>
      </w:pPr>
    </w:p>
    <w:p>
      <w:pPr>
        <w:pStyle w:val="BodyText"/>
        <w:spacing w:line="360" w:lineRule="auto" w:before="80"/>
        <w:ind w:left="117" w:right="339"/>
      </w:pPr>
      <w:r>
        <w:rPr/>
        <w:t>There </w:t>
      </w:r>
      <w:r>
        <w:rPr>
          <w:u w:val="single"/>
        </w:rPr>
        <w:t>are</w:t>
      </w:r>
      <w:r>
        <w:rPr/>
        <w:t> signs of that uncertainty in options markets (Chart 9). Those implied volatilities might be exaggerated by the bid for options to manage the negative convexity of US mortgage-backed security portfolios. But, in terms of the risk of volatile markets, that convexity hedging can itself create strains, as events during July-August last year underlined rather graphically.</w:t>
      </w:r>
    </w:p>
    <w:p>
      <w:pPr>
        <w:pStyle w:val="BodyText"/>
        <w:spacing w:before="11"/>
        <w:rPr>
          <w:sz w:val="35"/>
        </w:rPr>
      </w:pPr>
    </w:p>
    <w:p>
      <w:pPr>
        <w:pStyle w:val="BodyText"/>
        <w:spacing w:line="360" w:lineRule="auto"/>
        <w:ind w:left="117" w:right="280"/>
      </w:pPr>
      <w:r>
        <w:rPr/>
        <w:t>I mention the US MBS market because I guess it has some interest to you given your demand for long-duration fixed-income assets to match long-dated fixed-income-like liabilities etc. So it was good to see that, in his review of the UK mortgage market, David Miles flags the importance of thinking through how any prepayment risk in UK fixed-income mortgages could be managed.</w:t>
      </w:r>
    </w:p>
    <w:p>
      <w:pPr>
        <w:pStyle w:val="BodyText"/>
        <w:spacing w:line="360" w:lineRule="auto"/>
        <w:ind w:left="117" w:right="167"/>
      </w:pPr>
      <w:r>
        <w:rPr/>
        <w:t>Since prepayment in the US seems to have a ‘behavioural’ element, it is not so easy to get an exact hedge via a ‘matching’ financial option. It was also good to see that David has not advocated a Fannie-Freddie type structure for the UK, with the attendant concentration and moral hazard risks</w:t>
      </w:r>
    </w:p>
    <w:p>
      <w:pPr>
        <w:pStyle w:val="ListParagraph"/>
        <w:numPr>
          <w:ilvl w:val="0"/>
          <w:numId w:val="1"/>
        </w:numPr>
        <w:tabs>
          <w:tab w:pos="298" w:val="left" w:leader="none"/>
        </w:tabs>
        <w:spacing w:line="240" w:lineRule="auto" w:before="0" w:after="0"/>
        <w:ind w:left="297" w:right="0" w:hanging="181"/>
        <w:jc w:val="left"/>
        <w:rPr>
          <w:sz w:val="24"/>
        </w:rPr>
      </w:pPr>
      <w:r>
        <w:rPr>
          <w:sz w:val="24"/>
        </w:rPr>
        <w:t>a conceivable source of systemic issues in global</w:t>
      </w:r>
      <w:r>
        <w:rPr>
          <w:spacing w:val="-1"/>
          <w:sz w:val="24"/>
        </w:rPr>
        <w:t> </w:t>
      </w:r>
      <w:r>
        <w:rPr>
          <w:sz w:val="24"/>
        </w:rPr>
        <w:t>markets.</w:t>
      </w:r>
    </w:p>
    <w:p>
      <w:pPr>
        <w:pStyle w:val="BodyText"/>
        <w:rPr>
          <w:sz w:val="26"/>
        </w:rPr>
      </w:pPr>
    </w:p>
    <w:p>
      <w:pPr>
        <w:pStyle w:val="BodyText"/>
        <w:spacing w:before="3"/>
        <w:rPr>
          <w:sz w:val="22"/>
        </w:rPr>
      </w:pPr>
    </w:p>
    <w:p>
      <w:pPr>
        <w:pStyle w:val="Heading1"/>
        <w:ind w:left="117"/>
      </w:pPr>
      <w:r>
        <w:rPr/>
        <w:t>Intelligence on fixed-income markets and UK long-term savings industry</w:t>
      </w:r>
    </w:p>
    <w:p>
      <w:pPr>
        <w:pStyle w:val="BodyText"/>
        <w:rPr>
          <w:b/>
          <w:sz w:val="26"/>
        </w:rPr>
      </w:pPr>
    </w:p>
    <w:p>
      <w:pPr>
        <w:pStyle w:val="BodyText"/>
        <w:spacing w:before="9"/>
        <w:rPr>
          <w:b/>
          <w:sz w:val="21"/>
        </w:rPr>
      </w:pPr>
    </w:p>
    <w:p>
      <w:pPr>
        <w:pStyle w:val="BodyText"/>
        <w:spacing w:line="360" w:lineRule="auto"/>
        <w:ind w:left="117" w:right="719"/>
      </w:pPr>
      <w:r>
        <w:rPr/>
        <w:t>This takes me back, briefly, to the Bank’s market intelligence work, as I want to conclude by mentioning just a few of the issues that we would like to explore with you going forward.</w:t>
      </w:r>
    </w:p>
    <w:p>
      <w:pPr>
        <w:pStyle w:val="BodyText"/>
        <w:spacing w:before="10"/>
        <w:rPr>
          <w:sz w:val="35"/>
        </w:rPr>
      </w:pPr>
    </w:p>
    <w:p>
      <w:pPr>
        <w:pStyle w:val="BodyText"/>
        <w:spacing w:line="360" w:lineRule="auto"/>
        <w:ind w:left="117" w:right="119"/>
      </w:pPr>
      <w:r>
        <w:rPr/>
        <w:t>In particular, we have an interest in understanding the implications for asset prices and market dynamics of the increasing emphasis on joined-up asset and liability management, including giving fund managers benchmarks based on actual liabilities rather than standard market indices.  Some of these implications arise from the demand for long-duration assets to match long-term liabilities; moving towards hedging more directly the optionality present in some liabilities, such as guaranteed nominal return annuities; and the search for returns from a wider class of</w:t>
      </w:r>
      <w:r>
        <w:rPr>
          <w:spacing w:val="-7"/>
        </w:rPr>
        <w:t> </w:t>
      </w:r>
      <w:r>
        <w:rPr/>
        <w:t>assets.</w:t>
      </w:r>
    </w:p>
    <w:p>
      <w:pPr>
        <w:pStyle w:val="BodyText"/>
        <w:spacing w:line="360" w:lineRule="auto" w:before="1"/>
        <w:ind w:left="117" w:right="177"/>
      </w:pPr>
      <w:r>
        <w:rPr/>
        <w:t>Concretely, the big issue has been – and probably remains – the balance of equity and bonds in asset portfolios. But there are also questions such as whether the industry is a material participant in the newish inflation-swaps market in order to hedge long-dated real defined-benefit pension liabilities; whether swaptions and equity derivatives are being used more to manage risks, and if so whether near to being ‘in-the-money’ options and well ‘out of the money’ options; why demand for long-dated gilt strips has not been greater, especially as many in the industry called for strips; the extent of UK pension fund investment in hedge funds, and whether that is pursued principally via funds of funds; the degree of involvement in other ‘alternative asset classes’, such as private equity or emerging markets; more speculatively, whether there are ‘missing</w:t>
      </w:r>
      <w:r>
        <w:rPr>
          <w:spacing w:val="-14"/>
        </w:rPr>
        <w:t> </w:t>
      </w:r>
      <w:r>
        <w:rPr/>
        <w:t>markets’</w:t>
      </w:r>
    </w:p>
    <w:p>
      <w:pPr>
        <w:spacing w:after="0" w:line="360" w:lineRule="auto"/>
        <w:sectPr>
          <w:pgSz w:w="11900" w:h="16840"/>
          <w:pgMar w:header="717" w:footer="0" w:top="1340" w:bottom="280" w:left="1140" w:right="980"/>
        </w:sectPr>
      </w:pPr>
    </w:p>
    <w:p>
      <w:pPr>
        <w:pStyle w:val="BodyText"/>
        <w:spacing w:line="360" w:lineRule="auto" w:before="80"/>
        <w:ind w:left="117" w:right="98"/>
      </w:pPr>
      <w:r>
        <w:rPr/>
        <w:t>that would be useful to the long-term savings industry – for example, longevity-risk securitisations; and, more prosaically, whether there is a greater interest in more mundane ways of enhancing returns on asset portfolios, such as securities lending.</w:t>
      </w:r>
    </w:p>
    <w:p>
      <w:pPr>
        <w:pStyle w:val="BodyText"/>
        <w:spacing w:before="11"/>
        <w:rPr>
          <w:sz w:val="35"/>
        </w:rPr>
      </w:pPr>
    </w:p>
    <w:p>
      <w:pPr>
        <w:pStyle w:val="BodyText"/>
        <w:spacing w:line="360" w:lineRule="auto"/>
        <w:ind w:left="117" w:right="119"/>
      </w:pPr>
      <w:r>
        <w:rPr/>
        <w:t>Finally, in that connection, I hope that the recent multi-agency report on securities lending will prove helpful to pension fund trustees and others. As some of you will know, my colleague David Rule, chair of the Stock Lending and Repo Committee, helped to facilitate the exercise. But it was written by the industry for the industry, and it has been welcomed by the NAPF. It has been an exercise where the Bank has learned from interaction with you. I hope there will be other such occasions to do so.</w:t>
      </w:r>
    </w:p>
    <w:p>
      <w:pPr>
        <w:pStyle w:val="BodyText"/>
        <w:rPr>
          <w:sz w:val="36"/>
        </w:rPr>
      </w:pPr>
    </w:p>
    <w:p>
      <w:pPr>
        <w:pStyle w:val="BodyText"/>
        <w:ind w:left="117"/>
      </w:pPr>
      <w:r>
        <w:rPr/>
        <w:t>My thanks again for inviting me to join you today.</w:t>
      </w:r>
    </w:p>
    <w:p>
      <w:pPr>
        <w:spacing w:after="0"/>
        <w:sectPr>
          <w:pgSz w:w="11900" w:h="16840"/>
          <w:pgMar w:header="717" w:footer="0" w:top="1340" w:bottom="280" w:left="1140" w:right="980"/>
        </w:sectPr>
      </w:pPr>
    </w:p>
    <w:p>
      <w:pPr>
        <w:pStyle w:val="Heading1"/>
        <w:spacing w:before="82"/>
      </w:pPr>
      <w:r>
        <w:rPr/>
        <w:t>Chart 1</w:t>
      </w:r>
    </w:p>
    <w:p>
      <w:pPr>
        <w:pStyle w:val="BodyText"/>
        <w:spacing w:before="5"/>
        <w:rPr>
          <w:b/>
          <w:sz w:val="19"/>
        </w:rPr>
      </w:pPr>
    </w:p>
    <w:p>
      <w:pPr>
        <w:spacing w:after="0"/>
        <w:rPr>
          <w:sz w:val="19"/>
        </w:rPr>
        <w:sectPr>
          <w:pgSz w:w="11900" w:h="16840"/>
          <w:pgMar w:header="717" w:footer="0" w:top="1340" w:bottom="280" w:left="1140" w:right="980"/>
        </w:sectPr>
      </w:pPr>
    </w:p>
    <w:p>
      <w:pPr>
        <w:spacing w:line="276" w:lineRule="auto" w:before="95"/>
        <w:ind w:left="793" w:right="0" w:firstLine="0"/>
        <w:jc w:val="left"/>
        <w:rPr>
          <w:b/>
          <w:sz w:val="25"/>
        </w:rPr>
      </w:pPr>
      <w:r>
        <w:rPr/>
        <w:pict>
          <v:group style="position:absolute;margin-left:101.129997pt;margin-top:21.2502pt;width:267pt;height:195.3pt;mso-position-horizontal-relative:page;mso-position-vertical-relative:paragraph;z-index:-252454912" coordorigin="2023,425" coordsize="5340,3906">
            <v:shape style="position:absolute;left:2112;top:425;width:5250;height:3905" coordorigin="2112,426" coordsize="5250,3905" path="m7286,426l7286,4255,7362,4255m7286,3879l7362,3879m7286,3489l7362,3489m7286,3114l7362,3114m7286,2724l7362,2724m7286,2348l7362,2348m7286,1958l7362,1958m7286,1582l7362,1582m7286,1192l7362,1192m7286,817l7362,817m7286,426l7362,426m2112,4255l7286,4255m2112,4330l2112,4255m3118,4330l3118,4255m4138,4330l4138,4255m5142,4330l5142,4255m6162,4330l6162,4255m7166,4330l7166,4255e" filled="false" stroked="true" strokeweight=".06pt" strokecolor="#000000">
              <v:path arrowok="t"/>
              <v:stroke dashstyle="solid"/>
            </v:shape>
            <v:line style="position:absolute" from="2038,2270" to="2248,2048" stroked="true" strokeweight="1.5pt" strokecolor="#ff0000">
              <v:stroke dashstyle="solid"/>
            </v:line>
            <v:shape style="position:absolute;left:2247;top:1056;width:2280;height:2237" coordorigin="2248,1057" coordsize="2280,2237" path="m2248,2048l2502,1732,2758,1057,2998,1717,3252,2168,3508,2618,3762,2362,4018,2904,4258,3294,4528,2634e" filled="false" stroked="true" strokeweight="1.5pt" strokecolor="#ff0000">
              <v:path arrowok="t"/>
              <v:stroke dashstyle="solid"/>
            </v:shape>
            <v:shape style="position:absolute;left:2112;top:756;width:2580;height:2597" coordorigin="2112,757" coordsize="2580,2597" path="m2112,1748l2112,1762,2112,1687,2128,1672,2128,1477,2128,1582,2128,1567,2142,1567,2142,1537,2158,1522,2158,1567,2158,1537,2172,1537,2172,1552,2172,1537,2172,1732,2172,1657,2188,1642,2188,1597,2188,1612,2188,1582,2188,1597,2188,1582,2202,1537,2202,1552,2202,1537,2218,1507,2218,1462,2218,1492,2218,1477,2218,1492,2232,1507,2232,1567,2232,1552,2248,1552,2248,1567,2248,1492,2248,1507,2262,1492,2262,1417,2278,1432,2278,1402,2278,1432,2292,1432,2292,1447,2292,1432,2292,1507,2292,1417,2292,1447,2308,1477,2308,1612,2322,1627,2322,1612,2322,1642,2338,1657,2338,1612,2352,1642,2352,1732,2352,1687,2352,1702,2352,1672,2352,1687,2368,1672,2368,1732,2368,1717,2382,1748,2382,1732,2382,1762,2382,1702,2398,1702,2398,1672,2398,1702,2412,1687,2412,1507,2412,1522,2428,1522,2428,1627,2428,1567,2428,1582,2442,1597,2442,1748,2442,1732,2458,1717,2458,1762,2458,1748,2458,1762,2458,1717,2458,1732,2472,1702,2472,1657,2472,1672,2472,1627,2488,1627,2488,1672,2488,1657,2488,1672,2488,1642,2502,1642,2502,1567,2502,1612m2502,1612l2518,1597,2518,1612,2518,1582,2518,1597,2518,1357,2532,1297,2532,1237,2548,1237,2548,1162,2548,1192,2562,1192,2562,1177,2562,1207,2562,1147,2578,1132,2578,1147,2578,1101,2578,1117,2578,1087,2592,1101,2592,1087,2592,1132,2592,1117,2592,1147,2608,1132,2608,1177,2622,1207,2622,1222,2622,1207,2622,1222,2638,1192,2638,1237,2638,1192,2652,1177,2652,1087,2652,1101,2652,1057,2668,1087,2668,1071,2668,1101,2668,1041,2682,1207,2682,1222,2682,1132,2698,1132,2698,1041,2712,1011,2712,907,2728,891,2728,787,2728,831,2728,817,2728,831,2728,817,2742,787,2742,757,2742,771,2742,757,2742,801,2758,817,2758,951,2758,891,2758,907,2772,921,2772,1041,2788,1041,2788,1237,2788,1222,2802,1222,2802,981,2802,1041,2818,1027,2818,967,2818,997,2832,997,2832,1011,2832,997,2848,967,2848,981,2848,967,2848,1041,2862,1057,2862,1117,2878,1117,2878,1132,2878,1117,2878,1147,2892,1177,2892,1192,2892,1162,2908,1132,2908,1101,2908,1117,2908,1087,2908,1101m2908,1101l2922,1101,2922,1041,2922,1237,2922,1222,2938,1207,2938,1177,2952,1177,2952,1147,2952,1177,2952,1162,2968,1177,2968,1267,2968,1252,2968,1267,2982,1252,2982,1267,2982,1252,2998,1237,2998,1237,3012,1252,3012,1297,3012,1177,3012,1192,3028,1192,3028,1222,3042,1207,3042,1372,3042,1357,3042,1372,3058,1372,3058,1342,3058,1447,3058,1342,3072,1327,3072,1342,3072,1312,3072,1432,3072,1342,3088,1342,3088,1477,3088,1387,3088,1402,3102,1417,3102,1522,3118,1507,3118,1522,3118,1492,3118,1537,3132,1537,3132,1612,3132,1597,3148,1537,3148,1492,3148,1507,3148,1462,3162,1462,3162,1417,3178,1402,3178,1417,3178,1387,3178,1447,3178,1387,3192,1372,3192,1297,3192,1492,3192,1282,3208,1267,3208,1297,3222,1312,3222,1297,3222,1312,3222,1297,3222,1522,3238,1552,3238,1627,3238,1597,3238,1612,3238,1597,3252,1582,3252,1657,3268,1687,3268,1778,3282,1778,3282,1838,3282,1792,3298,1778,3298,1808,3312,1852,3312,1898,3312,1822,3312,1898m3312,1898l3312,1822,3312,1912,3328,1898,3328,1942,3342,1868,3342,1852,3342,1928,3342,1852,3342,1898,3342,1882,3358,1882,3358,1852,3358,1868,3358,1852,3358,1882,3372,1898,3372,1912,3372,1882,3388,1882,3388,1898,3388,1868,3388,1882,3388,1732,3388,1792,3402,1762,3402,1732,3418,1762,3418,1748,3418,1868,3418,1852,3418,1868,3432,1868,3432,1808,3432,1822,3448,1822,3448,1838,3448,1822,3448,1838,3448,1808,3448,1822,3462,1822,3462,2062,3462,1852,3462,1882,3478,1868,3478,2394,3492,2438,3492,2468,3492,2408,3508,2438,3508,2394,3522,2394,3522,2258,3522,2272,3522,2258,3522,2272,3538,2272,3538,2302,3552,2302,3552,2438,3552,2378,3568,2348,3568,2288,3582,2272,3582,2168,3582,2182,3598,2182,3598,2018,3598,2032,3612,2032,3612,2048,3612,2018,3612,2032,3628,2032,3628,1988,3642,1988,3642,1972,3642,2212,3658,2228,3658,2242,3658,2228,3658,2242,3672,2242,3672,2228,3672,2288,3672,2272,3688,2258,3688,2378,3688,2362,3688,2394,3702,2438,3702,2514,3718,2498m3718,2498l3718,2528,3718,2498,3718,2514,3718,2498,3732,2484,3732,2438,3732,2454,3748,2468,3748,2454,3748,2484,3748,2468,3762,2484,3762,2528,3762,2514,3762,2544,3778,2484,3778,2498,3778,2484,3792,2498,3792,2514,3792,2498,3792,2514,3792,2498,3808,2514,3808,2528,3808,2514,3808,2544,3808,2528,3808,2544,3822,2544,3822,2574,3822,2438,3822,2454,3838,2468,3838,2498,3838,2484,3838,2514,3852,2528,3852,2558,3852,2498,3868,2498,3868,2484,3868,2514,3882,2514,3882,2468,3882,2484,3898,2498,3898,2528,3898,2514,3912,2514,3912,2528,3912,2498,3928,2484,3928,2454,3928,2468,3928,2454,3942,2528,3942,2588,3942,2574,3958,2574,3958,2558,3958,2588,3958,2574,3972,2574,3972,2544,3988,2528,3988,2484,3988,2498,3988,2484,3988,2498,4002,2514,4002,2574,4018,2558,4018,2588,4018,2484,4018,2498,4032,2514,4032,2498,4032,2514,4048,2514,4048,2498,4048,2528,4048,2514,4062,2498,4062,2558,4062,2544,4078,2558,4078,2618,4092,2618,4092,2604,4092,2618,4092,2604,4092,2618,4108,2618,4108,2664m4108,2664l4108,2678,4122,2678,4122,2664,4138,2678,4138,2784,4152,2798,4152,2784,4152,2828,4168,2828,4168,2934,4182,2948,4182,3144,4198,3144,4198,3249,4198,3234,4198,3294,4212,3324,4212,3234,4212,3249,4228,3264,4228,3279,4228,3189,4228,3264,4242,3189,4242,3159,4242,3189,4242,3159,4242,3204,4258,3204,4258,3234,4272,3249,4272,3264,4272,3189,4288,3189,4288,3174,4288,3204,4302,3204,4302,3219,4302,3204,4302,3264,4318,3264,4318,3279,4318,3249,4318,3324,4318,3204,4318,3219,4332,3204,4332,3159,4332,3174,4348,3189,4348,3219,4348,3189,4348,3354,4362,3309,4362,3264,4378,3249,4378,3264,4378,3219,4378,3249,4378,3204,4392,3204,4392,3174,4392,3204,4392,3189,4408,3294,4408,3159,4422,3144,4422,3159,4422,3024,4438,3024,4438,2978,4438,3084,4438,3054,4452,3039,4452,2948,4468,2918,4468,2888,4482,2904,4482,2918,4498,2888,4498,2874,4498,2904,4512,2904,4512,2994,4512,2978m4512,2978l4512,2948,4512,2994,4528,2978,4528,2814,4528,2858,4542,2874,4542,2814,4542,2828,4542,2798,4558,2784,4558,2708,4558,2738,4572,2754,4572,2858,4588,2858,4588,2828,4602,2844,4602,2978,4602,2964,4602,2994,4618,2994,4618,3039,4618,3024,4632,3009,4632,3024,4648,3009,4648,2978,4648,2994,4648,2948,4662,2948,4662,2964,4662,2828,4678,2814,4678,2694,4678,2708,4678,2694,4692,2678,4692,2664,4692,2694e" filled="false" stroked="true" strokeweight="1.5pt" strokecolor="#0000ff">
              <v:path arrowok="t"/>
              <v:stroke dashstyle="solid"/>
            </v:shape>
            <v:shape style="position:absolute;left:4737;top:2212;width:989;height:572" coordorigin="4738,2212" coordsize="989,572" path="m4738,2784l4858,2708,4978,2634,5216,2468,5336,2394,5442,2332,5532,2272,5606,2228,5636,2212,5726,2212e" filled="false" stroked="true" strokeweight="1.5pt" strokecolor="#008000">
              <v:path arrowok="t"/>
              <v:stroke dashstyle="solid"/>
            </v:shape>
            <v:shape style="position:absolute;left:5726;top:2198;width:46;height:15" coordorigin="5726,2198" coordsize="46,15" path="m5726,2212l5742,2198,5772,2198e" filled="false" stroked="true" strokeweight=".06pt" strokecolor="#ffffff">
              <v:path arrowok="t"/>
              <v:stroke dashstyle="dash"/>
            </v:shape>
            <v:shape style="position:absolute;left:5726;top:2198;width:46;height:15" coordorigin="5726,2198" coordsize="46,15" path="m5726,2212l5742,2198,5772,2198e" filled="false" stroked="true" strokeweight=".06pt" strokecolor="#008000">
              <v:path arrowok="t"/>
              <v:stroke dashstyle="dash"/>
            </v:shape>
            <v:shape style="position:absolute;left:5772;top:2182;width:210;height:16" coordorigin="5772,2182" coordsize="210,16" path="m5772,2198l5892,2198,5906,2182,5982,2182e" filled="false" stroked="true" strokeweight="1.5pt" strokecolor="#008000">
              <v:path arrowok="t"/>
              <v:stroke dashstyle="solid"/>
            </v:shape>
            <v:rect style="position:absolute;left:5966;top:2168;width:60;height:30" filled="true" fillcolor="#008000" stroked="false">
              <v:fill type="solid"/>
            </v:rect>
            <v:shape style="position:absolute;left:6026;top:2182;width:1260;height:30" coordorigin="6026,2182" coordsize="1260,30" path="m6026,2182l6582,2182,6612,2198,7196,2198,7212,2212,7286,2212e" filled="false" stroked="true" strokeweight="1.5pt" strokecolor="#008000">
              <v:path arrowok="t"/>
              <v:stroke dashstyle="solid"/>
            </v:shape>
            <v:shape style="position:absolute;left:4332;top:2693;width:1065;height:510" coordorigin="4332,2694" coordsize="1065,510" path="m4332,3204l4438,3159,4542,3114,4648,3069,4722,3039,4752,3024,4768,3009,4798,2994,4842,2964,4888,2948,4932,2918,4978,2904,5008,2874,5052,2858,5096,2828,5142,2814,5186,2784,5216,2768,5262,2754,5306,2738,5352,2708,5396,2694e" filled="false" stroked="true" strokeweight="1.5pt" strokecolor="#000080">
              <v:path arrowok="t"/>
              <v:stroke dashstyle="solid"/>
            </v:shape>
            <v:shape style="position:absolute;left:5382;top:2678;width:45;height:30" coordorigin="5382,2678" coordsize="45,30" path="m5412,2678l5382,2694,5396,2708,5426,2694,5412,2678xe" filled="true" fillcolor="#000080" stroked="false">
              <v:path arrowok="t"/>
              <v:fill type="solid"/>
            </v:shape>
            <v:shape style="position:absolute;left:5426;top:2453;width:1440;height:225" coordorigin="5426,2454" coordsize="1440,225" path="m5426,2678l5472,2664,5516,2648,5562,2634,5606,2634,5652,2618,5682,2604,5726,2588,5772,2588,5816,2574,5846,2558,5892,2558,5906,2544,5982,2544,5996,2528,6072,2528,6086,2514,6192,2514,6206,2498,6312,2498,6326,2484,6492,2484,6506,2468,6656,2468,6686,2454,6866,2454e" filled="false" stroked="true" strokeweight="1.5pt" strokecolor="#000080">
              <v:path arrowok="t"/>
              <v:stroke dashstyle="solid"/>
            </v:shape>
            <v:shape style="position:absolute;left:2052;top:2332;width:5070;height:16" coordorigin="2052,2332" coordsize="5070,16" path="m2082,2332l2052,2332,2052,2348,2082,2348,2082,2332m2172,2332l2142,2332,2142,2348,2172,2348,2172,2332m2262,2332l2232,2332,2232,2348,2262,2348,2262,2332m2352,2332l2322,2332,2322,2348,2352,2348,2352,2332m2442,2332l2412,2332,2412,2348,2442,2348,2442,2332m2532,2332l2502,2332,2502,2348,2532,2348,2532,2332m2622,2332l2592,2332,2592,2348,2622,2348,2622,2332m2712,2332l2682,2332,2682,2348,2712,2348,2712,2332m2802,2332l2772,2332,2772,2348,2802,2348,2802,2332m2892,2332l2862,2332,2862,2348,2892,2348,2892,2332m2982,2332l2952,2332,2952,2348,2982,2348,2982,2332m3072,2332l3042,2332,3042,2348,3072,2348,3072,2332m3162,2332l3132,2332,3132,2348,3162,2348,3162,2332m3252,2332l3222,2332,3222,2348,3252,2348,3252,2332m3342,2332l3312,2332,3312,2348,3342,2348,3342,2332m3432,2332l3402,2332,3402,2348,3432,2348,3432,2332m3522,2332l3492,2332,3492,2348,3522,2348,3522,2332m3612,2332l3582,2332,3582,2348,3612,2348,3612,2332m3702,2332l3672,2332,3672,2348,3702,2348,3702,2332m3792,2332l3762,2332,3762,2348,3792,2348,3792,2332m3882,2332l3852,2332,3852,2348,3882,2348,3882,2332m3972,2332l3942,2332,3942,2348,3972,2348,3972,2332m4062,2332l4032,2332,4032,2348,4062,2348,4062,2332m4152,2332l4122,2332,4122,2348,4152,2348,4152,2332m4242,2332l4212,2332,4212,2348,4242,2348,4242,2332m4332,2332l4302,2332,4302,2348,4332,2348,4332,2332m4422,2332l4392,2332,4392,2348,4422,2348,4422,2332m4512,2332l4482,2332,4482,2348,4512,2348,4512,2332m4602,2332l4572,2332,4572,2348,4602,2348,4602,2332m4692,2332l4662,2332,4662,2348,4692,2348,4692,2332m4782,2332l4752,2332,4752,2348,4782,2348,4782,2332m4872,2332l4842,2332,4842,2348,4872,2348,4872,2332m4962,2332l4932,2332,4932,2348,4962,2348,4962,2332m5052,2332l5022,2332,5022,2348,5052,2348,5052,2332m5142,2332l5112,2332,5112,2348,5142,2348,5142,2332m5232,2332l5202,2332,5202,2348,5232,2348,5232,2332m5322,2332l5292,2332,5292,2348,5322,2348,5322,2332m5412,2332l5382,2332,5382,2348,5412,2348,5412,2332m5502,2332l5472,2332,5472,2348,5502,2348,5502,2332m5592,2332l5562,2332,5562,2348,5592,2348,5592,2332m5682,2332l5652,2332,5652,2348,5682,2348,5682,2332m5772,2332l5742,2332,5742,2348,5772,2348,5772,2332m5862,2332l5832,2332,5832,2348,5862,2348,5862,2332m5952,2332l5922,2332,5922,2348,5952,2348,5952,2332m6042,2332l6012,2332,6012,2348,6042,2348,6042,2332m6132,2332l6102,2332,6102,2348,6132,2348,6132,2332m6222,2332l6192,2332,6192,2348,6222,2348,6222,2332m6312,2332l6282,2332,6282,2348,6312,2348,6312,2332m6402,2332l6372,2332,6372,2348,6402,2348,6402,2332m6492,2332l6462,2332,6462,2348,6492,2348,6492,2332m6582,2332l6552,2332,6552,2348,6582,2348,6582,2332m6672,2332l6642,2332,6642,2348,6672,2348,6672,2332m6762,2332l6732,2332,6732,2348,6762,2348,6762,2332m6852,2332l6822,2332,6822,2348,6852,2348,6852,2332m6942,2332l6912,2332,6912,2348,6942,2348,6942,2332m7032,2332l7002,2332,7002,2348,7032,2348,7032,2332m7122,2332l7092,2332,7092,2348,7122,2348,7122,2332e" filled="true" fillcolor="#000000" stroked="false">
              <v:path arrowok="t"/>
              <v:fill type="solid"/>
            </v:shape>
            <w10:wrap type="none"/>
          </v:group>
        </w:pict>
      </w:r>
      <w:r>
        <w:rPr>
          <w:b/>
          <w:sz w:val="25"/>
        </w:rPr>
        <w:t>UK short versus long-maturity forward real interest rates</w:t>
      </w:r>
    </w:p>
    <w:p>
      <w:pPr>
        <w:pStyle w:val="BodyText"/>
        <w:spacing w:before="5"/>
        <w:rPr>
          <w:b/>
          <w:sz w:val="25"/>
        </w:rPr>
      </w:pPr>
    </w:p>
    <w:p>
      <w:pPr>
        <w:spacing w:before="1"/>
        <w:ind w:left="2270" w:right="1974" w:firstLine="0"/>
        <w:jc w:val="center"/>
        <w:rPr>
          <w:sz w:val="18"/>
        </w:rPr>
      </w:pPr>
      <w:r>
        <w:rPr>
          <w:sz w:val="18"/>
        </w:rPr>
        <w:t>Market rs-rl</w:t>
      </w:r>
    </w:p>
    <w:p>
      <w:pPr>
        <w:spacing w:line="202" w:lineRule="exact" w:before="104"/>
        <w:ind w:left="177" w:right="0" w:firstLine="0"/>
        <w:jc w:val="left"/>
        <w:rPr>
          <w:sz w:val="18"/>
        </w:rPr>
      </w:pPr>
      <w:r>
        <w:rPr/>
        <w:br w:type="column"/>
      </w:r>
      <w:r>
        <w:rPr>
          <w:spacing w:val="-3"/>
          <w:sz w:val="18"/>
        </w:rPr>
        <w:t>Percentage</w:t>
      </w:r>
      <w:r>
        <w:rPr>
          <w:spacing w:val="1"/>
          <w:sz w:val="18"/>
        </w:rPr>
        <w:t> </w:t>
      </w:r>
      <w:r>
        <w:rPr>
          <w:spacing w:val="4"/>
          <w:sz w:val="18"/>
        </w:rPr>
        <w:t>points</w:t>
      </w:r>
    </w:p>
    <w:p>
      <w:pPr>
        <w:spacing w:line="248" w:lineRule="exact" w:before="0"/>
        <w:ind w:left="1137" w:right="0" w:firstLine="0"/>
        <w:jc w:val="left"/>
        <w:rPr>
          <w:sz w:val="22"/>
        </w:rPr>
      </w:pPr>
      <w:r>
        <w:rPr>
          <w:sz w:val="22"/>
        </w:rPr>
        <w:t>2.5</w:t>
      </w:r>
    </w:p>
    <w:p>
      <w:pPr>
        <w:spacing w:before="138"/>
        <w:ind w:left="1137" w:right="0" w:firstLine="0"/>
        <w:jc w:val="left"/>
        <w:rPr>
          <w:sz w:val="22"/>
        </w:rPr>
      </w:pPr>
      <w:r>
        <w:rPr>
          <w:w w:val="102"/>
          <w:sz w:val="22"/>
        </w:rPr>
        <w:t>2</w:t>
      </w:r>
    </w:p>
    <w:p>
      <w:pPr>
        <w:spacing w:before="121"/>
        <w:ind w:left="1137" w:right="0" w:firstLine="0"/>
        <w:jc w:val="left"/>
        <w:rPr>
          <w:sz w:val="22"/>
        </w:rPr>
      </w:pPr>
      <w:r>
        <w:rPr>
          <w:sz w:val="22"/>
        </w:rPr>
        <w:t>1.5</w:t>
      </w:r>
    </w:p>
    <w:p>
      <w:pPr>
        <w:spacing w:before="139"/>
        <w:ind w:left="1137" w:right="0" w:firstLine="0"/>
        <w:jc w:val="left"/>
        <w:rPr>
          <w:sz w:val="22"/>
        </w:rPr>
      </w:pPr>
      <w:r>
        <w:rPr>
          <w:w w:val="102"/>
          <w:sz w:val="22"/>
        </w:rPr>
        <w:t>1</w:t>
      </w:r>
    </w:p>
    <w:p>
      <w:pPr>
        <w:spacing w:after="0"/>
        <w:jc w:val="left"/>
        <w:rPr>
          <w:sz w:val="22"/>
        </w:rPr>
        <w:sectPr>
          <w:type w:val="continuous"/>
          <w:pgSz w:w="11900" w:h="16840"/>
          <w:pgMar w:top="1180" w:bottom="280" w:left="1140" w:right="980"/>
          <w:cols w:num="2" w:equalWidth="0">
            <w:col w:w="5149" w:space="40"/>
            <w:col w:w="4591"/>
          </w:cols>
        </w:sectPr>
      </w:pPr>
    </w:p>
    <w:p>
      <w:pPr>
        <w:pStyle w:val="BodyText"/>
        <w:rPr>
          <w:sz w:val="20"/>
        </w:rPr>
      </w:pPr>
    </w:p>
    <w:p>
      <w:pPr>
        <w:pStyle w:val="BodyText"/>
        <w:rPr>
          <w:sz w:val="20"/>
        </w:rPr>
      </w:pPr>
    </w:p>
    <w:p>
      <w:pPr>
        <w:pStyle w:val="BodyText"/>
        <w:rPr>
          <w:sz w:val="20"/>
        </w:rPr>
      </w:pPr>
    </w:p>
    <w:p>
      <w:pPr>
        <w:spacing w:before="179"/>
        <w:ind w:left="1527" w:right="0" w:firstLine="0"/>
        <w:jc w:val="left"/>
        <w:rPr>
          <w:sz w:val="18"/>
        </w:rPr>
      </w:pPr>
      <w:r>
        <w:rPr>
          <w:sz w:val="18"/>
        </w:rPr>
        <w:t>Survey rs-rl</w:t>
      </w:r>
    </w:p>
    <w:p>
      <w:pPr>
        <w:spacing w:before="64"/>
        <w:ind w:left="1527" w:right="0" w:firstLine="0"/>
        <w:jc w:val="left"/>
        <w:rPr>
          <w:sz w:val="16"/>
        </w:rPr>
      </w:pPr>
      <w:r>
        <w:rPr/>
        <w:br w:type="column"/>
      </w:r>
      <w:r>
        <w:rPr>
          <w:w w:val="105"/>
          <w:sz w:val="16"/>
        </w:rPr>
        <w:t>16-Mar-04</w:t>
      </w:r>
    </w:p>
    <w:p>
      <w:pPr>
        <w:pStyle w:val="BodyText"/>
        <w:rPr>
          <w:sz w:val="18"/>
        </w:rPr>
      </w:pPr>
    </w:p>
    <w:p>
      <w:pPr>
        <w:pStyle w:val="BodyText"/>
        <w:rPr>
          <w:sz w:val="18"/>
        </w:rPr>
      </w:pPr>
    </w:p>
    <w:p>
      <w:pPr>
        <w:pStyle w:val="BodyText"/>
        <w:rPr>
          <w:sz w:val="18"/>
        </w:rPr>
      </w:pPr>
    </w:p>
    <w:p>
      <w:pPr>
        <w:pStyle w:val="BodyText"/>
        <w:spacing w:before="8"/>
        <w:rPr>
          <w:sz w:val="18"/>
        </w:rPr>
      </w:pPr>
    </w:p>
    <w:p>
      <w:pPr>
        <w:spacing w:before="0"/>
        <w:ind w:left="0" w:right="0" w:firstLine="0"/>
        <w:jc w:val="right"/>
        <w:rPr>
          <w:sz w:val="16"/>
        </w:rPr>
      </w:pPr>
      <w:r>
        <w:rPr>
          <w:sz w:val="16"/>
        </w:rPr>
        <w:t>22-May-03</w:t>
      </w:r>
    </w:p>
    <w:p>
      <w:pPr>
        <w:spacing w:before="122"/>
        <w:ind w:left="410" w:right="0" w:firstLine="0"/>
        <w:jc w:val="left"/>
        <w:rPr>
          <w:sz w:val="22"/>
        </w:rPr>
      </w:pPr>
      <w:r>
        <w:rPr/>
        <w:br w:type="column"/>
      </w:r>
      <w:r>
        <w:rPr>
          <w:sz w:val="22"/>
        </w:rPr>
        <w:t>0.5</w:t>
      </w:r>
    </w:p>
    <w:p>
      <w:pPr>
        <w:spacing w:before="137"/>
        <w:ind w:left="410" w:right="0" w:firstLine="0"/>
        <w:jc w:val="left"/>
        <w:rPr>
          <w:sz w:val="22"/>
        </w:rPr>
      </w:pPr>
      <w:r>
        <w:rPr>
          <w:w w:val="102"/>
          <w:sz w:val="22"/>
        </w:rPr>
        <w:t>0</w:t>
      </w:r>
    </w:p>
    <w:p>
      <w:pPr>
        <w:spacing w:before="123"/>
        <w:ind w:left="410" w:right="0" w:firstLine="0"/>
        <w:jc w:val="left"/>
        <w:rPr>
          <w:sz w:val="22"/>
        </w:rPr>
      </w:pPr>
      <w:r>
        <w:rPr>
          <w:sz w:val="22"/>
        </w:rPr>
        <w:t>-0.5</w:t>
      </w:r>
    </w:p>
    <w:p>
      <w:pPr>
        <w:spacing w:before="137"/>
        <w:ind w:left="410" w:right="0" w:firstLine="0"/>
        <w:jc w:val="left"/>
        <w:rPr>
          <w:sz w:val="22"/>
        </w:rPr>
      </w:pPr>
      <w:r>
        <w:rPr>
          <w:sz w:val="22"/>
        </w:rPr>
        <w:t>-1</w:t>
      </w:r>
    </w:p>
    <w:p>
      <w:pPr>
        <w:spacing w:before="122"/>
        <w:ind w:left="410" w:right="0" w:firstLine="0"/>
        <w:jc w:val="left"/>
        <w:rPr>
          <w:sz w:val="22"/>
        </w:rPr>
      </w:pPr>
      <w:r>
        <w:rPr>
          <w:sz w:val="22"/>
        </w:rPr>
        <w:t>-1.5</w:t>
      </w:r>
    </w:p>
    <w:p>
      <w:pPr>
        <w:spacing w:before="137"/>
        <w:ind w:left="410" w:right="0" w:firstLine="0"/>
        <w:jc w:val="left"/>
        <w:rPr>
          <w:sz w:val="22"/>
        </w:rPr>
      </w:pPr>
      <w:r>
        <w:rPr>
          <w:sz w:val="22"/>
        </w:rPr>
        <w:t>-2</w:t>
      </w:r>
    </w:p>
    <w:p>
      <w:pPr>
        <w:spacing w:before="123"/>
        <w:ind w:left="410" w:right="0" w:firstLine="0"/>
        <w:jc w:val="left"/>
        <w:rPr>
          <w:sz w:val="22"/>
        </w:rPr>
      </w:pPr>
      <w:r>
        <w:rPr>
          <w:sz w:val="22"/>
        </w:rPr>
        <w:t>-2.5</w:t>
      </w:r>
    </w:p>
    <w:p>
      <w:pPr>
        <w:spacing w:after="0"/>
        <w:jc w:val="left"/>
        <w:rPr>
          <w:sz w:val="22"/>
        </w:rPr>
        <w:sectPr>
          <w:type w:val="continuous"/>
          <w:pgSz w:w="11900" w:h="16840"/>
          <w:pgMar w:top="1180" w:bottom="280" w:left="1140" w:right="980"/>
          <w:cols w:num="3" w:equalWidth="0">
            <w:col w:w="2428" w:space="946"/>
            <w:col w:w="2502" w:space="40"/>
            <w:col w:w="3864"/>
          </w:cols>
        </w:sectPr>
      </w:pPr>
    </w:p>
    <w:p>
      <w:pPr>
        <w:tabs>
          <w:tab w:pos="1767" w:val="left" w:leader="none"/>
          <w:tab w:pos="2787" w:val="left" w:leader="none"/>
          <w:tab w:pos="3791" w:val="left" w:leader="none"/>
          <w:tab w:pos="4812" w:val="left" w:leader="none"/>
          <w:tab w:pos="5816" w:val="left" w:leader="none"/>
        </w:tabs>
        <w:spacing w:before="107"/>
        <w:ind w:left="763" w:right="0" w:firstLine="0"/>
        <w:jc w:val="left"/>
        <w:rPr>
          <w:sz w:val="22"/>
        </w:rPr>
      </w:pPr>
      <w:r>
        <w:rPr>
          <w:spacing w:val="-7"/>
          <w:sz w:val="22"/>
        </w:rPr>
        <w:t>1999</w:t>
        <w:tab/>
        <w:t>2001</w:t>
        <w:tab/>
        <w:t>2003</w:t>
        <w:tab/>
        <w:t>2005</w:t>
        <w:tab/>
        <w:t>2007</w:t>
        <w:tab/>
      </w:r>
      <w:r>
        <w:rPr>
          <w:spacing w:val="-6"/>
          <w:sz w:val="22"/>
        </w:rPr>
        <w:t>2009</w:t>
      </w:r>
    </w:p>
    <w:p>
      <w:pPr>
        <w:pStyle w:val="Heading1"/>
        <w:spacing w:line="273" w:lineRule="auto" w:before="182"/>
        <w:ind w:left="703" w:right="4484"/>
      </w:pPr>
      <w:r>
        <w:rPr>
          <w:spacing w:val="-8"/>
        </w:rPr>
        <w:t>Chart </w:t>
      </w:r>
      <w:r>
        <w:rPr/>
        <w:t>2: </w:t>
      </w:r>
      <w:r>
        <w:rPr>
          <w:spacing w:val="-3"/>
        </w:rPr>
        <w:t>Percentiles </w:t>
      </w:r>
      <w:r>
        <w:rPr/>
        <w:t>of </w:t>
      </w:r>
      <w:r>
        <w:rPr>
          <w:spacing w:val="-7"/>
        </w:rPr>
        <w:t>the distribution </w:t>
      </w:r>
      <w:r>
        <w:rPr/>
        <w:t>of </w:t>
      </w:r>
      <w:r>
        <w:rPr>
          <w:spacing w:val="-6"/>
        </w:rPr>
        <w:t>inflation </w:t>
      </w:r>
      <w:r>
        <w:rPr>
          <w:spacing w:val="-3"/>
        </w:rPr>
        <w:t>rates </w:t>
      </w:r>
      <w:r>
        <w:rPr>
          <w:spacing w:val="-4"/>
        </w:rPr>
        <w:t>in </w:t>
      </w:r>
      <w:r>
        <w:rPr>
          <w:spacing w:val="-7"/>
        </w:rPr>
        <w:t>CPI </w:t>
      </w:r>
      <w:r>
        <w:rPr>
          <w:spacing w:val="-5"/>
        </w:rPr>
        <w:t>and </w:t>
      </w:r>
      <w:r>
        <w:rPr>
          <w:spacing w:val="-3"/>
        </w:rPr>
        <w:t>RPIX</w:t>
      </w:r>
    </w:p>
    <w:p>
      <w:pPr>
        <w:spacing w:after="0" w:line="273" w:lineRule="auto"/>
        <w:sectPr>
          <w:type w:val="continuous"/>
          <w:pgSz w:w="11900" w:h="16840"/>
          <w:pgMar w:top="1180" w:bottom="280" w:left="1140" w:right="980"/>
        </w:sectPr>
      </w:pPr>
    </w:p>
    <w:p>
      <w:pPr>
        <w:pStyle w:val="BodyText"/>
        <w:spacing w:before="6"/>
        <w:rPr>
          <w:b/>
          <w:sz w:val="19"/>
        </w:rPr>
      </w:pPr>
    </w:p>
    <w:p>
      <w:pPr>
        <w:tabs>
          <w:tab w:pos="1510" w:val="left" w:leader="none"/>
          <w:tab w:pos="1780" w:val="left" w:leader="none"/>
        </w:tabs>
        <w:spacing w:line="278" w:lineRule="auto" w:before="1"/>
        <w:ind w:left="973" w:right="0" w:firstLine="0"/>
        <w:jc w:val="left"/>
        <w:rPr>
          <w:sz w:val="19"/>
        </w:rPr>
      </w:pPr>
      <w:r>
        <w:rPr/>
        <w:pict>
          <v:line style="position:absolute;mso-position-horizontal-relative:page;mso-position-vertical-relative:paragraph;z-index:-252455936" from="132.539993pt,3.219428pt" to="146.039993pt,3.219428pt" stroked="true" strokeweight="1.495pt" strokecolor="#ff0000">
            <v:stroke dashstyle="solid"/>
            <w10:wrap type="none"/>
          </v:line>
        </w:pict>
      </w:r>
      <w:r>
        <w:rPr>
          <w:spacing w:val="-5"/>
          <w:sz w:val="19"/>
        </w:rPr>
        <w:t>CPI</w:t>
        <w:tab/>
      </w:r>
      <w:r>
        <w:rPr>
          <w:spacing w:val="-5"/>
          <w:position w:val="-10"/>
          <w:sz w:val="19"/>
          <w:u w:val="thick" w:color="008000"/>
        </w:rPr>
        <w:tab/>
      </w:r>
      <w:r>
        <w:rPr>
          <w:position w:val="-10"/>
          <w:sz w:val="19"/>
        </w:rPr>
        <w:t> </w:t>
      </w:r>
      <w:r>
        <w:rPr>
          <w:spacing w:val="-5"/>
          <w:sz w:val="19"/>
        </w:rPr>
        <w:t>RPIX</w:t>
      </w:r>
    </w:p>
    <w:p>
      <w:pPr>
        <w:spacing w:line="214" w:lineRule="exact" w:before="121"/>
        <w:ind w:left="451" w:right="4267" w:firstLine="0"/>
        <w:jc w:val="center"/>
        <w:rPr>
          <w:sz w:val="19"/>
        </w:rPr>
      </w:pPr>
      <w:r>
        <w:rPr/>
        <w:br w:type="column"/>
      </w:r>
      <w:r>
        <w:rPr>
          <w:sz w:val="19"/>
        </w:rPr>
        <w:t>Percentage changes on a year earlier</w:t>
      </w:r>
    </w:p>
    <w:p>
      <w:pPr>
        <w:spacing w:line="214" w:lineRule="exact" w:before="0"/>
        <w:ind w:left="0" w:right="1212" w:firstLine="0"/>
        <w:jc w:val="center"/>
        <w:rPr>
          <w:sz w:val="19"/>
        </w:rPr>
      </w:pPr>
      <w:r>
        <w:rPr/>
        <w:pict>
          <v:group style="position:absolute;margin-left:111.6325pt;margin-top:5.149819pt;width:198.1pt;height:161.6pt;mso-position-horizontal-relative:page;mso-position-vertical-relative:paragraph;z-index:-252456960" coordorigin="2233,103" coordsize="3962,3232">
            <v:shape style="position:absolute;left:2247;top:103;width:3947;height:3231" coordorigin="2248,104" coordsize="3947,3231" path="m6134,104l6134,3334m6134,3334l6194,3334m6134,2975l6194,2975m6134,2616l6194,2616m6134,2258l6194,2258m6134,1899l6194,1899m6134,1539l6194,1539m6134,1180l6194,1180m6134,821l6194,821m6134,462l6194,462m6134,104l6194,104m2248,2258l6134,2258m2248,2318l2248,2258m2801,2318l2801,2258m3338,2318l3338,2258m3892,2318l3892,2258m4445,2318l4445,2258m4998,2318l4998,2258m5537,2318l5537,2258m6090,2318l6090,2258e" filled="false" stroked="true" strokeweight=".06pt" strokecolor="#000000">
              <v:path arrowok="t"/>
              <v:stroke dashstyle="solid"/>
            </v:shape>
            <v:shape style="position:absolute;left:2247;top:1748;width:2033;height:1032" coordorigin="2248,1749" coordsize="2033,1032" path="m2292,1763l2248,1749,2248,1763,2292,1779,2292,1763m2322,1839l2308,1779,2292,1779,2308,1839,2322,1839m2382,1943l2348,1943,2338,1899,2322,1899,2338,1958,2352,1958,2382,1958,2382,1943m2456,2123l2442,2063,2426,2018,2412,2018,2426,2063,2442,2123,2456,2123m2486,2288l2472,2182,2456,2182,2472,2288,2486,2288m2561,2198l2546,2198,2516,2272,2532,2272,2561,2198m2591,2168l2561,2182,2561,2198,2591,2182,2591,2168m2696,2288l2677,2277,2651,2212,2636,2212,2666,2288,2696,2302,2696,2288m2815,2348l2801,2348,2794,2360,2765,2351,2755,2332,2741,2332,2755,2362,2787,2372,2785,2376,2801,2376,2815,2348m2845,2198l2831,2198,2815,2288,2831,2288,2845,2198m2861,2182l2845,2182,2845,2198,2861,2198,2861,2182m2965,2198l2950,2198,2937,2223,2921,2198,2905,2212,2927,2245,2921,2258,2935,2258,2950,2242,2946,2236,2965,2198m3085,2318l3040,2212,3025,2212,3070,2318,3085,2318m3114,2212l3100,2212,3085,2258,3100,2258,3114,2212m3160,2242l3130,2198,3114,2212,3144,2258,3160,2242m3204,2422l3190,2318,3174,2318,3190,2422,3204,2422m3264,2482l3250,2482,3248,2487,3234,2466,3220,2482,3239,2511,3234,2526,3250,2526,3264,2512,3257,2502,3264,2482m3294,2318l3280,2318,3250,2422,3264,2422,3294,2318m3338,2153l3324,2153,3294,2258,3308,2258,3338,2153m3398,2318l3368,2212,3354,2212,3384,2318,3398,2318m3444,2332l3428,2332,3428,2348,3444,2348,3444,2332m3503,2376l3458,2332,3444,2348,3488,2392,3503,2376m3518,2422l3503,2392,3488,2392,3503,2422,3518,2422m3578,2512l3563,2496,3540,2511,3533,2482,3518,2482,3528,2520,3518,2526,3533,2542,3548,2542,3546,2533,3578,2512m3667,2631l3638,2526,3623,2526,3653,2631,3667,2631m3713,2661l3697,2646,3653,2691,3667,2706,3683,2706,3683,2691,3713,2661m3743,2631l3713,2646,3713,2661,3743,2646,3743,2631m3803,2496l3787,2496,3757,2601,3773,2601,3803,2496m3892,2631l3862,2556,3847,2526,3833,2526,3847,2556,3877,2631,3892,2631m3937,2586l3922,2586,3877,2691,3892,2691,3937,2586m3997,2631l3982,2631,3979,2640,3967,2616,3952,2616,3973,2659,3967,2676,3982,2676,3997,2676,3988,2658,3997,2631m4027,2542l4012,2542,3997,2572,4012,2572,4027,2542m4056,2616l4042,2542,4027,2542,4042,2616,4056,2616m4132,2766l4086,2691,4081,2696,4072,2676,4056,2676,4072,2706,4116,2781,4132,2766m4220,2646l4206,2646,4146,2706,4132,2721,4146,2736,4162,2721,4220,2661,4220,2661,4220,2661,4220,2646m4280,2482l4266,2482,4250,2512,4236,2586,4250,2586,4266,2512,4280,2482e" filled="true" fillcolor="#008000" stroked="false">
              <v:path arrowok="t"/>
              <v:fill type="solid"/>
            </v:shape>
            <v:shape style="position:absolute;left:4280;top:2332;width:150;height:120" type="#_x0000_t75" stroked="false">
              <v:imagedata r:id="rId8" o:title=""/>
            </v:shape>
            <v:shape style="position:absolute;left:2247;top:506;width:3887;height:2066" coordorigin="2248,507" coordsize="3887,2066" path="m2278,701l2248,701,2248,717,2278,717,2278,701m2338,791l2322,761,2308,761,2322,791,2338,791m2382,881l2366,851,2352,851,2366,881,2382,881m2426,881l2396,897,2396,911,2426,897,2426,881m2502,911l2472,926,2472,941,2502,926,2502,911m2576,1001l2561,971,2546,971,2561,1001,2576,1001m2621,1001l2606,1001,2591,1031,2606,1031,2621,1001m2666,911l2651,911,2636,941,2651,941,2666,911m2711,971l2696,941,2681,941,2696,971,2711,971m2755,971l2726,986,2726,1001,2755,986,2755,971m2831,926l2801,926,2801,941,2831,941,2831,926m2921,897l2891,897,2891,911,2921,911,2921,897m3010,911l2995,881,2980,881,2995,911,3010,911m3070,956l3040,941,3040,956,3070,971,3070,956m3144,926l3114,911,3114,926,3144,941,3144,926m3220,926l3204,926,3190,956,3204,956,3220,926m3250,837l3234,837,3220,867,3234,867,3250,837m3324,851l3308,821,3294,821,3308,851,3324,851m3338,911l3324,911,3324,941,3338,941,3338,911m3384,956l3368,956,3368,971,3384,971,3384,956m3414,971l3398,956,3384,971,3398,986,3414,971m3474,1001l3458,986,3428,1016,3444,1031,3474,1001m3548,971l3533,956,3518,971,3518,986,3533,986,3533,986,3548,971m3623,986l3608,971,3593,986,3608,1001,3623,986m3683,1046l3667,1031,3653,1046,3667,1061,3683,1061,3683,1046m3773,1091l3757,1076,3743,1091,3757,1106,3757,1106,3773,1106,3773,1091m3847,1076l3833,1076,3833,1091,3847,1091,3847,1076m3877,1091l3862,1076,3847,1091,3862,1106,3877,1091m3937,1106l3907,1120,3907,1136,3937,1120,3937,1106m4012,1196l3997,1166,3982,1166,3997,1196,4012,1196m4042,1226l4027,1226,4012,1256,4027,1256,4042,1226m4102,1196l4086,1166,4072,1166,4086,1196,4102,1196m4132,1226l4116,1226,4102,1256,4116,1256,4132,1226m4162,1150l4146,1150,4146,1166,4162,1166,4162,1150m4176,1136l4162,1120,4146,1136,4162,1150,4176,1136m4220,1061l4206,1061,4192,1091,4206,1091,4220,1061m4280,1076l4266,1061,4250,1076,4250,1091,4266,1091,4280,1076m4310,986l4296,986,4280,1016,4296,1016,4310,986m4386,1016l4370,1001,4356,986,4340,1001,4356,1016,4370,1031,4386,1016m4445,1076l4430,1061,4415,1076,4430,1091,4445,1076m4490,1076l4475,1076,4475,1106,4490,1106,4490,1076m4520,2242l4505,2242,4480,2318,4475,2318,4475,2332,4475,2332,4490,2332,4490,2332,4520,2242m4520,986l4505,986,4490,1016,4505,1016,4520,986m4535,897l4520,897,4520,926,4535,926,4535,897m4565,807l4550,807,4535,837,4550,837,4565,807m4580,731l4565,731,4565,747,4580,747,4580,731m4595,717l4580,701,4565,717,4580,731,4595,717m4609,2093l4595,2078,4565,2123,4520,2168,4535,2182,4580,2138,4609,2093m4655,657l4639,642,4625,657,4639,672,4655,657m4669,1988l4655,1973,4625,2018,4639,2033,4669,1988m4729,2003l4715,1988,4711,1991,4685,1973,4669,1988,4715,2018,4729,2003m4729,701l4715,672,4699,672,4715,701,4729,701m4759,791l4745,761,4729,761,4745,791,4759,791m4774,821l4759,821,4745,851,4759,851,4774,821m4804,731l4789,731,4774,761,4789,761,4804,731m4849,1988l4834,1973,4807,1991,4804,1988,4789,2003,4804,2018,4849,1988m4879,687l4864,672,4849,687,4864,701,4879,687m4894,2018l4864,1973,4849,1988,4879,2033,4894,2018m4924,597l4909,597,4894,627,4909,627,4924,597m4939,522l4924,522,4924,537,4939,537,4939,522m4968,522l4954,507,4939,522,4954,537,4968,522m5014,627l4998,597,4984,597,4998,627,5014,627m5028,687l5014,687,5014,717,5028,717,5028,687m5058,807l5044,777,5028,777,5044,807,5058,807m5074,867l5058,867,5058,897,5074,897,5074,867m5104,986l5088,956,5074,956,5088,986,5104,986m5134,2138l5104,2033,5088,2033,5118,2138,5134,2138m5162,1046l5148,1016,5134,1016,5148,1046,5162,1046m5178,1136l5162,1106,5148,1106,5162,1136,5178,1136m5192,2182l5178,2168,5162,2182,5178,2198,5192,2182m5192,1196l5178,1196,5178,1226,5192,1226,5192,1196m5208,2288l5192,2198,5178,2198,5192,2288,5208,2288m5222,1196l5208,1196,5208,1226,5222,1226,5222,1196m5238,2436l5222,2436,5221,2444,5208,2348,5192,2348,5208,2452,5220,2452,5208,2526,5222,2526,5238,2526,5238,2512,5225,2512,5238,2436m5238,1106l5222,1106,5222,1136,5238,1136,5238,1106m5252,1016l5238,1016,5238,1046,5252,1046,5252,1016m5268,2302l5252,2302,5238,2376,5252,2376,5268,2302m5282,2302l5268,2302,5268,2332,5282,2332,5282,2302m5298,986l5282,956,5268,956,5282,986,5298,986m5328,2496l5298,2392,5282,2392,5312,2496,5328,2496m5342,1076l5328,1046,5312,1046,5328,1076,5342,1076m5357,1136l5342,1136,5342,1166,5357,1166,5357,1136m5372,1196l5357,1196,5342,1226,5357,1226,5372,1196m5432,2376l5417,2376,5392,2425,5357,2436,5357,2452,5402,2436,5432,2376m5447,1150l5417,1150,5417,1166,5447,1166,5447,1150m5492,2422l5462,2318,5447,2318,5477,2422,5492,2422m5537,1150l5507,1166,5507,1180,5537,1166,5537,1150m5551,2556l5543,2549,5521,2482,5507,2482,5529,2549,5521,2556,5537,2572,5551,2572,5547,2561,5551,2556m5611,2392l5597,2392,5567,2496,5581,2496,5611,2392m5611,1180l5581,1196,5581,1210,5611,1196,5611,1180m5657,1120l5641,1120,5627,1150,5641,1150,5657,1120m5671,1046l5657,1046,5657,1061,5671,1061,5671,1046m5687,2406l5671,2406,5668,2415,5657,2392,5641,2392,5662,2434,5657,2452,5671,2452,5687,2452,5678,2433,5687,2406m5701,1046l5687,1031,5671,1046,5687,1061,5701,1046m5716,2272l5701,2272,5687,2348,5701,2348,5716,2272m5746,2272l5716,2258,5716,2272,5746,2288,5746,2272m5746,1076l5716,1091,5716,1106,5746,1091,5746,1076m5791,1031l5776,1031,5761,1061,5776,1061,5791,1031m5806,941l5791,941,5776,971,5791,971,5806,941m5821,851l5806,851,5791,881,5806,881,5821,851m5836,2198l5821,2198,5806,2228,5776,2302,5791,2302,5821,2228,5836,2198m5881,897l5866,867,5851,867,5866,897,5881,897m5910,986l5896,956,5881,956,5896,986,5910,986m5940,986l5926,986,5910,1016,5926,1016,5940,986m5986,2168l5956,2153,5881,2153,5881,2168,5956,2168,5986,2182,5986,2168m5986,897l5970,897,5956,926,5970,926,5986,897m6030,807l6016,807,6000,837,6016,837,6030,807m6046,2123l6030,2123,6016,2153,6030,2153,6046,2123m6090,2078l6074,2063,6030,2108,6046,2123,6090,2078m6090,837l6074,807,6060,807,6074,837,6090,837m6104,2063l6090,2063,6090,2078,6104,2078,6104,2063m6104,867l6090,867,6074,897,6090,897,6104,867m6134,791l6120,791,6120,807,6134,807,6134,791e" filled="true" fillcolor="#008000" stroked="false">
              <v:path arrowok="t"/>
              <v:fill type="solid"/>
            </v:shape>
            <v:shape style="position:absolute;left:2247;top:626;width:3887;height:2469" coordorigin="2248,627" coordsize="3887,2469" path="m2292,867l2262,837,2248,851,2278,881,2292,867m2308,2138l2262,2033,2248,2033,2292,2138,2308,2138m2366,926l2352,911,2338,897,2322,911,2338,926,2352,941,2366,926m2382,2153l2366,2138,2322,2198,2338,2212,2352,2198,2350,2195,2382,2153m2396,2153l2382,2153,2382,2168,2396,2168,2396,2153m2412,971l2396,956,2366,986,2382,1001,2412,971m2472,2258l2436,2245,2426,2228,2412,2228,2426,2258,2472,2272,2472,2258m2472,1016l2456,986,2442,986,2456,1016,2472,1016m2516,2288l2486,2258,2472,2272,2502,2302,2516,2288m2546,1031l2532,1016,2502,1046,2516,1061,2546,1031m2591,2452l2576,2422,2546,2348,2532,2348,2561,2422,2576,2452,2591,2452m2591,971l2576,956,2561,971,2576,986,2591,971m2666,2376l2651,2376,2591,2482,2606,2482,2666,2376m2666,897l2636,911,2636,926,2666,911,2666,897m2711,2318l2696,2302,2681,2318,2696,2332,2711,2318m2755,911l2726,926,2726,941,2755,926,2755,911m2801,2302l2711,2302,2711,2318,2801,2318,2801,2302m2801,851l2785,837,2771,851,2785,867,2801,851m2815,837l2801,837,2801,851,2815,851,2815,837m2845,2242l2831,2228,2815,2242,2831,2258,2845,2242m2891,851l2875,851,2875,867,2891,867,2891,851m2905,2272l2861,2228,2845,2242,2891,2288,2905,2272m2921,2318l2905,2288,2891,2288,2905,2318,2921,2318m2921,867l2905,851,2891,867,2905,881,2921,867m2950,2466l2935,2376,2921,2376,2933,2452,2921,2452,2921,2466,2935,2466,2950,2466m2965,911l2935,926,2935,941,2965,926,2965,911m2980,2332l2965,2332,2950,2392,2965,2392,2980,2332m3025,2348l2995,2318,2980,2332,3010,2362,3025,2348m3055,956l3040,926,3025,926,3040,956,3055,956m3070,2318l3055,2302,3025,2348,3040,2362,3070,2318m3085,1016l3070,1001,3055,1016,3070,1031,3085,1031,3085,1016m3114,2376l3085,2318,3070,2318,3100,2376,3114,2376m3144,956l3114,956,3114,971,3144,971,3144,956m3190,2542l3174,2512,3144,2436,3130,2436,3160,2512,3174,2542,3190,2542m3220,2676l3204,2601,3190,2601,3198,2646,3190,2646,3190,2676,3204,2676,3220,2676m3220,956l3204,956,3190,986,3204,986,3220,956m3250,2482l3234,2482,3204,2586,3220,2586,3250,2482m3250,881l3234,881,3234,897,3250,897,3250,881m3280,881l3264,867,3250,881,3264,897,3280,881m3294,2348l3280,2348,3250,2422,3264,2422,3294,2348m3324,2332l3294,2332,3294,2348,3324,2348,3324,2332m3324,971l3308,941,3294,941,3308,971,3324,971m3368,1001l3338,1016,3338,1031,3368,1016,3368,1001m3384,2496l3354,2392,3338,2392,3368,2496,3384,2496m3398,2601l3393,2601,3384,2556,3368,2556,3380,2609,3368,2631,3384,2631,3398,2631,3394,2609,3398,2601m3444,1061l3428,1046,3414,1061,3428,1076,3444,1061m3474,1091l3458,1076,3444,1091,3458,1106,3474,1091m3533,1120l3518,1091,3503,1091,3518,1120,3533,1120m3548,2601l3533,2586,3530,2589,3503,2572,3458,2542,3444,2556,3488,2586,3533,2616,3548,2601m3563,1061l3548,1061,3533,1091,3548,1091,3563,1061m3623,2466l3608,2466,3563,2556,3578,2556,3623,2466m3623,1061l3608,1031,3593,1031,3608,1061,3623,1061m3638,2452l3623,2452,3623,2466,3638,2466,3638,2452m3667,1150l3653,1120,3638,1120,3653,1150,3667,1150m3713,1150l3697,1150,3697,1166,3713,1166,3713,1150m3727,2616l3697,2512,3683,2512,3713,2616,3727,2616m3757,1061l3743,1061,3727,1091,3743,1091,3757,1061m3773,2781l3743,2676,3727,2676,3757,2781,3773,2781m3803,2706l3787,2706,3773,2751,3787,2751,3803,2706m3803,1120l3787,1091,3773,1091,3787,1120,3803,1120m3847,2766l3817,2706,3803,2706,3833,2766,3847,2766m3847,1136l3817,1150,3817,1166,3847,1150,3847,1136m3907,2901l3892,2886,3862,2825,3847,2825,3882,2896,3877,2901,3892,2915,3907,2915,3902,2905,3907,2901m3922,1226l3907,1210,3892,1196,3877,1210,3892,1226,3907,1240,3922,1226m3952,1300l3937,1286,3922,1300,3937,1316,3952,1316,3952,1300m3982,2736l3967,2736,3922,2825,3922,2841,3937,2841,3937,2825,3982,2736m4012,2871l3997,2766,3982,2766,3997,2871,4012,2871m4012,1316l3997,1286,3982,1286,3997,1316,4012,1316m4042,1344l4027,1344,4012,1374,4027,1374,4042,1344m4072,2961l4056,2961,4037,3005,4027,2931,4012,2931,4026,3030,4012,3065,4027,3065,4040,3035,4042,3035,4041,3032,4072,2961m4116,1270l4086,1286,4086,1300,4116,1286,4116,1270m4132,1196l4116,1196,4102,1226,4116,1226,4132,1196m4132,1106l4116,1106,4116,1136,4132,1136,4132,1106m4146,1016l4132,1016,4132,1046,4146,1046,4146,1016m4162,2961l4146,2945,4116,2976,4116,2975,4102,2975,4107,2986,4102,2991,4116,3005,4132,3005,4126,2995,4162,2961m4162,926l4146,926,4146,956,4162,956,4162,926m4176,2961l4162,2961,4162,2975,4176,2975,4176,2961m4206,986l4192,956,4176,956,4192,986,4206,986m4236,3050l4220,3050,4218,3058,4206,3035,4192,3035,4212,3077,4206,3095,4220,3095,4236,3095,4227,3077,4236,3050m4236,1046l4220,1031,4206,1046,4220,1061,4236,1061,4236,1046m4280,986l4266,986,4266,1016,4280,1016,4280,986m4296,2885l4280,2885,4250,2975,4250,2991,4266,2991,4266,2975,4296,2885m4296,1076l4280,1076,4280,1106,4296,1106,4296,1076m4310,1226l4296,1226,4296,1256,4310,1256,4310,1226m4310,1166l4296,1166,4296,1196,4310,1196,4310,1166m4340,2931l4326,2825,4310,2825,4326,2931,4340,2931m4340,1136l4326,1136,4310,1166,4326,1166,4340,1136m4356,1046l4340,1046,4340,1076,4356,1076,4356,1046m4386,2931l4370,2931,4359,3013,4356,2991,4340,2991,4356,3095,4370,3095,4362,3035,4370,3035,4386,2931m4400,2795l4386,2795,4370,2871,4386,2871,4400,2795m4430,2766l4415,2751,4386,2781,4400,2795,4430,2766m4445,1046l4430,1031,4415,1046,4430,1061,4445,1046m4490,2676l4475,2661,4445,2706,4460,2721,4490,2676m4505,1136l4490,1106,4475,1106,4490,1136,4505,1136m4520,1046l4505,1046,4490,1076,4505,1076,4520,1046m4535,956l4520,956,4520,986,4535,986,4535,956m4550,2691l4535,2691,4530,2727,4505,2676,4490,2676,4520,2736,4529,2736,4520,2795,4535,2795,4550,2691m4565,2526l4550,2526,4535,2631,4550,2631,4565,2526m4565,867l4550,867,4535,897,4550,897,4565,867m4580,2406l4565,2406,4565,2466,4580,2466,4580,2406m4580,777l4565,777,4565,807,4580,807,4580,777m4625,2376l4609,2362,4565,2392,4580,2406,4625,2376m4639,687l4625,672,4609,687,4595,701,4609,717,4625,701,4639,687m4669,2212l4655,2212,4625,2318,4639,2318,4669,2212m4699,657l4685,627,4669,627,4685,657,4699,657m4729,2288l4717,2288,4699,2242,4685,2242,4708,2301,4699,2318,4715,2318,4729,2318,4723,2301,4729,2288m4729,747l4715,717,4699,717,4715,747,4729,747m4759,687l4745,672,4729,687,4745,701,4759,687m4789,687l4774,672,4759,687,4774,701,4789,687m4834,2288l4814,2277,4819,2272,4774,2212,4759,2228,4804,2288,4834,2302,4834,2288m4834,777l4819,747,4804,747,4819,777,4834,777m4879,777l4864,777,4849,807,4864,807,4879,777m4909,2422l4902,2415,4879,2348,4864,2348,4886,2414,4879,2422,4894,2436,4909,2436,4905,2425,4909,2422m4939,717l4924,717,4924,731,4939,731,4939,717m4954,731l4939,731,4939,747,4954,747,4954,731m4984,837l4968,807,4954,807,4968,837,4984,837m5014,926l4998,897,4984,897,4998,926,5014,926m5028,2302l5014,2288,4984,2318,4988,2322,4939,2348,4939,2362,4998,2332,5028,2302m5058,1016l5044,986,5028,986,5044,1016,5058,1016m5088,2242l5074,2228,5058,2242,5074,2258,5088,2242m5134,2332l5104,2242,5088,2242,5118,2332,5134,2332m5134,1061l5104,1046,5104,1061,5134,1076,5134,1061m5178,1166l5162,1136,5148,1136,5162,1166,5178,1166m5192,2422l5162,2376,5148,2392,5178,2436,5192,2422m5192,1226l5178,1226,5178,1256,5192,1256,5192,1226m5208,2496l5192,2436,5178,2436,5192,2496,5208,2496m5238,2512l5222,2512,5214,2556,5208,2556,5212,2565,5208,2586,5222,2586,5238,2586,5227,2565,5238,2512m5238,1180l5222,1180,5208,1210,5222,1210,5238,1180m5268,2348l5252,2348,5238,2452,5252,2452,5268,2348m5282,1106l5252,1106,5252,1120,5282,1120,5282,1106m5312,2452l5298,2348,5282,2348,5298,2452,5312,2452m5312,1180l5298,1180,5298,1210,5312,1210,5312,1180m5357,1210l5328,1226,5328,1240,5357,1226,5357,1210m5372,2526l5357,2526,5354,2535,5342,2512,5328,2512,5348,2554,5342,2572,5357,2572,5372,2572,5363,2553,5372,2526m5402,2406l5387,2406,5372,2466,5387,2466,5402,2406m5402,1136l5387,1136,5372,1166,5387,1166,5402,1136m5447,2406l5402,2392,5402,2406,5447,2422,5447,2406m5492,1106l5462,1120,5462,1136,5492,1120,5492,1106m5537,2436l5507,2422,5507,2436,5537,2452,5537,2436m5567,2526l5551,2452,5537,2452,5551,2526,5567,2526m5581,1120l5551,1106,5551,1120,5581,1136,5581,1120m5597,2542l5581,2542,5573,2586,5567,2586,5571,2595,5567,2616,5581,2616,5597,2616,5586,2595,5597,2542m5627,2376l5611,2376,5581,2482,5597,2482,5627,2376m5641,1061l5627,1061,5611,1091,5627,1091,5641,1061m5671,971l5657,971,5641,1001,5657,1001,5671,971m5701,2392l5679,2403,5657,2348,5641,2348,5671,2422,5687,2422,5684,2415,5701,2406,5701,2392m5716,1061l5701,1031,5687,1031,5701,1061,5716,1061m5746,1076l5731,1061,5716,1076,5731,1091,5746,1076m5806,986l5791,986,5776,1016,5791,1016,5806,986m5821,2452l5821,2452,5821,2452,5821,2436,5806,2436,5779,2454,5761,2436,5746,2452,5776,2482,5821,2452m5866,2288l5851,2288,5821,2376,5836,2376,5866,2288m5896,2288l5881,2272,5866,2288,5881,2302,5896,2288m5896,1016l5881,1001,5866,986,5851,1001,5866,1016,5881,1031,5896,1016m5940,1031l5926,1016,5910,1031,5926,1046,5940,1031m5956,2242l5940,2242,5896,2348,5910,2348,5956,2242m6000,2138l5986,2138,5970,2182,5986,2182,6000,2138m6016,1016l6000,1001,5986,1016,5986,1031,6000,1031,6016,1016m6030,2198l6016,2138,6000,2138,6016,2198,6030,2198m6030,926l6016,926,6016,956,6030,956,6030,926m6060,2318l6046,2318,6042,2340,6030,2258,6016,2258,6030,2362,6039,2362,6030,2422,6046,2422,6060,2318m6074,926l6060,897,6046,897,6060,926,6074,926m6090,2198l6074,2198,6060,2258,6074,2258,6090,2198m6120,1016l6104,986,6090,986,6104,1016,6120,1016m6134,2228l6104,2182,6090,2198,6120,2242,6134,2228e" filled="true" fillcolor="#ff0000" stroked="false">
              <v:path arrowok="t"/>
              <v:fill type="solid"/>
            </v:shape>
            <v:line style="position:absolute" from="2248,1150" to="2292,1240" stroked="true" strokeweight="1.495pt" strokecolor="#008000">
              <v:stroke dashstyle="solid"/>
            </v:line>
            <v:shape style="position:absolute;left:2292;top:1240;width:3798;height:868" coordorigin="2292,1240" coordsize="3798,868" path="m2292,1240l2338,1270,2382,1330,2426,1374,2472,1374,2516,1464,2666,1464,2711,1450,2755,1434,2801,1749,2845,1584,2891,1614,2935,1704,2980,1629,3025,1674,3070,1644,3114,1674,3160,1554,3204,1629,3250,1569,3294,1524,3338,1420,3384,1599,3444,1644,3488,1674,3578,1674,3623,1749,3667,1883,3713,1899,3757,2108,3803,1883,3847,2003,3892,2048,3937,2033,3982,2048,4027,1929,4072,2048,4116,2093,4162,1913,4220,2078,4266,1899,4310,1749,4356,1779,4400,1763,4445,1823,4490,1779,4535,1554,4580,1539,4625,1524,4669,1330,4715,1494,4759,1464,4804,1344,4849,1374,4894,1256,4939,1300,4998,1300,5044,1344,5088,1464,5134,1494,5178,1749,5222,1809,5268,1659,5312,1853,5357,1719,5402,1793,5447,1779,5492,1853,5537,1883,5581,1943,5627,1943,5671,1869,5716,1779,5776,1689,5821,1704,5866,1539,5910,1554,5956,1554,6000,1420,6046,1270,6090,1360e" filled="false" stroked="true" strokeweight="1.495pt" strokecolor="#008000">
              <v:path arrowok="t"/>
              <v:stroke dashstyle="solid"/>
            </v:shape>
            <v:line style="position:absolute" from="6090,1360" to="6134,1286" stroked="true" strokeweight="1.495pt" strokecolor="#008000">
              <v:stroke dashstyle="solid"/>
            </v:line>
            <v:line style="position:absolute" from="2248,1420" to="2292,1434" stroked="true" strokeweight="1.495pt" strokecolor="#ff0000">
              <v:stroke dashstyle="solid"/>
            </v:line>
            <v:shape style="position:absolute;left:2292;top:1360;width:3798;height:868" coordorigin="2292,1360" coordsize="3798,868" path="m2292,1434l2338,1464,2382,1360,2426,1420,2472,1434,2516,1569,2561,1510,2606,1434,2666,1434,2711,1450,2755,1420,2801,1434,2845,1374,2891,1390,2935,1599,2980,1569,3025,1734,3070,1614,3114,1599,3160,1599,3204,1569,3250,1569,3294,1494,3338,1510,3384,1793,3444,1809,3488,1659,3533,1943,3578,1809,3623,1913,3667,1973,3713,2078,3757,1988,3803,2018,3847,1958,3892,2108,3937,2228,3982,1929,4027,2123,4072,1988,4116,2123,4162,2063,4220,2063,4266,2018,4310,1853,4356,2018,4400,1853,4445,1749,4490,1809,4535,1943,4580,1793,4625,1763,4669,1674,4715,1809,4759,1524,4804,1674,4849,1793,4894,1569,4939,1644,4998,1539,5044,1464,5088,1629,5134,1614,5178,1823,5222,1809,5268,1779,5312,1899,5357,1943,5402,1869,5447,1973,5492,1958,5537,2003,5581,1958,5627,1899,5671,1883,5716,1793,5776,1793,5821,1689,5866,1539,5910,1749,5956,1644,6000,1569,6046,1659,6090,1599e" filled="false" stroked="true" strokeweight="1.495pt" strokecolor="#ff0000">
              <v:path arrowok="t"/>
              <v:stroke dashstyle="solid"/>
            </v:shape>
            <v:line style="position:absolute" from="6090,1599" to="6134,1434" stroked="true" strokeweight="1.495pt" strokecolor="#ff0000">
              <v:stroke dashstyle="solid"/>
            </v:line>
            <v:shape style="position:absolute;left:2502;top:1658;width:75;height:1272" coordorigin="2502,1659" coordsize="75,1272" path="m2546,1734l2532,1749,2532,2931,2546,2931,2546,1734xm2532,1698l2502,1779,2532,1749,2532,1698xm2554,1689l2546,1689,2546,1734,2576,1779,2554,1689xm2546,1659l2532,1698,2532,1749,2546,1734,2546,1689,2554,1689,2546,1659xm2535,1689l2532,1689,2532,1698,2535,1689xe" filled="true" fillcolor="#000000" stroked="false">
              <v:path arrowok="t"/>
              <v:fill type="solid"/>
            </v:shape>
            <v:line style="position:absolute" from="2539,1681" to="2539,2938" stroked="true" strokeweight="1.468pt" strokecolor="#000000">
              <v:stroke dashstyle="solid"/>
            </v:line>
            <v:shape style="position:absolute;left:2502;top:1658;width:75;height:120" coordorigin="2502,1659" coordsize="75,120" path="m2546,1734l2502,1779,2546,1659,2576,1779,2546,1734xe" filled="false" stroked="true" strokeweight=".748pt" strokecolor="#000000">
              <v:path arrowok="t"/>
              <v:stroke dashstyle="solid"/>
            </v:shape>
            <w10:wrap type="none"/>
          </v:group>
        </w:pict>
      </w:r>
      <w:r>
        <w:rPr>
          <w:w w:val="102"/>
          <w:sz w:val="19"/>
        </w:rPr>
        <w:t>6</w:t>
      </w:r>
    </w:p>
    <w:p>
      <w:pPr>
        <w:spacing w:line="138" w:lineRule="exact" w:before="6"/>
        <w:ind w:left="451" w:right="6259" w:firstLine="0"/>
        <w:jc w:val="center"/>
        <w:rPr>
          <w:sz w:val="19"/>
        </w:rPr>
      </w:pPr>
      <w:r>
        <w:rPr>
          <w:sz w:val="19"/>
        </w:rPr>
        <w:t>70th percentiles</w:t>
      </w:r>
    </w:p>
    <w:p>
      <w:pPr>
        <w:spacing w:after="0" w:line="138" w:lineRule="exact"/>
        <w:jc w:val="center"/>
        <w:rPr>
          <w:sz w:val="19"/>
        </w:rPr>
        <w:sectPr>
          <w:type w:val="continuous"/>
          <w:pgSz w:w="11900" w:h="16840"/>
          <w:pgMar w:top="1180" w:bottom="280" w:left="1140" w:right="980"/>
          <w:cols w:num="2" w:equalWidth="0">
            <w:col w:w="1781" w:space="40"/>
            <w:col w:w="7959"/>
          </w:cols>
        </w:sectPr>
      </w:pPr>
    </w:p>
    <w:p>
      <w:pPr>
        <w:spacing w:before="77"/>
        <w:ind w:left="0" w:right="0" w:firstLine="0"/>
        <w:jc w:val="right"/>
        <w:rPr>
          <w:sz w:val="19"/>
        </w:rPr>
      </w:pPr>
      <w:r>
        <w:rPr>
          <w:sz w:val="19"/>
        </w:rPr>
        <w:t>(dotted lines)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0"/>
        </w:rPr>
      </w:pPr>
    </w:p>
    <w:p>
      <w:pPr>
        <w:spacing w:line="278" w:lineRule="auto" w:before="1"/>
        <w:ind w:left="1151" w:right="98" w:firstLine="0"/>
        <w:jc w:val="left"/>
        <w:rPr>
          <w:sz w:val="19"/>
        </w:rPr>
      </w:pPr>
      <w:r>
        <w:rPr>
          <w:sz w:val="19"/>
        </w:rPr>
        <w:t>Median inflation rates (solid lines)</w:t>
      </w:r>
    </w:p>
    <w:p>
      <w:pPr>
        <w:spacing w:line="176" w:lineRule="exact" w:before="0"/>
        <w:ind w:left="1764" w:right="0" w:firstLine="0"/>
        <w:jc w:val="left"/>
        <w:rPr>
          <w:sz w:val="19"/>
        </w:rPr>
      </w:pPr>
      <w:r>
        <w:rPr/>
        <w:br w:type="column"/>
      </w:r>
      <w:r>
        <w:rPr>
          <w:sz w:val="19"/>
        </w:rPr>
        <w:t>5</w:t>
      </w:r>
    </w:p>
    <w:p>
      <w:pPr>
        <w:spacing w:before="140"/>
        <w:ind w:left="0" w:right="4536" w:firstLine="0"/>
        <w:jc w:val="right"/>
        <w:rPr>
          <w:sz w:val="19"/>
        </w:rPr>
      </w:pPr>
      <w:r>
        <w:rPr>
          <w:w w:val="102"/>
          <w:sz w:val="19"/>
        </w:rPr>
        <w:t>4</w:t>
      </w:r>
    </w:p>
    <w:p>
      <w:pPr>
        <w:spacing w:before="140"/>
        <w:ind w:left="0" w:right="4536" w:firstLine="0"/>
        <w:jc w:val="right"/>
        <w:rPr>
          <w:sz w:val="19"/>
        </w:rPr>
      </w:pPr>
      <w:r>
        <w:rPr>
          <w:w w:val="102"/>
          <w:sz w:val="19"/>
        </w:rPr>
        <w:t>3</w:t>
      </w:r>
    </w:p>
    <w:p>
      <w:pPr>
        <w:spacing w:before="141"/>
        <w:ind w:left="0" w:right="4536" w:firstLine="0"/>
        <w:jc w:val="right"/>
        <w:rPr>
          <w:sz w:val="19"/>
        </w:rPr>
      </w:pPr>
      <w:r>
        <w:rPr>
          <w:w w:val="102"/>
          <w:sz w:val="19"/>
        </w:rPr>
        <w:t>2</w:t>
      </w:r>
    </w:p>
    <w:p>
      <w:pPr>
        <w:tabs>
          <w:tab w:pos="1375" w:val="left" w:leader="none"/>
        </w:tabs>
        <w:spacing w:before="140"/>
        <w:ind w:left="0" w:right="4536" w:firstLine="0"/>
        <w:jc w:val="right"/>
        <w:rPr>
          <w:sz w:val="19"/>
        </w:rPr>
      </w:pPr>
      <w:r>
        <w:rPr>
          <w:w w:val="102"/>
          <w:sz w:val="19"/>
          <w:u w:val="thick" w:color="008000"/>
        </w:rPr>
        <w:t> </w:t>
      </w:r>
      <w:r>
        <w:rPr>
          <w:spacing w:val="22"/>
          <w:sz w:val="19"/>
          <w:u w:val="thick" w:color="008000"/>
        </w:rPr>
        <w:t> </w:t>
      </w:r>
      <w:r>
        <w:rPr>
          <w:sz w:val="19"/>
        </w:rPr>
        <w:tab/>
        <w:t>1</w:t>
      </w:r>
    </w:p>
    <w:p>
      <w:pPr>
        <w:spacing w:before="142"/>
        <w:ind w:left="0" w:right="4536" w:firstLine="0"/>
        <w:jc w:val="right"/>
        <w:rPr>
          <w:sz w:val="19"/>
        </w:rPr>
      </w:pPr>
      <w:r>
        <w:rPr>
          <w:w w:val="102"/>
          <w:sz w:val="19"/>
        </w:rPr>
        <w:t>0</w:t>
      </w:r>
    </w:p>
    <w:p>
      <w:pPr>
        <w:spacing w:before="140"/>
        <w:ind w:left="1764" w:right="0" w:firstLine="0"/>
        <w:jc w:val="left"/>
        <w:rPr>
          <w:sz w:val="19"/>
        </w:rPr>
      </w:pPr>
      <w:r>
        <w:rPr>
          <w:sz w:val="19"/>
        </w:rPr>
        <w:t>-1</w:t>
      </w:r>
    </w:p>
    <w:p>
      <w:pPr>
        <w:tabs>
          <w:tab w:pos="1764" w:val="left" w:leader="none"/>
        </w:tabs>
        <w:spacing w:line="204" w:lineRule="auto" w:before="79"/>
        <w:ind w:left="313" w:right="4481" w:firstLine="0"/>
        <w:jc w:val="left"/>
        <w:rPr>
          <w:sz w:val="19"/>
        </w:rPr>
      </w:pPr>
      <w:r>
        <w:rPr>
          <w:spacing w:val="-3"/>
          <w:sz w:val="19"/>
        </w:rPr>
        <w:t>30th</w:t>
      </w:r>
      <w:r>
        <w:rPr>
          <w:spacing w:val="13"/>
          <w:sz w:val="19"/>
        </w:rPr>
        <w:t> </w:t>
      </w:r>
      <w:r>
        <w:rPr>
          <w:sz w:val="19"/>
        </w:rPr>
        <w:t>percentiles</w:t>
        <w:tab/>
      </w:r>
      <w:r>
        <w:rPr>
          <w:spacing w:val="-14"/>
          <w:position w:val="-7"/>
          <w:sz w:val="19"/>
        </w:rPr>
        <w:t>-2 </w:t>
      </w:r>
      <w:r>
        <w:rPr>
          <w:spacing w:val="4"/>
          <w:sz w:val="19"/>
        </w:rPr>
        <w:t>(dashed</w:t>
      </w:r>
      <w:r>
        <w:rPr>
          <w:spacing w:val="6"/>
          <w:sz w:val="19"/>
        </w:rPr>
        <w:t> </w:t>
      </w:r>
      <w:r>
        <w:rPr>
          <w:sz w:val="19"/>
        </w:rPr>
        <w:t>lines)</w:t>
      </w:r>
    </w:p>
    <w:p>
      <w:pPr>
        <w:spacing w:line="187" w:lineRule="exact" w:before="0"/>
        <w:ind w:left="1764" w:right="0" w:firstLine="0"/>
        <w:jc w:val="left"/>
        <w:rPr>
          <w:sz w:val="19"/>
        </w:rPr>
      </w:pPr>
      <w:r>
        <w:rPr>
          <w:sz w:val="19"/>
        </w:rPr>
        <w:t>-3</w:t>
      </w:r>
    </w:p>
    <w:p>
      <w:pPr>
        <w:spacing w:after="0" w:line="187" w:lineRule="exact"/>
        <w:jc w:val="left"/>
        <w:rPr>
          <w:sz w:val="19"/>
        </w:rPr>
        <w:sectPr>
          <w:type w:val="continuous"/>
          <w:pgSz w:w="11900" w:h="16840"/>
          <w:pgMar w:top="1180" w:bottom="280" w:left="1140" w:right="980"/>
          <w:cols w:num="2" w:equalWidth="0">
            <w:col w:w="3340" w:space="40"/>
            <w:col w:w="6400"/>
          </w:cols>
        </w:sectPr>
      </w:pPr>
    </w:p>
    <w:p>
      <w:pPr>
        <w:spacing w:before="46"/>
        <w:ind w:left="927" w:right="0" w:firstLine="0"/>
        <w:jc w:val="left"/>
        <w:rPr>
          <w:sz w:val="19"/>
        </w:rPr>
      </w:pPr>
      <w:r>
        <w:rPr>
          <w:sz w:val="19"/>
        </w:rPr>
        <w:t>1997 1998 1999 2000 2001 2002 2003 2004</w:t>
      </w:r>
    </w:p>
    <w:p>
      <w:pPr>
        <w:spacing w:after="0"/>
        <w:jc w:val="left"/>
        <w:rPr>
          <w:sz w:val="19"/>
        </w:rPr>
        <w:sectPr>
          <w:type w:val="continuous"/>
          <w:pgSz w:w="11900" w:h="16840"/>
          <w:pgMar w:top="1180" w:bottom="280" w:left="1140" w:right="980"/>
        </w:sectPr>
      </w:pPr>
    </w:p>
    <w:p>
      <w:pPr>
        <w:pStyle w:val="Heading1"/>
        <w:spacing w:before="82"/>
      </w:pPr>
      <w:r>
        <w:rPr/>
        <w:t>Chart 3</w:t>
      </w:r>
    </w:p>
    <w:p>
      <w:pPr>
        <w:pStyle w:val="BodyText"/>
        <w:spacing w:before="7"/>
        <w:rPr>
          <w:b/>
          <w:sz w:val="21"/>
        </w:rPr>
      </w:pPr>
    </w:p>
    <w:p>
      <w:pPr>
        <w:spacing w:before="1"/>
        <w:ind w:left="842" w:right="0" w:firstLine="0"/>
        <w:jc w:val="left"/>
        <w:rPr>
          <w:b/>
          <w:sz w:val="27"/>
        </w:rPr>
      </w:pPr>
      <w:r>
        <w:rPr>
          <w:b/>
          <w:spacing w:val="-7"/>
          <w:sz w:val="27"/>
        </w:rPr>
        <w:t>Quarterly </w:t>
      </w:r>
      <w:r>
        <w:rPr>
          <w:b/>
          <w:spacing w:val="-4"/>
          <w:sz w:val="27"/>
        </w:rPr>
        <w:t>regional house </w:t>
      </w:r>
      <w:r>
        <w:rPr>
          <w:b/>
          <w:spacing w:val="-9"/>
          <w:sz w:val="27"/>
        </w:rPr>
        <w:t>price growth</w:t>
      </w:r>
    </w:p>
    <w:p>
      <w:pPr>
        <w:pStyle w:val="BodyText"/>
        <w:rPr>
          <w:b/>
        </w:rPr>
      </w:pPr>
      <w:r>
        <w:rPr/>
        <w:br w:type="column"/>
      </w:r>
      <w:r>
        <w:rPr>
          <w:b/>
        </w:rPr>
      </w:r>
    </w:p>
    <w:p>
      <w:pPr>
        <w:pStyle w:val="BodyText"/>
        <w:rPr>
          <w:b/>
        </w:rPr>
      </w:pPr>
    </w:p>
    <w:p>
      <w:pPr>
        <w:pStyle w:val="BodyText"/>
        <w:rPr>
          <w:b/>
        </w:rPr>
      </w:pPr>
    </w:p>
    <w:p>
      <w:pPr>
        <w:spacing w:before="188"/>
        <w:ind w:left="0" w:right="3912" w:firstLine="0"/>
        <w:jc w:val="right"/>
        <w:rPr>
          <w:sz w:val="21"/>
        </w:rPr>
      </w:pPr>
      <w:r>
        <w:rPr>
          <w:w w:val="105"/>
          <w:sz w:val="21"/>
        </w:rPr>
        <w:t>per cent</w:t>
      </w:r>
    </w:p>
    <w:p>
      <w:pPr>
        <w:spacing w:before="78"/>
        <w:ind w:left="0" w:right="3989" w:firstLine="0"/>
        <w:jc w:val="right"/>
        <w:rPr>
          <w:sz w:val="21"/>
        </w:rPr>
      </w:pPr>
      <w:r>
        <w:rPr/>
        <w:pict>
          <v:group style="position:absolute;margin-left:105.420998pt;margin-top:9.77324pt;width:225.95pt;height:161.050pt;mso-position-horizontal-relative:page;mso-position-vertical-relative:paragraph;z-index:251667456" coordorigin="2108,195" coordsize="4519,3221">
            <v:shape style="position:absolute;left:2116;top:329;width:4443;height:3020" coordorigin="2117,329" coordsize="4443,3020" path="m2166,1772l2117,1940,2117,3348,6559,3348,6559,2325,4061,2325,4019,2241,3911,2241,3881,2108,3743,2108,3736,2091,3625,2091,3592,2024,2216,2024,2166,1772xm4128,2190l4061,2325,6559,2325,6559,2308,4178,2308,4128,2190xm4229,1906l4178,2308,6559,2308,6559,2224,4498,2224,4447,2040,4422,2024,4279,2024,4229,1906xm3960,1973l3911,2241,4019,2241,4010,2224,3960,1973xm4547,1654l4498,2224,6559,2224,6559,2190,4614,2190,4547,1654xm4664,1906l4614,2190,6559,2190,6559,2158,4715,2158,4664,1906xm4883,1587l4832,1637,4765,2108,4715,2158,6559,2158,6559,2074,4984,2074,4933,1704,4883,1587xm3793,1604l3743,2108,3881,2108,3844,1940,3793,1604xm3692,1990l3625,2091,3736,2091,3692,1990xm5051,1788l4984,2074,6559,2074,6559,1990,5201,1990,5150,1839,5101,1805,5051,1788xm2284,1940l2216,2024,3592,2024,3583,2007,2334,2007,2284,1940xm4346,1738l4279,2024,4422,2024,4397,2007,4346,1738xm2435,1839l2384,1889,2334,2007,3583,2007,3575,1990,3562,1973,2603,1973,2552,1872,2502,1872,2435,1839xm5369,1788l5318,1788,5251,1956,5201,1990,6559,1990,6559,1940,5855,1940,5848,1923,5537,1923,5470,1889,5419,1889,5369,1788xm2653,1654l2603,1973,3562,1973,3524,1923,3510,1755,2719,1755,2653,1654xm5956,1302l5905,1755,5855,1940,6559,1940,6559,1755,6124,1755,6081,1570,6023,1570,5956,1302xm5638,1403l5587,1688,5537,1923,5848,1923,5804,1822,5754,1688,5688,1470,5638,1403xm2770,1536l2719,1755,3510,1755,3507,1721,2870,1721,2820,1637,2770,1536xm6341,850l6292,1050,6241,1470,6174,1504,6124,1755,6559,1755,6559,1671,6509,1671,6486,1151,6391,1151,6341,850xm2921,1637l2870,1721,3507,1721,3501,1654,2988,1654,2921,1637xm6559,1118l6509,1671,6559,1671,6559,1118xm3257,329l3206,816,3139,1034,3089,1370,3038,1520,2988,1654,3501,1654,3477,1386,3424,1386,3356,1302,3307,1034,3257,329xm6073,1536l6023,1570,6081,1570,6073,1536xm3474,1353l3424,1386,3477,1386,3474,1353xm6458,514l6391,1151,6486,1151,6458,514xe" filled="true" fillcolor="#9accff" stroked="false">
              <v:path arrowok="t"/>
              <v:fill type="solid"/>
            </v:shape>
            <v:shape style="position:absolute;left:2116;top:766;width:4443;height:2583" coordorigin="2117,766" coordsize="4443,2583" path="m2166,1940l2117,2057,2117,3348,6559,3348,6559,2493,4178,2493,4169,2459,4010,2459,3983,2342,3911,2342,3855,2258,3743,2258,3726,2207,2216,2207,2166,1940xm4279,2108l4229,2241,4178,2493,6559,2493,6559,2375,4715,2375,4704,2342,4614,2342,4601,2325,4498,2325,4470,2224,4346,2224,4279,2108xm4128,2308l4061,2409,4010,2459,4169,2459,4128,2308xm4933,2057l4883,2091,4832,2190,4765,2291,4715,2375,6559,2375,6559,2174,5201,2174,5187,2124,4984,2124,4933,2057xm3960,2241l3911,2342,3983,2342,3960,2241xm4664,2224l4614,2342,4704,2342,4664,2224xm4547,2258l4498,2325,4601,2325,4547,2258xm3793,2091l3743,2258,3855,2258,3844,2241,3793,2091xm4447,2141l4397,2207,4346,2224,4470,2224,4447,2141xm2384,1973l2334,2040,2284,2057,2216,2207,3726,2207,3704,2141,2603,2141,2552,2074,2524,2007,2435,2007,2384,1973xm5369,2040l5318,2057,5251,2074,5201,2174,6559,2174,6559,2141,5537,2141,5503,2124,5419,2124,5369,2040xm2770,1822l2719,1923,2653,1990,2603,2141,3625,2141,3575,2108,3524,2091,3486,1923,2820,1923,2770,1822xm3692,2108l3625,2141,3704,2141,3692,2108xm5638,1654l5587,1889,5537,2141,6559,2141,6559,2074,5855,2074,5804,2007,5754,1839,5688,1788,5638,1654xm5051,2007l4984,2124,5187,2124,5164,2040,5101,2040,5051,2007xm5470,2108l5419,2124,5503,2124,5470,2108xm6174,1637l6124,1856,6073,1889,6023,1889,5956,1990,5905,2007,5855,2074,6559,2074,6559,1805,6509,1772,6241,1772,6174,1637xm5150,1990l5101,2040,5164,2040,5150,1990xm2502,1956l2435,2007,2524,2007,2502,1956xm2870,1805l2820,1923,3486,1923,3474,1872,3464,1822,2921,1822,2870,1805xm2988,1805l2921,1822,3038,1822,2988,1805xm3257,766l3206,1218,3139,1504,3089,1688,3038,1822,3464,1822,3424,1620,3356,1604,3307,1286,3257,766xm6341,1151l6292,1637,6241,1772,6509,1772,6458,1536,6391,1386,6341,1151xe" filled="true" fillcolor="#000080" stroked="false">
              <v:path arrowok="t"/>
              <v:fill type="solid"/>
            </v:shape>
            <v:shape style="position:absolute;left:2116;top:1687;width:4443;height:1661" coordorigin="2117,1688" coordsize="4443,1661" path="m2117,2091l2117,3348,6559,3348,6559,2778,4178,2778,4164,2678,3474,2678,3424,2543,3368,2291,2216,2291,2166,2174,2117,2091xm4279,2207l4229,2358,4178,2778,6559,2778,6559,2493,4715,2493,4698,2442,4498,2442,4458,2325,4397,2325,4346,2308,4279,2207xm3575,2342l3524,2644,3474,2678,4164,2678,4154,2610,4010,2610,3987,2526,3793,2526,3773,2459,3692,2459,3575,2342xm4128,2426l4061,2577,4010,2610,4154,2610,4128,2426xm3844,2409l3793,2526,3987,2526,3978,2493,3911,2493,3844,2409xm3960,2426l3911,2493,3978,2493,3960,2426xm4933,2190l4883,2190,4832,2258,4765,2409,4715,2493,6559,2493,6559,2442,5804,2442,5796,2392,5537,2392,5503,2358,5101,2358,5079,2258,4984,2258,4933,2190xm3743,2358l3692,2459,3773,2459,3743,2358xm4547,2375l4498,2442,4614,2442,4547,2375xm4664,2342l4614,2442,4698,2442,4664,2342xm5855,2241l5804,2442,6559,2442,6559,2308,5905,2308,5855,2241xm5638,2024l5587,2124,5537,2392,5796,2392,5759,2174,5688,2174,5638,2024xm5150,2241l5101,2358,5503,2358,5470,2325,5451,2274,5318,2274,5296,2258,5201,2258,5150,2241xm4447,2291l4397,2325,4458,2325,4447,2291xm6023,1990l5956,2274,5905,2308,6559,2308,6559,2174,6073,2174,6023,1990xm2284,2141l2216,2291,3368,2291,3360,2258,2552,2258,2523,2190,2334,2190,2284,2141xm5419,2190l5369,2224,5318,2274,5451,2274,5419,2190xm2653,2108l2603,2224,2552,2258,3360,2258,3356,2241,3350,2190,2719,2190,2653,2108xm5051,2124l4984,2258,5079,2258,5051,2124xm5251,2224l5201,2258,5296,2258,5251,2224xm2435,2124l2384,2124,2334,2190,2523,2190,2502,2141,2435,2124xm2770,2074l2719,2190,3350,2190,3348,2174,2870,2174,2820,2091,2770,2074xm2921,1990l2870,2174,3038,2174,2988,2141,2921,1990xm3257,1688l3139,1923,3089,2074,3038,2174,3348,2174,3307,1856,3257,1688xm5754,2141l5688,2174,5759,2174,5754,2141xm6174,1990l6124,2141,6073,2174,6559,2174,6559,2158,6241,2158,6174,1990xm6341,1755l6292,2057,6241,2158,6458,2158,6391,1872,6341,1755xm6559,2074l6509,2141,6458,2158,6559,2158,6559,2074xe" filled="true" fillcolor="#9accff" stroked="false">
              <v:path arrowok="t"/>
              <v:fill type="solid"/>
            </v:shape>
            <v:shape style="position:absolute;left:2116;top:2023;width:4443;height:1325" coordorigin="2117,2024" coordsize="4443,1325" path="m2117,2158l2117,3348,6559,3348,6559,3012,3424,3012,3367,2476,2988,2476,2978,2442,2216,2442,2166,2291,2117,2158xm3743,2442l3692,2543,3625,2560,3575,2728,3524,2828,3474,2844,3424,3012,6559,3012,6559,2979,5804,2979,5799,2895,4178,2895,4148,2711,4010,2711,3978,2594,3793,2594,3743,2442xm5855,2510l5804,2979,6559,2979,6559,2728,6391,2728,6377,2543,6073,2543,6056,2526,5905,2526,5855,2510xm4279,2358l4229,2409,4178,2895,5799,2895,5793,2811,5537,2811,5522,2728,5101,2728,5089,2610,4715,2610,4705,2577,4614,2577,4592,2543,4498,2543,4488,2510,4346,2510,4279,2358xm5754,2241l5688,2476,5638,2577,5587,2745,5537,2811,5793,2811,5754,2241xm5251,2375l5201,2375,5150,2392,5101,2728,5522,2728,5470,2426,5318,2426,5251,2375xm6458,2375l6391,2728,6559,2728,6559,2426,6509,2426,6458,2375xm4128,2594l4010,2711,4148,2711,4128,2594xm4933,2224l4883,2274,4832,2308,4765,2493,4715,2610,5089,2610,5060,2342,4984,2342,4933,2224xm3844,2442l3793,2594,3978,2594,3965,2543,3911,2543,3844,2442xm4664,2442l4614,2577,4705,2577,4664,2442xm3960,2526l3911,2543,3965,2543,3960,2526xm4547,2476l4498,2543,4592,2543,4547,2476xm6174,2308l6124,2358,6073,2543,6377,2543,6367,2409,6241,2409,6174,2308xm5956,2426l5905,2526,6056,2526,5956,2426xm4397,2342l4346,2510,4488,2510,4447,2375,4397,2342xm3089,2224l3038,2358,2988,2476,3367,2476,3356,2375,3347,2308,3139,2308,3089,2224xm2384,2174l2334,2224,2284,2325,2216,2442,2820,2442,2810,2392,2552,2392,2520,2274,2435,2274,2384,2174xm2921,2241l2820,2442,2978,2442,2921,2241xm5419,2224l5318,2426,5470,2426,5419,2224xm6559,2174l6509,2426,6559,2426,6559,2174xm6341,2057l6292,2207,6241,2409,6367,2409,6341,2057xm2653,2174l2603,2342,2552,2392,2810,2392,2790,2291,2719,2291,2653,2174xm5051,2258l4984,2342,5060,2342,5051,2258xm3206,2074l3139,2308,3347,2308,3326,2158,3257,2158,3206,2074xm2770,2190l2719,2291,2790,2291,2770,2190xm2502,2207l2435,2274,2520,2274,2502,2207xm3307,2024l3257,2158,3326,2158,3307,2024xe" filled="true" fillcolor="#ffffff" stroked="false">
              <v:path arrowok="t"/>
              <v:fill type="solid"/>
            </v:shape>
            <v:shape style="position:absolute;left:2116;top:196;width:4510;height:3220" coordorigin="2117,196" coordsize="4510,3220" path="m6559,196l6559,3348,6626,3348m6559,2828l6626,2828m6559,2291l6626,2291m6559,1772l6626,1772m6559,1252l6626,1252m6559,716l6626,716m6559,196l6626,196m2117,3348l6559,3348m2117,3416l2117,3348m2166,3416l2166,3348m2216,3416l2216,3348m2284,3416l2284,3348m2334,3416l2334,3348m2384,3416l2384,3348m2435,3416l2435,3348m2502,3416l2502,3348m2552,3416l2552,3348m2603,3416l2603,3348m2653,3416l2653,3348m2719,3416l2719,3348m2770,3416l2770,3348m2820,3416l2820,3348m2870,3416l2870,3348m2921,3416l2921,3348m2988,3416l2988,3348m3038,3416l3038,3348m3089,3416l3089,3348m3139,3416l3139,3348m3206,3416l3206,3348m3257,3416l3257,3348m3307,3416l3307,3348m3356,3416l3356,3348m3424,3416l3424,3348m3474,3416l3474,3348m3524,3416l3524,3348m3575,3416l3575,3348m3625,3416l3625,3348m3692,3416l3692,3348m3743,3416l3743,3348m3793,3416l3793,3348m3844,3416l3844,3348m3911,3416l3911,3348m3960,3416l3960,3348m4010,3416l4010,3348m4061,3416l4061,3348m4128,3416l4128,3348m4178,3416l4178,3348m4229,3416l4229,3348m4279,3416l4279,3348m4346,3416l4346,3348m4397,3416l4397,3348m4447,3416l4447,3348m4498,3416l4498,3348m4547,3416l4547,3348m4614,3416l4614,3348m4664,3416l4664,3348m4715,3416l4715,3348m4765,3416l4765,3348m4832,3416l4832,3348m4883,3416l4883,3348m4933,3416l4933,3348m4984,3416l4984,3348m5051,3416l5051,3348m5101,3416l5101,3348m5150,3416l5150,3348m5201,3416l5201,3348m5251,3416l5251,3348m5318,3416l5318,3348m5369,3416l5369,3348m5419,3416l5419,3348m5470,3416l5470,3348m5537,3416l5537,3348m5587,3416l5587,3348m5638,3416l5638,3348m5688,3416l5688,3348m5754,3416l5754,3348m5804,3416l5804,3348m5855,3416l5855,3348m5905,3416l5905,3348m5956,3416l5956,3348m6023,3416l6023,3348m6073,3416l6073,3348m6124,3416l6124,3348m6174,3416l6174,3348m6241,3416l6241,3348m6292,3416l6292,3348m6341,3416l6341,3348m6391,3416l6391,3348m6458,3416l6458,3348m6509,3416l6509,3348m6559,3416l6559,3348e" filled="false" stroked="true" strokeweight=".06pt" strokecolor="#000000">
              <v:path arrowok="t"/>
              <v:stroke dashstyle="solid"/>
            </v:shape>
            <v:line style="position:absolute" from="2117,2040" to="2166,2074" stroked="true" strokeweight=".838pt" strokecolor="#ffff00">
              <v:stroke dashstyle="solid"/>
            </v:line>
            <v:shape style="position:absolute;left:2166;top:1235;width:4394;height:1443" coordorigin="2166,1235" coordsize="4394,1443" path="m2166,2074l2216,2207,2284,2108,2334,2108,2384,2057,2435,2040,2502,2057,2552,2124,2603,2174,2653,1956,2719,2007,2770,1956,2820,1956,2870,1940,2921,1872,2988,1973,3089,1839,3139,1704,3206,1520,3257,1235,3307,1536,3356,1856,3424,2040,3474,2325,3524,2442,3575,2241,3625,2308,3692,2325,3743,2274,3793,2291,3844,2358,3911,2409,3960,2375,4010,2510,4061,2510,4128,2392,4178,2678,4229,2291,4279,2190,4346,2258,4397,2258,4447,2241,4498,2392,4547,2308,4614,2342,4664,2308,4715,2426,4765,2375,4832,2224,4883,2141,4933,2057,4984,2190,5051,2040,5101,2158,5150,2124,5201,2190,5251,2158,5318,2158,5369,2124,5419,2174,5470,2190,5537,2241,5587,1990,5638,1872,5688,1940,5754,1940,5804,2308,5855,2174,5905,2190,5956,2174,6023,1872,6073,1973,6124,1973,6174,1839,6241,1856,6292,1704,6341,1520,6391,1721,6458,1923,6559,1889e" filled="false" stroked="true" strokeweight=".838pt" strokecolor="#ffff00">
              <v:path arrowok="t"/>
              <v:stroke dashstyle="solid"/>
            </v:shape>
            <v:line style="position:absolute" from="2117,2074" to="2166,2074" stroked="true" strokeweight=".838pt" strokecolor="#ff00ff">
              <v:stroke dashstyle="solid"/>
            </v:line>
            <v:shape style="position:absolute;left:2166;top:1235;width:4394;height:1359" coordorigin="2166,1235" coordsize="4394,1359" path="m2166,2074l2216,2224,2284,2091,2334,2124,2384,2091,2435,2074,2502,2057,2552,2190,2603,2190,2653,2007,2719,2057,2770,2024,2820,2007,2870,1973,2921,1906,2988,2024,3038,2024,3089,1906,3139,1688,3206,1487,3257,1235,3307,1637,3356,2074,3424,2007,3474,2375,3524,2476,3575,2224,3625,2241,3692,2409,3743,2308,3793,2174,3844,2358,3911,2392,3960,2325,4010,2543,4061,2476,4128,2409,4178,2594,4229,2308,4279,2174,4346,2258,4397,2274,4447,2224,4498,2375,4547,2258,4614,2392,4664,2308,4715,2409,4765,2358,4832,2207,4883,2158,4933,2108,4984,2158,5051,2091,5101,2241,5150,2141,5201,2224,5251,2141,5318,2174,5369,2108,5419,2141,5470,2224,5537,2241,5587,2057,5638,1822,5688,2124,5754,2074,5804,2258,5855,2141,5905,2124,5956,2091,6023,1956,6124,2024,6174,1940,6241,1956,6292,1940,6341,1470,6391,1738,6458,1772,6509,1889,6559,1923e" filled="false" stroked="true" strokeweight=".838pt" strokecolor="#ff00ff">
              <v:path arrowok="t"/>
              <v:stroke dashstyle="solid"/>
            </v:shape>
            <v:line style="position:absolute" from="2117,2291" to="2166,2291" stroked="true" strokeweight=".838pt" strokecolor="#000000">
              <v:stroke dashstyle="solid"/>
            </v:line>
            <v:line style="position:absolute" from="2166,2291" to="6559,2291" stroked="true" strokeweight=".838pt" strokecolor="#000000">
              <v:stroke dashstyle="solid"/>
            </v:line>
            <v:shape style="position:absolute;left:3558;top:1302;width:436;height:872" coordorigin="3558,1302" coordsize="436,872" path="m3558,2024l3575,2174,3633,2124,3592,2124,3592,2108,3621,2047,3558,2024xm3621,2047l3592,2108,3592,2124,3629,2050,3621,2047xm3629,2050l3592,2124,3633,2124,3692,2074,3629,2050xm3994,1302l3977,1302,3621,2047,3629,2050,3994,1319,3994,1302xe" filled="true" fillcolor="#000000" stroked="false">
              <v:path arrowok="t"/>
              <v:fill type="solid"/>
            </v:shape>
            <v:shape style="position:absolute;left:3558;top:1302;width:436;height:872" coordorigin="3558,1302" coordsize="436,872" path="m3994,1319l3592,2124,3592,2108,3977,1302,3994,1302,3994,1319xm3692,2074l3575,2174,3558,2024,3692,2074xe" filled="false" stroked="true" strokeweight=".838pt" strokecolor="#000000">
              <v:path arrowok="t"/>
              <v:stroke dashstyle="solid"/>
            </v:shape>
            <v:shape style="position:absolute;left:2686;top:1403;width:134;height:503" coordorigin="2687,1403" coordsize="134,503" path="m2755,1763l2687,1772,2786,1906,2798,1856,2770,1856,2770,1839,2755,1763xm2820,1755l2758,1763,2770,1839,2770,1856,2798,1856,2820,1755xm2758,1763l2755,1763,2770,1839,2758,1763xm2704,1403l2687,1403,2687,1420,2755,1763,2758,1763,2704,1403xe" filled="true" fillcolor="#000000" stroked="false">
              <v:path arrowok="t"/>
              <v:fill type="solid"/>
            </v:shape>
            <v:shape style="position:absolute;left:2686;top:1403;width:134;height:503" coordorigin="2687,1403" coordsize="134,503" path="m2704,1403l2770,1839,2770,1856,2770,1839,2687,1420,2687,1403,2704,1403xm2820,1755l2786,1906,2687,1772,2820,1755xe" filled="false" stroked="true" strokeweight=".838pt" strokecolor="#000000">
              <v:path arrowok="t"/>
              <v:stroke dashstyle="solid"/>
            </v:shape>
            <v:shape style="position:absolute;left:2971;top:2074;width:135;height:604" coordorigin="2971,2074" coordsize="135,604" path="m3038,2108l3022,2124,3022,2678,3038,2678,3038,2108xm3038,2074l2971,2207,3022,2207,3022,2124,3038,2108,3055,2108,3038,2074xm3055,2108l3038,2108,3038,2207,3106,2207,3055,2108xe" filled="true" fillcolor="#000000" stroked="false">
              <v:path arrowok="t"/>
              <v:fill type="solid"/>
            </v:shape>
            <v:shape style="position:absolute;left:2971;top:2074;width:135;height:604" coordorigin="2971,2074" coordsize="135,604" path="m3022,2678l3022,2124,3038,2108,3038,2678,3022,2678xm2971,2207l3038,2074,3106,2207,2971,2207xe" filled="false" stroked="true" strokeweight=".838pt" strokecolor="#000000">
              <v:path arrowok="t"/>
              <v:stroke dashstyle="solid"/>
            </v:shape>
            <v:shape style="position:absolute;left:2334;top:1203;width:487;height:242" type="#_x0000_t202" filled="false" stroked="false">
              <v:textbox inset="0,0,0,0">
                <w:txbxContent>
                  <w:p>
                    <w:pPr>
                      <w:spacing w:line="240" w:lineRule="exact" w:before="0"/>
                      <w:ind w:left="0" w:right="0" w:firstLine="0"/>
                      <w:jc w:val="left"/>
                      <w:rPr>
                        <w:sz w:val="21"/>
                      </w:rPr>
                    </w:pPr>
                    <w:r>
                      <w:rPr>
                        <w:w w:val="105"/>
                        <w:sz w:val="21"/>
                      </w:rPr>
                      <w:t>mean</w:t>
                    </w:r>
                  </w:p>
                </w:txbxContent>
              </v:textbox>
              <w10:wrap type="none"/>
            </v:shape>
            <v:shape style="position:absolute;left:4044;top:1085;width:1644;height:242" type="#_x0000_t202" filled="false" stroked="false">
              <v:textbox inset="0,0,0,0">
                <w:txbxContent>
                  <w:p>
                    <w:pPr>
                      <w:spacing w:line="240" w:lineRule="exact" w:before="0"/>
                      <w:ind w:left="0" w:right="0" w:firstLine="0"/>
                      <w:jc w:val="left"/>
                      <w:rPr>
                        <w:sz w:val="21"/>
                      </w:rPr>
                    </w:pPr>
                    <w:r>
                      <w:rPr>
                        <w:w w:val="105"/>
                        <w:sz w:val="21"/>
                      </w:rPr>
                      <w:t>interquartile range</w:t>
                    </w:r>
                  </w:p>
                </w:txbxContent>
              </v:textbox>
              <w10:wrap type="none"/>
            </v:shape>
            <v:shape style="position:absolute;left:2586;top:2712;width:649;height:242" type="#_x0000_t202" filled="false" stroked="false">
              <v:textbox inset="0,0,0,0">
                <w:txbxContent>
                  <w:p>
                    <w:pPr>
                      <w:spacing w:line="240" w:lineRule="exact" w:before="0"/>
                      <w:ind w:left="0" w:right="0" w:firstLine="0"/>
                      <w:jc w:val="left"/>
                      <w:rPr>
                        <w:sz w:val="21"/>
                      </w:rPr>
                    </w:pPr>
                    <w:r>
                      <w:rPr>
                        <w:spacing w:val="-3"/>
                        <w:w w:val="105"/>
                        <w:sz w:val="21"/>
                      </w:rPr>
                      <w:t>median</w:t>
                    </w:r>
                  </w:p>
                </w:txbxContent>
              </v:textbox>
              <w10:wrap type="none"/>
            </v:shape>
            <w10:wrap type="none"/>
          </v:group>
        </w:pict>
      </w:r>
      <w:r>
        <w:rPr>
          <w:sz w:val="21"/>
        </w:rPr>
        <w:t>20</w:t>
      </w:r>
    </w:p>
    <w:p>
      <w:pPr>
        <w:spacing w:after="0"/>
        <w:jc w:val="right"/>
        <w:rPr>
          <w:sz w:val="21"/>
        </w:rPr>
        <w:sectPr>
          <w:pgSz w:w="11900" w:h="16840"/>
          <w:pgMar w:header="717" w:footer="0" w:top="1340" w:bottom="280" w:left="1140" w:right="980"/>
          <w:cols w:num="2" w:equalWidth="0">
            <w:col w:w="5083" w:space="40"/>
            <w:col w:w="4657"/>
          </w:cols>
        </w:sectPr>
      </w:pPr>
    </w:p>
    <w:p>
      <w:pPr>
        <w:pStyle w:val="BodyText"/>
        <w:spacing w:before="7"/>
        <w:rPr>
          <w:sz w:val="15"/>
        </w:rPr>
      </w:pPr>
    </w:p>
    <w:p>
      <w:pPr>
        <w:spacing w:before="98"/>
        <w:ind w:left="5400" w:right="3805" w:firstLine="0"/>
        <w:jc w:val="center"/>
        <w:rPr>
          <w:sz w:val="21"/>
        </w:rPr>
      </w:pPr>
      <w:r>
        <w:rPr>
          <w:spacing w:val="-9"/>
          <w:w w:val="105"/>
          <w:sz w:val="21"/>
        </w:rPr>
        <w:t>15</w:t>
      </w:r>
    </w:p>
    <w:p>
      <w:pPr>
        <w:pStyle w:val="BodyText"/>
        <w:spacing w:before="8"/>
        <w:rPr>
          <w:sz w:val="25"/>
        </w:rPr>
      </w:pPr>
    </w:p>
    <w:p>
      <w:pPr>
        <w:spacing w:before="0"/>
        <w:ind w:left="5400" w:right="3805" w:firstLine="0"/>
        <w:jc w:val="center"/>
        <w:rPr>
          <w:sz w:val="21"/>
        </w:rPr>
      </w:pPr>
      <w:r>
        <w:rPr>
          <w:spacing w:val="-9"/>
          <w:w w:val="105"/>
          <w:sz w:val="21"/>
        </w:rPr>
        <w:t>10</w:t>
      </w:r>
    </w:p>
    <w:p>
      <w:pPr>
        <w:pStyle w:val="BodyText"/>
        <w:spacing w:before="2"/>
      </w:pPr>
    </w:p>
    <w:p>
      <w:pPr>
        <w:spacing w:before="0"/>
        <w:ind w:left="1503" w:right="0" w:firstLine="0"/>
        <w:jc w:val="center"/>
        <w:rPr>
          <w:sz w:val="21"/>
        </w:rPr>
      </w:pPr>
      <w:r>
        <w:rPr>
          <w:w w:val="103"/>
          <w:sz w:val="21"/>
        </w:rPr>
        <w:t>5</w:t>
      </w:r>
    </w:p>
    <w:p>
      <w:pPr>
        <w:pStyle w:val="BodyText"/>
        <w:spacing w:before="7"/>
        <w:rPr>
          <w:sz w:val="15"/>
        </w:rPr>
      </w:pPr>
    </w:p>
    <w:p>
      <w:pPr>
        <w:spacing w:before="99"/>
        <w:ind w:left="1503" w:right="0" w:firstLine="0"/>
        <w:jc w:val="center"/>
        <w:rPr>
          <w:sz w:val="21"/>
        </w:rPr>
      </w:pPr>
      <w:r>
        <w:rPr>
          <w:w w:val="103"/>
          <w:sz w:val="21"/>
        </w:rPr>
        <w:t>0</w:t>
      </w:r>
    </w:p>
    <w:p>
      <w:pPr>
        <w:pStyle w:val="BodyText"/>
        <w:spacing w:before="2"/>
        <w:rPr>
          <w:sz w:val="17"/>
        </w:rPr>
      </w:pPr>
    </w:p>
    <w:p>
      <w:pPr>
        <w:spacing w:before="98"/>
        <w:ind w:left="5400" w:right="3835" w:firstLine="0"/>
        <w:jc w:val="center"/>
        <w:rPr>
          <w:sz w:val="21"/>
        </w:rPr>
      </w:pPr>
      <w:r>
        <w:rPr>
          <w:spacing w:val="-6"/>
          <w:w w:val="105"/>
          <w:sz w:val="21"/>
        </w:rPr>
        <w:t>-5</w:t>
      </w:r>
    </w:p>
    <w:p>
      <w:pPr>
        <w:pStyle w:val="BodyText"/>
        <w:spacing w:before="7"/>
        <w:rPr>
          <w:sz w:val="15"/>
        </w:rPr>
      </w:pPr>
    </w:p>
    <w:p>
      <w:pPr>
        <w:spacing w:before="99"/>
        <w:ind w:left="5400" w:right="3729" w:firstLine="0"/>
        <w:jc w:val="center"/>
        <w:rPr>
          <w:sz w:val="21"/>
        </w:rPr>
      </w:pPr>
      <w:r>
        <w:rPr>
          <w:w w:val="105"/>
          <w:sz w:val="21"/>
        </w:rPr>
        <w:t>-10</w:t>
      </w:r>
    </w:p>
    <w:p>
      <w:pPr>
        <w:spacing w:before="76"/>
        <w:ind w:left="455" w:right="3887" w:firstLine="0"/>
        <w:jc w:val="center"/>
        <w:rPr>
          <w:sz w:val="21"/>
        </w:rPr>
      </w:pPr>
      <w:r>
        <w:rPr>
          <w:w w:val="105"/>
          <w:sz w:val="21"/>
        </w:rPr>
        <w:t>1983 1985 1987 1990 1992 1994 1996 1999 2001 2003</w:t>
      </w:r>
    </w:p>
    <w:p>
      <w:pPr>
        <w:pStyle w:val="BodyText"/>
        <w:spacing w:before="1"/>
        <w:rPr>
          <w:sz w:val="20"/>
        </w:rPr>
      </w:pPr>
    </w:p>
    <w:p>
      <w:pPr>
        <w:spacing w:before="98"/>
        <w:ind w:left="708" w:right="0" w:firstLine="0"/>
        <w:jc w:val="left"/>
        <w:rPr>
          <w:sz w:val="21"/>
        </w:rPr>
      </w:pPr>
      <w:r>
        <w:rPr>
          <w:w w:val="105"/>
          <w:sz w:val="21"/>
        </w:rPr>
        <w:t>Source: Halifax</w:t>
      </w:r>
    </w:p>
    <w:p>
      <w:pPr>
        <w:pStyle w:val="Heading1"/>
        <w:spacing w:before="41"/>
      </w:pPr>
      <w:r>
        <w:rPr/>
        <w:t>Chart 4</w:t>
      </w:r>
    </w:p>
    <w:p>
      <w:pPr>
        <w:pStyle w:val="BodyText"/>
        <w:spacing w:before="5"/>
        <w:rPr>
          <w:b/>
          <w:sz w:val="21"/>
        </w:rPr>
      </w:pPr>
    </w:p>
    <w:p>
      <w:pPr>
        <w:spacing w:line="273" w:lineRule="auto" w:before="0"/>
        <w:ind w:left="836" w:right="4484" w:firstLine="0"/>
        <w:jc w:val="left"/>
        <w:rPr>
          <w:b/>
          <w:sz w:val="26"/>
        </w:rPr>
      </w:pPr>
      <w:r>
        <w:rPr>
          <w:b/>
          <w:sz w:val="26"/>
        </w:rPr>
        <w:t>Dispersion of </w:t>
      </w:r>
      <w:r>
        <w:rPr>
          <w:b/>
          <w:spacing w:val="-8"/>
          <w:sz w:val="26"/>
        </w:rPr>
        <w:t>annual </w:t>
      </w:r>
      <w:r>
        <w:rPr>
          <w:b/>
          <w:spacing w:val="-4"/>
          <w:sz w:val="26"/>
        </w:rPr>
        <w:t>regional house </w:t>
      </w:r>
      <w:r>
        <w:rPr>
          <w:b/>
          <w:spacing w:val="-9"/>
          <w:sz w:val="26"/>
        </w:rPr>
        <w:t>price growth</w:t>
      </w:r>
    </w:p>
    <w:p>
      <w:pPr>
        <w:spacing w:line="192" w:lineRule="exact" w:before="0"/>
        <w:ind w:left="0" w:right="4143" w:firstLine="0"/>
        <w:jc w:val="right"/>
        <w:rPr>
          <w:sz w:val="21"/>
        </w:rPr>
      </w:pPr>
      <w:r>
        <w:rPr>
          <w:spacing w:val="3"/>
          <w:sz w:val="21"/>
        </w:rPr>
        <w:t>percentage</w:t>
      </w:r>
      <w:r>
        <w:rPr>
          <w:spacing w:val="10"/>
          <w:sz w:val="21"/>
        </w:rPr>
        <w:t> </w:t>
      </w:r>
      <w:r>
        <w:rPr>
          <w:spacing w:val="3"/>
          <w:sz w:val="21"/>
        </w:rPr>
        <w:t>points</w:t>
      </w:r>
    </w:p>
    <w:p>
      <w:pPr>
        <w:spacing w:line="226" w:lineRule="exact" w:before="0"/>
        <w:ind w:left="0" w:right="4128" w:firstLine="0"/>
        <w:jc w:val="right"/>
        <w:rPr>
          <w:sz w:val="21"/>
        </w:rPr>
      </w:pPr>
      <w:r>
        <w:rPr/>
        <w:pict>
          <v:group style="position:absolute;margin-left:115.769997pt;margin-top:5.236777pt;width:209.15pt;height:156.550pt;mso-position-horizontal-relative:page;mso-position-vertical-relative:paragraph;z-index:-252453888" coordorigin="2315,105" coordsize="4183,3131">
            <v:shape style="position:absolute;left:2316;top:105;width:4182;height:3130" coordorigin="2316,105" coordsize="4182,3130" path="m6433,105l6433,3170m6433,3170l6498,3170m6433,2667l6498,2667m6433,2149l6498,2149m6433,1646l6498,1646m6433,1128l6498,1128m6433,625l6498,625m6433,105l6498,105m2316,3170l6433,3170m2316,3235l2316,3170m2365,3235l2365,3170m2413,3235l2413,3170m2462,3235l2462,3170m2510,3235l2510,3170m2560,3235l2560,3170m2624,3235l2624,3170m2672,3235l2672,3170m2722,3235l2722,3170m2770,3235l2770,3170m2819,3235l2819,3170m2867,3235l2867,3170m2916,3235l2916,3170m2964,3235l2964,3170m3013,3235l3013,3170m3062,3235l3062,3170m3127,3235l3127,3170m3175,3235l3175,3170m3224,3235l3224,3170m3272,3235l3272,3170m3322,3235l3322,3170m3370,3235l3370,3170m3419,3235l3419,3170m3467,3235l3467,3170m3516,3235l3516,3170m3564,3235l3564,3170m3629,3235l3629,3170m3678,3235l3678,3170m3726,3235l3726,3170m3775,3235l3775,3170m3823,3235l3823,3170m3872,3235l3872,3170m3920,3235l3920,3170m3970,3235l3970,3170m4018,3235l4018,3170m4067,3235l4067,3170m4132,3235l4132,3170m4180,3235l4180,3170m4229,3235l4229,3170m4277,3235l4277,3170m4326,3235l4326,3170m4375,3235l4375,3170m4423,3235l4423,3170m4472,3235l4472,3170m4520,3235l4520,3170m4570,3235l4570,3170m4618,3235l4618,3170m4682,3235l4682,3170m4732,3235l4732,3170m4780,3235l4780,3170m4829,3235l4829,3170m4877,3235l4877,3170m4926,3235l4926,3170m4974,3235l4974,3170m5023,3235l5023,3170m5071,3235l5071,3170m5120,3235l5120,3170m5185,3235l5185,3170m5233,3235l5233,3170m5282,3235l5282,3170m5330,3235l5330,3170m5380,3235l5380,3170m5428,3235l5428,3170m5477,3235l5477,3170m5525,3235l5525,3170m5574,3235l5574,3170m5622,3235l5622,3170m5688,3235l5688,3170m5736,3235l5736,3170m5785,3235l5785,3170m5833,3235l5833,3170m5882,3235l5882,3170m5930,3235l5930,3170m5980,3235l5980,3170m6028,3235l6028,3170m6077,3235l6077,3170m6125,3235l6125,3170m6190,3235l6190,3170m6239,3235l6239,3170m6287,3235l6287,3170m6336,3235l6336,3170m6384,3235l6384,3170m6433,3235l6433,3170e" filled="false" stroked="true" strokeweight=".06pt" strokecolor="#000000">
              <v:path arrowok="t"/>
              <v:stroke dashstyle="solid"/>
            </v:shape>
            <v:shape style="position:absolute;left:2462;top:1630;width:3922;height:1460" coordorigin="2462,1631" coordsize="3922,1460" path="m2462,2943l2510,2976,2560,2976,2624,3025,2672,2993,2722,2895,2770,2895,2819,2943,2867,2814,2916,2943,2964,2863,3013,2684,3062,2700,3127,2603,3175,2473,3224,2408,3272,2408,3322,2231,3370,1760,3419,1873,3467,1938,3516,1776,3564,1631,3629,1728,3678,1922,3726,2246,3775,2522,3823,2846,3872,2667,3920,2814,3970,2879,4018,2781,4067,2943,4132,2895,4180,2993,4229,2960,4277,3073,4326,2993,4375,3041,4423,3073,4472,3073,4520,3057,4570,2993,4618,2993,4682,3025,4732,3008,4780,3041,4829,3057,4877,3090,4926,3041,4974,3008,5023,2960,5071,2976,5120,2976,5185,2895,5233,2879,5282,2781,5330,2863,5380,2928,5428,2879,5477,3025,5525,2993,5574,2831,5622,2798,5688,2603,5736,2490,5785,2635,5833,2781,5882,2749,5930,2960,5980,2911,6028,2766,6077,2895,6125,2717,6190,2879,6239,2798,6287,2766,6336,2538,6384,2343e" filled="false" stroked="true" strokeweight="1.621pt" strokecolor="#000080">
              <v:path arrowok="t"/>
              <v:stroke dashstyle="solid"/>
            </v:shape>
            <v:line style="position:absolute" from="6384,2343" to="6433,2667" stroked="true" strokeweight="1.621pt" strokecolor="#000080">
              <v:stroke dashstyle="solid"/>
            </v:line>
            <v:shape style="position:absolute;left:2462;top:478;width:3922;height:2336" coordorigin="2462,479" coordsize="3922,2336" path="m2462,2798l2510,2717,2560,2766,2624,2717,2672,2684,2722,2587,2770,2505,2819,2328,2867,2246,2916,2198,2964,2084,3013,2149,3062,2133,3127,1728,3175,1711,3224,1614,3272,1143,3322,917,3370,722,3419,479,3467,770,3516,673,3564,770,3629,641,3678,884,3726,1549,3775,2035,3823,2425,3872,2376,3920,2311,3970,2376,4018,2214,4067,2555,4132,2603,4180,2635,4229,2700,4277,2717,4326,2798,4375,2555,4423,2814,4472,2684,4520,2717,4570,2619,4618,2635,4682,2587,4732,2441,4780,2717,4829,2295,4877,2100,4926,2214,4974,2311,5023,2587,5071,2376,5120,2376,5185,2311,5233,2279,5282,2490,5330,2505,5380,2441,5428,2603,5477,2555,5525,2522,5574,2035,5622,1922,5688,1857,5736,1857,5785,2181,5833,2279,5882,1857,5930,2522,5980,2360,6028,2441,6077,1938,6125,1905,6190,1549,6239,1387,6287,1338,6336,1890,6384,1631e" filled="false" stroked="true" strokeweight="1.621pt" strokecolor="#3365ff">
              <v:path arrowok="t"/>
              <v:stroke dashstyle="solid"/>
            </v:shape>
            <v:line style="position:absolute" from="6384,1631" to="6433,1728" stroked="true" strokeweight="1.621pt" strokecolor="#3365ff">
              <v:stroke dashstyle="solid"/>
            </v:line>
            <v:line style="position:absolute" from="2316,3170" to="6433,3170" stroked="true" strokeweight=".81pt" strokecolor="#000000">
              <v:stroke dashstyle="solid"/>
            </v:line>
            <v:shape style="position:absolute;left:3710;top:1192;width:324;height:762" coordorigin="3710,1193" coordsize="324,762" path="m3710,1808l3726,1955,3775,1905,3726,1905,3726,1890,3752,1826,3710,1808xm3752,1826l3726,1890,3726,1905,3743,1905,3772,1835,3752,1826xm3772,1835l3743,1905,3775,1905,3823,1857,3772,1835xm4034,1193l4018,1193,3752,1826,3772,1835,4034,1208,4034,1193xe" filled="true" fillcolor="#000000" stroked="false">
              <v:path arrowok="t"/>
              <v:fill type="solid"/>
            </v:shape>
            <v:shape style="position:absolute;left:3710;top:1192;width:324;height:762" coordorigin="3710,1193" coordsize="324,762" path="m4034,1208l3743,1905,3726,1905,3726,1890,4018,1193,4034,1193,4034,1208xm3823,1857l3726,1955,3710,1808,3823,1857xe" filled="false" stroked="true" strokeweight=".81pt" strokecolor="#000000">
              <v:path arrowok="t"/>
              <v:stroke dashstyle="solid"/>
            </v:shape>
            <v:shape style="position:absolute;left:2721;top:1337;width:243;height:617" coordorigin="2722,1338" coordsize="243,617" path="m2888,1827l2834,1841,2948,1955,2954,1905,2916,1905,2888,1827xm2908,1822l2888,1827,2916,1905,2932,1905,2932,1890,2908,1822xm2964,1808l2908,1822,2932,1890,2932,1905,2954,1905,2964,1808xm2737,1338l2722,1338,2722,1355,2888,1827,2908,1822,2737,1338xe" filled="true" fillcolor="#000000" stroked="false">
              <v:path arrowok="t"/>
              <v:fill type="solid"/>
            </v:shape>
            <v:shape style="position:absolute;left:2721;top:1337;width:243;height:617" coordorigin="2722,1338" coordsize="243,617" path="m2737,1338l2932,1890,2932,1905,2916,1905,2722,1355,2722,1338,2737,1338xm2964,1808l2948,1955,2834,1841,2964,1808xe" filled="false" stroked="true" strokeweight=".81pt" strokecolor="#000000">
              <v:path arrowok="t"/>
              <v:stroke dashstyle="solid"/>
            </v:shape>
            <w10:wrap type="none"/>
          </v:group>
        </w:pict>
      </w:r>
      <w:r>
        <w:rPr>
          <w:spacing w:val="-9"/>
          <w:sz w:val="21"/>
        </w:rPr>
        <w:t>60</w:t>
      </w:r>
    </w:p>
    <w:p>
      <w:pPr>
        <w:pStyle w:val="BodyText"/>
        <w:spacing w:before="1"/>
        <w:rPr>
          <w:sz w:val="16"/>
        </w:rPr>
      </w:pPr>
    </w:p>
    <w:p>
      <w:pPr>
        <w:spacing w:after="0"/>
        <w:rPr>
          <w:sz w:val="16"/>
        </w:rPr>
        <w:sectPr>
          <w:type w:val="continuous"/>
          <w:pgSz w:w="11900" w:h="16840"/>
          <w:pgMar w:top="1180" w:bottom="280" w:left="1140" w:right="980"/>
        </w:sectPr>
      </w:pPr>
    </w:p>
    <w:p>
      <w:pPr>
        <w:pStyle w:val="BodyText"/>
        <w:spacing w:before="10"/>
      </w:pPr>
    </w:p>
    <w:p>
      <w:pPr>
        <w:spacing w:line="273" w:lineRule="auto" w:before="0"/>
        <w:ind w:left="916" w:right="0" w:firstLine="81"/>
        <w:jc w:val="left"/>
        <w:rPr>
          <w:sz w:val="21"/>
        </w:rPr>
      </w:pPr>
      <w:r>
        <w:rPr>
          <w:sz w:val="21"/>
        </w:rPr>
        <w:t>absolute dispersion</w:t>
      </w:r>
    </w:p>
    <w:p>
      <w:pPr>
        <w:tabs>
          <w:tab w:pos="3704" w:val="right" w:leader="none"/>
        </w:tabs>
        <w:spacing w:before="94"/>
        <w:ind w:left="1143" w:right="0" w:firstLine="0"/>
        <w:jc w:val="left"/>
        <w:rPr>
          <w:sz w:val="21"/>
        </w:rPr>
      </w:pPr>
      <w:r>
        <w:rPr/>
        <w:br w:type="column"/>
      </w:r>
      <w:r>
        <w:rPr>
          <w:spacing w:val="2"/>
          <w:sz w:val="21"/>
        </w:rPr>
        <w:t>dispersion</w:t>
      </w:r>
      <w:r>
        <w:rPr>
          <w:spacing w:val="4"/>
          <w:sz w:val="21"/>
        </w:rPr>
        <w:t> </w:t>
      </w:r>
      <w:r>
        <w:rPr>
          <w:spacing w:val="3"/>
          <w:sz w:val="21"/>
        </w:rPr>
        <w:t>of</w:t>
        <w:tab/>
      </w:r>
      <w:r>
        <w:rPr>
          <w:spacing w:val="-9"/>
          <w:position w:val="3"/>
          <w:sz w:val="21"/>
        </w:rPr>
        <w:t>50</w:t>
      </w:r>
    </w:p>
    <w:p>
      <w:pPr>
        <w:spacing w:line="218" w:lineRule="exact" w:before="35"/>
        <w:ind w:left="916" w:right="0" w:firstLine="0"/>
        <w:jc w:val="left"/>
        <w:rPr>
          <w:sz w:val="21"/>
        </w:rPr>
      </w:pPr>
      <w:r>
        <w:rPr>
          <w:sz w:val="21"/>
        </w:rPr>
        <w:t>interquartile range</w:t>
      </w:r>
    </w:p>
    <w:p>
      <w:pPr>
        <w:spacing w:line="218" w:lineRule="exact" w:before="0"/>
        <w:ind w:left="3510" w:right="0" w:firstLine="0"/>
        <w:jc w:val="left"/>
        <w:rPr>
          <w:sz w:val="21"/>
        </w:rPr>
      </w:pPr>
      <w:r>
        <w:rPr>
          <w:sz w:val="21"/>
        </w:rPr>
        <w:t>40</w:t>
      </w:r>
    </w:p>
    <w:p>
      <w:pPr>
        <w:spacing w:after="0" w:line="218" w:lineRule="exact"/>
        <w:jc w:val="left"/>
        <w:rPr>
          <w:sz w:val="21"/>
        </w:rPr>
        <w:sectPr>
          <w:type w:val="continuous"/>
          <w:pgSz w:w="11900" w:h="16840"/>
          <w:pgMar w:top="1180" w:bottom="280" w:left="1140" w:right="980"/>
          <w:cols w:num="2" w:equalWidth="0">
            <w:col w:w="1857" w:space="88"/>
            <w:col w:w="7835"/>
          </w:cols>
        </w:sectPr>
      </w:pPr>
    </w:p>
    <w:p>
      <w:pPr>
        <w:spacing w:before="278"/>
        <w:ind w:left="5211" w:right="3887" w:firstLine="0"/>
        <w:jc w:val="center"/>
        <w:rPr>
          <w:sz w:val="21"/>
        </w:rPr>
      </w:pPr>
      <w:r>
        <w:rPr>
          <w:spacing w:val="-9"/>
          <w:sz w:val="21"/>
        </w:rPr>
        <w:t>30</w:t>
      </w:r>
    </w:p>
    <w:p>
      <w:pPr>
        <w:spacing w:before="260"/>
        <w:ind w:left="5211" w:right="3887" w:firstLine="0"/>
        <w:jc w:val="center"/>
        <w:rPr>
          <w:sz w:val="21"/>
        </w:rPr>
      </w:pPr>
      <w:r>
        <w:rPr>
          <w:spacing w:val="-9"/>
          <w:sz w:val="21"/>
        </w:rPr>
        <w:t>20</w:t>
      </w:r>
    </w:p>
    <w:p>
      <w:pPr>
        <w:spacing w:before="278"/>
        <w:ind w:left="5211" w:right="3887" w:firstLine="0"/>
        <w:jc w:val="center"/>
        <w:rPr>
          <w:sz w:val="21"/>
        </w:rPr>
      </w:pPr>
      <w:r>
        <w:rPr>
          <w:spacing w:val="-9"/>
          <w:sz w:val="21"/>
        </w:rPr>
        <w:t>10</w:t>
      </w:r>
    </w:p>
    <w:p>
      <w:pPr>
        <w:pStyle w:val="BodyText"/>
        <w:spacing w:before="8"/>
        <w:rPr>
          <w:sz w:val="22"/>
        </w:rPr>
      </w:pPr>
    </w:p>
    <w:p>
      <w:pPr>
        <w:spacing w:before="0"/>
        <w:ind w:left="1235" w:right="0" w:firstLine="0"/>
        <w:jc w:val="center"/>
        <w:rPr>
          <w:sz w:val="21"/>
        </w:rPr>
      </w:pPr>
      <w:r>
        <w:rPr>
          <w:w w:val="100"/>
          <w:sz w:val="21"/>
        </w:rPr>
        <w:t>0</w:t>
      </w:r>
    </w:p>
    <w:p>
      <w:pPr>
        <w:spacing w:before="67"/>
        <w:ind w:left="482" w:right="3887" w:firstLine="0"/>
        <w:jc w:val="center"/>
        <w:rPr>
          <w:sz w:val="21"/>
        </w:rPr>
      </w:pPr>
      <w:r>
        <w:rPr>
          <w:sz w:val="21"/>
        </w:rPr>
        <w:t>1983 1985 1988 1990 1993 1995 1998 2000 2003</w:t>
      </w:r>
    </w:p>
    <w:p>
      <w:pPr>
        <w:spacing w:before="131"/>
        <w:ind w:left="706" w:right="0" w:firstLine="0"/>
        <w:jc w:val="left"/>
        <w:rPr>
          <w:sz w:val="21"/>
        </w:rPr>
      </w:pPr>
      <w:r>
        <w:rPr>
          <w:sz w:val="21"/>
        </w:rPr>
        <w:t>Source: Halifax</w:t>
      </w:r>
    </w:p>
    <w:p>
      <w:pPr>
        <w:spacing w:after="0"/>
        <w:jc w:val="left"/>
        <w:rPr>
          <w:sz w:val="21"/>
        </w:rPr>
        <w:sectPr>
          <w:type w:val="continuous"/>
          <w:pgSz w:w="11900" w:h="16840"/>
          <w:pgMar w:top="1180" w:bottom="280" w:left="1140" w:right="980"/>
        </w:sectPr>
      </w:pPr>
    </w:p>
    <w:p>
      <w:pPr>
        <w:pStyle w:val="Heading1"/>
        <w:spacing w:before="82"/>
      </w:pPr>
      <w:r>
        <w:rPr/>
        <w:t>Chart 5</w:t>
      </w:r>
    </w:p>
    <w:p>
      <w:pPr>
        <w:pStyle w:val="BodyText"/>
        <w:spacing w:before="3"/>
        <w:rPr>
          <w:b/>
          <w:sz w:val="29"/>
        </w:rPr>
      </w:pPr>
    </w:p>
    <w:p>
      <w:pPr>
        <w:spacing w:before="95"/>
        <w:ind w:left="826" w:right="0" w:firstLine="0"/>
        <w:jc w:val="left"/>
        <w:rPr>
          <w:b/>
          <w:sz w:val="24"/>
        </w:rPr>
      </w:pPr>
      <w:r>
        <w:rPr>
          <w:b/>
          <w:w w:val="105"/>
          <w:sz w:val="24"/>
        </w:rPr>
        <w:t>Housing market tightness</w:t>
      </w:r>
    </w:p>
    <w:p>
      <w:pPr>
        <w:tabs>
          <w:tab w:pos="5689" w:val="left" w:leader="none"/>
        </w:tabs>
        <w:spacing w:line="192" w:lineRule="exact" w:before="25"/>
        <w:ind w:left="826" w:right="0" w:firstLine="0"/>
        <w:jc w:val="left"/>
        <w:rPr>
          <w:sz w:val="20"/>
        </w:rPr>
      </w:pPr>
      <w:r>
        <w:rPr>
          <w:spacing w:val="-4"/>
          <w:position w:val="-3"/>
          <w:sz w:val="23"/>
        </w:rPr>
        <w:t>ratio</w:t>
        <w:tab/>
      </w:r>
      <w:r>
        <w:rPr>
          <w:spacing w:val="3"/>
          <w:sz w:val="20"/>
        </w:rPr>
        <w:t>per</w:t>
      </w:r>
      <w:r>
        <w:rPr>
          <w:spacing w:val="-9"/>
          <w:sz w:val="20"/>
        </w:rPr>
        <w:t> </w:t>
      </w:r>
      <w:r>
        <w:rPr>
          <w:spacing w:val="3"/>
          <w:sz w:val="20"/>
        </w:rPr>
        <w:t>cent</w:t>
      </w:r>
    </w:p>
    <w:p>
      <w:pPr>
        <w:tabs>
          <w:tab w:pos="6073" w:val="left" w:leader="none"/>
        </w:tabs>
        <w:spacing w:line="237" w:lineRule="exact" w:before="0"/>
        <w:ind w:left="919" w:right="0" w:firstLine="0"/>
        <w:jc w:val="left"/>
        <w:rPr>
          <w:sz w:val="21"/>
        </w:rPr>
      </w:pPr>
      <w:r>
        <w:rPr/>
        <w:pict>
          <v:group style="position:absolute;margin-left:121.440002pt;margin-top:6.08003pt;width:234.65pt;height:153.1pt;mso-position-horizontal-relative:page;mso-position-vertical-relative:paragraph;z-index:-252443648" coordorigin="2429,122" coordsize="4693,3062">
            <v:shape style="position:absolute;left:2428;top:122;width:4631;height:3062" coordorigin="2429,122" coordsize="4631,3062" path="m2490,122l2490,3121m2429,3121l2490,3121m2429,2753l2490,2753m2429,2367l2490,2367m2429,1999l2490,1999m2429,1629l2490,1629m2429,1245l2490,1245m2429,876l2490,876m2429,492l2490,492m2429,122l2490,122m2490,3121l7060,3121m2490,3183l2490,3121m2551,3183l2551,3121m2598,3183l2598,3121m2659,3183l2659,3121m2705,3183l2705,3121m2767,3183l2767,3121m2813,3183l2813,3121m2875,3183l2875,3121m2921,3183l2921,3121m2982,3183l2982,3121m3029,3183l3029,3121m3090,3183l3090,3121m3136,3183l3136,3121m3198,3183l3198,3121m3259,3183l3259,3121m3306,3183l3306,3121m3367,3183l3367,3121m3413,3183l3413,3121m3475,3183l3475,3121m3521,3183l3521,3121m3582,3183l3582,3121m3629,3183l3629,3121m3690,3183l3690,3121m3737,3183l3737,3121m3798,3183l3798,3121m3844,3183l3844,3121m3906,3183l3906,3121m3952,3183l3952,3121m4013,3183l4013,3121m4075,3183l4075,3121m4121,3183l4121,3121m4182,3183l4182,3121m4229,3183l4229,3121m4290,3183l4290,3121m4337,3183l4337,3121m4398,3183l4398,3121m4444,3183l4444,3121m4506,3183l4506,3121m4552,3183l4552,3121m4613,3183l4613,3121m4660,3183l4660,3121m4721,3183l4721,3121m4782,3183l4782,3121m4829,3183l4829,3121m4890,3183l4890,3121m4937,3183l4937,3121m4998,3183l4998,3121m5044,3183l5044,3121m5106,3183l5106,3121m5152,3183l5152,3121m5213,3183l5213,3121m5260,3183l5260,3121m5321,3183l5321,3121m5368,3183l5368,3121m5429,3183l5429,3121m5474,3183l5474,3121m5537,3183l5537,3121m5598,3183l5598,3121m5644,3183l5644,3121m5706,3183l5706,3121m5752,3183l5752,3121m5813,3183l5813,3121m5860,3183l5860,3121m5921,3183l5921,3121m5968,3183l5968,3121m6029,3183l6029,3121m6074,3183l6074,3121m6137,3183l6137,3121m6182,3183l6182,3121m6244,3183l6244,3121m6306,3183l6306,3121m6352,3183l6352,3121m6413,3183l6413,3121m6460,3183l6460,3121m6521,3183l6521,3121m6568,3183l6568,3121m6629,3183l6629,3121m6674,3183l6674,3121m6737,3183l6737,3121m6782,3183l6782,3121m6844,3183l6844,3121m6890,3183l6890,3121m6952,3183l6952,3121m6998,3183l6998,3121m7060,3183l7060,3121e" filled="false" stroked="true" strokeweight=".06pt" strokecolor="#000000">
              <v:path arrowok="t"/>
              <v:stroke dashstyle="solid"/>
            </v:shape>
            <v:shape style="position:absolute;left:2521;top:445;width:4508;height:2184" coordorigin="2521,445" coordsize="4508,2184" path="m2521,1629l2567,1598,2628,1783,2675,1814,2736,1691,2783,1629,2844,1614,2905,1629,2952,1507,3013,1614,3059,1691,3121,1661,3167,1598,3228,1430,3275,1399,3336,1368,3383,1460,3444,1445,3490,1261,3552,937,3598,830,3659,445,3721,553,3767,1399,3828,1891,3875,2183,3936,2291,3983,2306,4044,2322,4090,2414,4152,2444,4198,2430,4259,2414,4306,2460,4367,2537,4428,2475,4475,2507,4536,2552,4583,2507,4644,2629,4690,2568,4752,2367,4798,2367,4859,2352,4906,2367,4967,2337,5014,2352,5075,2352,5120,2383,5183,2444,5244,2491,5290,2444,5352,2352,5398,2352,5459,2229,5506,2153,5567,2029,5614,1922,5675,1937,5720,1922,5890,1922,5952,1937,5998,1860,6060,1676,6106,1445,6167,1307,6214,1322,6275,1476,6320,1753,6383,1706,6428,1553,6491,1491,6536,1352,6598,1307,6644,1106,6706,768,6767,984,6814,1106,6875,1399,6922,1706,6983,1629,7028,1261e" filled="false" stroked="true" strokeweight="1.538pt" strokecolor="#000080">
              <v:path arrowok="t"/>
              <v:stroke dashstyle="solid"/>
            </v:shape>
            <v:shape style="position:absolute;left:7059;top:122;width:62;height:2999" coordorigin="7060,122" coordsize="62,2999" path="m7060,122l7060,3121,7121,3121m7060,2753l7121,2753m7060,2367l7121,2367m7060,1999l7121,1999m7060,1629l7121,1629m7060,1245l7121,1245m7060,876l7121,876m7060,492l7121,492m7060,122l7121,122e" filled="false" stroked="true" strokeweight=".06pt" strokecolor="#000000">
              <v:path arrowok="t"/>
              <v:stroke dashstyle="solid"/>
            </v:shape>
            <v:shape style="position:absolute;left:2566;top:415;width:4462;height:2507" coordorigin="2567,415" coordsize="4462,2507" path="m2567,1860l2628,1891,2675,2091,2736,1845,2783,1922,2844,2015,2905,1722,2952,1907,3013,2045,3059,2121,3121,1830,3167,1968,3228,1830,3275,1753,3336,1661,3383,1584,3444,1753,3490,1767,3552,1922,3598,1568,3659,1076,3721,415,3767,1092,3828,1491,3875,1907,3936,2337,3983,2552,4044,2537,4090,2690,4152,2690,4198,2599,4259,2367,4306,2399,4367,2552,4428,2430,4475,2737,4536,2660,4583,2521,4644,2922,4690,2337,4752,2121,4798,2352,4859,2337,4906,2214,4967,2613,5014,2291,5075,2229,5120,2507,5183,2552,5244,2491,5290,2291,5352,2091,5398,1999,5459,2106,5506,1860,5567,2076,5614,1922,5675,1907,5720,1983,5783,2029,5828,2015,5890,2121,5952,2168,5998,2106,6060,1891,6106,1706,6167,1614,6214,1645,6275,2106,6320,2337,6383,2045,6428,1968,6491,1722,6536,1783,6598,1753,6644,1629,6706,1338,6767,1230,6814,1122,6875,1491,6922,1722,6983,1737,7028,1614e" filled="false" stroked="true" strokeweight="1.538pt" strokecolor="#ff00ff">
              <v:path arrowok="t"/>
              <v:stroke dashstyle="solid"/>
            </v:shape>
            <v:shape style="position:absolute;left:5767;top:799;width:123;height:1000" coordorigin="5767,799" coordsize="123,1000" path="m5813,1676l5767,1676,5828,1799,5851,1753,5813,1753,5813,1676xm5828,799l5813,799,5813,1753,5828,1753,5828,799xm5890,1676l5828,1676,5828,1753,5851,1753,5890,1676xe" filled="true" fillcolor="#000000" stroked="false">
              <v:path arrowok="t"/>
              <v:fill type="solid"/>
            </v:shape>
            <v:shape style="position:absolute;left:5767;top:799;width:123;height:1000" coordorigin="5767,799" coordsize="123,1000" path="m5828,815l5828,1753,5813,1753,5813,799,5828,799,5828,815xm5890,1676l5828,1799,5767,1676,5890,1676xe" filled="false" stroked="true" strokeweight=".769pt" strokecolor="#000000">
              <v:path arrowok="t"/>
              <v:stroke dashstyle="solid"/>
            </v:shape>
            <v:shape style="position:absolute;left:4689;top:261;width:2241;height:546" type="#_x0000_t202" filled="false" stroked="false">
              <v:textbox inset="0,0,0,0">
                <w:txbxContent>
                  <w:p>
                    <w:pPr>
                      <w:spacing w:line="260" w:lineRule="atLeast" w:before="24"/>
                      <w:ind w:left="646" w:right="0" w:hanging="647"/>
                      <w:jc w:val="left"/>
                      <w:rPr>
                        <w:sz w:val="20"/>
                      </w:rPr>
                    </w:pPr>
                    <w:r>
                      <w:rPr>
                        <w:sz w:val="20"/>
                      </w:rPr>
                      <w:t>ratio sales to stocks</w:t>
                    </w:r>
                    <w:r>
                      <w:rPr>
                        <w:sz w:val="20"/>
                        <w:vertAlign w:val="superscript"/>
                      </w:rPr>
                      <w:t>(a)</w:t>
                    </w:r>
                    <w:r>
                      <w:rPr>
                        <w:sz w:val="20"/>
                        <w:vertAlign w:val="baseline"/>
                      </w:rPr>
                      <w:t> (left- hand scale)</w:t>
                    </w:r>
                  </w:p>
                </w:txbxContent>
              </v:textbox>
              <w10:wrap type="none"/>
            </v:shape>
            <v:shape style="position:absolute;left:5336;top:2323;width:1730;height:806" type="#_x0000_t202" filled="false" stroked="false">
              <v:textbox inset="0,0,0,0">
                <w:txbxContent>
                  <w:p>
                    <w:pPr>
                      <w:spacing w:line="221" w:lineRule="exact" w:before="0"/>
                      <w:ind w:left="76" w:right="0" w:firstLine="0"/>
                      <w:jc w:val="left"/>
                      <w:rPr>
                        <w:sz w:val="20"/>
                      </w:rPr>
                    </w:pPr>
                    <w:r>
                      <w:rPr>
                        <w:sz w:val="20"/>
                      </w:rPr>
                      <w:t>quarterly growth in</w:t>
                    </w:r>
                  </w:p>
                  <w:p>
                    <w:pPr>
                      <w:spacing w:line="260" w:lineRule="atLeast" w:before="62"/>
                      <w:ind w:left="383" w:right="0" w:hanging="384"/>
                      <w:jc w:val="left"/>
                      <w:rPr>
                        <w:sz w:val="20"/>
                      </w:rPr>
                    </w:pPr>
                    <w:r>
                      <w:rPr>
                        <w:sz w:val="20"/>
                      </w:rPr>
                      <w:t>house prices</w:t>
                    </w:r>
                    <w:r>
                      <w:rPr>
                        <w:sz w:val="20"/>
                        <w:vertAlign w:val="superscript"/>
                      </w:rPr>
                      <w:t>(b)</w:t>
                    </w:r>
                    <w:r>
                      <w:rPr>
                        <w:sz w:val="20"/>
                        <w:vertAlign w:val="baseline"/>
                      </w:rPr>
                      <w:t> (right hand scale)</w:t>
                    </w:r>
                  </w:p>
                </w:txbxContent>
              </v:textbox>
              <w10:wrap type="none"/>
            </v:shape>
            <w10:wrap type="none"/>
          </v:group>
        </w:pict>
      </w:r>
      <w:r>
        <w:rPr>
          <w:spacing w:val="2"/>
          <w:w w:val="105"/>
          <w:sz w:val="21"/>
        </w:rPr>
        <w:t>0.8</w:t>
        <w:tab/>
      </w:r>
      <w:r>
        <w:rPr>
          <w:w w:val="105"/>
          <w:sz w:val="21"/>
        </w:rPr>
        <w:t>12</w:t>
      </w:r>
    </w:p>
    <w:p>
      <w:pPr>
        <w:tabs>
          <w:tab w:pos="6073" w:val="left" w:leader="none"/>
        </w:tabs>
        <w:spacing w:before="127"/>
        <w:ind w:left="919" w:right="0" w:firstLine="0"/>
        <w:jc w:val="left"/>
        <w:rPr>
          <w:sz w:val="21"/>
        </w:rPr>
      </w:pPr>
      <w:r>
        <w:rPr>
          <w:spacing w:val="2"/>
          <w:w w:val="105"/>
          <w:sz w:val="21"/>
        </w:rPr>
        <w:t>0.7</w:t>
        <w:tab/>
      </w:r>
      <w:r>
        <w:rPr>
          <w:w w:val="105"/>
          <w:sz w:val="21"/>
        </w:rPr>
        <w:t>10</w:t>
      </w:r>
    </w:p>
    <w:p>
      <w:pPr>
        <w:tabs>
          <w:tab w:pos="6073" w:val="left" w:leader="none"/>
        </w:tabs>
        <w:spacing w:before="143"/>
        <w:ind w:left="919" w:right="0" w:firstLine="0"/>
        <w:jc w:val="left"/>
        <w:rPr>
          <w:sz w:val="21"/>
        </w:rPr>
      </w:pPr>
      <w:r>
        <w:rPr>
          <w:spacing w:val="2"/>
          <w:w w:val="105"/>
          <w:sz w:val="21"/>
        </w:rPr>
        <w:t>0.6</w:t>
        <w:tab/>
      </w:r>
      <w:r>
        <w:rPr>
          <w:w w:val="105"/>
          <w:sz w:val="21"/>
        </w:rPr>
        <w:t>8</w:t>
      </w:r>
    </w:p>
    <w:p>
      <w:pPr>
        <w:tabs>
          <w:tab w:pos="6073" w:val="left" w:leader="none"/>
        </w:tabs>
        <w:spacing w:before="127"/>
        <w:ind w:left="919" w:right="0" w:firstLine="0"/>
        <w:jc w:val="left"/>
        <w:rPr>
          <w:sz w:val="21"/>
        </w:rPr>
      </w:pPr>
      <w:r>
        <w:rPr>
          <w:spacing w:val="2"/>
          <w:w w:val="105"/>
          <w:sz w:val="21"/>
        </w:rPr>
        <w:t>0.5</w:t>
        <w:tab/>
      </w:r>
      <w:r>
        <w:rPr>
          <w:w w:val="105"/>
          <w:sz w:val="21"/>
        </w:rPr>
        <w:t>6</w:t>
      </w:r>
    </w:p>
    <w:p>
      <w:pPr>
        <w:tabs>
          <w:tab w:pos="6073" w:val="left" w:leader="none"/>
        </w:tabs>
        <w:spacing w:before="144"/>
        <w:ind w:left="919" w:right="0" w:firstLine="0"/>
        <w:jc w:val="left"/>
        <w:rPr>
          <w:sz w:val="21"/>
        </w:rPr>
      </w:pPr>
      <w:r>
        <w:rPr>
          <w:spacing w:val="2"/>
          <w:w w:val="105"/>
          <w:sz w:val="21"/>
        </w:rPr>
        <w:t>0.4</w:t>
        <w:tab/>
      </w:r>
      <w:r>
        <w:rPr>
          <w:w w:val="105"/>
          <w:sz w:val="21"/>
        </w:rPr>
        <w:t>4</w:t>
      </w:r>
    </w:p>
    <w:p>
      <w:pPr>
        <w:tabs>
          <w:tab w:pos="6073" w:val="left" w:leader="none"/>
        </w:tabs>
        <w:spacing w:before="127"/>
        <w:ind w:left="919" w:right="0" w:firstLine="0"/>
        <w:jc w:val="left"/>
        <w:rPr>
          <w:sz w:val="21"/>
        </w:rPr>
      </w:pPr>
      <w:r>
        <w:rPr>
          <w:spacing w:val="2"/>
          <w:w w:val="105"/>
          <w:sz w:val="21"/>
        </w:rPr>
        <w:t>0.3</w:t>
        <w:tab/>
      </w:r>
      <w:r>
        <w:rPr>
          <w:w w:val="105"/>
          <w:sz w:val="21"/>
        </w:rPr>
        <w:t>2</w:t>
      </w:r>
    </w:p>
    <w:p>
      <w:pPr>
        <w:tabs>
          <w:tab w:pos="6073" w:val="left" w:leader="none"/>
        </w:tabs>
        <w:spacing w:before="128"/>
        <w:ind w:left="919" w:right="0" w:firstLine="0"/>
        <w:jc w:val="left"/>
        <w:rPr>
          <w:sz w:val="21"/>
        </w:rPr>
      </w:pPr>
      <w:r>
        <w:rPr>
          <w:spacing w:val="2"/>
          <w:w w:val="105"/>
          <w:sz w:val="21"/>
        </w:rPr>
        <w:t>0.2</w:t>
        <w:tab/>
      </w:r>
      <w:r>
        <w:rPr>
          <w:w w:val="105"/>
          <w:sz w:val="21"/>
        </w:rPr>
        <w:t>0</w:t>
      </w:r>
    </w:p>
    <w:p>
      <w:pPr>
        <w:tabs>
          <w:tab w:pos="6073" w:val="left" w:leader="none"/>
        </w:tabs>
        <w:spacing w:before="143"/>
        <w:ind w:left="919" w:right="0" w:firstLine="0"/>
        <w:jc w:val="left"/>
        <w:rPr>
          <w:sz w:val="21"/>
        </w:rPr>
      </w:pPr>
      <w:r>
        <w:rPr>
          <w:spacing w:val="2"/>
          <w:w w:val="105"/>
          <w:sz w:val="21"/>
        </w:rPr>
        <w:t>0.1</w:t>
        <w:tab/>
      </w:r>
      <w:r>
        <w:rPr>
          <w:spacing w:val="5"/>
          <w:w w:val="105"/>
          <w:sz w:val="21"/>
        </w:rPr>
        <w:t>-2</w:t>
      </w:r>
    </w:p>
    <w:p>
      <w:pPr>
        <w:tabs>
          <w:tab w:pos="6073" w:val="left" w:leader="none"/>
        </w:tabs>
        <w:spacing w:before="128"/>
        <w:ind w:left="1088" w:right="0" w:firstLine="0"/>
        <w:jc w:val="left"/>
        <w:rPr>
          <w:sz w:val="21"/>
        </w:rPr>
      </w:pPr>
      <w:r>
        <w:rPr>
          <w:w w:val="105"/>
          <w:sz w:val="21"/>
        </w:rPr>
        <w:t>0</w:t>
        <w:tab/>
      </w:r>
      <w:r>
        <w:rPr>
          <w:spacing w:val="5"/>
          <w:w w:val="105"/>
          <w:sz w:val="21"/>
        </w:rPr>
        <w:t>-4</w:t>
      </w:r>
    </w:p>
    <w:p>
      <w:pPr>
        <w:spacing w:before="65"/>
        <w:ind w:left="1165" w:right="0" w:firstLine="0"/>
        <w:jc w:val="left"/>
        <w:rPr>
          <w:sz w:val="21"/>
        </w:rPr>
      </w:pPr>
      <w:r>
        <w:rPr>
          <w:w w:val="105"/>
          <w:sz w:val="21"/>
        </w:rPr>
        <w:t>1983 1985 1987 1989 1992 1994 1996 1998 2001 2003</w:t>
      </w:r>
    </w:p>
    <w:p>
      <w:pPr>
        <w:spacing w:after="0"/>
        <w:jc w:val="left"/>
        <w:rPr>
          <w:sz w:val="21"/>
        </w:rPr>
        <w:sectPr>
          <w:pgSz w:w="11900" w:h="16840"/>
          <w:pgMar w:header="717" w:footer="0" w:top="1340" w:bottom="280" w:left="1140" w:right="980"/>
        </w:sectPr>
      </w:pPr>
    </w:p>
    <w:p>
      <w:pPr>
        <w:pStyle w:val="BodyText"/>
        <w:spacing w:before="7"/>
        <w:rPr>
          <w:sz w:val="12"/>
        </w:rPr>
      </w:pPr>
    </w:p>
    <w:p>
      <w:pPr>
        <w:spacing w:before="0"/>
        <w:ind w:left="703" w:right="0" w:firstLine="0"/>
        <w:jc w:val="left"/>
        <w:rPr>
          <w:sz w:val="12"/>
        </w:rPr>
      </w:pPr>
      <w:r>
        <w:rPr>
          <w:w w:val="105"/>
          <w:sz w:val="12"/>
        </w:rPr>
        <w:t>So urce: Halifax, Nationwide and RICS</w:t>
      </w:r>
    </w:p>
    <w:p>
      <w:pPr>
        <w:pStyle w:val="ListParagraph"/>
        <w:numPr>
          <w:ilvl w:val="1"/>
          <w:numId w:val="1"/>
        </w:numPr>
        <w:tabs>
          <w:tab w:pos="889" w:val="left" w:leader="none"/>
        </w:tabs>
        <w:spacing w:line="295" w:lineRule="auto" w:before="32" w:after="0"/>
        <w:ind w:left="703" w:right="0" w:firstLine="0"/>
        <w:jc w:val="left"/>
        <w:rPr>
          <w:sz w:val="12"/>
        </w:rPr>
      </w:pPr>
      <w:r>
        <w:rPr>
          <w:spacing w:val="5"/>
          <w:w w:val="105"/>
          <w:sz w:val="12"/>
        </w:rPr>
        <w:t>Ratio </w:t>
      </w:r>
      <w:r>
        <w:rPr>
          <w:spacing w:val="7"/>
          <w:w w:val="105"/>
          <w:sz w:val="12"/>
        </w:rPr>
        <w:t>of </w:t>
      </w:r>
      <w:r>
        <w:rPr>
          <w:spacing w:val="2"/>
          <w:w w:val="105"/>
          <w:sz w:val="12"/>
        </w:rPr>
        <w:t>number </w:t>
      </w:r>
      <w:r>
        <w:rPr>
          <w:spacing w:val="7"/>
          <w:w w:val="105"/>
          <w:sz w:val="12"/>
        </w:rPr>
        <w:t>of </w:t>
      </w:r>
      <w:r>
        <w:rPr>
          <w:spacing w:val="5"/>
          <w:w w:val="105"/>
          <w:sz w:val="12"/>
        </w:rPr>
        <w:t>houses </w:t>
      </w:r>
      <w:r>
        <w:rPr>
          <w:spacing w:val="6"/>
          <w:w w:val="105"/>
          <w:sz w:val="12"/>
        </w:rPr>
        <w:t>sold </w:t>
      </w:r>
      <w:r>
        <w:rPr>
          <w:spacing w:val="7"/>
          <w:w w:val="105"/>
          <w:sz w:val="12"/>
        </w:rPr>
        <w:t>per </w:t>
      </w:r>
      <w:r>
        <w:rPr>
          <w:spacing w:val="4"/>
          <w:w w:val="105"/>
          <w:sz w:val="12"/>
        </w:rPr>
        <w:t>surveyor </w:t>
      </w:r>
      <w:r>
        <w:rPr>
          <w:spacing w:val="5"/>
          <w:w w:val="105"/>
          <w:sz w:val="12"/>
        </w:rPr>
        <w:t>over </w:t>
      </w:r>
      <w:r>
        <w:rPr>
          <w:spacing w:val="3"/>
          <w:w w:val="105"/>
          <w:sz w:val="12"/>
        </w:rPr>
        <w:t>the </w:t>
      </w:r>
      <w:r>
        <w:rPr>
          <w:spacing w:val="8"/>
          <w:w w:val="105"/>
          <w:sz w:val="12"/>
        </w:rPr>
        <w:t>past </w:t>
      </w:r>
      <w:r>
        <w:rPr>
          <w:spacing w:val="4"/>
          <w:w w:val="105"/>
          <w:sz w:val="12"/>
        </w:rPr>
        <w:t>three </w:t>
      </w:r>
      <w:r>
        <w:rPr>
          <w:spacing w:val="3"/>
          <w:w w:val="105"/>
          <w:sz w:val="12"/>
        </w:rPr>
        <w:t>months </w:t>
      </w:r>
      <w:r>
        <w:rPr>
          <w:spacing w:val="5"/>
          <w:w w:val="105"/>
          <w:sz w:val="12"/>
        </w:rPr>
        <w:t>to </w:t>
      </w:r>
      <w:r>
        <w:rPr>
          <w:w w:val="105"/>
          <w:sz w:val="12"/>
        </w:rPr>
        <w:t>s </w:t>
      </w:r>
      <w:r>
        <w:rPr>
          <w:spacing w:val="6"/>
          <w:w w:val="105"/>
          <w:sz w:val="12"/>
        </w:rPr>
        <w:t>tocks </w:t>
      </w:r>
      <w:r>
        <w:rPr>
          <w:spacing w:val="7"/>
          <w:w w:val="105"/>
          <w:sz w:val="12"/>
        </w:rPr>
        <w:t>of </w:t>
      </w:r>
      <w:r>
        <w:rPr>
          <w:spacing w:val="5"/>
          <w:w w:val="105"/>
          <w:sz w:val="12"/>
        </w:rPr>
        <w:t>houses </w:t>
      </w:r>
      <w:r>
        <w:rPr>
          <w:spacing w:val="7"/>
          <w:w w:val="105"/>
          <w:sz w:val="12"/>
        </w:rPr>
        <w:t>on </w:t>
      </w:r>
      <w:r>
        <w:rPr>
          <w:w w:val="105"/>
          <w:sz w:val="12"/>
        </w:rPr>
        <w:t>b </w:t>
      </w:r>
      <w:r>
        <w:rPr>
          <w:spacing w:val="7"/>
          <w:w w:val="105"/>
          <w:sz w:val="12"/>
        </w:rPr>
        <w:t>ooks per</w:t>
      </w:r>
      <w:r>
        <w:rPr>
          <w:spacing w:val="-7"/>
          <w:w w:val="105"/>
          <w:sz w:val="12"/>
        </w:rPr>
        <w:t> </w:t>
      </w:r>
      <w:r>
        <w:rPr>
          <w:spacing w:val="4"/>
          <w:w w:val="105"/>
          <w:sz w:val="12"/>
        </w:rPr>
        <w:t>surveyor.</w:t>
      </w:r>
    </w:p>
    <w:p>
      <w:pPr>
        <w:pStyle w:val="ListParagraph"/>
        <w:numPr>
          <w:ilvl w:val="1"/>
          <w:numId w:val="1"/>
        </w:numPr>
        <w:tabs>
          <w:tab w:pos="904" w:val="left" w:leader="none"/>
        </w:tabs>
        <w:spacing w:line="137" w:lineRule="exact" w:before="0" w:after="0"/>
        <w:ind w:left="903" w:right="0" w:hanging="201"/>
        <w:jc w:val="left"/>
        <w:rPr>
          <w:sz w:val="12"/>
        </w:rPr>
      </w:pPr>
      <w:r>
        <w:rPr>
          <w:spacing w:val="4"/>
          <w:w w:val="105"/>
          <w:sz w:val="12"/>
        </w:rPr>
        <w:t>Average </w:t>
      </w:r>
      <w:r>
        <w:rPr>
          <w:w w:val="105"/>
          <w:sz w:val="12"/>
        </w:rPr>
        <w:t>o f </w:t>
      </w:r>
      <w:r>
        <w:rPr>
          <w:spacing w:val="3"/>
          <w:w w:val="105"/>
          <w:sz w:val="12"/>
        </w:rPr>
        <w:t>the </w:t>
      </w:r>
      <w:r>
        <w:rPr>
          <w:w w:val="105"/>
          <w:sz w:val="12"/>
        </w:rPr>
        <w:t>Halifax and </w:t>
      </w:r>
      <w:r>
        <w:rPr>
          <w:spacing w:val="4"/>
          <w:w w:val="105"/>
          <w:sz w:val="12"/>
        </w:rPr>
        <w:t>Nationwide </w:t>
      </w:r>
      <w:r>
        <w:rPr>
          <w:w w:val="105"/>
          <w:sz w:val="12"/>
        </w:rPr>
        <w:t>ind</w:t>
      </w:r>
      <w:r>
        <w:rPr>
          <w:spacing w:val="-14"/>
          <w:w w:val="105"/>
          <w:sz w:val="12"/>
        </w:rPr>
        <w:t> </w:t>
      </w:r>
      <w:r>
        <w:rPr>
          <w:spacing w:val="4"/>
          <w:w w:val="105"/>
          <w:sz w:val="12"/>
        </w:rPr>
        <w:t>ices.</w:t>
      </w:r>
    </w:p>
    <w:p>
      <w:pPr>
        <w:pStyle w:val="BodyText"/>
        <w:rPr>
          <w:sz w:val="12"/>
        </w:rPr>
      </w:pPr>
    </w:p>
    <w:p>
      <w:pPr>
        <w:pStyle w:val="Heading1"/>
      </w:pPr>
      <w:r>
        <w:rPr/>
        <w:t>Chart 6</w:t>
      </w:r>
    </w:p>
    <w:p>
      <w:pPr>
        <w:pStyle w:val="BodyText"/>
        <w:rPr>
          <w:b/>
          <w:sz w:val="23"/>
        </w:rPr>
      </w:pPr>
    </w:p>
    <w:p>
      <w:pPr>
        <w:spacing w:before="0"/>
        <w:ind w:left="721" w:right="0" w:firstLine="0"/>
        <w:jc w:val="left"/>
        <w:rPr>
          <w:b/>
          <w:sz w:val="25"/>
        </w:rPr>
      </w:pPr>
      <w:r>
        <w:rPr>
          <w:b/>
          <w:sz w:val="25"/>
        </w:rPr>
        <w:t>Changes in credit spreads by rating</w:t>
      </w:r>
      <w:r>
        <w:rPr>
          <w:b/>
          <w:sz w:val="25"/>
          <w:vertAlign w:val="superscript"/>
        </w:rPr>
        <w:t>(a)(b)</w:t>
      </w:r>
    </w:p>
    <w:p>
      <w:pPr>
        <w:tabs>
          <w:tab w:pos="1719" w:val="left" w:leader="none"/>
          <w:tab w:pos="2591" w:val="left" w:leader="none"/>
          <w:tab w:pos="3194" w:val="left" w:leader="none"/>
          <w:tab w:pos="4034" w:val="left" w:leader="none"/>
          <w:tab w:pos="4889" w:val="left" w:leader="none"/>
          <w:tab w:pos="5650" w:val="left" w:leader="none"/>
        </w:tabs>
        <w:spacing w:before="187"/>
        <w:ind w:left="879" w:right="0" w:firstLine="0"/>
        <w:jc w:val="left"/>
        <w:rPr>
          <w:sz w:val="23"/>
        </w:rPr>
      </w:pPr>
      <w:r>
        <w:rPr>
          <w:w w:val="105"/>
          <w:sz w:val="23"/>
        </w:rPr>
        <w:t>AAA</w:t>
        <w:tab/>
        <w:t>AA</w:t>
        <w:tab/>
        <w:t>A</w:t>
        <w:tab/>
        <w:t>BBB</w:t>
        <w:tab/>
        <w:t>BB</w:t>
        <w:tab/>
        <w:t>B</w:t>
        <w:tab/>
        <w:t>C</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227" w:lineRule="exact" w:before="232"/>
        <w:ind w:left="126" w:right="0" w:firstLine="0"/>
        <w:jc w:val="left"/>
        <w:rPr>
          <w:sz w:val="23"/>
        </w:rPr>
      </w:pPr>
      <w:r>
        <w:rPr/>
        <w:pict>
          <v:group style="position:absolute;margin-left:94.589996pt;margin-top:17.621288pt;width:271.95pt;height:143.85pt;mso-position-horizontal-relative:page;mso-position-vertical-relative:paragraph;z-index:251670528" coordorigin="1892,352" coordsize="5439,2877">
            <v:rect style="position:absolute;left:2050;top:360;width:222;height:207" filled="true" fillcolor="#ff01ff" stroked="false">
              <v:fill type="solid"/>
            </v:rect>
            <v:rect style="position:absolute;left:2050;top:360;width:222;height:207" filled="false" stroked="true" strokeweight=".792pt" strokecolor="#000000">
              <v:stroke dashstyle="solid"/>
            </v:rect>
            <v:rect style="position:absolute;left:2272;top:360;width:207;height:33" filled="true" fillcolor="#339a65" stroked="false">
              <v:fill type="solid"/>
            </v:rect>
            <v:rect style="position:absolute;left:2264;top:352;width:223;height:49" filled="true" fillcolor="#000000" stroked="false">
              <v:fill type="solid"/>
            </v:rect>
            <v:line style="position:absolute" from="2812,424" to="3034,424" stroked="true" strokeweight="6.36pt" strokecolor="#ff01ff">
              <v:stroke dashstyle="solid"/>
            </v:line>
            <v:rect style="position:absolute;left:2811;top:360;width:222;height:128" filled="false" stroked="true" strokeweight=".792pt" strokecolor="#000000">
              <v:stroke dashstyle="solid"/>
            </v:rect>
            <v:line style="position:absolute" from="3034,400" to="3256,400" stroked="true" strokeweight="3.96pt" strokecolor="#339a65">
              <v:stroke dashstyle="solid"/>
            </v:line>
            <v:rect style="position:absolute;left:3033;top:360;width:222;height:80" filled="false" stroked="true" strokeweight=".792pt" strokecolor="#000000">
              <v:stroke dashstyle="solid"/>
            </v:rect>
            <v:rect style="position:absolute;left:3589;top:360;width:222;height:207" filled="true" fillcolor="#ff01ff" stroked="false">
              <v:fill type="solid"/>
            </v:rect>
            <v:rect style="position:absolute;left:3589;top:360;width:222;height:207" filled="false" stroked="true" strokeweight=".792pt" strokecolor="#000000">
              <v:stroke dashstyle="solid"/>
            </v:rect>
            <v:rect style="position:absolute;left:3811;top:360;width:206;height:143" filled="true" fillcolor="#339a65" stroked="false">
              <v:fill type="solid"/>
            </v:rect>
            <v:rect style="position:absolute;left:3811;top:360;width:206;height:143" filled="false" stroked="true" strokeweight=".792pt" strokecolor="#000000">
              <v:stroke dashstyle="solid"/>
            </v:rect>
            <v:rect style="position:absolute;left:4350;top:360;width:222;height:476" filled="true" fillcolor="#ff01ff" stroked="false">
              <v:fill type="solid"/>
            </v:rect>
            <v:rect style="position:absolute;left:4350;top:360;width:222;height:476" filled="false" stroked="true" strokeweight=".792pt" strokecolor="#000000">
              <v:stroke dashstyle="solid"/>
            </v:rect>
            <v:rect style="position:absolute;left:4572;top:360;width:206;height:365" filled="true" fillcolor="#339a65" stroked="false">
              <v:fill type="solid"/>
            </v:rect>
            <v:rect style="position:absolute;left:4572;top:360;width:206;height:365" filled="false" stroked="true" strokeweight=".792pt" strokecolor="#000000">
              <v:stroke dashstyle="solid"/>
            </v:rect>
            <v:rect style="position:absolute;left:5110;top:360;width:222;height:1190" filled="true" fillcolor="#ff01ff" stroked="false">
              <v:fill type="solid"/>
            </v:rect>
            <v:rect style="position:absolute;left:5110;top:360;width:222;height:1190" filled="false" stroked="true" strokeweight=".792pt" strokecolor="#000000">
              <v:stroke dashstyle="solid"/>
            </v:rect>
            <v:rect style="position:absolute;left:5332;top:360;width:207;height:1665" filled="true" fillcolor="#339a65" stroked="false">
              <v:fill type="solid"/>
            </v:rect>
            <v:rect style="position:absolute;left:5332;top:360;width:207;height:1665" filled="false" stroked="true" strokeweight=".792pt" strokecolor="#000000">
              <v:stroke dashstyle="solid"/>
            </v:rect>
            <v:rect style="position:absolute;left:5871;top:360;width:222;height:1348" filled="true" fillcolor="#ff01ff" stroked="false">
              <v:fill type="solid"/>
            </v:rect>
            <v:rect style="position:absolute;left:5871;top:360;width:222;height:1348" filled="false" stroked="true" strokeweight=".792pt" strokecolor="#000000">
              <v:stroke dashstyle="solid"/>
            </v:rect>
            <v:rect style="position:absolute;left:6093;top:360;width:222;height:1871" filled="true" fillcolor="#339a65" stroked="false">
              <v:fill type="solid"/>
            </v:rect>
            <v:rect style="position:absolute;left:6093;top:360;width:222;height:1871" filled="false" stroked="true" strokeweight=".792pt" strokecolor="#000000">
              <v:stroke dashstyle="solid"/>
            </v:rect>
            <v:rect style="position:absolute;left:6648;top:360;width:222;height:1839" filled="true" fillcolor="#ff01ff" stroked="false">
              <v:fill type="solid"/>
            </v:rect>
            <v:rect style="position:absolute;left:6648;top:360;width:222;height:1839" filled="false" stroked="true" strokeweight=".792pt" strokecolor="#000000">
              <v:stroke dashstyle="solid"/>
            </v:rect>
            <v:rect style="position:absolute;left:6870;top:360;width:207;height:2488" filled="true" fillcolor="#339a65" stroked="false">
              <v:fill type="solid"/>
            </v:rect>
            <v:rect style="position:absolute;left:6870;top:360;width:207;height:2488" filled="false" stroked="true" strokeweight=".792pt" strokecolor="#000000">
              <v:stroke dashstyle="solid"/>
            </v:rect>
            <v:shape style="position:absolute;left:1892;top:360;width:5438;height:2868" coordorigin="1892,360" coordsize="5438,2868" path="m7250,360l7250,3228,7330,3228m7250,2912l7330,2912m7250,2595l7330,2595m7250,2278l7330,2278m7250,1961l7330,1961m7250,1629l7330,1629m7250,1312l7330,1312m7250,995l7330,995m7250,677l7330,677m7250,360l7330,360m1892,360l7250,360m1892,440l1892,360m2653,440l2653,360m3431,440l3431,360m4192,440l4192,360m4952,440l4952,360m5713,440l5713,360m6490,440l6490,360m7250,440l7250,360e" filled="false" stroked="true" strokeweight=".06pt" strokecolor="#000000">
              <v:path arrowok="t"/>
              <v:stroke dashstyle="solid"/>
            </v:shape>
            <v:rect style="position:absolute;left:2574;top:1613;width:158;height:158" filled="true" fillcolor="#ff01ff" stroked="false">
              <v:fill type="solid"/>
            </v:rect>
            <v:rect style="position:absolute;left:2574;top:1613;width:158;height:158" filled="false" stroked="true" strokeweight=".792pt" strokecolor="#000000">
              <v:stroke dashstyle="solid"/>
            </v:rect>
            <v:rect style="position:absolute;left:2574;top:2325;width:158;height:158" filled="true" fillcolor="#339a65" stroked="false">
              <v:fill type="solid"/>
            </v:rect>
            <v:rect style="position:absolute;left:2574;top:2325;width:158;height:158" filled="false" stroked="true" strokeweight=".792pt" strokecolor="#000000">
              <v:stroke dashstyle="solid"/>
            </v:rect>
            <v:shape style="position:absolute;left:2796;top:1565;width:893;height:264" type="#_x0000_t202" filled="false" stroked="false">
              <v:textbox inset="0,0,0,0">
                <w:txbxContent>
                  <w:p>
                    <w:pPr>
                      <w:spacing w:line="262" w:lineRule="exact" w:before="0"/>
                      <w:ind w:left="0" w:right="0" w:firstLine="0"/>
                      <w:jc w:val="left"/>
                      <w:rPr>
                        <w:sz w:val="23"/>
                      </w:rPr>
                    </w:pPr>
                    <w:r>
                      <w:rPr>
                        <w:w w:val="105"/>
                        <w:sz w:val="23"/>
                      </w:rPr>
                      <w:t>US </w:t>
                    </w:r>
                    <w:r>
                      <w:rPr>
                        <w:spacing w:val="-9"/>
                        <w:w w:val="105"/>
                        <w:sz w:val="23"/>
                      </w:rPr>
                      <w:t>dollar</w:t>
                    </w:r>
                  </w:p>
                </w:txbxContent>
              </v:textbox>
              <w10:wrap type="none"/>
            </v:shape>
            <v:shape style="position:absolute;left:2796;top:2278;width:473;height:264" type="#_x0000_t202" filled="false" stroked="false">
              <v:textbox inset="0,0,0,0">
                <w:txbxContent>
                  <w:p>
                    <w:pPr>
                      <w:spacing w:line="262" w:lineRule="exact" w:before="0"/>
                      <w:ind w:left="0" w:right="0" w:firstLine="0"/>
                      <w:jc w:val="left"/>
                      <w:rPr>
                        <w:sz w:val="23"/>
                      </w:rPr>
                    </w:pPr>
                    <w:r>
                      <w:rPr>
                        <w:w w:val="105"/>
                        <w:sz w:val="23"/>
                      </w:rPr>
                      <w:t>Euro</w:t>
                    </w:r>
                  </w:p>
                </w:txbxContent>
              </v:textbox>
              <w10:wrap type="none"/>
            </v:shape>
            <w10:wrap type="none"/>
          </v:group>
        </w:pict>
      </w:r>
      <w:r>
        <w:rPr>
          <w:w w:val="103"/>
          <w:sz w:val="23"/>
        </w:rPr>
        <w:t>0</w:t>
      </w:r>
    </w:p>
    <w:p>
      <w:pPr>
        <w:spacing w:line="124" w:lineRule="exact" w:before="0"/>
        <w:ind w:left="126" w:right="0" w:firstLine="0"/>
        <w:jc w:val="left"/>
        <w:rPr>
          <w:sz w:val="17"/>
        </w:rPr>
      </w:pPr>
      <w:r>
        <w:rPr>
          <w:w w:val="102"/>
          <w:sz w:val="17"/>
        </w:rPr>
        <w:t>+</w:t>
      </w:r>
    </w:p>
    <w:p>
      <w:pPr>
        <w:spacing w:line="231" w:lineRule="exact" w:before="0"/>
        <w:ind w:left="126" w:right="0" w:firstLine="0"/>
        <w:jc w:val="left"/>
        <w:rPr>
          <w:sz w:val="23"/>
        </w:rPr>
      </w:pPr>
      <w:r>
        <w:rPr>
          <w:spacing w:val="-9"/>
          <w:w w:val="105"/>
          <w:sz w:val="23"/>
        </w:rPr>
        <w:t>50</w:t>
      </w:r>
    </w:p>
    <w:p>
      <w:pPr>
        <w:spacing w:before="53"/>
        <w:ind w:left="126" w:right="0" w:firstLine="0"/>
        <w:jc w:val="left"/>
        <w:rPr>
          <w:sz w:val="23"/>
        </w:rPr>
      </w:pPr>
      <w:r>
        <w:rPr>
          <w:spacing w:val="-21"/>
          <w:w w:val="105"/>
          <w:sz w:val="23"/>
        </w:rPr>
        <w:t>10</w:t>
      </w:r>
      <w:r>
        <w:rPr>
          <w:spacing w:val="-21"/>
          <w:w w:val="105"/>
          <w:position w:val="1"/>
          <w:sz w:val="17"/>
        </w:rPr>
        <w:t>-</w:t>
      </w:r>
      <w:r>
        <w:rPr>
          <w:spacing w:val="-21"/>
          <w:w w:val="105"/>
          <w:sz w:val="23"/>
        </w:rPr>
        <w:t>0</w:t>
      </w:r>
    </w:p>
    <w:p>
      <w:pPr>
        <w:spacing w:before="52"/>
        <w:ind w:left="126" w:right="0" w:firstLine="0"/>
        <w:jc w:val="left"/>
        <w:rPr>
          <w:sz w:val="23"/>
        </w:rPr>
      </w:pPr>
      <w:r>
        <w:rPr>
          <w:spacing w:val="-8"/>
          <w:w w:val="105"/>
          <w:sz w:val="23"/>
        </w:rPr>
        <w:t>150</w:t>
      </w:r>
    </w:p>
    <w:p>
      <w:pPr>
        <w:spacing w:before="52"/>
        <w:ind w:left="126" w:right="0" w:firstLine="0"/>
        <w:jc w:val="left"/>
        <w:rPr>
          <w:sz w:val="23"/>
        </w:rPr>
      </w:pPr>
      <w:r>
        <w:rPr>
          <w:spacing w:val="-8"/>
          <w:w w:val="105"/>
          <w:sz w:val="23"/>
        </w:rPr>
        <w:t>200</w:t>
      </w:r>
    </w:p>
    <w:p>
      <w:pPr>
        <w:spacing w:before="68"/>
        <w:ind w:left="126" w:right="0" w:firstLine="0"/>
        <w:jc w:val="left"/>
        <w:rPr>
          <w:sz w:val="23"/>
        </w:rPr>
      </w:pPr>
      <w:r>
        <w:rPr>
          <w:spacing w:val="-8"/>
          <w:w w:val="105"/>
          <w:sz w:val="23"/>
        </w:rPr>
        <w:t>250</w:t>
      </w:r>
    </w:p>
    <w:p>
      <w:pPr>
        <w:spacing w:before="52"/>
        <w:ind w:left="126" w:right="0" w:firstLine="0"/>
        <w:jc w:val="left"/>
        <w:rPr>
          <w:sz w:val="23"/>
        </w:rPr>
      </w:pPr>
      <w:r>
        <w:rPr>
          <w:spacing w:val="-8"/>
          <w:w w:val="105"/>
          <w:sz w:val="23"/>
        </w:rPr>
        <w:t>300</w:t>
      </w:r>
    </w:p>
    <w:p>
      <w:pPr>
        <w:spacing w:before="54"/>
        <w:ind w:left="126" w:right="0" w:firstLine="0"/>
        <w:jc w:val="left"/>
        <w:rPr>
          <w:sz w:val="23"/>
        </w:rPr>
      </w:pPr>
      <w:r>
        <w:rPr>
          <w:spacing w:val="-8"/>
          <w:w w:val="105"/>
          <w:sz w:val="23"/>
        </w:rPr>
        <w:t>350</w:t>
      </w:r>
    </w:p>
    <w:p>
      <w:pPr>
        <w:spacing w:before="52"/>
        <w:ind w:left="126" w:right="0" w:firstLine="0"/>
        <w:jc w:val="left"/>
        <w:rPr>
          <w:sz w:val="23"/>
        </w:rPr>
      </w:pPr>
      <w:r>
        <w:rPr>
          <w:spacing w:val="-8"/>
          <w:w w:val="105"/>
          <w:sz w:val="23"/>
        </w:rPr>
        <w:t>400</w:t>
      </w:r>
    </w:p>
    <w:p>
      <w:pPr>
        <w:spacing w:line="178" w:lineRule="exact" w:before="53"/>
        <w:ind w:left="126" w:right="0" w:firstLine="0"/>
        <w:jc w:val="left"/>
        <w:rPr>
          <w:sz w:val="23"/>
        </w:rPr>
      </w:pPr>
      <w:r>
        <w:rPr>
          <w:spacing w:val="-8"/>
          <w:w w:val="105"/>
          <w:sz w:val="23"/>
        </w:rPr>
        <w:t>450</w:t>
      </w:r>
    </w:p>
    <w:p>
      <w:pPr>
        <w:spacing w:after="0" w:line="178" w:lineRule="exact"/>
        <w:jc w:val="left"/>
        <w:rPr>
          <w:sz w:val="23"/>
        </w:rPr>
        <w:sectPr>
          <w:type w:val="continuous"/>
          <w:pgSz w:w="11900" w:h="16840"/>
          <w:pgMar w:top="1180" w:bottom="280" w:left="1140" w:right="980"/>
          <w:cols w:num="2" w:equalWidth="0">
            <w:col w:w="6136" w:space="40"/>
            <w:col w:w="3604"/>
          </w:cols>
        </w:sectPr>
      </w:pPr>
    </w:p>
    <w:p>
      <w:pPr>
        <w:spacing w:line="245" w:lineRule="exact" w:before="0"/>
        <w:ind w:left="5400" w:right="3269" w:firstLine="0"/>
        <w:jc w:val="center"/>
        <w:rPr>
          <w:sz w:val="22"/>
        </w:rPr>
      </w:pPr>
      <w:r>
        <w:rPr>
          <w:sz w:val="22"/>
        </w:rPr>
        <w:t>Basis points</w:t>
      </w:r>
    </w:p>
    <w:p>
      <w:pPr>
        <w:pStyle w:val="BodyText"/>
        <w:spacing w:before="10"/>
        <w:rPr>
          <w:sz w:val="9"/>
        </w:rPr>
      </w:pPr>
    </w:p>
    <w:p>
      <w:pPr>
        <w:spacing w:before="96"/>
        <w:ind w:left="721" w:right="0" w:firstLine="0"/>
        <w:jc w:val="left"/>
        <w:rPr>
          <w:sz w:val="17"/>
        </w:rPr>
      </w:pPr>
      <w:r>
        <w:rPr>
          <w:w w:val="105"/>
          <w:sz w:val="17"/>
        </w:rPr>
        <w:t>Source: Merrill Lynch</w:t>
      </w:r>
    </w:p>
    <w:p>
      <w:pPr>
        <w:pStyle w:val="ListParagraph"/>
        <w:numPr>
          <w:ilvl w:val="0"/>
          <w:numId w:val="2"/>
        </w:numPr>
        <w:tabs>
          <w:tab w:pos="975" w:val="left" w:leader="none"/>
        </w:tabs>
        <w:spacing w:line="240" w:lineRule="auto" w:before="42" w:after="0"/>
        <w:ind w:left="974" w:right="0" w:hanging="254"/>
        <w:jc w:val="left"/>
        <w:rPr>
          <w:sz w:val="17"/>
        </w:rPr>
      </w:pPr>
      <w:r>
        <w:rPr>
          <w:w w:val="105"/>
          <w:sz w:val="17"/>
        </w:rPr>
        <w:t>Spread </w:t>
      </w:r>
      <w:r>
        <w:rPr>
          <w:spacing w:val="4"/>
          <w:w w:val="105"/>
          <w:sz w:val="17"/>
        </w:rPr>
        <w:t>over</w:t>
      </w:r>
      <w:r>
        <w:rPr>
          <w:spacing w:val="1"/>
          <w:w w:val="105"/>
          <w:sz w:val="17"/>
        </w:rPr>
        <w:t> </w:t>
      </w:r>
      <w:r>
        <w:rPr>
          <w:spacing w:val="-3"/>
          <w:w w:val="105"/>
          <w:sz w:val="17"/>
        </w:rPr>
        <w:t>swaps.</w:t>
      </w:r>
    </w:p>
    <w:p>
      <w:pPr>
        <w:pStyle w:val="ListParagraph"/>
        <w:numPr>
          <w:ilvl w:val="0"/>
          <w:numId w:val="2"/>
        </w:numPr>
        <w:tabs>
          <w:tab w:pos="975" w:val="left" w:leader="none"/>
        </w:tabs>
        <w:spacing w:line="240" w:lineRule="auto" w:before="43" w:after="0"/>
        <w:ind w:left="974" w:right="0" w:hanging="254"/>
        <w:jc w:val="left"/>
        <w:rPr>
          <w:sz w:val="17"/>
        </w:rPr>
      </w:pPr>
      <w:r>
        <w:rPr>
          <w:w w:val="105"/>
          <w:sz w:val="17"/>
        </w:rPr>
        <w:t>Changes between </w:t>
      </w:r>
      <w:r>
        <w:rPr>
          <w:spacing w:val="3"/>
          <w:w w:val="105"/>
          <w:sz w:val="17"/>
        </w:rPr>
        <w:t>22 </w:t>
      </w:r>
      <w:r>
        <w:rPr>
          <w:w w:val="105"/>
          <w:sz w:val="17"/>
        </w:rPr>
        <w:t>May </w:t>
      </w:r>
      <w:r>
        <w:rPr>
          <w:spacing w:val="5"/>
          <w:w w:val="105"/>
          <w:sz w:val="17"/>
        </w:rPr>
        <w:t>2003 </w:t>
      </w:r>
      <w:r>
        <w:rPr>
          <w:spacing w:val="2"/>
          <w:w w:val="105"/>
          <w:sz w:val="17"/>
        </w:rPr>
        <w:t>and </w:t>
      </w:r>
      <w:r>
        <w:rPr>
          <w:spacing w:val="3"/>
          <w:w w:val="105"/>
          <w:sz w:val="17"/>
        </w:rPr>
        <w:t>16 </w:t>
      </w:r>
      <w:r>
        <w:rPr>
          <w:spacing w:val="2"/>
          <w:w w:val="105"/>
          <w:sz w:val="17"/>
        </w:rPr>
        <w:t>Mar.</w:t>
      </w:r>
      <w:r>
        <w:rPr>
          <w:spacing w:val="36"/>
          <w:w w:val="105"/>
          <w:sz w:val="17"/>
        </w:rPr>
        <w:t> </w:t>
      </w:r>
      <w:r>
        <w:rPr>
          <w:spacing w:val="7"/>
          <w:w w:val="105"/>
          <w:sz w:val="17"/>
        </w:rPr>
        <w:t>2004.</w:t>
      </w:r>
    </w:p>
    <w:p>
      <w:pPr>
        <w:spacing w:after="0" w:line="240" w:lineRule="auto"/>
        <w:jc w:val="left"/>
        <w:rPr>
          <w:sz w:val="17"/>
        </w:rPr>
        <w:sectPr>
          <w:type w:val="continuous"/>
          <w:pgSz w:w="11900" w:h="16840"/>
          <w:pgMar w:top="1180" w:bottom="280" w:left="1140" w:right="980"/>
        </w:sectPr>
      </w:pPr>
    </w:p>
    <w:p>
      <w:pPr>
        <w:pStyle w:val="Heading1"/>
        <w:spacing w:before="82"/>
      </w:pPr>
      <w:r>
        <w:rPr/>
        <w:t>Chart 7</w:t>
      </w:r>
    </w:p>
    <w:p>
      <w:pPr>
        <w:pStyle w:val="BodyText"/>
        <w:spacing w:before="1"/>
        <w:rPr>
          <w:b/>
          <w:sz w:val="22"/>
        </w:rPr>
      </w:pPr>
    </w:p>
    <w:p>
      <w:pPr>
        <w:spacing w:before="0"/>
        <w:ind w:left="788" w:right="0" w:firstLine="0"/>
        <w:jc w:val="left"/>
        <w:rPr>
          <w:b/>
          <w:sz w:val="24"/>
        </w:rPr>
      </w:pPr>
      <w:r>
        <w:rPr>
          <w:b/>
          <w:sz w:val="24"/>
        </w:rPr>
        <w:t>Highest CDS premia of major banks in selected</w:t>
      </w:r>
    </w:p>
    <w:p>
      <w:pPr>
        <w:spacing w:after="0"/>
        <w:jc w:val="left"/>
        <w:rPr>
          <w:sz w:val="24"/>
        </w:rPr>
        <w:sectPr>
          <w:pgSz w:w="11900" w:h="16840"/>
          <w:pgMar w:header="717" w:footer="0" w:top="1340" w:bottom="280" w:left="1140" w:right="980"/>
        </w:sectPr>
      </w:pPr>
    </w:p>
    <w:p>
      <w:pPr>
        <w:spacing w:before="44"/>
        <w:ind w:left="788" w:right="0" w:firstLine="0"/>
        <w:jc w:val="left"/>
        <w:rPr>
          <w:b/>
          <w:sz w:val="24"/>
        </w:rPr>
      </w:pPr>
      <w:r>
        <w:rPr/>
        <w:pict>
          <v:group style="position:absolute;margin-left:105.115997pt;margin-top:18.773232pt;width:252.05pt;height:140.4pt;mso-position-horizontal-relative:page;mso-position-vertical-relative:paragraph;z-index:251677696" coordorigin="2102,375" coordsize="5041,2808">
            <v:shape style="position:absolute;left:2116;top:376;width:5026;height:2807" coordorigin="2117,376" coordsize="5026,2807" path="m7070,376l7070,3183m7070,3183l7142,3183m7070,2908l7142,2908m7070,2619l7142,2619m7070,2344l7142,2344m7070,2055l7142,2055m7070,1780l7142,1780m7070,1504l7142,1504m7070,1215l7142,1215m7070,940l7142,940m7070,651l7142,651m7070,376l7142,376m2117,3183l7070,3183m2117,3183l2117,3111m2840,3183l2840,3111m3594,3183l3594,3111m4346,3183l4346,3111m5100,3183l5100,3111m5854,3183l5854,3111m6622,3183l6622,3111e" filled="false" stroked="true" strokeweight=".06pt" strokecolor="#000000">
              <v:path arrowok="t"/>
              <v:stroke dashstyle="solid"/>
            </v:shape>
            <v:line style="position:absolute" from="2124,2691" to="2124,2720" stroked="true" strokeweight=".72pt" strokecolor="#0f0080">
              <v:stroke dashstyle="solid"/>
            </v:line>
            <v:line style="position:absolute" from="2138,2691" to="2138,2720" stroked="true" strokeweight=".72pt" strokecolor="#0f0080">
              <v:stroke dashstyle="solid"/>
            </v:line>
            <v:shape style="position:absolute;left:2145;top:2590;width:4911;height:405" coordorigin="2146,2590" coordsize="4911,405" path="m2146,2705l2160,2705,2160,2676,2305,2676,2320,2691,2377,2691,2392,2662,2406,2662,2406,2619,2420,2662,2566,2662,2580,2590,2638,2590,2652,2691,2740,2691,2740,2763,2855,2763,2898,2778,2898,2807,3174,2807,3188,2879,3232,2879,3260,2908,3420,2908,3434,2879,3637,2879,3666,2908,3754,2908,3768,2937,3971,2937,4014,2922,4391,2922,4391,2937,4651,2937,4666,2951,5434,2951,5448,2980,5563,2980,5578,2966,5608,2966,6013,2966,6028,2994,6462,2994,6476,2966,6520,2951,6563,2951,6607,2937,6622,2908,6636,2951,6882,2951,6896,2908,6954,2908,6968,2922,7056,2922e" filled="false" stroked="true" strokeweight="1.448pt" strokecolor="#0f0080">
              <v:path arrowok="t"/>
              <v:stroke dashstyle="solid"/>
            </v:shape>
            <v:line style="position:absolute" from="7063,2908" to="7063,2937" stroked="true" strokeweight=".72pt" strokecolor="#0f0080">
              <v:stroke dashstyle="solid"/>
            </v:line>
            <v:line style="position:absolute" from="2124,2242" to="2124,2271" stroked="true" strokeweight=".72pt" strokecolor="#ff01ff">
              <v:stroke dashstyle="solid"/>
            </v:line>
            <v:line style="position:absolute" from="2138,2242" to="2138,2271" stroked="true" strokeweight=".72pt" strokecolor="#ff01ff">
              <v:stroke dashstyle="solid"/>
            </v:line>
            <v:shape style="position:absolute;left:2145;top:2184;width:4911;height:710" coordorigin="2146,2184" coordsize="4911,710" path="m2146,2256l2160,2272,2160,2256,2246,2256,2246,2199,2320,2199,2320,2242,2406,2242,2406,2213,2420,2256,2464,2213,2492,2213,2492,2228,2507,2213,2551,2199,2566,2199,2580,2184,2638,2184,2652,2199,2740,2199,2740,2213,2754,2228,2768,2286,2812,2301,2812,2315,2826,2358,2840,2358,2855,2373,2898,2387,2898,2430,2912,2430,2928,2445,2986,2445,3000,2517,3014,2547,3029,2532,3072,2576,3086,2604,3101,2691,3145,2691,3160,2676,3174,2705,3203,2705,3232,2691,3246,2705,3260,2705,3275,2691,3318,2691,3334,2662,3348,2662,3362,2633,3377,2633,3406,2590,3420,2576,3434,2576,3463,2547,3492,2561,3521,2561,3536,2532,3551,2532,3580,2547,3594,2547,3608,2561,3623,2561,3637,2604,3666,2576,3680,2604,3695,2619,3709,2604,3724,2604,3754,2590,3768,2633,3782,2648,3797,2633,3869,2633,3883,2619,4144,2619,4202,2662,4217,2662,4217,2691,4231,2676,4303,2676,4303,2633,4318,2619,4362,2619,4376,2633,4391,2619,4405,2633,4549,2633,4549,2648,4622,2648,4637,2662,4651,2662,4666,2676,4723,2676,4723,2691,4738,2691,4752,2705,5014,2705,5042,2720,5100,2720,5129,2734,5143,2720,5158,2734,5173,2748,5216,2748,5231,2763,5245,2763,5260,2778,5274,2778,5303,2793,5317,2778,5346,2778,5360,2793,5520,2793,5534,2778,5563,2778,5578,2793,5593,2778,5608,2778,5694,2778,5708,2763,5737,2778,5825,2778,5854,2836,5868,2850,5911,2865,6042,2865,6085,2879,6202,2879,6202,2894,6216,2879,6259,2879,6274,2894,6288,2894,6302,2865,6374,2865,6374,2879,6433,2879,6448,2894,6462,2894,6476,2879,6534,2879,6548,2850,6563,2836,6622,2836,6622,2822,6694,2822,6694,2836,6780,2836,6794,2850,6810,2850,6824,2836,6983,2836,6997,2822,7042,2822,7056,2807e" filled="false" stroked="true" strokeweight="1.448pt" strokecolor="#ff01ff">
              <v:path arrowok="t"/>
              <v:stroke dashstyle="solid"/>
            </v:shape>
            <v:line style="position:absolute" from="7056,2807" to="7070,2778" stroked="true" strokeweight="1.448pt" strokecolor="#ff01ff">
              <v:stroke dashstyle="solid"/>
            </v:line>
            <v:shape style="position:absolute;left:2203;top:2546;width:4853;height:405" coordorigin="2203,2547" coordsize="4853,405" path="m2203,2547l2218,2547,2320,2590,2681,2590,2826,2633,2840,2633,2898,2691,2912,2676,2928,2691,2942,2691,2986,2720,2986,2705,3014,2705,3029,2691,3072,2705,3086,2720,3101,2763,3115,2748,3145,2763,3160,2807,3188,2807,3203,2763,3232,2778,3246,2822,3260,2850,3275,2850,3289,2836,3434,2836,3449,2850,3463,2850,3492,2836,3580,2836,3594,2850,3608,2836,3623,2836,3680,2822,3695,2836,3754,2836,3782,2865,4043,2865,4057,2879,4144,2879,4188,2865,4202,2879,4303,2879,4303,2894,4723,2894,4738,2937,4752,2894,4796,2894,4796,2922,4840,2922,4897,2908,5129,2908,5143,2922,5158,2922,5173,2908,5231,2908,5245,2937,5260,2937,5274,2951,5405,2951,5419,2937,5651,2937,5665,2922,5825,2922,5839,2937,5854,2937,5868,2951,5911,2951,5926,2922,6028,2922,6042,2922,6085,2908,6216,2908,6259,2894,6288,2894,6288,2879,6302,2865,6346,2865,6360,2836,6374,2822,6374,2836,6448,2836,6448,2822,6534,2822,6534,2807,6548,2793,6563,2763,6607,2734,6622,2748,6636,2748,6650,2763,6694,2778,6780,2778,6780,2793,6868,2793,6882,2807,6896,2793,6911,2807,6983,2807,6997,2822,7042,2822,7056,2836e" filled="false" stroked="true" strokeweight="1.448pt" strokecolor="#008080">
              <v:path arrowok="t"/>
              <v:stroke dashstyle="solid"/>
            </v:shape>
            <v:line style="position:absolute" from="7056,2836" to="7070,2822" stroked="true" strokeweight="1.448pt" strokecolor="#008080">
              <v:stroke dashstyle="solid"/>
            </v:line>
            <v:line style="position:absolute" from="2124,1128" to="2124,1157" stroked="true" strokeweight=".72pt" strokecolor="#01ffff">
              <v:stroke dashstyle="solid"/>
            </v:line>
            <v:line style="position:absolute" from="2131,1143" to="2146,1186" stroked="true" strokeweight="1.448pt" strokecolor="#01ffff">
              <v:stroke dashstyle="solid"/>
            </v:line>
            <v:shape style="position:absolute;left:2145;top:954;width:4911;height:1650" coordorigin="2146,954" coordsize="4911,1650" path="m2146,1186l2160,1186,2160,1172,2218,1172,2232,1186,2246,1186,2290,1114,2305,1114,2320,1042,2377,1042,2392,1186,2406,1186,2420,1114,2478,1114,2492,1128,2492,1143,2507,1128,2551,1114,2566,998,2566,954,2681,954,2725,969,2740,969,2754,1056,2812,1056,2826,1200,2840,1274,2898,1274,2898,1302,2912,1446,2928,1461,2942,1490,2986,1490,2986,1606,3000,1678,3014,1592,3029,1577,3072,1592,3072,1692,3086,1678,3101,1707,3115,1692,3188,1692,3203,1721,3232,1678,3246,1678,3260,1692,3275,1736,3289,1736,3318,1692,3348,1692,3377,1721,3406,1678,3420,1664,3434,1664,3449,1721,3463,1721,3492,1736,3506,1736,3521,1750,3536,1794,3551,1823,3580,1823,3594,1881,3608,1823,3623,1794,3637,1794,3666,1809,3680,1736,3695,1766,3754,1766,3782,1852,3811,1852,3840,1838,3854,1852,3898,1809,3926,1794,3941,1750,3956,1750,3971,1780,4014,1750,4028,1750,4043,1766,4057,1766,4057,1750,4115,1750,4129,1721,4144,1721,4144,1707,4231,1707,4274,1721,4289,1736,4303,1736,4303,1766,4318,1809,4362,1766,4376,1766,4391,1780,4391,1766,4405,1780,4463,1780,4477,1794,4492,1794,4535,1809,4549,1852,4549,1866,4565,1866,4579,1881,4622,1881,4637,1953,4637,1996,4651,2069,4666,2055,4709,2055,4723,2069,4723,2055,4738,2055,4752,2084,4796,2098,4796,2084,4811,2127,4825,2156,4840,2213,4883,2213,4897,2127,4912,2213,4926,2256,4970,2272,4985,2330,4999,2286,5014,2315,5042,2344,5057,2330,5071,2358,5086,2373,5100,2373,5129,2459,5158,2517,5173,2502,5231,2502,5245,2517,5303,2517,5317,2547,5332,2547,5346,2517,5360,2517,5390,2488,5405,2474,5419,2474,5434,2488,5491,2488,5506,2474,5520,2488,5534,2459,5563,2459,5578,2416,5593,2416,5622,2416,5651,2344,5665,2330,5680,2213,5694,2330,5708,2330,5737,2416,5752,2402,5766,2416,5780,2445,5796,2402,5868,2402,5911,2430,5926,2445,5954,2445,5999,2459,6013,2532,6202,2532,6202,2547,6216,2532,6288,2532,6288,2576,6302,2590,6346,2604,6360,2604,6374,2590,6374,2604,6476,2604,6520,2576,6534,2576,6548,2547,6563,2532,6607,2517,6622,2459,6622,2430,6636,2416,6650,2416,6694,2402,6694,2416,6722,2416,6737,2445,6780,2459,6868,2459,6868,2445,6882,2459,6954,2459,6968,2488,7027,2488,7056,2517e" filled="false" stroked="true" strokeweight="1.448pt" strokecolor="#01ffff">
              <v:path arrowok="t"/>
              <v:stroke dashstyle="solid"/>
            </v:shape>
            <v:line style="position:absolute" from="7063,2502" to="7063,2531" stroked="true" strokeweight=".72pt" strokecolor="#01ffff">
              <v:stroke dashstyle="solid"/>
            </v:line>
            <v:line style="position:absolute" from="2124,1403" to="2124,1432" stroked="true" strokeweight=".72pt" strokecolor="#ff6500">
              <v:stroke dashstyle="solid"/>
            </v:line>
            <v:line style="position:absolute" from="2131,1418" to="2146,1461" stroked="true" strokeweight="1.448pt" strokecolor="#ff6500">
              <v:stroke dashstyle="solid"/>
            </v:line>
            <v:shape style="position:absolute;left:2145;top:954;width:4911;height:1809" coordorigin="2146,954" coordsize="4911,1809" path="m2146,1461l2160,1461,2160,1432,2203,1389,2232,1389,2246,1360,2305,1360,2320,1317,2377,1317,2392,1288,2406,1331,2406,1317,2464,1317,2492,1288,2492,1274,2551,1274,2566,954,2580,954,2594,1013,2638,1013,2652,1056,2652,1200,2666,1317,2740,1317,2754,1389,2768,1389,2812,1360,2826,1360,2840,1374,2855,1374,2898,1389,2898,1432,2986,1432,2986,1461,3000,1475,3014,1504,3029,1432,3072,1504,3086,1548,3101,1707,3115,1678,3145,1707,3160,1721,3174,1780,3188,1780,3203,1866,3232,1866,3246,1895,3260,2055,3275,2055,3289,2026,3318,2040,3334,2026,3377,2026,3406,1967,3420,1967,3434,1866,3449,1750,3536,1750,3551,1766,3594,1766,3608,1838,3623,1924,3637,1982,3666,1967,3680,2055,3695,2055,3724,2112,3754,2112,3768,2127,3782,2170,3797,2170,3811,2184,3898,2184,3926,2156,3956,2156,3971,2199,3971,2184,4014,2184,4028,2213,4043,2256,4057,2242,4100,2256,4129,2256,4144,2272,4144,2256,4188,2272,4202,2256,4231,2256,4274,2272,4289,2272,4303,2286,4303,2358,4362,2358,4376,2344,4391,2315,4391,2301,4405,2315,4448,2301,4477,2301,4492,2315,4535,2301,4549,2315,4549,2344,4579,2344,4622,2358,4637,2358,4651,2373,4666,2373,4709,2387,4723,2445,4738,2474,4752,2416,4796,2416,4811,2430,4825,2430,4840,2445,4926,2445,4970,2416,4999,2358,5014,2373,5042,2387,5057,2387,5071,2373,5143,2373,5158,2387,5173,2416,5188,2430,5216,2445,5231,2517,5245,2590,5274,2619,5317,2619,5332,2604,5346,2561,5360,2576,5390,2590,5434,2633,5477,2633,5491,2648,5520,2648,5534,2662,5563,2662,5578,2648,5593,2662,5608,2648,5622,2662,5651,2648,5694,2648,5708,2662,5766,2662,5780,2648,5796,2662,5825,2676,5839,2705,5854,2705,5868,2734,5868,2720,5911,2734,5926,2734,5940,2748,6013,2748,6028,2763,6042,2763,6085,2748,6100,2763,6114,2748,6172,2748,6186,2763,6202,2748,6202,2763,6346,2763,6374,2734,6374,2720,6448,2720,6448,2691,6476,2691,6520,2676,6534,2676,6548,2648,6563,2633,6607,2619,6622,2633,6622,2648,6636,2648,6650,2662,6694,2676,6708,2691,6868,2691,6868,2705,6882,2705,6896,2720,6968,2720,6983,2734,6997,2734,7027,2748,7056,2748e" filled="false" stroked="true" strokeweight="1.448pt" strokecolor="#ff6500">
              <v:path arrowok="t"/>
              <v:stroke dashstyle="solid"/>
            </v:shape>
            <v:line style="position:absolute" from="7056,2748" to="7070,2734" stroked="true" strokeweight="1.448pt" strokecolor="#ff6500">
              <v:stroke dashstyle="solid"/>
            </v:line>
            <v:line style="position:absolute" from="2117,2836" to="2246,2879" stroked="true" strokeweight="1.448pt" strokecolor="#cc9aff">
              <v:stroke dashstyle="solid"/>
            </v:line>
            <v:shape style="position:absolute;left:2246;top:2836;width:4810;height:188" coordorigin="2246,2836" coordsize="4810,188" path="m2246,2879l2246,2865,2290,2850,2320,2850,2320,2865,2420,2865,2464,2836,2478,2836,2492,2865,2652,2865,2652,2850,2681,2850,2725,2836,2740,2836,2754,2865,2942,2865,2986,2879,3086,2879,3101,2922,3115,2908,3160,2894,3174,2922,3188,2908,3203,2908,3232,2922,3260,2951,3434,2951,3449,2922,3463,2922,3492,2937,3521,2937,3536,2922,3551,2922,3580,2937,3594,2937,3666,2922,3754,2937,3768,2937,3782,2951,3797,2937,3811,2937,3840,2951,3898,2951,3926,2966,3941,2966,3956,2951,3971,2966,4028,2966,4043,2951,4057,2966,4144,2966,4188,2951,4202,2966,4231,2966,4274,2951,4289,2951,4303,2980,4303,2951,4391,2951,4405,2937,4448,2951,4463,2937,4463,2951,4477,2937,4492,2951,4535,2937,4565,2937,4579,2951,4622,2937,4637,2951,4651,2980,4897,2980,4912,2994,4926,2980,4970,2980,4985,2994,4999,2980,5143,2980,5158,2966,5173,2966,5188,2980,5216,2966,5231,2966,5245,2980,5303,2980,5317,2994,5346,2994,5360,3009,5534,3009,5563,2994,5578,2994,5593,3009,5608,3009,5622,3023,5651,3009,5868,3009,5911,3023,5926,3023,5940,3009,5954,3009,5954,3023,6172,3023,6202,3009,6274,3009,6288,3023,6520,3023,6534,3009,6548,2994,6824,2994,6868,2980,7056,2980e" filled="false" stroked="true" strokeweight="1.448pt" strokecolor="#cc9aff">
              <v:path arrowok="t"/>
              <v:stroke dashstyle="solid"/>
            </v:shape>
            <v:line style="position:absolute" from="7063,2966" to="7063,2995" stroked="true" strokeweight=".72pt" strokecolor="#cc9aff">
              <v:stroke dashstyle="solid"/>
            </v:line>
            <v:line style="position:absolute" from="2117,2330" to="2131,2330" stroked="true" strokeweight=".724pt" strokecolor="#ccffcc">
              <v:stroke dashstyle="solid"/>
            </v:line>
            <v:shape style="position:absolute;left:2131;top:2155;width:4940;height:782" coordorigin="2131,2156" coordsize="4940,782" path="m2131,2330l2146,2344,2246,2344,2246,2315,2290,2330,2320,2330,2320,2358,2377,2358,2392,2344,2406,2315,2464,2315,2492,2286,2507,2272,2551,2286,2566,2228,2566,2199,2638,2199,2652,2184,2652,2156,2725,2156,2740,2184,2740,2199,2754,2199,2768,2242,2812,2286,2840,2286,2855,2344,2898,2358,2928,2358,2942,2373,2986,2387,2986,2445,3000,2445,3029,2416,3072,2430,3072,2445,3086,2488,3101,2547,3115,2517,3145,2561,3160,2590,3188,2590,3203,2576,3232,2576,3260,2633,3275,2619,3289,2619,3318,2662,3334,2633,3420,2633,3434,2590,3580,2590,3594,2604,3608,2590,3623,2590,3637,2604,3666,2590,3680,2590,3695,2648,3754,2648,3768,2691,3797,2691,3811,2705,3898,2705,3926,2763,3956,2763,3971,2748,3971,2763,4043,2763,4057,2778,4057,2807,4144,2807,4188,2793,4202,2807,4231,2807,4274,2822,4303,2822,4303,2807,4318,2807,4362,2822,4391,2822,4391,2836,4405,2836,4448,2822,4463,2836,4666,2836,4723,2850,4738,2865,4752,2850,4840,2850,4883,2865,4926,2865,4970,2879,4970,2865,5158,2865,5173,2850,5231,2850,5245,2879,5260,2894,5448,2894,5477,2879,5491,2879,5506,2894,5593,2894,5608,2879,5708,2879,5737,2894,5766,2894,5780,2908,5825,2908,5839,2922,5854,2922,5868,2937,5926,2937,5940,2922,6013,2922,6028,2937,6042,2937,6085,2922,6100,2937,6114,2937,6114,2908,6128,2937,6172,2922,6186,2922,6202,2937,6202,2922,6216,2937,6259,2922,6288,2922,6288,2937,6302,2922,6360,2922,6374,2908,6462,2908,6476,2922,6534,2922,6534,2908,6548,2908,6563,2894,6607,2879,6622,2879,6622,2894,6636,2894,6650,2908,6694,2894,6694,2908,6722,2908,6737,2922,6780,2908,6794,2922,6824,2922,6868,2908,6882,2908,6896,2894,7070,2894e" filled="false" stroked="true" strokeweight=".724pt" strokecolor="#ccffcc">
              <v:path arrowok="t"/>
              <v:stroke dashstyle="solid"/>
            </v:shape>
            <v:line style="position:absolute" from="5028,708" to="5376,708" stroked="true" strokeweight="1.448pt" strokecolor="#0f0080">
              <v:stroke dashstyle="solid"/>
            </v:line>
            <v:line style="position:absolute" from="5028,911" to="5376,911" stroked="true" strokeweight="1.448pt" strokecolor="#ff01ff">
              <v:stroke dashstyle="solid"/>
            </v:line>
            <v:line style="position:absolute" from="5028,1114" to="5376,1114" stroked="true" strokeweight="1.448pt" strokecolor="#008080">
              <v:stroke dashstyle="solid"/>
            </v:line>
            <v:line style="position:absolute" from="5028,1504" to="5376,1504" stroked="true" strokeweight="1.448pt" strokecolor="#ff6500">
              <v:stroke dashstyle="solid"/>
            </v:line>
            <v:line style="position:absolute" from="5028,1707" to="5376,1707" stroked="true" strokeweight="1.448pt" strokecolor="#cc9aff">
              <v:stroke dashstyle="solid"/>
            </v:line>
            <v:shape style="position:absolute;left:2102;top:375;width:5041;height:2808" type="#_x0000_t202" filled="false" stroked="false">
              <v:textbox inset="0,0,0,0">
                <w:txbxContent>
                  <w:p>
                    <w:pPr>
                      <w:spacing w:line="240" w:lineRule="auto" w:before="6"/>
                      <w:rPr>
                        <w:sz w:val="21"/>
                      </w:rPr>
                    </w:pPr>
                  </w:p>
                  <w:p>
                    <w:pPr>
                      <w:spacing w:line="201" w:lineRule="auto" w:before="0"/>
                      <w:ind w:left="3331" w:right="287" w:firstLine="0"/>
                      <w:jc w:val="left"/>
                      <w:rPr>
                        <w:sz w:val="21"/>
                      </w:rPr>
                    </w:pPr>
                    <w:r>
                      <w:rPr>
                        <w:w w:val="105"/>
                        <w:sz w:val="21"/>
                      </w:rPr>
                      <w:t>Abbey National JP Morgan</w:t>
                    </w:r>
                  </w:p>
                  <w:p>
                    <w:pPr>
                      <w:tabs>
                        <w:tab w:pos="3273" w:val="left" w:leader="none"/>
                      </w:tabs>
                      <w:spacing w:line="201" w:lineRule="auto" w:before="0"/>
                      <w:ind w:left="3331" w:right="582" w:hanging="406"/>
                      <w:jc w:val="left"/>
                      <w:rPr>
                        <w:sz w:val="21"/>
                      </w:rPr>
                    </w:pPr>
                    <w:r>
                      <w:rPr>
                        <w:w w:val="103"/>
                        <w:sz w:val="21"/>
                        <w:u w:val="thick" w:color="01FFFF"/>
                      </w:rPr>
                      <w:t> </w:t>
                    </w:r>
                    <w:r>
                      <w:rPr>
                        <w:sz w:val="21"/>
                        <w:u w:val="thick" w:color="01FFFF"/>
                      </w:rPr>
                      <w:tab/>
                    </w:r>
                    <w:r>
                      <w:rPr>
                        <w:spacing w:val="5"/>
                        <w:sz w:val="21"/>
                      </w:rPr>
                      <w:t> </w:t>
                    </w:r>
                    <w:r>
                      <w:rPr>
                        <w:w w:val="105"/>
                        <w:sz w:val="21"/>
                      </w:rPr>
                      <w:t>Banca </w:t>
                    </w:r>
                    <w:r>
                      <w:rPr>
                        <w:spacing w:val="-4"/>
                        <w:w w:val="105"/>
                        <w:sz w:val="21"/>
                      </w:rPr>
                      <w:t>Intesa </w:t>
                    </w:r>
                    <w:r>
                      <w:rPr>
                        <w:w w:val="105"/>
                        <w:sz w:val="21"/>
                      </w:rPr>
                      <w:t>UFJ</w:t>
                    </w:r>
                  </w:p>
                  <w:p>
                    <w:pPr>
                      <w:spacing w:line="176" w:lineRule="exact" w:before="0"/>
                      <w:ind w:left="3331" w:right="0" w:firstLine="0"/>
                      <w:jc w:val="left"/>
                      <w:rPr>
                        <w:sz w:val="21"/>
                      </w:rPr>
                    </w:pPr>
                    <w:r>
                      <w:rPr>
                        <w:w w:val="105"/>
                        <w:sz w:val="21"/>
                      </w:rPr>
                      <w:t>HVB</w:t>
                    </w:r>
                  </w:p>
                  <w:p>
                    <w:pPr>
                      <w:tabs>
                        <w:tab w:pos="3273" w:val="left" w:leader="none"/>
                      </w:tabs>
                      <w:spacing w:line="201" w:lineRule="auto" w:before="10"/>
                      <w:ind w:left="3331" w:right="263" w:hanging="406"/>
                      <w:jc w:val="left"/>
                      <w:rPr>
                        <w:sz w:val="21"/>
                      </w:rPr>
                    </w:pPr>
                    <w:r>
                      <w:rPr>
                        <w:w w:val="103"/>
                        <w:sz w:val="21"/>
                        <w:u w:val="single" w:color="CCFFCC"/>
                      </w:rPr>
                      <w:t> </w:t>
                    </w:r>
                    <w:r>
                      <w:rPr>
                        <w:sz w:val="21"/>
                        <w:u w:val="single" w:color="CCFFCC"/>
                      </w:rPr>
                      <w:tab/>
                    </w:r>
                    <w:r>
                      <w:rPr>
                        <w:spacing w:val="5"/>
                        <w:sz w:val="21"/>
                      </w:rPr>
                      <w:t> </w:t>
                    </w:r>
                    <w:r>
                      <w:rPr>
                        <w:spacing w:val="-4"/>
                        <w:w w:val="105"/>
                        <w:sz w:val="21"/>
                      </w:rPr>
                      <w:t>Societe Generale Credit</w:t>
                    </w:r>
                    <w:r>
                      <w:rPr>
                        <w:spacing w:val="-2"/>
                        <w:w w:val="105"/>
                        <w:sz w:val="21"/>
                      </w:rPr>
                      <w:t> </w:t>
                    </w:r>
                    <w:r>
                      <w:rPr>
                        <w:spacing w:val="-5"/>
                        <w:w w:val="105"/>
                        <w:sz w:val="21"/>
                      </w:rPr>
                      <w:t>Suisse</w:t>
                    </w:r>
                  </w:p>
                </w:txbxContent>
              </v:textbox>
              <w10:wrap type="none"/>
            </v:shape>
            <w10:wrap type="none"/>
          </v:group>
        </w:pict>
      </w:r>
      <w:r>
        <w:rPr>
          <w:b/>
          <w:sz w:val="24"/>
        </w:rPr>
        <w:t>countries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219"/>
        <w:ind w:left="774" w:right="0" w:firstLine="0"/>
        <w:jc w:val="left"/>
        <w:rPr>
          <w:sz w:val="16"/>
        </w:rPr>
      </w:pPr>
      <w:r>
        <w:rPr/>
        <w:pict>
          <v:shape style="position:absolute;margin-left:93.920135pt;margin-top:-9.669637pt;width:251.95pt;height:22.9pt;mso-position-horizontal-relative:page;mso-position-vertical-relative:paragraph;z-index:251685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753"/>
                    <w:gridCol w:w="1506"/>
                    <w:gridCol w:w="731"/>
                    <w:gridCol w:w="781"/>
                    <w:gridCol w:w="665"/>
                  </w:tblGrid>
                  <w:tr>
                    <w:trPr>
                      <w:trHeight w:val="228" w:hRule="atLeast"/>
                    </w:trPr>
                    <w:tc>
                      <w:tcPr>
                        <w:tcW w:w="598" w:type="dxa"/>
                      </w:tcPr>
                      <w:p>
                        <w:pPr>
                          <w:pStyle w:val="TableParagraph"/>
                          <w:ind w:left="50"/>
                          <w:rPr>
                            <w:sz w:val="21"/>
                          </w:rPr>
                        </w:pPr>
                        <w:r>
                          <w:rPr>
                            <w:w w:val="105"/>
                            <w:sz w:val="21"/>
                          </w:rPr>
                          <w:t>Feb.</w:t>
                        </w:r>
                      </w:p>
                    </w:tc>
                    <w:tc>
                      <w:tcPr>
                        <w:tcW w:w="753" w:type="dxa"/>
                      </w:tcPr>
                      <w:p>
                        <w:pPr>
                          <w:pStyle w:val="TableParagraph"/>
                          <w:ind w:left="175"/>
                          <w:rPr>
                            <w:sz w:val="21"/>
                          </w:rPr>
                        </w:pPr>
                        <w:r>
                          <w:rPr>
                            <w:w w:val="105"/>
                            <w:sz w:val="21"/>
                          </w:rPr>
                          <w:t>Apr.</w:t>
                        </w:r>
                      </w:p>
                    </w:tc>
                    <w:tc>
                      <w:tcPr>
                        <w:tcW w:w="1506" w:type="dxa"/>
                      </w:tcPr>
                      <w:p>
                        <w:pPr>
                          <w:pStyle w:val="TableParagraph"/>
                          <w:tabs>
                            <w:tab w:pos="914" w:val="left" w:leader="none"/>
                          </w:tabs>
                          <w:ind w:left="190"/>
                          <w:rPr>
                            <w:sz w:val="21"/>
                          </w:rPr>
                        </w:pPr>
                        <w:r>
                          <w:rPr>
                            <w:spacing w:val="-4"/>
                            <w:w w:val="105"/>
                            <w:sz w:val="21"/>
                          </w:rPr>
                          <w:t>Jun.</w:t>
                          <w:tab/>
                          <w:t>Aug.</w:t>
                        </w:r>
                      </w:p>
                    </w:tc>
                    <w:tc>
                      <w:tcPr>
                        <w:tcW w:w="731" w:type="dxa"/>
                      </w:tcPr>
                      <w:p>
                        <w:pPr>
                          <w:pStyle w:val="TableParagraph"/>
                          <w:ind w:left="176"/>
                          <w:rPr>
                            <w:sz w:val="21"/>
                          </w:rPr>
                        </w:pPr>
                        <w:r>
                          <w:rPr>
                            <w:w w:val="105"/>
                            <w:sz w:val="21"/>
                          </w:rPr>
                          <w:t>Oct.</w:t>
                        </w:r>
                      </w:p>
                    </w:tc>
                    <w:tc>
                      <w:tcPr>
                        <w:tcW w:w="781" w:type="dxa"/>
                      </w:tcPr>
                      <w:p>
                        <w:pPr>
                          <w:pStyle w:val="TableParagraph"/>
                          <w:ind w:left="184"/>
                          <w:rPr>
                            <w:sz w:val="21"/>
                          </w:rPr>
                        </w:pPr>
                        <w:r>
                          <w:rPr>
                            <w:w w:val="105"/>
                            <w:sz w:val="21"/>
                          </w:rPr>
                          <w:t>Dec.</w:t>
                        </w:r>
                      </w:p>
                    </w:tc>
                    <w:tc>
                      <w:tcPr>
                        <w:tcW w:w="665" w:type="dxa"/>
                      </w:tcPr>
                      <w:p>
                        <w:pPr>
                          <w:pStyle w:val="TableParagraph"/>
                          <w:ind w:right="105"/>
                          <w:jc w:val="right"/>
                          <w:rPr>
                            <w:sz w:val="21"/>
                          </w:rPr>
                        </w:pPr>
                        <w:r>
                          <w:rPr>
                            <w:sz w:val="21"/>
                          </w:rPr>
                          <w:t>Feb.</w:t>
                        </w:r>
                      </w:p>
                    </w:tc>
                  </w:tr>
                  <w:tr>
                    <w:trPr>
                      <w:trHeight w:val="228" w:hRule="atLeast"/>
                    </w:trPr>
                    <w:tc>
                      <w:tcPr>
                        <w:tcW w:w="598" w:type="dxa"/>
                      </w:tcPr>
                      <w:p>
                        <w:pPr>
                          <w:pStyle w:val="TableParagraph"/>
                          <w:spacing w:line="240" w:lineRule="auto"/>
                          <w:rPr>
                            <w:sz w:val="16"/>
                          </w:rPr>
                        </w:pPr>
                      </w:p>
                    </w:tc>
                    <w:tc>
                      <w:tcPr>
                        <w:tcW w:w="753" w:type="dxa"/>
                      </w:tcPr>
                      <w:p>
                        <w:pPr>
                          <w:pStyle w:val="TableParagraph"/>
                          <w:spacing w:line="240" w:lineRule="auto"/>
                          <w:rPr>
                            <w:sz w:val="16"/>
                          </w:rPr>
                        </w:pPr>
                      </w:p>
                    </w:tc>
                    <w:tc>
                      <w:tcPr>
                        <w:tcW w:w="1506" w:type="dxa"/>
                      </w:tcPr>
                      <w:p>
                        <w:pPr>
                          <w:pStyle w:val="TableParagraph"/>
                          <w:ind w:left="321"/>
                          <w:rPr>
                            <w:sz w:val="21"/>
                          </w:rPr>
                        </w:pPr>
                        <w:r>
                          <w:rPr>
                            <w:w w:val="105"/>
                            <w:sz w:val="21"/>
                          </w:rPr>
                          <w:t>2003</w:t>
                        </w:r>
                      </w:p>
                    </w:tc>
                    <w:tc>
                      <w:tcPr>
                        <w:tcW w:w="731" w:type="dxa"/>
                      </w:tcPr>
                      <w:p>
                        <w:pPr>
                          <w:pStyle w:val="TableParagraph"/>
                          <w:spacing w:line="240" w:lineRule="auto"/>
                          <w:rPr>
                            <w:sz w:val="16"/>
                          </w:rPr>
                        </w:pPr>
                      </w:p>
                    </w:tc>
                    <w:tc>
                      <w:tcPr>
                        <w:tcW w:w="781" w:type="dxa"/>
                      </w:tcPr>
                      <w:p>
                        <w:pPr>
                          <w:pStyle w:val="TableParagraph"/>
                          <w:spacing w:line="240" w:lineRule="auto"/>
                          <w:rPr>
                            <w:sz w:val="16"/>
                          </w:rPr>
                        </w:pPr>
                      </w:p>
                    </w:tc>
                    <w:tc>
                      <w:tcPr>
                        <w:tcW w:w="665" w:type="dxa"/>
                      </w:tcPr>
                      <w:p>
                        <w:pPr>
                          <w:pStyle w:val="TableParagraph"/>
                          <w:ind w:right="43"/>
                          <w:jc w:val="right"/>
                          <w:rPr>
                            <w:sz w:val="21"/>
                          </w:rPr>
                        </w:pPr>
                        <w:r>
                          <w:rPr>
                            <w:sz w:val="21"/>
                          </w:rPr>
                          <w:t>2004</w:t>
                        </w:r>
                      </w:p>
                    </w:tc>
                  </w:tr>
                </w:tbl>
                <w:p>
                  <w:pPr>
                    <w:pStyle w:val="BodyText"/>
                  </w:pPr>
                </w:p>
              </w:txbxContent>
            </v:textbox>
            <w10:wrap type="none"/>
          </v:shape>
        </w:pict>
      </w:r>
      <w:r>
        <w:rPr>
          <w:sz w:val="16"/>
        </w:rPr>
        <w:t>Source: Mark-it Partners and MorganMarkets.</w:t>
      </w:r>
    </w:p>
    <w:p>
      <w:pPr>
        <w:pStyle w:val="BodyText"/>
        <w:spacing w:before="7"/>
        <w:rPr>
          <w:sz w:val="14"/>
        </w:rPr>
      </w:pPr>
    </w:p>
    <w:p>
      <w:pPr>
        <w:pStyle w:val="Heading1"/>
      </w:pPr>
      <w:r>
        <w:rPr/>
        <w:pict>
          <v:shape style="position:absolute;margin-left:98.82pt;margin-top:24.104786pt;width:194.35pt;height:14.35pt;mso-position-horizontal-relative:page;mso-position-vertical-relative:paragraph;z-index:-252442624" type="#_x0000_t202" filled="false" stroked="false">
            <v:textbox inset="0,0,0,0">
              <w:txbxContent>
                <w:p>
                  <w:pPr>
                    <w:spacing w:line="286" w:lineRule="exact" w:before="0"/>
                    <w:ind w:left="0" w:right="0" w:firstLine="0"/>
                    <w:jc w:val="left"/>
                    <w:rPr>
                      <w:b/>
                      <w:sz w:val="26"/>
                    </w:rPr>
                  </w:pPr>
                  <w:r>
                    <w:rPr>
                      <w:b/>
                      <w:spacing w:val="-6"/>
                      <w:sz w:val="26"/>
                    </w:rPr>
                    <w:t>Cumulative </w:t>
                  </w:r>
                  <w:r>
                    <w:rPr>
                      <w:b/>
                      <w:spacing w:val="-4"/>
                      <w:sz w:val="26"/>
                    </w:rPr>
                    <w:t>corporate </w:t>
                  </w:r>
                  <w:r>
                    <w:rPr>
                      <w:b/>
                      <w:spacing w:val="-5"/>
                      <w:sz w:val="26"/>
                    </w:rPr>
                    <w:t>bond</w:t>
                  </w:r>
                  <w:r>
                    <w:rPr>
                      <w:b/>
                      <w:spacing w:val="-24"/>
                      <w:sz w:val="26"/>
                    </w:rPr>
                    <w:t> </w:t>
                  </w:r>
                  <w:r>
                    <w:rPr>
                      <w:b/>
                      <w:spacing w:val="-6"/>
                      <w:sz w:val="26"/>
                    </w:rPr>
                    <w:t>issuance</w:t>
                  </w:r>
                </w:p>
              </w:txbxContent>
            </v:textbox>
            <w10:wrap type="none"/>
          </v:shape>
        </w:pict>
      </w:r>
      <w:r>
        <w:rPr/>
        <w:pict>
          <v:shape style="position:absolute;margin-left:303.59967pt;margin-top:52.290279pt;width:48.45pt;height:10.35pt;mso-position-horizontal-relative:page;mso-position-vertical-relative:paragraph;z-index:-252441600" type="#_x0000_t202" filled="false" stroked="false">
            <v:textbox inset="0,0,0,0">
              <w:txbxContent>
                <w:p>
                  <w:pPr>
                    <w:spacing w:line="205" w:lineRule="exact" w:before="0"/>
                    <w:ind w:left="0" w:right="0" w:firstLine="0"/>
                    <w:jc w:val="left"/>
                    <w:rPr>
                      <w:sz w:val="18"/>
                    </w:rPr>
                  </w:pPr>
                  <w:r>
                    <w:rPr>
                      <w:w w:val="105"/>
                      <w:sz w:val="18"/>
                    </w:rPr>
                    <w:t>US$ billions</w:t>
                  </w:r>
                </w:p>
              </w:txbxContent>
            </v:textbox>
            <w10:wrap type="none"/>
          </v:shape>
        </w:pict>
      </w:r>
      <w:r>
        <w:rPr/>
        <w:t>Chart 8</w:t>
      </w:r>
    </w:p>
    <w:p>
      <w:pPr>
        <w:spacing w:line="201" w:lineRule="exact" w:before="99"/>
        <w:ind w:left="0" w:right="3459" w:firstLine="0"/>
        <w:jc w:val="right"/>
        <w:rPr>
          <w:sz w:val="21"/>
        </w:rPr>
      </w:pPr>
      <w:r>
        <w:rPr/>
        <w:br w:type="column"/>
      </w:r>
      <w:r>
        <w:rPr>
          <w:w w:val="105"/>
          <w:sz w:val="21"/>
        </w:rPr>
        <w:t>Basis points</w:t>
      </w:r>
    </w:p>
    <w:p>
      <w:pPr>
        <w:spacing w:line="201" w:lineRule="exact" w:before="0"/>
        <w:ind w:left="0" w:right="3362" w:firstLine="0"/>
        <w:jc w:val="right"/>
        <w:rPr>
          <w:sz w:val="21"/>
        </w:rPr>
      </w:pPr>
      <w:r>
        <w:rPr>
          <w:spacing w:val="-5"/>
          <w:sz w:val="21"/>
        </w:rPr>
        <w:t>200</w:t>
      </w:r>
    </w:p>
    <w:p>
      <w:pPr>
        <w:spacing w:before="33"/>
        <w:ind w:left="1454" w:right="0" w:firstLine="0"/>
        <w:jc w:val="left"/>
        <w:rPr>
          <w:sz w:val="21"/>
        </w:rPr>
      </w:pPr>
      <w:r>
        <w:rPr>
          <w:spacing w:val="-5"/>
          <w:w w:val="105"/>
          <w:sz w:val="21"/>
        </w:rPr>
        <w:t>180</w:t>
      </w:r>
    </w:p>
    <w:p>
      <w:pPr>
        <w:spacing w:before="48"/>
        <w:ind w:left="1454" w:right="0" w:firstLine="0"/>
        <w:jc w:val="left"/>
        <w:rPr>
          <w:sz w:val="21"/>
        </w:rPr>
      </w:pPr>
      <w:r>
        <w:rPr>
          <w:spacing w:val="-5"/>
          <w:w w:val="105"/>
          <w:sz w:val="21"/>
        </w:rPr>
        <w:t>160</w:t>
      </w:r>
    </w:p>
    <w:p>
      <w:pPr>
        <w:spacing w:before="34"/>
        <w:ind w:left="1454" w:right="0" w:firstLine="0"/>
        <w:jc w:val="left"/>
        <w:rPr>
          <w:sz w:val="21"/>
        </w:rPr>
      </w:pPr>
      <w:r>
        <w:rPr>
          <w:spacing w:val="-5"/>
          <w:w w:val="105"/>
          <w:sz w:val="21"/>
        </w:rPr>
        <w:t>140</w:t>
      </w:r>
    </w:p>
    <w:p>
      <w:pPr>
        <w:spacing w:before="47"/>
        <w:ind w:left="1454" w:right="0" w:firstLine="0"/>
        <w:jc w:val="left"/>
        <w:rPr>
          <w:sz w:val="21"/>
        </w:rPr>
      </w:pPr>
      <w:r>
        <w:rPr>
          <w:spacing w:val="-5"/>
          <w:w w:val="105"/>
          <w:sz w:val="21"/>
        </w:rPr>
        <w:t>120</w:t>
      </w:r>
    </w:p>
    <w:p>
      <w:pPr>
        <w:spacing w:before="34"/>
        <w:ind w:left="1454" w:right="0" w:firstLine="0"/>
        <w:jc w:val="left"/>
        <w:rPr>
          <w:sz w:val="21"/>
        </w:rPr>
      </w:pPr>
      <w:r>
        <w:rPr>
          <w:spacing w:val="-5"/>
          <w:w w:val="105"/>
          <w:sz w:val="21"/>
        </w:rPr>
        <w:t>100</w:t>
      </w:r>
    </w:p>
    <w:p>
      <w:pPr>
        <w:spacing w:before="33"/>
        <w:ind w:left="1454" w:right="0" w:firstLine="0"/>
        <w:jc w:val="left"/>
        <w:rPr>
          <w:sz w:val="21"/>
        </w:rPr>
      </w:pPr>
      <w:r>
        <w:rPr>
          <w:spacing w:val="-8"/>
          <w:w w:val="105"/>
          <w:sz w:val="21"/>
        </w:rPr>
        <w:t>80</w:t>
      </w:r>
    </w:p>
    <w:p>
      <w:pPr>
        <w:spacing w:before="48"/>
        <w:ind w:left="1454" w:right="0" w:firstLine="0"/>
        <w:jc w:val="left"/>
        <w:rPr>
          <w:sz w:val="21"/>
        </w:rPr>
      </w:pPr>
      <w:r>
        <w:rPr>
          <w:spacing w:val="-8"/>
          <w:w w:val="105"/>
          <w:sz w:val="21"/>
        </w:rPr>
        <w:t>60</w:t>
      </w:r>
    </w:p>
    <w:p>
      <w:pPr>
        <w:spacing w:before="33"/>
        <w:ind w:left="1454" w:right="0" w:firstLine="0"/>
        <w:jc w:val="left"/>
        <w:rPr>
          <w:sz w:val="21"/>
        </w:rPr>
      </w:pPr>
      <w:r>
        <w:rPr>
          <w:spacing w:val="-8"/>
          <w:w w:val="105"/>
          <w:sz w:val="21"/>
        </w:rPr>
        <w:t>40</w:t>
      </w:r>
    </w:p>
    <w:p>
      <w:pPr>
        <w:spacing w:before="49"/>
        <w:ind w:left="1454" w:right="0" w:firstLine="0"/>
        <w:jc w:val="left"/>
        <w:rPr>
          <w:sz w:val="21"/>
        </w:rPr>
      </w:pPr>
      <w:r>
        <w:rPr>
          <w:spacing w:val="-8"/>
          <w:w w:val="105"/>
          <w:sz w:val="21"/>
        </w:rPr>
        <w:t>20</w:t>
      </w:r>
    </w:p>
    <w:p>
      <w:pPr>
        <w:spacing w:before="33"/>
        <w:ind w:left="1454" w:right="0" w:firstLine="0"/>
        <w:jc w:val="left"/>
        <w:rPr>
          <w:sz w:val="21"/>
        </w:rPr>
      </w:pPr>
      <w:r>
        <w:rPr>
          <w:w w:val="103"/>
          <w:sz w:val="21"/>
        </w:rPr>
        <w:t>0</w:t>
      </w:r>
    </w:p>
    <w:p>
      <w:pPr>
        <w:spacing w:after="0"/>
        <w:jc w:val="left"/>
        <w:rPr>
          <w:sz w:val="21"/>
        </w:rPr>
        <w:sectPr>
          <w:type w:val="continuous"/>
          <w:pgSz w:w="11900" w:h="16840"/>
          <w:pgMar w:top="1180" w:bottom="280" w:left="1140" w:right="980"/>
          <w:cols w:num="2" w:equalWidth="0">
            <w:col w:w="3895" w:space="755"/>
            <w:col w:w="513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0"/>
        <w:ind w:left="826" w:right="0" w:firstLine="0"/>
        <w:jc w:val="left"/>
        <w:rPr>
          <w:sz w:val="20"/>
        </w:rPr>
      </w:pPr>
      <w:r>
        <w:rPr/>
        <w:pict>
          <v:group style="position:absolute;margin-left:91.860001pt;margin-top:-243.923767pt;width:282.9pt;height:245.6pt;mso-position-horizontal-relative:page;mso-position-vertical-relative:paragraph;z-index:251684864" coordorigin="1837,-4878" coordsize="5658,4912">
            <v:rect style="position:absolute;left:2006;top:-4475;width:5489;height:4508" filled="true" fillcolor="#ffffff" stroked="false">
              <v:fill type="solid"/>
            </v:rect>
            <v:shape style="position:absolute;left:2216;top:-3999;width:4922;height:3392" coordorigin="2216,-3999" coordsize="4922,3392" path="m7088,-3999l7088,-608,7138,-608m7088,-1020l7138,-1020m7088,-1445l7138,-1445m7088,-1880l7138,-1880m7088,-2303l7138,-2303m7088,-2727l7138,-2727m7088,-3141l7138,-3141m7088,-3585l7138,-3585m7088,-3999l7138,-3999m2216,-608l7088,-608m2216,-608l2216,-659m2624,-608l2624,-659m3023,-608l3023,-659m3432,-608l3432,-659m3840,-608l3840,-659m4238,-608l4238,-659m4657,-608l4657,-659m5065,-608l5065,-659m5474,-608l5474,-659m5873,-608l5873,-659m6281,-608l6281,-659m6690,-608l6690,-659m7088,-608l7088,-659e" filled="false" stroked="true" strokeweight=".06pt" strokecolor="#000000">
              <v:path arrowok="t"/>
              <v:stroke dashstyle="solid"/>
            </v:shape>
            <v:line style="position:absolute" from="2216,-608" to="2624,-772" stroked="true" strokeweight="2.057761pt" strokecolor="#010000">
              <v:stroke dashstyle="solid"/>
            </v:line>
            <v:shape style="position:absolute;left:2624;top:-3586;width:4066;height:2813" coordorigin="2624,-3585" coordsize="4066,2813" path="m2624,-772l3023,-980,3432,-1063,3840,-1207,4238,-1507,4657,-1735,5065,-2066,5474,-2324,5873,-2841,6281,-3368,6690,-3585e" filled="false" stroked="true" strokeweight="2.043789pt" strokecolor="#010000">
              <v:path arrowok="t"/>
              <v:stroke dashstyle="solid"/>
            </v:shape>
            <v:line style="position:absolute" from="6690,-3585" to="7088,-3751" stroked="true" strokeweight="2.057181pt" strokecolor="#010000">
              <v:stroke dashstyle="solid"/>
            </v:line>
            <v:line style="position:absolute" from="2216,-608" to="2624,-700" stroked="true" strokeweight="1.032331pt" strokecolor="#ff01ff">
              <v:stroke dashstyle="solid"/>
            </v:line>
            <v:shape style="position:absolute;left:2624;top:-2201;width:4066;height:1501" coordorigin="2624,-2200" coordsize="4066,1501" path="m2624,-700l3023,-804,3432,-1021,3840,-1311,4238,-1497,4657,-1632,5065,-1744,5474,-1766,5873,-1818,6281,-1983,6690,-2200e" filled="false" stroked="true" strokeweight="1.029635pt" strokecolor="#ff01ff">
              <v:path arrowok="t"/>
              <v:stroke dashstyle="solid"/>
            </v:shape>
            <v:line style="position:absolute" from="6690,-2200" to="7088,-2283" stroked="true" strokeweight="1.032612pt" strokecolor="#ff01ff">
              <v:stroke dashstyle="solid"/>
            </v:line>
            <v:line style="position:absolute" from="2216,-608" to="2624,-742" stroked="true" strokeweight="1.030467pt" strokecolor="#339a65">
              <v:stroke dashstyle="solid"/>
            </v:line>
            <v:shape style="position:absolute;left:2624;top:-1610;width:4066;height:868" coordorigin="2624,-1610" coordsize="4066,868" path="m2624,-742l3023,-835,3432,-907,3840,-1021,4238,-1155,4657,-1249,5065,-1341,5474,-1466,5873,-1528,6281,-1569,6690,-1610e" filled="false" stroked="true" strokeweight="1.03253pt" strokecolor="#339a65">
              <v:path arrowok="t"/>
              <v:stroke dashstyle="solid"/>
            </v:shape>
            <v:line style="position:absolute" from="6690,-1610" to="7088,-1827" stroked="true" strokeweight="1.025486pt" strokecolor="#339a65">
              <v:stroke dashstyle="solid"/>
            </v:line>
            <v:line style="position:absolute" from="2216,-608" to="2624,-721" stroked="true" strokeweight="1.031487pt" strokecolor="#01ffff">
              <v:stroke dashstyle="solid"/>
            </v:line>
            <v:shape style="position:absolute;left:2624;top:-1684;width:4066;height:963" coordorigin="2624,-1683" coordsize="4066,963" path="m2624,-721l3023,-825,3432,-1042,3840,-1114,4238,-1146,4657,-1280,5065,-1424,5474,-1497,5873,-1549,6281,-1610,6690,-1683e" filled="false" stroked="true" strokeweight="1.032169pt" strokecolor="#01ffff">
              <v:path arrowok="t"/>
              <v:stroke dashstyle="solid"/>
            </v:shape>
            <v:line style="position:absolute" from="6680,-1699" to="7099,-1699" stroked="true" strokeweight="2.593905pt" strokecolor="#01ffff">
              <v:stroke dashstyle="solid"/>
            </v:line>
            <v:line style="position:absolute" from="2206,-623" to="2635,-623" stroked="true" strokeweight="2.534834pt" strokecolor="#ff6801">
              <v:stroke dashstyle="solid"/>
            </v:line>
            <v:shape style="position:absolute;left:2624;top:-1466;width:4066;height:829" coordorigin="2624,-1466" coordsize="4066,829" path="m2624,-638l3023,-660,3432,-752,3840,-855,4238,-928,4657,-1155,5065,-1258,5474,-1280,5873,-1341,6281,-1383,6690,-1466e" filled="false" stroked="true" strokeweight="1.032672pt" strokecolor="#ff6801">
              <v:path arrowok="t"/>
              <v:stroke dashstyle="solid"/>
            </v:shape>
            <v:line style="position:absolute" from="6690,-1466" to="7088,-1580" stroked="true" strokeweight="1.031311pt" strokecolor="#ff6801">
              <v:stroke dashstyle="solid"/>
            </v:line>
            <v:line style="position:absolute" from="2216,-608" to="2624,-691" stroked="true" strokeweight="1.032681pt" strokecolor="#cc9aff">
              <v:stroke dashstyle="solid"/>
            </v:line>
            <v:shape style="position:absolute;left:2624;top:-1549;width:4066;height:859" coordorigin="2624,-1549" coordsize="4066,859" path="m2624,-691l3023,-742,3432,-980,3840,-1258,4238,-1394,4657,-1466,5065,-1497,5474,-1507,6281,-1507,6690,-1549e" filled="false" stroked="true" strokeweight="1.032565pt" strokecolor="#cc9aff">
              <v:path arrowok="t"/>
              <v:stroke dashstyle="solid"/>
            </v:shape>
            <v:line style="position:absolute" from="6690,-1549" to="7088,-1569" stroked="true" strokeweight="1.034084pt" strokecolor="#cc9aff">
              <v:stroke dashstyle="solid"/>
            </v:line>
            <v:line style="position:absolute" from="2216,-608" to="2624,-855" stroked="true" strokeweight="1.023988pt" strokecolor="#afffba">
              <v:stroke dashstyle="solid"/>
            </v:line>
            <v:shape style="position:absolute;left:2624;top:-3451;width:4066;height:2596" coordorigin="2624,-3451" coordsize="4066,2596" path="m2624,-855l3023,-980,3432,-1072,3840,-1249,4238,-1569,4657,-2118,5065,-2696,5474,-2841,5873,-3130,6281,-3451,6690,-3451e" filled="false" stroked="true" strokeweight="1.023191pt" strokecolor="#afffba">
              <v:path arrowok="t"/>
              <v:stroke dashstyle="solid"/>
            </v:shape>
            <v:line style="position:absolute" from="6690,-3451" to="7088,-3462" stroked="true" strokeweight="1.034156pt" strokecolor="#afffba">
              <v:stroke dashstyle="solid"/>
            </v:line>
            <v:rect style="position:absolute;left:2834;top:-4071;width:2091;height:981" filled="true" fillcolor="#ffffff" stroked="false">
              <v:fill type="solid"/>
            </v:rect>
            <v:line style="position:absolute" from="2923,-3937" to="3342,-3937" stroked="true" strokeweight="2.068367pt" strokecolor="#010000">
              <v:stroke dashstyle="solid"/>
            </v:line>
            <v:line style="position:absolute" from="3979,-3937" to="4398,-3937" stroked="true" strokeweight="1.034184pt" strokecolor="#ff01ff">
              <v:stroke dashstyle="solid"/>
            </v:line>
            <v:line style="position:absolute" from="2923,-3699" to="3342,-3699" stroked="true" strokeweight="1.034184pt" strokecolor="#339a65">
              <v:stroke dashstyle="solid"/>
            </v:line>
            <v:line style="position:absolute" from="3979,-3699" to="4398,-3699" stroked="true" strokeweight="1.034184pt" strokecolor="#01ffff">
              <v:stroke dashstyle="solid"/>
            </v:line>
            <v:line style="position:absolute" from="2923,-3244" to="3342,-3244" stroked="true" strokeweight="1.034184pt" strokecolor="#afffba">
              <v:stroke dashstyle="solid"/>
            </v:line>
            <v:shape style="position:absolute;left:1837;top:-4879;width:5261;height:838" coordorigin="1837,-4878" coordsize="5261,838" path="m7098,-4361l7038,-4361,7038,-4878,1837,-4878,1837,-4185,5933,-4185,5933,-4041,7098,-4041,7098,-4361e" filled="true" fillcolor="#ffffff" stroked="false">
              <v:path arrowok="t"/>
              <v:fill type="solid"/>
            </v:shape>
            <v:shape style="position:absolute;left:1936;top:-4791;width:4651;height:275" type="#_x0000_t202" filled="false" stroked="false">
              <v:textbox inset="0,0,0,0">
                <w:txbxContent>
                  <w:p>
                    <w:pPr>
                      <w:spacing w:line="275" w:lineRule="exact" w:before="0"/>
                      <w:ind w:left="0" w:right="0" w:firstLine="0"/>
                      <w:jc w:val="left"/>
                      <w:rPr>
                        <w:b/>
                        <w:sz w:val="25"/>
                      </w:rPr>
                    </w:pPr>
                    <w:r>
                      <w:rPr>
                        <w:b/>
                        <w:spacing w:val="-7"/>
                        <w:sz w:val="25"/>
                      </w:rPr>
                      <w:t>Cumulative </w:t>
                    </w:r>
                    <w:r>
                      <w:rPr>
                        <w:b/>
                        <w:spacing w:val="-5"/>
                        <w:sz w:val="25"/>
                      </w:rPr>
                      <w:t>emerging </w:t>
                    </w:r>
                    <w:r>
                      <w:rPr>
                        <w:b/>
                        <w:spacing w:val="-6"/>
                        <w:sz w:val="25"/>
                      </w:rPr>
                      <w:t>market </w:t>
                    </w:r>
                    <w:r>
                      <w:rPr>
                        <w:b/>
                        <w:spacing w:val="-4"/>
                        <w:sz w:val="25"/>
                      </w:rPr>
                      <w:t>corporate </w:t>
                    </w:r>
                    <w:r>
                      <w:rPr>
                        <w:b/>
                        <w:spacing w:val="-6"/>
                        <w:sz w:val="25"/>
                      </w:rPr>
                      <w:t>bond</w:t>
                    </w:r>
                  </w:p>
                </w:txbxContent>
              </v:textbox>
              <w10:wrap type="none"/>
            </v:shape>
            <v:shape style="position:absolute;left:1936;top:-4480;width:869;height:275" type="#_x0000_t202" filled="false" stroked="false">
              <v:textbox inset="0,0,0,0">
                <w:txbxContent>
                  <w:p>
                    <w:pPr>
                      <w:spacing w:line="275" w:lineRule="exact" w:before="0"/>
                      <w:ind w:left="0" w:right="0" w:firstLine="0"/>
                      <w:jc w:val="left"/>
                      <w:rPr>
                        <w:b/>
                        <w:sz w:val="25"/>
                      </w:rPr>
                    </w:pPr>
                    <w:r>
                      <w:rPr>
                        <w:b/>
                        <w:spacing w:val="-5"/>
                        <w:sz w:val="25"/>
                      </w:rPr>
                      <w:t>issuance</w:t>
                    </w:r>
                  </w:p>
                </w:txbxContent>
              </v:textbox>
              <w10:wrap type="none"/>
            </v:shape>
            <v:shape style="position:absolute;left:6340;top:-4340;width:752;height:184" type="#_x0000_t202" filled="false" stroked="false">
              <v:textbox inset="0,0,0,0">
                <w:txbxContent>
                  <w:p>
                    <w:pPr>
                      <w:spacing w:line="182" w:lineRule="exact" w:before="0"/>
                      <w:ind w:left="0" w:right="0" w:firstLine="0"/>
                      <w:jc w:val="left"/>
                      <w:rPr>
                        <w:sz w:val="16"/>
                      </w:rPr>
                    </w:pPr>
                    <w:r>
                      <w:rPr>
                        <w:spacing w:val="-5"/>
                        <w:w w:val="105"/>
                        <w:sz w:val="16"/>
                      </w:rPr>
                      <w:t>US$</w:t>
                    </w:r>
                    <w:r>
                      <w:rPr>
                        <w:spacing w:val="-11"/>
                        <w:w w:val="105"/>
                        <w:sz w:val="16"/>
                      </w:rPr>
                      <w:t> billions</w:t>
                    </w:r>
                  </w:p>
                </w:txbxContent>
              </v:textbox>
              <w10:wrap type="none"/>
            </v:shape>
            <v:shape style="position:absolute;left:2923;top:-4050;width:1973;height:889" type="#_x0000_t202" filled="false" stroked="false">
              <v:textbox inset="0,0,0,0">
                <w:txbxContent>
                  <w:p>
                    <w:pPr>
                      <w:tabs>
                        <w:tab w:pos="1057" w:val="left" w:leader="none"/>
                      </w:tabs>
                      <w:spacing w:line="205" w:lineRule="exact" w:before="0"/>
                      <w:ind w:left="0" w:right="18" w:firstLine="0"/>
                      <w:jc w:val="right"/>
                      <w:rPr>
                        <w:sz w:val="18"/>
                      </w:rPr>
                    </w:pPr>
                    <w:r>
                      <w:rPr>
                        <w:spacing w:val="9"/>
                        <w:w w:val="105"/>
                        <w:sz w:val="18"/>
                      </w:rPr>
                      <w:t>2003</w:t>
                      <w:tab/>
                    </w:r>
                    <w:r>
                      <w:rPr>
                        <w:spacing w:val="9"/>
                        <w:sz w:val="18"/>
                      </w:rPr>
                      <w:t>2002</w:t>
                    </w:r>
                    <w:r>
                      <w:rPr>
                        <w:spacing w:val="-29"/>
                        <w:sz w:val="18"/>
                      </w:rPr>
                      <w:t> </w:t>
                    </w:r>
                  </w:p>
                  <w:p>
                    <w:pPr>
                      <w:tabs>
                        <w:tab w:pos="418" w:val="left" w:leader="none"/>
                        <w:tab w:pos="1474" w:val="left" w:leader="none"/>
                      </w:tabs>
                      <w:spacing w:before="30"/>
                      <w:ind w:left="0" w:right="18" w:firstLine="0"/>
                      <w:jc w:val="right"/>
                      <w:rPr>
                        <w:sz w:val="18"/>
                      </w:rPr>
                    </w:pPr>
                    <w:r>
                      <w:rPr>
                        <w:w w:val="103"/>
                        <w:sz w:val="18"/>
                        <w:u w:val="thick" w:color="FF6801"/>
                      </w:rPr>
                      <w:t> </w:t>
                    </w:r>
                    <w:r>
                      <w:rPr>
                        <w:sz w:val="18"/>
                        <w:u w:val="thick" w:color="FF6801"/>
                      </w:rPr>
                      <w:tab/>
                    </w:r>
                    <w:r>
                      <w:rPr>
                        <w:spacing w:val="4"/>
                        <w:sz w:val="18"/>
                      </w:rPr>
                      <w:t> </w:t>
                    </w:r>
                    <w:r>
                      <w:rPr>
                        <w:spacing w:val="9"/>
                        <w:w w:val="105"/>
                        <w:sz w:val="18"/>
                      </w:rPr>
                      <w:t>2001</w:t>
                    </w:r>
                    <w:r>
                      <w:rPr>
                        <w:spacing w:val="9"/>
                        <w:w w:val="105"/>
                        <w:sz w:val="18"/>
                        <w:u w:val="thick" w:color="CC9AFF"/>
                      </w:rPr>
                      <w:t> </w:t>
                      <w:tab/>
                    </w:r>
                    <w:r>
                      <w:rPr>
                        <w:spacing w:val="9"/>
                        <w:sz w:val="18"/>
                      </w:rPr>
                      <w:t>2000</w:t>
                    </w:r>
                    <w:r>
                      <w:rPr>
                        <w:spacing w:val="-29"/>
                        <w:sz w:val="18"/>
                      </w:rPr>
                      <w:t> </w:t>
                    </w:r>
                  </w:p>
                  <w:p>
                    <w:pPr>
                      <w:tabs>
                        <w:tab w:pos="1057" w:val="left" w:leader="none"/>
                      </w:tabs>
                      <w:spacing w:before="11"/>
                      <w:ind w:left="0" w:right="18" w:firstLine="0"/>
                      <w:jc w:val="right"/>
                      <w:rPr>
                        <w:sz w:val="18"/>
                      </w:rPr>
                    </w:pPr>
                    <w:r>
                      <w:rPr>
                        <w:spacing w:val="9"/>
                        <w:w w:val="105"/>
                        <w:sz w:val="18"/>
                      </w:rPr>
                      <w:t>1999</w:t>
                      <w:tab/>
                    </w:r>
                    <w:r>
                      <w:rPr>
                        <w:spacing w:val="9"/>
                        <w:sz w:val="18"/>
                      </w:rPr>
                      <w:t>1998</w:t>
                    </w:r>
                    <w:r>
                      <w:rPr>
                        <w:spacing w:val="-29"/>
                        <w:sz w:val="18"/>
                      </w:rPr>
                      <w:t> </w:t>
                    </w:r>
                  </w:p>
                  <w:p>
                    <w:pPr>
                      <w:spacing w:before="21"/>
                      <w:ind w:left="467" w:right="0" w:firstLine="0"/>
                      <w:jc w:val="left"/>
                      <w:rPr>
                        <w:sz w:val="18"/>
                      </w:rPr>
                    </w:pPr>
                    <w:r>
                      <w:rPr>
                        <w:w w:val="105"/>
                        <w:sz w:val="18"/>
                      </w:rPr>
                      <w:t>1997</w:t>
                    </w:r>
                  </w:p>
                </w:txbxContent>
              </v:textbox>
              <w10:wrap type="none"/>
            </v:shape>
            <v:shape style="position:absolute;left:7227;top:-4122;width:239;height:1065" type="#_x0000_t202" filled="false" stroked="false">
              <v:textbox inset="0,0,0,0">
                <w:txbxContent>
                  <w:p>
                    <w:pPr>
                      <w:spacing w:line="205" w:lineRule="exact" w:before="0"/>
                      <w:ind w:left="0" w:right="0" w:firstLine="0"/>
                      <w:jc w:val="left"/>
                      <w:rPr>
                        <w:sz w:val="18"/>
                      </w:rPr>
                    </w:pPr>
                    <w:r>
                      <w:rPr>
                        <w:spacing w:val="8"/>
                        <w:w w:val="105"/>
                        <w:sz w:val="18"/>
                      </w:rPr>
                      <w:t>40</w:t>
                    </w:r>
                    <w:r>
                      <w:rPr>
                        <w:spacing w:val="-29"/>
                        <w:sz w:val="18"/>
                      </w:rPr>
                      <w:t> </w:t>
                    </w:r>
                  </w:p>
                  <w:p>
                    <w:pPr>
                      <w:spacing w:line="240" w:lineRule="auto" w:before="9"/>
                      <w:rPr>
                        <w:sz w:val="18"/>
                      </w:rPr>
                    </w:pPr>
                  </w:p>
                  <w:p>
                    <w:pPr>
                      <w:spacing w:before="0"/>
                      <w:ind w:left="0" w:right="0" w:firstLine="0"/>
                      <w:jc w:val="left"/>
                      <w:rPr>
                        <w:sz w:val="18"/>
                      </w:rPr>
                    </w:pPr>
                    <w:r>
                      <w:rPr>
                        <w:spacing w:val="8"/>
                        <w:w w:val="105"/>
                        <w:sz w:val="18"/>
                      </w:rPr>
                      <w:t>35</w:t>
                    </w:r>
                    <w:r>
                      <w:rPr>
                        <w:spacing w:val="-29"/>
                        <w:sz w:val="18"/>
                      </w:rPr>
                      <w:t> </w:t>
                    </w:r>
                  </w:p>
                  <w:p>
                    <w:pPr>
                      <w:spacing w:line="240" w:lineRule="auto" w:before="9"/>
                      <w:rPr>
                        <w:sz w:val="19"/>
                      </w:rPr>
                    </w:pPr>
                  </w:p>
                  <w:p>
                    <w:pPr>
                      <w:spacing w:before="0"/>
                      <w:ind w:left="0" w:right="0" w:firstLine="0"/>
                      <w:jc w:val="left"/>
                      <w:rPr>
                        <w:sz w:val="18"/>
                      </w:rPr>
                    </w:pPr>
                    <w:r>
                      <w:rPr>
                        <w:spacing w:val="8"/>
                        <w:w w:val="105"/>
                        <w:sz w:val="18"/>
                      </w:rPr>
                      <w:t>30</w:t>
                    </w:r>
                    <w:r>
                      <w:rPr>
                        <w:spacing w:val="-29"/>
                        <w:sz w:val="18"/>
                      </w:rPr>
                      <w:t> </w:t>
                    </w:r>
                  </w:p>
                </w:txbxContent>
              </v:textbox>
              <w10:wrap type="none"/>
            </v:shape>
            <v:shape style="position:absolute;left:2494;top:-2840;width:4972;height:2596" type="#_x0000_t202" filled="false" stroked="false">
              <v:textbox inset="0,0,0,0">
                <w:txbxContent>
                  <w:p>
                    <w:pPr>
                      <w:spacing w:line="205" w:lineRule="exact" w:before="0"/>
                      <w:ind w:left="4732" w:right="0" w:firstLine="0"/>
                      <w:jc w:val="left"/>
                      <w:rPr>
                        <w:sz w:val="18"/>
                      </w:rPr>
                    </w:pPr>
                    <w:r>
                      <w:rPr>
                        <w:spacing w:val="8"/>
                        <w:w w:val="105"/>
                        <w:sz w:val="18"/>
                      </w:rPr>
                      <w:t>25</w:t>
                    </w:r>
                    <w:r>
                      <w:rPr>
                        <w:spacing w:val="-29"/>
                        <w:sz w:val="18"/>
                      </w:rPr>
                      <w:t> </w:t>
                    </w:r>
                  </w:p>
                  <w:p>
                    <w:pPr>
                      <w:spacing w:line="240" w:lineRule="auto" w:before="9"/>
                      <w:rPr>
                        <w:sz w:val="18"/>
                      </w:rPr>
                    </w:pPr>
                  </w:p>
                  <w:p>
                    <w:pPr>
                      <w:spacing w:before="0"/>
                      <w:ind w:left="4732" w:right="0" w:firstLine="0"/>
                      <w:jc w:val="left"/>
                      <w:rPr>
                        <w:sz w:val="18"/>
                      </w:rPr>
                    </w:pPr>
                    <w:r>
                      <w:rPr>
                        <w:spacing w:val="8"/>
                        <w:w w:val="105"/>
                        <w:sz w:val="18"/>
                      </w:rPr>
                      <w:t>20</w:t>
                    </w:r>
                    <w:r>
                      <w:rPr>
                        <w:spacing w:val="-29"/>
                        <w:sz w:val="18"/>
                      </w:rPr>
                      <w:t> </w:t>
                    </w:r>
                  </w:p>
                  <w:p>
                    <w:pPr>
                      <w:spacing w:line="240" w:lineRule="auto" w:before="0"/>
                      <w:rPr>
                        <w:sz w:val="18"/>
                      </w:rPr>
                    </w:pPr>
                  </w:p>
                  <w:p>
                    <w:pPr>
                      <w:spacing w:before="0"/>
                      <w:ind w:left="4732" w:right="0" w:firstLine="0"/>
                      <w:jc w:val="left"/>
                      <w:rPr>
                        <w:sz w:val="18"/>
                      </w:rPr>
                    </w:pPr>
                    <w:r>
                      <w:rPr>
                        <w:spacing w:val="8"/>
                        <w:w w:val="105"/>
                        <w:sz w:val="18"/>
                      </w:rPr>
                      <w:t>15</w:t>
                    </w:r>
                    <w:r>
                      <w:rPr>
                        <w:spacing w:val="-29"/>
                        <w:sz w:val="18"/>
                      </w:rPr>
                      <w:t> </w:t>
                    </w:r>
                  </w:p>
                  <w:p>
                    <w:pPr>
                      <w:spacing w:line="240" w:lineRule="auto" w:before="9"/>
                      <w:rPr>
                        <w:sz w:val="19"/>
                      </w:rPr>
                    </w:pPr>
                  </w:p>
                  <w:p>
                    <w:pPr>
                      <w:spacing w:before="0"/>
                      <w:ind w:left="4732" w:right="0" w:firstLine="0"/>
                      <w:jc w:val="left"/>
                      <w:rPr>
                        <w:sz w:val="18"/>
                      </w:rPr>
                    </w:pPr>
                    <w:r>
                      <w:rPr>
                        <w:spacing w:val="8"/>
                        <w:w w:val="105"/>
                        <w:sz w:val="18"/>
                      </w:rPr>
                      <w:t>10</w:t>
                    </w:r>
                    <w:r>
                      <w:rPr>
                        <w:spacing w:val="-29"/>
                        <w:sz w:val="18"/>
                      </w:rPr>
                      <w:t> </w:t>
                    </w:r>
                  </w:p>
                  <w:p>
                    <w:pPr>
                      <w:spacing w:line="240" w:lineRule="auto" w:before="10"/>
                      <w:rPr>
                        <w:sz w:val="18"/>
                      </w:rPr>
                    </w:pPr>
                  </w:p>
                  <w:p>
                    <w:pPr>
                      <w:spacing w:before="0"/>
                      <w:ind w:left="4732" w:right="0" w:firstLine="0"/>
                      <w:jc w:val="left"/>
                      <w:rPr>
                        <w:sz w:val="18"/>
                      </w:rPr>
                    </w:pPr>
                    <w:r>
                      <w:rPr>
                        <w:w w:val="103"/>
                        <w:sz w:val="18"/>
                      </w:rPr>
                      <w:t>5</w:t>
                    </w:r>
                  </w:p>
                  <w:p>
                    <w:pPr>
                      <w:spacing w:line="240" w:lineRule="auto" w:before="11"/>
                      <w:rPr>
                        <w:sz w:val="18"/>
                      </w:rPr>
                    </w:pPr>
                  </w:p>
                  <w:p>
                    <w:pPr>
                      <w:spacing w:before="0"/>
                      <w:ind w:left="4732" w:right="0" w:firstLine="0"/>
                      <w:jc w:val="left"/>
                      <w:rPr>
                        <w:sz w:val="18"/>
                      </w:rPr>
                    </w:pPr>
                    <w:r>
                      <w:rPr>
                        <w:w w:val="103"/>
                        <w:sz w:val="18"/>
                      </w:rPr>
                      <w:t>0</w:t>
                    </w:r>
                  </w:p>
                  <w:p>
                    <w:pPr>
                      <w:spacing w:before="62"/>
                      <w:ind w:left="0" w:right="0" w:firstLine="0"/>
                      <w:jc w:val="left"/>
                      <w:rPr>
                        <w:sz w:val="18"/>
                      </w:rPr>
                    </w:pPr>
                    <w:r>
                      <w:rPr>
                        <w:w w:val="105"/>
                        <w:sz w:val="18"/>
                      </w:rPr>
                      <w:t>Jan Feb Mar Apr May Jun Jul Aug Sep Oct Nov Dec</w:t>
                    </w:r>
                  </w:p>
                </w:txbxContent>
              </v:textbox>
              <w10:wrap type="none"/>
            </v:shape>
            <w10:wrap type="none"/>
          </v:group>
        </w:pict>
      </w:r>
      <w:r>
        <w:rPr>
          <w:w w:val="105"/>
          <w:sz w:val="20"/>
        </w:rPr>
        <w:t>Source: Dealogic bondware</w:t>
      </w:r>
    </w:p>
    <w:p>
      <w:pPr>
        <w:spacing w:after="0"/>
        <w:jc w:val="left"/>
        <w:rPr>
          <w:sz w:val="20"/>
        </w:rPr>
        <w:sectPr>
          <w:type w:val="continuous"/>
          <w:pgSz w:w="11900" w:h="16840"/>
          <w:pgMar w:top="1180" w:bottom="280" w:left="1140" w:right="980"/>
        </w:sectPr>
      </w:pPr>
    </w:p>
    <w:p>
      <w:pPr>
        <w:pStyle w:val="Heading1"/>
        <w:spacing w:before="82"/>
      </w:pPr>
      <w:r>
        <w:rPr/>
        <w:t>Chart 9</w:t>
      </w:r>
    </w:p>
    <w:p>
      <w:pPr>
        <w:pStyle w:val="BodyText"/>
        <w:spacing w:before="1"/>
        <w:rPr>
          <w:b/>
          <w:sz w:val="16"/>
        </w:rPr>
      </w:pPr>
    </w:p>
    <w:p>
      <w:pPr>
        <w:spacing w:after="0"/>
        <w:rPr>
          <w:sz w:val="16"/>
        </w:rPr>
        <w:sectPr>
          <w:pgSz w:w="11900" w:h="16840"/>
          <w:pgMar w:header="717" w:footer="0" w:top="1340" w:bottom="280" w:left="1140" w:right="980"/>
        </w:sectPr>
      </w:pPr>
    </w:p>
    <w:p>
      <w:pPr>
        <w:spacing w:line="268" w:lineRule="auto" w:before="89"/>
        <w:ind w:left="783" w:right="68" w:firstLine="0"/>
        <w:jc w:val="left"/>
        <w:rPr>
          <w:b/>
          <w:sz w:val="24"/>
        </w:rPr>
      </w:pPr>
      <w:r>
        <w:rPr/>
        <w:pict>
          <v:group style="position:absolute;margin-left:115.157997pt;margin-top:27.863415pt;width:230.4pt;height:157.2pt;mso-position-horizontal-relative:page;mso-position-vertical-relative:paragraph;z-index:-252430336" coordorigin="2303,557" coordsize="4608,3144">
            <v:shape style="position:absolute;left:2317;top:557;width:4594;height:3143" coordorigin="2317,558" coordsize="4594,3143" path="m6840,558l6840,3631m6840,3631l6911,3631m6840,3321l6911,3321m6840,3013l6911,3013m6840,2705l6911,2705m6840,2396l6911,2396m6840,2087l6911,2087m6840,1793l6911,1793m6840,1484l6911,1484m6840,1175l6911,1175m6840,866l6911,866m6840,558l6911,558m2317,3631l6840,3631m2317,3701l2317,3631m3455,3701l3455,3631m4579,3701l4579,3631m5717,3701l5717,3631m6840,3701l6840,3631e" filled="false" stroked="true" strokeweight=".06pt" strokecolor="#000000">
              <v:path arrowok="t"/>
              <v:stroke dashstyle="solid"/>
            </v:shape>
            <v:shape style="position:absolute;left:2303;top:795;width:4551;height:2204" type="#_x0000_t75" stroked="false">
              <v:imagedata r:id="rId9" o:title=""/>
            </v:shape>
            <w10:wrap type="none"/>
          </v:group>
        </w:pict>
      </w:r>
      <w:r>
        <w:rPr>
          <w:b/>
          <w:sz w:val="24"/>
        </w:rPr>
        <w:t>Implied volatility of 3 month into 5 year swaptions</w:t>
      </w:r>
    </w:p>
    <w:p>
      <w:pPr>
        <w:spacing w:line="219" w:lineRule="exact" w:before="122"/>
        <w:ind w:left="3424" w:right="0" w:firstLine="0"/>
        <w:jc w:val="left"/>
        <w:rPr>
          <w:sz w:val="21"/>
        </w:rPr>
      </w:pPr>
      <w:r>
        <w:rPr>
          <w:color w:val="000080"/>
          <w:sz w:val="21"/>
        </w:rPr>
        <w:t>UK</w:t>
      </w:r>
    </w:p>
    <w:p>
      <w:pPr>
        <w:spacing w:line="219" w:lineRule="exact" w:before="0"/>
        <w:ind w:left="4168" w:right="0" w:firstLine="0"/>
        <w:jc w:val="left"/>
        <w:rPr>
          <w:sz w:val="21"/>
        </w:rPr>
      </w:pPr>
      <w:r>
        <w:rPr>
          <w:color w:val="FF00FF"/>
          <w:sz w:val="21"/>
        </w:rPr>
        <w:t>US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0"/>
        </w:rPr>
      </w:pPr>
    </w:p>
    <w:p>
      <w:pPr>
        <w:spacing w:before="0"/>
        <w:ind w:left="0" w:right="1337" w:firstLine="0"/>
        <w:jc w:val="right"/>
        <w:rPr>
          <w:sz w:val="21"/>
        </w:rPr>
      </w:pPr>
      <w:r>
        <w:rPr>
          <w:color w:val="008000"/>
          <w:sz w:val="21"/>
        </w:rPr>
        <w:t>EU</w:t>
      </w:r>
    </w:p>
    <w:p>
      <w:pPr>
        <w:pStyle w:val="BodyText"/>
        <w:rPr>
          <w:sz w:val="22"/>
        </w:rPr>
      </w:pPr>
    </w:p>
    <w:p>
      <w:pPr>
        <w:pStyle w:val="BodyText"/>
        <w:rPr>
          <w:sz w:val="22"/>
        </w:rPr>
      </w:pPr>
    </w:p>
    <w:p>
      <w:pPr>
        <w:pStyle w:val="BodyText"/>
        <w:rPr>
          <w:sz w:val="29"/>
        </w:rPr>
      </w:pPr>
    </w:p>
    <w:p>
      <w:pPr>
        <w:tabs>
          <w:tab w:pos="2033" w:val="left" w:leader="none"/>
          <w:tab w:pos="3157" w:val="left" w:leader="none"/>
          <w:tab w:pos="4295" w:val="left" w:leader="none"/>
        </w:tabs>
        <w:spacing w:before="0"/>
        <w:ind w:left="896" w:right="0" w:firstLine="0"/>
        <w:jc w:val="left"/>
        <w:rPr>
          <w:sz w:val="21"/>
        </w:rPr>
      </w:pPr>
      <w:r>
        <w:rPr>
          <w:sz w:val="21"/>
        </w:rPr>
        <w:t>Feb</w:t>
      </w:r>
      <w:r>
        <w:rPr>
          <w:spacing w:val="-5"/>
          <w:sz w:val="21"/>
        </w:rPr>
        <w:t> </w:t>
      </w:r>
      <w:r>
        <w:rPr>
          <w:spacing w:val="-4"/>
          <w:sz w:val="21"/>
        </w:rPr>
        <w:t>96</w:t>
        <w:tab/>
      </w:r>
      <w:r>
        <w:rPr>
          <w:sz w:val="21"/>
        </w:rPr>
        <w:t>Feb</w:t>
      </w:r>
      <w:r>
        <w:rPr>
          <w:spacing w:val="-4"/>
          <w:sz w:val="21"/>
        </w:rPr>
        <w:t> 98</w:t>
        <w:tab/>
      </w:r>
      <w:r>
        <w:rPr>
          <w:sz w:val="21"/>
        </w:rPr>
        <w:t>Feb</w:t>
      </w:r>
      <w:r>
        <w:rPr>
          <w:spacing w:val="-3"/>
          <w:sz w:val="21"/>
        </w:rPr>
        <w:t> </w:t>
      </w:r>
      <w:r>
        <w:rPr>
          <w:spacing w:val="-4"/>
          <w:sz w:val="21"/>
        </w:rPr>
        <w:t>00</w:t>
        <w:tab/>
      </w:r>
      <w:r>
        <w:rPr>
          <w:sz w:val="21"/>
        </w:rPr>
        <w:t>Feb</w:t>
      </w:r>
      <w:r>
        <w:rPr>
          <w:spacing w:val="-1"/>
          <w:sz w:val="21"/>
        </w:rPr>
        <w:t> </w:t>
      </w:r>
      <w:r>
        <w:rPr>
          <w:spacing w:val="-17"/>
          <w:sz w:val="21"/>
        </w:rPr>
        <w:t>02</w:t>
      </w:r>
    </w:p>
    <w:p>
      <w:pPr>
        <w:pStyle w:val="BodyText"/>
        <w:spacing w:before="6"/>
        <w:rPr>
          <w:sz w:val="16"/>
        </w:rPr>
      </w:pPr>
      <w:r>
        <w:rPr/>
        <w:br w:type="column"/>
      </w:r>
      <w:r>
        <w:rPr>
          <w:sz w:val="16"/>
        </w:rPr>
      </w:r>
    </w:p>
    <w:p>
      <w:pPr>
        <w:spacing w:before="1"/>
        <w:ind w:left="732" w:right="0" w:firstLine="0"/>
        <w:jc w:val="left"/>
        <w:rPr>
          <w:sz w:val="15"/>
        </w:rPr>
      </w:pPr>
      <w:r>
        <w:rPr>
          <w:w w:val="105"/>
          <w:sz w:val="15"/>
        </w:rPr>
        <w:t>bp</w:t>
      </w:r>
    </w:p>
    <w:p>
      <w:pPr>
        <w:spacing w:before="72"/>
        <w:ind w:left="971" w:right="0" w:firstLine="0"/>
        <w:jc w:val="left"/>
        <w:rPr>
          <w:sz w:val="21"/>
        </w:rPr>
      </w:pPr>
      <w:r>
        <w:rPr>
          <w:spacing w:val="-6"/>
          <w:sz w:val="21"/>
        </w:rPr>
        <w:t>200</w:t>
      </w:r>
    </w:p>
    <w:p>
      <w:pPr>
        <w:spacing w:before="68"/>
        <w:ind w:left="971" w:right="0" w:firstLine="0"/>
        <w:jc w:val="left"/>
        <w:rPr>
          <w:sz w:val="21"/>
        </w:rPr>
      </w:pPr>
      <w:r>
        <w:rPr>
          <w:spacing w:val="-6"/>
          <w:sz w:val="21"/>
        </w:rPr>
        <w:t>180</w:t>
      </w:r>
    </w:p>
    <w:p>
      <w:pPr>
        <w:spacing w:before="67"/>
        <w:ind w:left="971" w:right="0" w:firstLine="0"/>
        <w:jc w:val="left"/>
        <w:rPr>
          <w:sz w:val="21"/>
        </w:rPr>
      </w:pPr>
      <w:r>
        <w:rPr>
          <w:spacing w:val="-6"/>
          <w:sz w:val="21"/>
        </w:rPr>
        <w:t>160</w:t>
      </w:r>
    </w:p>
    <w:p>
      <w:pPr>
        <w:spacing w:before="67"/>
        <w:ind w:left="971" w:right="0" w:firstLine="0"/>
        <w:jc w:val="left"/>
        <w:rPr>
          <w:sz w:val="21"/>
        </w:rPr>
      </w:pPr>
      <w:r>
        <w:rPr>
          <w:spacing w:val="-6"/>
          <w:sz w:val="21"/>
        </w:rPr>
        <w:t>140</w:t>
      </w:r>
    </w:p>
    <w:p>
      <w:pPr>
        <w:spacing w:before="67"/>
        <w:ind w:left="971" w:right="0" w:firstLine="0"/>
        <w:jc w:val="left"/>
        <w:rPr>
          <w:sz w:val="21"/>
        </w:rPr>
      </w:pPr>
      <w:r>
        <w:rPr>
          <w:spacing w:val="-6"/>
          <w:sz w:val="21"/>
        </w:rPr>
        <w:t>120</w:t>
      </w:r>
    </w:p>
    <w:p>
      <w:pPr>
        <w:spacing w:before="54"/>
        <w:ind w:left="971" w:right="0" w:firstLine="0"/>
        <w:jc w:val="left"/>
        <w:rPr>
          <w:sz w:val="21"/>
        </w:rPr>
      </w:pPr>
      <w:r>
        <w:rPr>
          <w:spacing w:val="-6"/>
          <w:sz w:val="21"/>
        </w:rPr>
        <w:t>100</w:t>
      </w:r>
    </w:p>
    <w:p>
      <w:pPr>
        <w:spacing w:before="67"/>
        <w:ind w:left="971" w:right="0" w:firstLine="0"/>
        <w:jc w:val="left"/>
        <w:rPr>
          <w:sz w:val="21"/>
        </w:rPr>
      </w:pPr>
      <w:r>
        <w:rPr>
          <w:spacing w:val="-9"/>
          <w:sz w:val="21"/>
        </w:rPr>
        <w:t>80</w:t>
      </w:r>
    </w:p>
    <w:p>
      <w:pPr>
        <w:spacing w:before="67"/>
        <w:ind w:left="971" w:right="0" w:firstLine="0"/>
        <w:jc w:val="left"/>
        <w:rPr>
          <w:sz w:val="21"/>
        </w:rPr>
      </w:pPr>
      <w:r>
        <w:rPr>
          <w:spacing w:val="-9"/>
          <w:sz w:val="21"/>
        </w:rPr>
        <w:t>60</w:t>
      </w:r>
    </w:p>
    <w:p>
      <w:pPr>
        <w:spacing w:before="68"/>
        <w:ind w:left="971" w:right="0" w:firstLine="0"/>
        <w:jc w:val="left"/>
        <w:rPr>
          <w:sz w:val="21"/>
        </w:rPr>
      </w:pPr>
      <w:r>
        <w:rPr>
          <w:spacing w:val="-9"/>
          <w:sz w:val="21"/>
        </w:rPr>
        <w:t>40</w:t>
      </w:r>
    </w:p>
    <w:p>
      <w:pPr>
        <w:spacing w:before="67"/>
        <w:ind w:left="971" w:right="0" w:firstLine="0"/>
        <w:jc w:val="left"/>
        <w:rPr>
          <w:sz w:val="21"/>
        </w:rPr>
      </w:pPr>
      <w:r>
        <w:rPr>
          <w:spacing w:val="-9"/>
          <w:sz w:val="21"/>
        </w:rPr>
        <w:t>20</w:t>
      </w:r>
    </w:p>
    <w:p>
      <w:pPr>
        <w:spacing w:before="67"/>
        <w:ind w:left="971" w:right="0" w:firstLine="0"/>
        <w:jc w:val="left"/>
        <w:rPr>
          <w:sz w:val="21"/>
        </w:rPr>
      </w:pPr>
      <w:r>
        <w:rPr>
          <w:w w:val="100"/>
          <w:sz w:val="21"/>
        </w:rPr>
        <w:t>0</w:t>
      </w:r>
    </w:p>
    <w:sectPr>
      <w:type w:val="continuous"/>
      <w:pgSz w:w="11900" w:h="16840"/>
      <w:pgMar w:top="1180" w:bottom="280" w:left="1140" w:right="980"/>
      <w:cols w:num="2" w:equalWidth="0">
        <w:col w:w="4858" w:space="40"/>
        <w:col w:w="48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4.866341pt;width:18pt;height:15.3pt;mso-position-horizontal-relative:page;mso-position-vertical-relative:page;z-index:-2524590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974" w:hanging="254"/>
        <w:jc w:val="left"/>
      </w:pPr>
      <w:rPr>
        <w:rFonts w:hint="default" w:ascii="Times New Roman" w:hAnsi="Times New Roman" w:eastAsia="Times New Roman" w:cs="Times New Roman"/>
        <w:spacing w:val="0"/>
        <w:w w:val="102"/>
        <w:sz w:val="17"/>
        <w:szCs w:val="17"/>
      </w:rPr>
    </w:lvl>
    <w:lvl w:ilvl="1">
      <w:start w:val="0"/>
      <w:numFmt w:val="bullet"/>
      <w:lvlText w:val="•"/>
      <w:lvlJc w:val="left"/>
      <w:pPr>
        <w:ind w:left="1860" w:hanging="254"/>
      </w:pPr>
      <w:rPr>
        <w:rFonts w:hint="default"/>
      </w:rPr>
    </w:lvl>
    <w:lvl w:ilvl="2">
      <w:start w:val="0"/>
      <w:numFmt w:val="bullet"/>
      <w:lvlText w:val="•"/>
      <w:lvlJc w:val="left"/>
      <w:pPr>
        <w:ind w:left="2740" w:hanging="254"/>
      </w:pPr>
      <w:rPr>
        <w:rFonts w:hint="default"/>
      </w:rPr>
    </w:lvl>
    <w:lvl w:ilvl="3">
      <w:start w:val="0"/>
      <w:numFmt w:val="bullet"/>
      <w:lvlText w:val="•"/>
      <w:lvlJc w:val="left"/>
      <w:pPr>
        <w:ind w:left="3620" w:hanging="254"/>
      </w:pPr>
      <w:rPr>
        <w:rFonts w:hint="default"/>
      </w:rPr>
    </w:lvl>
    <w:lvl w:ilvl="4">
      <w:start w:val="0"/>
      <w:numFmt w:val="bullet"/>
      <w:lvlText w:val="•"/>
      <w:lvlJc w:val="left"/>
      <w:pPr>
        <w:ind w:left="4500" w:hanging="254"/>
      </w:pPr>
      <w:rPr>
        <w:rFonts w:hint="default"/>
      </w:rPr>
    </w:lvl>
    <w:lvl w:ilvl="5">
      <w:start w:val="0"/>
      <w:numFmt w:val="bullet"/>
      <w:lvlText w:val="•"/>
      <w:lvlJc w:val="left"/>
      <w:pPr>
        <w:ind w:left="5380" w:hanging="254"/>
      </w:pPr>
      <w:rPr>
        <w:rFonts w:hint="default"/>
      </w:rPr>
    </w:lvl>
    <w:lvl w:ilvl="6">
      <w:start w:val="0"/>
      <w:numFmt w:val="bullet"/>
      <w:lvlText w:val="•"/>
      <w:lvlJc w:val="left"/>
      <w:pPr>
        <w:ind w:left="6260" w:hanging="254"/>
      </w:pPr>
      <w:rPr>
        <w:rFonts w:hint="default"/>
      </w:rPr>
    </w:lvl>
    <w:lvl w:ilvl="7">
      <w:start w:val="0"/>
      <w:numFmt w:val="bullet"/>
      <w:lvlText w:val="•"/>
      <w:lvlJc w:val="left"/>
      <w:pPr>
        <w:ind w:left="7140" w:hanging="254"/>
      </w:pPr>
      <w:rPr>
        <w:rFonts w:hint="default"/>
      </w:rPr>
    </w:lvl>
    <w:lvl w:ilvl="8">
      <w:start w:val="0"/>
      <w:numFmt w:val="bullet"/>
      <w:lvlText w:val="•"/>
      <w:lvlJc w:val="left"/>
      <w:pPr>
        <w:ind w:left="8020" w:hanging="254"/>
      </w:pPr>
      <w:rPr>
        <w:rFonts w:hint="default"/>
      </w:rPr>
    </w:lvl>
  </w:abstractNum>
  <w:abstractNum w:abstractNumId="0">
    <w:multiLevelType w:val="hybridMultilevel"/>
    <w:lvl w:ilvl="0">
      <w:start w:val="0"/>
      <w:numFmt w:val="bullet"/>
      <w:lvlText w:val="–"/>
      <w:lvlJc w:val="left"/>
      <w:pPr>
        <w:ind w:left="297" w:hanging="181"/>
      </w:pPr>
      <w:rPr>
        <w:rFonts w:hint="default" w:ascii="Times New Roman" w:hAnsi="Times New Roman" w:eastAsia="Times New Roman" w:cs="Times New Roman"/>
        <w:spacing w:val="-2"/>
        <w:w w:val="100"/>
        <w:sz w:val="24"/>
        <w:szCs w:val="24"/>
      </w:rPr>
    </w:lvl>
    <w:lvl w:ilvl="1">
      <w:start w:val="1"/>
      <w:numFmt w:val="lowerLetter"/>
      <w:lvlText w:val="(%2)"/>
      <w:lvlJc w:val="left"/>
      <w:pPr>
        <w:ind w:left="703" w:hanging="185"/>
        <w:jc w:val="left"/>
      </w:pPr>
      <w:rPr>
        <w:rFonts w:hint="default" w:ascii="Times New Roman" w:hAnsi="Times New Roman" w:eastAsia="Times New Roman" w:cs="Times New Roman"/>
        <w:spacing w:val="0"/>
        <w:w w:val="102"/>
        <w:sz w:val="12"/>
        <w:szCs w:val="12"/>
      </w:rPr>
    </w:lvl>
    <w:lvl w:ilvl="2">
      <w:start w:val="0"/>
      <w:numFmt w:val="bullet"/>
      <w:lvlText w:val="•"/>
      <w:lvlJc w:val="left"/>
      <w:pPr>
        <w:ind w:left="1760" w:hanging="185"/>
      </w:pPr>
      <w:rPr>
        <w:rFonts w:hint="default"/>
      </w:rPr>
    </w:lvl>
    <w:lvl w:ilvl="3">
      <w:start w:val="0"/>
      <w:numFmt w:val="bullet"/>
      <w:lvlText w:val="•"/>
      <w:lvlJc w:val="left"/>
      <w:pPr>
        <w:ind w:left="1940" w:hanging="185"/>
      </w:pPr>
      <w:rPr>
        <w:rFonts w:hint="default"/>
      </w:rPr>
    </w:lvl>
    <w:lvl w:ilvl="4">
      <w:start w:val="0"/>
      <w:numFmt w:val="bullet"/>
      <w:lvlText w:val="•"/>
      <w:lvlJc w:val="left"/>
      <w:pPr>
        <w:ind w:left="2020" w:hanging="185"/>
      </w:pPr>
      <w:rPr>
        <w:rFonts w:hint="default"/>
      </w:rPr>
    </w:lvl>
    <w:lvl w:ilvl="5">
      <w:start w:val="0"/>
      <w:numFmt w:val="bullet"/>
      <w:lvlText w:val="•"/>
      <w:lvlJc w:val="left"/>
      <w:pPr>
        <w:ind w:left="2100" w:hanging="185"/>
      </w:pPr>
      <w:rPr>
        <w:rFonts w:hint="default"/>
      </w:rPr>
    </w:lvl>
    <w:lvl w:ilvl="6">
      <w:start w:val="0"/>
      <w:numFmt w:val="bullet"/>
      <w:lvlText w:val="•"/>
      <w:lvlJc w:val="left"/>
      <w:pPr>
        <w:ind w:left="2180" w:hanging="185"/>
      </w:pPr>
      <w:rPr>
        <w:rFonts w:hint="default"/>
      </w:rPr>
    </w:lvl>
    <w:lvl w:ilvl="7">
      <w:start w:val="0"/>
      <w:numFmt w:val="bullet"/>
      <w:lvlText w:val="•"/>
      <w:lvlJc w:val="left"/>
      <w:pPr>
        <w:ind w:left="2261" w:hanging="185"/>
      </w:pPr>
      <w:rPr>
        <w:rFonts w:hint="default"/>
      </w:rPr>
    </w:lvl>
    <w:lvl w:ilvl="8">
      <w:start w:val="0"/>
      <w:numFmt w:val="bullet"/>
      <w:lvlText w:val="•"/>
      <w:lvlJc w:val="left"/>
      <w:pPr>
        <w:ind w:left="2341" w:hanging="18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5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74" w:hanging="254"/>
    </w:pPr>
    <w:rPr>
      <w:rFonts w:ascii="Times New Roman" w:hAnsi="Times New Roman" w:eastAsia="Times New Roman" w:cs="Times New Roman"/>
    </w:rPr>
  </w:style>
  <w:style w:styleId="TableParagraph" w:type="paragraph">
    <w:name w:val="Table Paragraph"/>
    <w:basedOn w:val="Normal"/>
    <w:uiPriority w:val="1"/>
    <w:qFormat/>
    <w:pPr>
      <w:spacing w:line="209"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 - 19 March 2004</dc:subject>
  <dc:title>At the National Association of Pension Funds Annual Investment Conference, At the Edinburgh International Conference Centre, Edinburgh</dc:title>
  <dcterms:created xsi:type="dcterms:W3CDTF">2020-06-02T18:05:20Z</dcterms:created>
  <dcterms:modified xsi:type="dcterms:W3CDTF">2020-06-02T18:05:20Z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2004-03-19T00:00:00Z</vt:filetime>
  </property>
  <property fmtid="{D5CDD505-2E9C-101B-9397-08002B2CF9AE}" pid="3" name="Creator">
    <vt:lpwstr>PScript5.dll Version 5.2</vt:lpwstr>
  </property>
  <property fmtid="{D5CDD505-2E9C-101B-9397-08002B2CF9AE}" pid="4" name="LastSaved">
    <vt:filetime>2020-06-02T00:00:00Z</vt:filetime>
  </property>
</Properties>
</file>