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Default Extension="png" ContentType="image/png"/>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88.019997pt;margin-top:45.932682pt;width:459.45pt;height:94.15pt;mso-position-horizontal-relative:page;mso-position-vertical-relative:page;z-index:251658240" coordorigin="1760,919" coordsize="9189,1883">
            <v:shape style="position:absolute;left:1760;top:2786;width:9189;height:2" coordorigin="1760,2786" coordsize="9189,0" path="m1760,2786l8550,2786m8537,2786l10949,2786e" filled="false" stroked="true" strokeweight="1.44pt" strokecolor="#000000">
              <v:path arrowok="t"/>
              <v:stroke dashstyle="solid"/>
            </v:shape>
            <v:shape style="position:absolute;left:1799;top:918;width:3456;height:1830" type="#_x0000_t75" stroked="false">
              <v:imagedata r:id="rId5" o:title=""/>
            </v:shape>
            <w10:wrap type="none"/>
          </v:group>
        </w:pict>
      </w:r>
      <w:r>
        <w:rPr/>
        <w:pict>
          <v:line style="position:absolute;mso-position-horizontal-relative:page;mso-position-vertical-relative:page;z-index:251659264" from="62.639999pt,718.049988pt" to="549.479999pt,718.049988pt" stroked="true" strokeweight=".17999pt" strokecolor="#000000">
            <v:stroke dashstyle="solid"/>
            <w10:wrap type="none"/>
          </v:lin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59"/>
        <w:ind w:left="635" w:right="0" w:firstLine="0"/>
        <w:jc w:val="left"/>
        <w:rPr>
          <w:b/>
          <w:sz w:val="30"/>
        </w:rPr>
      </w:pPr>
      <w:r>
        <w:rPr>
          <w:b/>
          <w:color w:val="6A709F"/>
          <w:sz w:val="30"/>
        </w:rPr>
        <w:t>On microscopes and telescopes</w:t>
      </w:r>
    </w:p>
    <w:p>
      <w:pPr>
        <w:pStyle w:val="BodyText"/>
        <w:spacing w:before="3"/>
        <w:rPr>
          <w:b/>
          <w:sz w:val="34"/>
        </w:rPr>
      </w:pPr>
    </w:p>
    <w:p>
      <w:pPr>
        <w:pStyle w:val="Heading2"/>
      </w:pPr>
      <w:r>
        <w:rPr/>
        <w:t>Speech given by</w:t>
      </w:r>
    </w:p>
    <w:p>
      <w:pPr>
        <w:spacing w:before="137"/>
        <w:ind w:left="635" w:right="0" w:firstLine="0"/>
        <w:jc w:val="left"/>
        <w:rPr>
          <w:sz w:val="22"/>
        </w:rPr>
      </w:pPr>
      <w:r>
        <w:rPr>
          <w:sz w:val="22"/>
        </w:rPr>
        <w:t>Andrew G Haldane, Chief Economist, Bank of England</w:t>
      </w:r>
    </w:p>
    <w:p>
      <w:pPr>
        <w:pStyle w:val="BodyText"/>
        <w:rPr>
          <w:sz w:val="24"/>
        </w:rPr>
      </w:pPr>
    </w:p>
    <w:p>
      <w:pPr>
        <w:pStyle w:val="BodyText"/>
        <w:rPr>
          <w:sz w:val="27"/>
        </w:rPr>
      </w:pPr>
    </w:p>
    <w:p>
      <w:pPr>
        <w:spacing w:line="616" w:lineRule="auto" w:before="0"/>
        <w:ind w:left="635" w:right="2292" w:firstLine="0"/>
        <w:jc w:val="left"/>
        <w:rPr>
          <w:sz w:val="22"/>
        </w:rPr>
      </w:pPr>
      <w:r>
        <w:rPr>
          <w:sz w:val="22"/>
        </w:rPr>
        <w:t>Lorentz centre workshop on socio-economic complexity, Leiden 27 March 2015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4"/>
        </w:rPr>
      </w:pPr>
    </w:p>
    <w:p>
      <w:pPr>
        <w:pStyle w:val="BodyText"/>
        <w:spacing w:line="237" w:lineRule="auto" w:before="94"/>
        <w:ind w:left="635" w:right="215"/>
      </w:pPr>
      <w:r>
        <w:rPr>
          <w:color w:val="7F7F7F"/>
        </w:rPr>
        <w:t>The views are not necessarily those of the Bank of England or the Monetary Policy Committee. I would like to thank Thibaud de Barman, Lucy Canham, Chiranjit Chakraborty, Jeremy Franklin, Rashmi Harimohan, John Hill, Bradley Hudd, Ben Kempley, Lu Liu, Katie Low, Anna Jernova, Carsten</w:t>
      </w:r>
      <w:r>
        <w:rPr>
          <w:color w:val="7F7F7F"/>
          <w:spacing w:val="-12"/>
        </w:rPr>
        <w:t> </w:t>
      </w:r>
      <w:r>
        <w:rPr>
          <w:color w:val="7F7F7F"/>
        </w:rPr>
        <w:t>Jung,</w:t>
      </w:r>
      <w:r>
        <w:rPr>
          <w:color w:val="7F7F7F"/>
          <w:spacing w:val="-8"/>
        </w:rPr>
        <w:t> </w:t>
      </w:r>
      <w:r>
        <w:rPr>
          <w:color w:val="7F7F7F"/>
        </w:rPr>
        <w:t>Damien</w:t>
      </w:r>
      <w:r>
        <w:rPr>
          <w:color w:val="7F7F7F"/>
          <w:spacing w:val="-11"/>
        </w:rPr>
        <w:t> </w:t>
      </w:r>
      <w:r>
        <w:rPr>
          <w:color w:val="7F7F7F"/>
        </w:rPr>
        <w:t>Lynch,</w:t>
      </w:r>
      <w:r>
        <w:rPr>
          <w:color w:val="7F7F7F"/>
          <w:spacing w:val="-11"/>
        </w:rPr>
        <w:t> </w:t>
      </w:r>
      <w:r>
        <w:rPr>
          <w:color w:val="7F7F7F"/>
        </w:rPr>
        <w:t>Yaacov</w:t>
      </w:r>
      <w:r>
        <w:rPr>
          <w:color w:val="7F7F7F"/>
          <w:spacing w:val="-9"/>
        </w:rPr>
        <w:t> </w:t>
      </w:r>
      <w:r>
        <w:rPr>
          <w:color w:val="7F7F7F"/>
        </w:rPr>
        <w:t>Mutnikas,</w:t>
      </w:r>
      <w:r>
        <w:rPr>
          <w:color w:val="7F7F7F"/>
          <w:spacing w:val="-12"/>
        </w:rPr>
        <w:t> </w:t>
      </w:r>
      <w:r>
        <w:rPr>
          <w:color w:val="7F7F7F"/>
        </w:rPr>
        <w:t>Tobi</w:t>
      </w:r>
      <w:r>
        <w:rPr>
          <w:color w:val="7F7F7F"/>
          <w:spacing w:val="-8"/>
        </w:rPr>
        <w:t> </w:t>
      </w:r>
      <w:r>
        <w:rPr>
          <w:color w:val="7F7F7F"/>
        </w:rPr>
        <w:t>Neumann,</w:t>
      </w:r>
      <w:r>
        <w:rPr>
          <w:color w:val="7F7F7F"/>
          <w:spacing w:val="-12"/>
        </w:rPr>
        <w:t> </w:t>
      </w:r>
      <w:r>
        <w:rPr>
          <w:color w:val="7F7F7F"/>
        </w:rPr>
        <w:t>Paul</w:t>
      </w:r>
      <w:r>
        <w:rPr>
          <w:color w:val="7F7F7F"/>
          <w:spacing w:val="-9"/>
        </w:rPr>
        <w:t> </w:t>
      </w:r>
      <w:r>
        <w:rPr>
          <w:color w:val="7F7F7F"/>
        </w:rPr>
        <w:t>Robinson</w:t>
      </w:r>
      <w:r>
        <w:rPr>
          <w:color w:val="7F7F7F"/>
          <w:spacing w:val="-11"/>
        </w:rPr>
        <w:t> </w:t>
      </w:r>
      <w:r>
        <w:rPr>
          <w:color w:val="7F7F7F"/>
        </w:rPr>
        <w:t>and</w:t>
      </w:r>
      <w:r>
        <w:rPr>
          <w:color w:val="7F7F7F"/>
          <w:spacing w:val="-10"/>
        </w:rPr>
        <w:t> </w:t>
      </w:r>
      <w:r>
        <w:rPr>
          <w:color w:val="7F7F7F"/>
        </w:rPr>
        <w:t>David</w:t>
      </w:r>
      <w:r>
        <w:rPr>
          <w:color w:val="7F7F7F"/>
          <w:spacing w:val="-9"/>
        </w:rPr>
        <w:t> </w:t>
      </w:r>
      <w:r>
        <w:rPr>
          <w:color w:val="7F7F7F"/>
        </w:rPr>
        <w:t>Ronicle</w:t>
      </w:r>
      <w:r>
        <w:rPr>
          <w:color w:val="7F7F7F"/>
          <w:spacing w:val="-11"/>
        </w:rPr>
        <w:t> </w:t>
      </w:r>
      <w:r>
        <w:rPr>
          <w:color w:val="7F7F7F"/>
        </w:rPr>
        <w:t>for their assistance in preparing the text. I would also like to thank Stephen Burgess, Oliver Burrows, Pavel</w:t>
      </w:r>
      <w:r>
        <w:rPr>
          <w:color w:val="7F7F7F"/>
          <w:spacing w:val="-4"/>
        </w:rPr>
        <w:t> </w:t>
      </w:r>
      <w:r>
        <w:rPr>
          <w:color w:val="7F7F7F"/>
        </w:rPr>
        <w:t>Chichkanov,</w:t>
      </w:r>
      <w:r>
        <w:rPr>
          <w:color w:val="7F7F7F"/>
          <w:spacing w:val="-4"/>
        </w:rPr>
        <w:t> </w:t>
      </w:r>
      <w:r>
        <w:rPr>
          <w:color w:val="7F7F7F"/>
        </w:rPr>
        <w:t>Nicholas</w:t>
      </w:r>
      <w:r>
        <w:rPr>
          <w:color w:val="7F7F7F"/>
          <w:spacing w:val="-4"/>
        </w:rPr>
        <w:t> </w:t>
      </w:r>
      <w:r>
        <w:rPr>
          <w:color w:val="7F7F7F"/>
        </w:rPr>
        <w:t>Fawcett,</w:t>
      </w:r>
      <w:r>
        <w:rPr>
          <w:color w:val="7F7F7F"/>
          <w:spacing w:val="-4"/>
        </w:rPr>
        <w:t> </w:t>
      </w:r>
      <w:r>
        <w:rPr>
          <w:color w:val="7F7F7F"/>
        </w:rPr>
        <w:t>Bob</w:t>
      </w:r>
      <w:r>
        <w:rPr>
          <w:color w:val="7F7F7F"/>
          <w:spacing w:val="-6"/>
        </w:rPr>
        <w:t> </w:t>
      </w:r>
      <w:r>
        <w:rPr>
          <w:color w:val="7F7F7F"/>
        </w:rPr>
        <w:t>Hills,</w:t>
      </w:r>
      <w:r>
        <w:rPr>
          <w:color w:val="7F7F7F"/>
          <w:spacing w:val="-4"/>
        </w:rPr>
        <w:t> </w:t>
      </w:r>
      <w:r>
        <w:rPr>
          <w:color w:val="7F7F7F"/>
        </w:rPr>
        <w:t>Ronan</w:t>
      </w:r>
      <w:r>
        <w:rPr>
          <w:color w:val="7F7F7F"/>
          <w:spacing w:val="-6"/>
        </w:rPr>
        <w:t> </w:t>
      </w:r>
      <w:r>
        <w:rPr>
          <w:color w:val="7F7F7F"/>
        </w:rPr>
        <w:t>Hodge,</w:t>
      </w:r>
      <w:r>
        <w:rPr>
          <w:color w:val="7F7F7F"/>
          <w:spacing w:val="-3"/>
        </w:rPr>
        <w:t> </w:t>
      </w:r>
      <w:r>
        <w:rPr>
          <w:color w:val="7F7F7F"/>
        </w:rPr>
        <w:t>Glenn</w:t>
      </w:r>
      <w:r>
        <w:rPr>
          <w:color w:val="7F7F7F"/>
          <w:spacing w:val="-4"/>
        </w:rPr>
        <w:t> </w:t>
      </w:r>
      <w:r>
        <w:rPr>
          <w:color w:val="7F7F7F"/>
        </w:rPr>
        <w:t>Hoggarth,</w:t>
      </w:r>
      <w:r>
        <w:rPr>
          <w:color w:val="7F7F7F"/>
          <w:spacing w:val="-3"/>
        </w:rPr>
        <w:t> </w:t>
      </w:r>
      <w:r>
        <w:rPr>
          <w:color w:val="7F7F7F"/>
        </w:rPr>
        <w:t>Catrin</w:t>
      </w:r>
      <w:r>
        <w:rPr>
          <w:color w:val="7F7F7F"/>
          <w:spacing w:val="-5"/>
        </w:rPr>
        <w:t> </w:t>
      </w:r>
      <w:r>
        <w:rPr>
          <w:color w:val="7F7F7F"/>
        </w:rPr>
        <w:t>Jones,</w:t>
      </w:r>
    </w:p>
    <w:p>
      <w:pPr>
        <w:pStyle w:val="BodyText"/>
        <w:spacing w:line="217" w:lineRule="exact"/>
        <w:ind w:left="635"/>
      </w:pPr>
      <w:r>
        <w:rPr>
          <w:color w:val="7F7F7F"/>
        </w:rPr>
        <w:t>Vas Madouros and Simon Whitaker for their comments and contributions.</w:t>
      </w:r>
    </w:p>
    <w:p>
      <w:pPr>
        <w:pStyle w:val="BodyText"/>
        <w:spacing w:before="6"/>
        <w:rPr>
          <w:sz w:val="29"/>
        </w:rPr>
      </w:pPr>
    </w:p>
    <w:p>
      <w:pPr>
        <w:pStyle w:val="BodyText"/>
        <w:rPr>
          <w:sz w:val="2"/>
        </w:rPr>
      </w:pPr>
    </w:p>
    <w:p>
      <w:pPr>
        <w:pStyle w:val="BodyText"/>
        <w:rPr>
          <w:sz w:val="2"/>
        </w:rPr>
      </w:pPr>
    </w:p>
    <w:p>
      <w:pPr>
        <w:pStyle w:val="BodyText"/>
        <w:rPr>
          <w:sz w:val="2"/>
        </w:rPr>
      </w:pPr>
    </w:p>
    <w:p>
      <w:pPr>
        <w:pStyle w:val="BodyText"/>
        <w:spacing w:before="6"/>
        <w:rPr>
          <w:sz w:val="2"/>
        </w:rPr>
      </w:pPr>
    </w:p>
    <w:p>
      <w:pPr>
        <w:spacing w:before="0"/>
        <w:ind w:left="0" w:right="142" w:firstLine="0"/>
        <w:jc w:val="right"/>
        <w:rPr>
          <w:sz w:val="2"/>
        </w:rPr>
      </w:pPr>
      <w:r>
        <w:rPr>
          <w:w w:val="95"/>
          <w:sz w:val="2"/>
        </w:rPr>
        <w:t>1</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6"/>
        <w:rPr>
          <w:sz w:val="2"/>
        </w:rPr>
      </w:pPr>
    </w:p>
    <w:p>
      <w:pPr>
        <w:pStyle w:val="BodyText"/>
        <w:ind w:left="114"/>
      </w:pPr>
      <w:r>
        <w:rPr/>
        <w:t>All speeches are available online at </w:t>
      </w:r>
      <w:hyperlink r:id="rId6">
        <w:r>
          <w:rPr/>
          <w:t>www.bankofengland.co.uk/publications/Pages/speeches/default.aspx</w:t>
        </w:r>
      </w:hyperlink>
    </w:p>
    <w:p>
      <w:pPr>
        <w:spacing w:after="0"/>
        <w:sectPr>
          <w:type w:val="continuous"/>
          <w:pgSz w:w="12240" w:h="15840"/>
          <w:pgMar w:top="920" w:bottom="280" w:left="1240" w:right="1660"/>
        </w:sectPr>
      </w:pPr>
    </w:p>
    <w:p>
      <w:pPr>
        <w:pStyle w:val="BodyText"/>
        <w:spacing w:line="357" w:lineRule="auto" w:before="71"/>
        <w:ind w:left="634" w:right="215"/>
      </w:pPr>
      <w:r>
        <w:rPr/>
        <w:t>At least since the financial crisis, there has been increasing interest in using complexity theory to make sense of the dynamics of economic and financial systems (Newman (2011), Arthur (2014)). Particular</w:t>
      </w:r>
      <w:r>
        <w:rPr>
          <w:spacing w:val="-10"/>
        </w:rPr>
        <w:t> </w:t>
      </w:r>
      <w:r>
        <w:rPr/>
        <w:t>attention</w:t>
      </w:r>
      <w:r>
        <w:rPr>
          <w:spacing w:val="-9"/>
        </w:rPr>
        <w:t> </w:t>
      </w:r>
      <w:r>
        <w:rPr/>
        <w:t>has</w:t>
      </w:r>
      <w:r>
        <w:rPr>
          <w:spacing w:val="-9"/>
        </w:rPr>
        <w:t> </w:t>
      </w:r>
      <w:r>
        <w:rPr/>
        <w:t>focussed</w:t>
      </w:r>
      <w:r>
        <w:rPr>
          <w:spacing w:val="-9"/>
        </w:rPr>
        <w:t> </w:t>
      </w:r>
      <w:r>
        <w:rPr/>
        <w:t>on</w:t>
      </w:r>
      <w:r>
        <w:rPr>
          <w:spacing w:val="-9"/>
        </w:rPr>
        <w:t> </w:t>
      </w:r>
      <w:r>
        <w:rPr/>
        <w:t>the</w:t>
      </w:r>
      <w:r>
        <w:rPr>
          <w:spacing w:val="-10"/>
        </w:rPr>
        <w:t> </w:t>
      </w:r>
      <w:r>
        <w:rPr/>
        <w:t>use</w:t>
      </w:r>
      <w:r>
        <w:rPr>
          <w:spacing w:val="-10"/>
        </w:rPr>
        <w:t> </w:t>
      </w:r>
      <w:r>
        <w:rPr/>
        <w:t>of</w:t>
      </w:r>
      <w:r>
        <w:rPr>
          <w:spacing w:val="-9"/>
        </w:rPr>
        <w:t> </w:t>
      </w:r>
      <w:r>
        <w:rPr/>
        <w:t>network</w:t>
      </w:r>
      <w:r>
        <w:rPr>
          <w:spacing w:val="-9"/>
        </w:rPr>
        <w:t> </w:t>
      </w:r>
      <w:r>
        <w:rPr/>
        <w:t>theory</w:t>
      </w:r>
      <w:r>
        <w:rPr>
          <w:spacing w:val="-9"/>
        </w:rPr>
        <w:t> </w:t>
      </w:r>
      <w:r>
        <w:rPr/>
        <w:t>to</w:t>
      </w:r>
      <w:r>
        <w:rPr>
          <w:spacing w:val="-9"/>
        </w:rPr>
        <w:t> </w:t>
      </w:r>
      <w:r>
        <w:rPr/>
        <w:t>understand</w:t>
      </w:r>
      <w:r>
        <w:rPr>
          <w:spacing w:val="-10"/>
        </w:rPr>
        <w:t> </w:t>
      </w:r>
      <w:r>
        <w:rPr/>
        <w:t>the</w:t>
      </w:r>
      <w:r>
        <w:rPr>
          <w:spacing w:val="-9"/>
        </w:rPr>
        <w:t> </w:t>
      </w:r>
      <w:r>
        <w:rPr/>
        <w:t>non-linear</w:t>
      </w:r>
      <w:r>
        <w:rPr>
          <w:spacing w:val="-9"/>
        </w:rPr>
        <w:t> </w:t>
      </w:r>
      <w:r>
        <w:rPr/>
        <w:t>behaviour of</w:t>
      </w:r>
      <w:r>
        <w:rPr>
          <w:spacing w:val="-9"/>
        </w:rPr>
        <w:t> </w:t>
      </w:r>
      <w:r>
        <w:rPr/>
        <w:t>the</w:t>
      </w:r>
      <w:r>
        <w:rPr>
          <w:spacing w:val="-8"/>
        </w:rPr>
        <w:t> </w:t>
      </w:r>
      <w:r>
        <w:rPr/>
        <w:t>financial</w:t>
      </w:r>
      <w:r>
        <w:rPr>
          <w:spacing w:val="-7"/>
        </w:rPr>
        <w:t> </w:t>
      </w:r>
      <w:r>
        <w:rPr/>
        <w:t>system</w:t>
      </w:r>
      <w:r>
        <w:rPr>
          <w:spacing w:val="-7"/>
        </w:rPr>
        <w:t> </w:t>
      </w:r>
      <w:r>
        <w:rPr/>
        <w:t>in</w:t>
      </w:r>
      <w:r>
        <w:rPr>
          <w:spacing w:val="-9"/>
        </w:rPr>
        <w:t> </w:t>
      </w:r>
      <w:r>
        <w:rPr/>
        <w:t>situations</w:t>
      </w:r>
      <w:r>
        <w:rPr>
          <w:spacing w:val="-7"/>
        </w:rPr>
        <w:t> </w:t>
      </w:r>
      <w:r>
        <w:rPr/>
        <w:t>of</w:t>
      </w:r>
      <w:r>
        <w:rPr>
          <w:spacing w:val="-8"/>
        </w:rPr>
        <w:t> </w:t>
      </w:r>
      <w:r>
        <w:rPr/>
        <w:t>stress</w:t>
      </w:r>
      <w:r>
        <w:rPr>
          <w:spacing w:val="-7"/>
        </w:rPr>
        <w:t> </w:t>
      </w:r>
      <w:r>
        <w:rPr/>
        <w:t>(Gai</w:t>
      </w:r>
      <w:r>
        <w:rPr>
          <w:spacing w:val="-7"/>
        </w:rPr>
        <w:t> </w:t>
      </w:r>
      <w:r>
        <w:rPr/>
        <w:t>and</w:t>
      </w:r>
      <w:r>
        <w:rPr>
          <w:spacing w:val="-9"/>
        </w:rPr>
        <w:t> </w:t>
      </w:r>
      <w:r>
        <w:rPr/>
        <w:t>Kapadia</w:t>
      </w:r>
      <w:r>
        <w:rPr>
          <w:spacing w:val="-8"/>
        </w:rPr>
        <w:t> </w:t>
      </w:r>
      <w:r>
        <w:rPr/>
        <w:t>(2011),</w:t>
      </w:r>
      <w:r>
        <w:rPr>
          <w:spacing w:val="-8"/>
        </w:rPr>
        <w:t> </w:t>
      </w:r>
      <w:r>
        <w:rPr/>
        <w:t>Haldane</w:t>
      </w:r>
      <w:r>
        <w:rPr>
          <w:spacing w:val="-7"/>
        </w:rPr>
        <w:t> </w:t>
      </w:r>
      <w:r>
        <w:rPr/>
        <w:t>and</w:t>
      </w:r>
      <w:r>
        <w:rPr>
          <w:spacing w:val="-8"/>
        </w:rPr>
        <w:t> </w:t>
      </w:r>
      <w:r>
        <w:rPr/>
        <w:t>May</w:t>
      </w:r>
      <w:r>
        <w:rPr>
          <w:spacing w:val="-8"/>
        </w:rPr>
        <w:t> </w:t>
      </w:r>
      <w:r>
        <w:rPr/>
        <w:t>(2011),</w:t>
      </w:r>
      <w:r>
        <w:rPr>
          <w:spacing w:val="-8"/>
        </w:rPr>
        <w:t> </w:t>
      </w:r>
      <w:r>
        <w:rPr/>
        <w:t>Gai, Haldane and Kapadia (2011)). The language of complexity theory – tipping points, feedback, discontinuities, fat tails – has entered the financial and regulatory</w:t>
      </w:r>
      <w:r>
        <w:rPr>
          <w:spacing w:val="-25"/>
        </w:rPr>
        <w:t> </w:t>
      </w:r>
      <w:r>
        <w:rPr/>
        <w:t>lexicon.</w:t>
      </w:r>
    </w:p>
    <w:p>
      <w:pPr>
        <w:pStyle w:val="BodyText"/>
        <w:spacing w:before="8"/>
        <w:rPr>
          <w:sz w:val="27"/>
        </w:rPr>
      </w:pPr>
    </w:p>
    <w:p>
      <w:pPr>
        <w:pStyle w:val="BodyText"/>
        <w:spacing w:line="357" w:lineRule="auto"/>
        <w:ind w:left="634" w:right="233"/>
      </w:pPr>
      <w:r>
        <w:rPr/>
        <w:t>Some progress has also been made in using these models to help design and calibrate post-crisis regulatory policy. As one example, epidemiological models have been used to understand and calibrate regulatory capital standards for the largest, most interconnected banks – the so-called “super-spreaders” (Craig et al (2014)). They have also been used to understand the impact of central clearing of derivatives contracts, instabilities in payments systems and policies which set minimum collateral haircuts on securities financing transactions (Haldane (2009)).</w:t>
      </w:r>
    </w:p>
    <w:p>
      <w:pPr>
        <w:pStyle w:val="BodyText"/>
        <w:spacing w:before="9"/>
        <w:rPr>
          <w:sz w:val="27"/>
        </w:rPr>
      </w:pPr>
    </w:p>
    <w:p>
      <w:pPr>
        <w:pStyle w:val="BodyText"/>
        <w:spacing w:line="357" w:lineRule="auto"/>
        <w:ind w:left="634" w:right="215"/>
      </w:pPr>
      <w:r>
        <w:rPr/>
        <w:t>Rather less attention so far, however, has been placed on using complexity theory to understand the overall </w:t>
      </w:r>
      <w:r>
        <w:rPr>
          <w:i/>
        </w:rPr>
        <w:t>architecture </w:t>
      </w:r>
      <w:r>
        <w:rPr/>
        <w:t>of public policy – how the various pieces of the policy jigsaw fit together as a whole. This is a potentially promising avenue. The financial crisis has led to a fundamental reshaping of the macro-financial policy architecture. In some areas, regulatory foundations have been fortified – for example, in the </w:t>
      </w:r>
      <w:r>
        <w:rPr>
          <w:i/>
        </w:rPr>
        <w:t>micro-prudential </w:t>
      </w:r>
      <w:r>
        <w:rPr/>
        <w:t>regulation of individual financial firms. In others, a whole new layer of policy has been added – for example, in </w:t>
      </w:r>
      <w:r>
        <w:rPr>
          <w:i/>
        </w:rPr>
        <w:t>macro-prudential </w:t>
      </w:r>
      <w:r>
        <w:rPr/>
        <w:t>regulation to safeguard the financial system as a whole (Hanson, Kashyap and Stein (2010)).</w:t>
      </w:r>
    </w:p>
    <w:p>
      <w:pPr>
        <w:pStyle w:val="BodyText"/>
        <w:spacing w:before="7"/>
        <w:rPr>
          <w:sz w:val="27"/>
        </w:rPr>
      </w:pPr>
    </w:p>
    <w:p>
      <w:pPr>
        <w:pStyle w:val="BodyText"/>
        <w:spacing w:line="357" w:lineRule="auto"/>
        <w:ind w:left="634" w:right="215"/>
      </w:pPr>
      <w:r>
        <w:rPr/>
        <w:t>This new policy architecture is largely untried, untested and unmodelled. This has spawned a whole raft of new, largely untouched, public policy questions. Why do we need both the micro- and</w:t>
      </w:r>
    </w:p>
    <w:p>
      <w:pPr>
        <w:pStyle w:val="BodyText"/>
        <w:spacing w:line="357" w:lineRule="auto"/>
        <w:ind w:left="634" w:right="258"/>
      </w:pPr>
      <w:r>
        <w:rPr/>
        <w:t>macro-prudential policy layers? How do these regulatory layers interact with each other and with monetary policy? And how do these policies interact at a global level? Answering these questions is a research agenda in its own right. Without answering those questions, I wish to argue that complexity theory might be a useful lens through which to begin exploring them. The architecture of complex systems may be a powerful analytical device for understanding and shaping the new architecture of macro-financial policy.</w:t>
      </w:r>
    </w:p>
    <w:p>
      <w:pPr>
        <w:pStyle w:val="BodyText"/>
        <w:spacing w:before="7"/>
        <w:rPr>
          <w:sz w:val="27"/>
        </w:rPr>
      </w:pPr>
    </w:p>
    <w:p>
      <w:pPr>
        <w:pStyle w:val="BodyText"/>
        <w:spacing w:line="357" w:lineRule="auto"/>
        <w:ind w:left="634" w:right="163"/>
      </w:pPr>
      <w:r>
        <w:rPr/>
        <w:t>Modern economic and financial systems are not classic complex, adaptive networks. Rather, they are perhaps better characterised as a complex, adaptive “system of systems” (Gorod et al (2014)). In other words, global economic and financial systems comprise a nested set of sub-systems, each one themselves a complex web. Understanding these complex sub-systems, and their interaction, is crucial for effective systemic risk monitoring and management.</w:t>
      </w:r>
    </w:p>
    <w:p>
      <w:pPr>
        <w:pStyle w:val="BodyText"/>
        <w:spacing w:before="9"/>
        <w:rPr>
          <w:sz w:val="27"/>
        </w:rPr>
      </w:pPr>
    </w:p>
    <w:p>
      <w:pPr>
        <w:pStyle w:val="BodyText"/>
        <w:spacing w:line="355" w:lineRule="auto" w:before="1"/>
        <w:ind w:left="634" w:right="215"/>
      </w:pPr>
      <w:r>
        <w:rPr/>
        <w:t>This “system of systems” perspective is a new way of understanding the multi-layered policy architecture which has emerged since the crisis. Regulating a complex system of systems calls for a</w:t>
      </w:r>
    </w:p>
    <w:p>
      <w:pPr>
        <w:spacing w:after="0" w:line="355" w:lineRule="auto"/>
        <w:sectPr>
          <w:footerReference w:type="default" r:id="rId7"/>
          <w:pgSz w:w="12240" w:h="15840"/>
          <w:pgMar w:footer="974" w:header="0" w:top="1280" w:bottom="1160" w:left="1240" w:right="1660"/>
          <w:pgNumType w:start="2"/>
        </w:sectPr>
      </w:pPr>
    </w:p>
    <w:p>
      <w:pPr>
        <w:pStyle w:val="BodyText"/>
        <w:spacing w:before="71"/>
        <w:ind w:left="634"/>
        <w:rPr>
          <w:i/>
        </w:rPr>
      </w:pPr>
      <w:r>
        <w:rPr/>
        <w:t>multiple set of tools operating at different levels of resolution: on individual entities – the </w:t>
      </w:r>
      <w:r>
        <w:rPr>
          <w:i/>
        </w:rPr>
        <w:t>microscopic</w:t>
      </w:r>
    </w:p>
    <w:p>
      <w:pPr>
        <w:spacing w:before="106"/>
        <w:ind w:left="634" w:right="0" w:firstLine="0"/>
        <w:jc w:val="left"/>
        <w:rPr>
          <w:sz w:val="19"/>
        </w:rPr>
      </w:pPr>
      <w:r>
        <w:rPr>
          <w:sz w:val="19"/>
        </w:rPr>
        <w:t>or </w:t>
      </w:r>
      <w:r>
        <w:rPr>
          <w:i/>
          <w:sz w:val="19"/>
        </w:rPr>
        <w:t>micro-prudential </w:t>
      </w:r>
      <w:r>
        <w:rPr>
          <w:sz w:val="19"/>
        </w:rPr>
        <w:t>layer; on national financial systems and economies – the </w:t>
      </w:r>
      <w:r>
        <w:rPr>
          <w:i/>
          <w:sz w:val="19"/>
        </w:rPr>
        <w:t>macroscopic </w:t>
      </w:r>
      <w:r>
        <w:rPr>
          <w:sz w:val="19"/>
        </w:rPr>
        <w:t>or</w:t>
      </w:r>
    </w:p>
    <w:p>
      <w:pPr>
        <w:spacing w:before="107"/>
        <w:ind w:left="634" w:right="0" w:firstLine="0"/>
        <w:jc w:val="left"/>
        <w:rPr>
          <w:sz w:val="19"/>
        </w:rPr>
      </w:pPr>
      <w:r>
        <w:rPr>
          <w:i/>
          <w:sz w:val="19"/>
        </w:rPr>
        <w:t>macro-prudential </w:t>
      </w:r>
      <w:r>
        <w:rPr>
          <w:sz w:val="19"/>
        </w:rPr>
        <w:t>and </w:t>
      </w:r>
      <w:r>
        <w:rPr>
          <w:i/>
          <w:sz w:val="19"/>
        </w:rPr>
        <w:t>monetary policy </w:t>
      </w:r>
      <w:r>
        <w:rPr>
          <w:sz w:val="19"/>
        </w:rPr>
        <w:t>layer; and on the global financial and economic system – the</w:t>
      </w:r>
    </w:p>
    <w:p>
      <w:pPr>
        <w:spacing w:before="105"/>
        <w:ind w:left="634" w:right="0" w:firstLine="0"/>
        <w:jc w:val="left"/>
        <w:rPr>
          <w:sz w:val="19"/>
        </w:rPr>
      </w:pPr>
      <w:r>
        <w:rPr>
          <w:i/>
          <w:sz w:val="19"/>
        </w:rPr>
        <w:t>telescopic </w:t>
      </w:r>
      <w:r>
        <w:rPr>
          <w:sz w:val="19"/>
        </w:rPr>
        <w:t>or </w:t>
      </w:r>
      <w:r>
        <w:rPr>
          <w:i/>
          <w:sz w:val="19"/>
        </w:rPr>
        <w:t>global financial architecture </w:t>
      </w:r>
      <w:r>
        <w:rPr>
          <w:sz w:val="19"/>
        </w:rPr>
        <w:t>layer.</w:t>
      </w:r>
    </w:p>
    <w:p>
      <w:pPr>
        <w:pStyle w:val="BodyText"/>
        <w:rPr>
          <w:sz w:val="20"/>
        </w:rPr>
      </w:pPr>
    </w:p>
    <w:p>
      <w:pPr>
        <w:pStyle w:val="BodyText"/>
        <w:spacing w:before="5"/>
        <w:rPr>
          <w:sz w:val="17"/>
        </w:rPr>
      </w:pPr>
    </w:p>
    <w:p>
      <w:pPr>
        <w:pStyle w:val="BodyText"/>
        <w:spacing w:line="357" w:lineRule="auto"/>
        <w:ind w:left="634" w:right="220"/>
      </w:pPr>
      <w:r>
        <w:rPr/>
        <w:t>The architecture of a complex system of systems means that policies with varying degrees of magnification are necessary to understand and moderate fluctuations. It also means that taking account of interactions between these layers is important when gauging risk. For example, the crisis laid bare the costs of ignoring systemic risk when setting micro-prudential policy. It also highlighted the costs of ignoring the role of macro-prudential policy in managing these risks. That is why the post-crisis policy architecture has sought to fill these gaps. New institutional means have also been found to improve the integration of these micro-prudential, macro-prudential, macro-economic and global perspectives. In the UK, the first three are now housed under one roof at the Bank of England.</w:t>
      </w:r>
    </w:p>
    <w:p>
      <w:pPr>
        <w:pStyle w:val="BodyText"/>
        <w:spacing w:before="8"/>
        <w:rPr>
          <w:sz w:val="27"/>
        </w:rPr>
      </w:pPr>
    </w:p>
    <w:p>
      <w:pPr>
        <w:pStyle w:val="BodyText"/>
        <w:spacing w:line="355" w:lineRule="auto"/>
        <w:ind w:left="634" w:right="215"/>
      </w:pPr>
      <w:r>
        <w:rPr/>
        <w:t>In what follows, I first set out some background on the dynamics of a complex system of systems using some stylised examples. I then discuss some stylised facts on the “system of systems” that is today’s economic and financial network. Finally, I draw out some tentative conclusions for future research and policy which follow from viewing the macro-financial system through this lens.</w:t>
      </w:r>
    </w:p>
    <w:p>
      <w:pPr>
        <w:pStyle w:val="BodyText"/>
        <w:spacing w:before="5"/>
        <w:rPr>
          <w:sz w:val="28"/>
        </w:rPr>
      </w:pPr>
    </w:p>
    <w:p>
      <w:pPr>
        <w:pStyle w:val="Heading3"/>
        <w:spacing w:before="1"/>
      </w:pPr>
      <w:r>
        <w:rPr/>
        <w:t>The architecture of complexity</w:t>
      </w:r>
    </w:p>
    <w:p>
      <w:pPr>
        <w:pStyle w:val="BodyText"/>
        <w:rPr>
          <w:b/>
          <w:sz w:val="20"/>
        </w:rPr>
      </w:pPr>
    </w:p>
    <w:p>
      <w:pPr>
        <w:pStyle w:val="BodyText"/>
        <w:spacing w:before="6"/>
        <w:rPr>
          <w:b/>
          <w:sz w:val="17"/>
        </w:rPr>
      </w:pPr>
    </w:p>
    <w:p>
      <w:pPr>
        <w:pStyle w:val="BodyText"/>
        <w:spacing w:line="357" w:lineRule="auto"/>
        <w:ind w:left="634" w:right="249"/>
      </w:pPr>
      <w:r>
        <w:rPr/>
        <w:t>The literature on complexity theory, and its implication for system dynamics, is now deep and rich (Newman (2011)). Although there is no generally-accepted definition of complexity, the one contained</w:t>
      </w:r>
      <w:r>
        <w:rPr>
          <w:spacing w:val="-9"/>
        </w:rPr>
        <w:t> </w:t>
      </w:r>
      <w:r>
        <w:rPr/>
        <w:t>in</w:t>
      </w:r>
      <w:r>
        <w:rPr>
          <w:spacing w:val="-8"/>
        </w:rPr>
        <w:t> </w:t>
      </w:r>
      <w:r>
        <w:rPr/>
        <w:t>Herbert</w:t>
      </w:r>
      <w:r>
        <w:rPr>
          <w:spacing w:val="-7"/>
        </w:rPr>
        <w:t> </w:t>
      </w:r>
      <w:r>
        <w:rPr/>
        <w:t>Simon’s</w:t>
      </w:r>
      <w:r>
        <w:rPr>
          <w:spacing w:val="-6"/>
        </w:rPr>
        <w:t> </w:t>
      </w:r>
      <w:r>
        <w:rPr/>
        <w:t>classic</w:t>
      </w:r>
      <w:r>
        <w:rPr>
          <w:spacing w:val="-8"/>
        </w:rPr>
        <w:t> </w:t>
      </w:r>
      <w:r>
        <w:rPr/>
        <w:t>1962</w:t>
      </w:r>
      <w:r>
        <w:rPr>
          <w:spacing w:val="-8"/>
        </w:rPr>
        <w:t> </w:t>
      </w:r>
      <w:r>
        <w:rPr/>
        <w:t>article</w:t>
      </w:r>
      <w:r>
        <w:rPr>
          <w:spacing w:val="-8"/>
        </w:rPr>
        <w:t> </w:t>
      </w:r>
      <w:r>
        <w:rPr/>
        <w:t>on</w:t>
      </w:r>
      <w:r>
        <w:rPr>
          <w:spacing w:val="-8"/>
        </w:rPr>
        <w:t> </w:t>
      </w:r>
      <w:r>
        <w:rPr/>
        <w:t>the</w:t>
      </w:r>
      <w:r>
        <w:rPr>
          <w:spacing w:val="-10"/>
        </w:rPr>
        <w:t> </w:t>
      </w:r>
      <w:r>
        <w:rPr>
          <w:i/>
        </w:rPr>
        <w:t>Architecture</w:t>
      </w:r>
      <w:r>
        <w:rPr>
          <w:i/>
          <w:spacing w:val="-8"/>
        </w:rPr>
        <w:t> </w:t>
      </w:r>
      <w:r>
        <w:rPr>
          <w:i/>
        </w:rPr>
        <w:t>of</w:t>
      </w:r>
      <w:r>
        <w:rPr>
          <w:i/>
          <w:spacing w:val="-8"/>
        </w:rPr>
        <w:t> </w:t>
      </w:r>
      <w:r>
        <w:rPr>
          <w:i/>
        </w:rPr>
        <w:t>Complexity</w:t>
      </w:r>
      <w:r>
        <w:rPr>
          <w:i/>
          <w:spacing w:val="-7"/>
        </w:rPr>
        <w:t> </w:t>
      </w:r>
      <w:r>
        <w:rPr/>
        <w:t>–</w:t>
      </w:r>
      <w:r>
        <w:rPr>
          <w:spacing w:val="-9"/>
        </w:rPr>
        <w:t> </w:t>
      </w:r>
      <w:r>
        <w:rPr/>
        <w:t>“one</w:t>
      </w:r>
      <w:r>
        <w:rPr>
          <w:spacing w:val="-8"/>
        </w:rPr>
        <w:t> </w:t>
      </w:r>
      <w:r>
        <w:rPr/>
        <w:t>made</w:t>
      </w:r>
      <w:r>
        <w:rPr>
          <w:spacing w:val="-8"/>
        </w:rPr>
        <w:t> </w:t>
      </w:r>
      <w:r>
        <w:rPr/>
        <w:t>up</w:t>
      </w:r>
      <w:r>
        <w:rPr>
          <w:spacing w:val="-8"/>
        </w:rPr>
        <w:t> </w:t>
      </w:r>
      <w:r>
        <w:rPr/>
        <w:t>of a large number of parts that interact in a non-simple way” – continues to capture well its everyday essence (Simon (1962)). In complex systems, the whole behaves very differently than the sum of its parts.</w:t>
      </w:r>
    </w:p>
    <w:p>
      <w:pPr>
        <w:pStyle w:val="BodyText"/>
        <w:spacing w:before="8"/>
        <w:rPr>
          <w:sz w:val="27"/>
        </w:rPr>
      </w:pPr>
    </w:p>
    <w:p>
      <w:pPr>
        <w:pStyle w:val="BodyText"/>
        <w:spacing w:line="357" w:lineRule="auto"/>
        <w:ind w:left="634" w:right="163"/>
      </w:pPr>
      <w:r>
        <w:rPr/>
        <w:t>Although there is no single unifying theory of complexity, the dynamic properties of complex systems are now reasonably well-understood, based on analytical and experimental studies of networks of all types – physical, natural, social, biological and economic (Ladyman et al (2013)). These dynamic properties include non-linearity; discontinuities in responses to shocks; amplifying feedback effects; and so-called “emergent” system-wide behaviour which is difficult to predict from the behaviour of any one element.</w:t>
      </w:r>
    </w:p>
    <w:p>
      <w:pPr>
        <w:pStyle w:val="BodyText"/>
        <w:spacing w:before="9"/>
        <w:rPr>
          <w:sz w:val="27"/>
        </w:rPr>
      </w:pPr>
    </w:p>
    <w:p>
      <w:pPr>
        <w:pStyle w:val="BodyText"/>
        <w:spacing w:line="355" w:lineRule="auto"/>
        <w:ind w:left="634" w:right="215"/>
      </w:pPr>
      <w:r>
        <w:rPr/>
        <w:t>These properties of complex systems typically give rise to irregular, and often highly non-normal, statistical distributions for these systems over time. This manifests itself as much fatter tails than a normal distribution would suggest. In other words, system-wide interactions and feedbacks generate a much higher probability of catastrophic events than Gaussian distributions would imply (Newman</w:t>
      </w:r>
    </w:p>
    <w:p>
      <w:pPr>
        <w:spacing w:after="0" w:line="355" w:lineRule="auto"/>
        <w:sectPr>
          <w:pgSz w:w="12240" w:h="15840"/>
          <w:pgMar w:header="0" w:footer="974" w:top="1280" w:bottom="1160" w:left="1240" w:right="1660"/>
        </w:sectPr>
      </w:pPr>
    </w:p>
    <w:p>
      <w:pPr>
        <w:pStyle w:val="BodyText"/>
        <w:spacing w:line="355" w:lineRule="auto" w:before="71"/>
        <w:ind w:left="634"/>
      </w:pPr>
      <w:r>
        <w:rPr/>
        <w:t>(2005), Gabaix (2009)). They may also result in distributions which are multi-modal, consistent with models of multiple equilibria (Bisin et al (2011)).</w:t>
      </w:r>
    </w:p>
    <w:p>
      <w:pPr>
        <w:pStyle w:val="BodyText"/>
        <w:spacing w:before="5"/>
        <w:rPr>
          <w:sz w:val="28"/>
        </w:rPr>
      </w:pPr>
    </w:p>
    <w:p>
      <w:pPr>
        <w:pStyle w:val="BodyText"/>
        <w:spacing w:line="357" w:lineRule="auto"/>
        <w:ind w:left="634" w:right="222"/>
      </w:pPr>
      <w:r>
        <w:rPr/>
        <w:t>The topology and wiring of these complex systems appears, perhaps predictably, to have a crucial bearing on their resilience to shocks. Many complex networks have been found, in practice, to exhibit a</w:t>
      </w:r>
      <w:r>
        <w:rPr>
          <w:spacing w:val="-8"/>
        </w:rPr>
        <w:t> </w:t>
      </w:r>
      <w:r>
        <w:rPr/>
        <w:t>“scale-free”</w:t>
      </w:r>
      <w:r>
        <w:rPr>
          <w:spacing w:val="-6"/>
        </w:rPr>
        <w:t> </w:t>
      </w:r>
      <w:r>
        <w:rPr/>
        <w:t>property</w:t>
      </w:r>
      <w:r>
        <w:rPr>
          <w:spacing w:val="-8"/>
        </w:rPr>
        <w:t> </w:t>
      </w:r>
      <w:r>
        <w:rPr/>
        <w:t>(Barabasi</w:t>
      </w:r>
      <w:r>
        <w:rPr>
          <w:spacing w:val="-7"/>
        </w:rPr>
        <w:t> </w:t>
      </w:r>
      <w:r>
        <w:rPr/>
        <w:t>and</w:t>
      </w:r>
      <w:r>
        <w:rPr>
          <w:spacing w:val="-7"/>
        </w:rPr>
        <w:t> </w:t>
      </w:r>
      <w:r>
        <w:rPr/>
        <w:t>Albert</w:t>
      </w:r>
      <w:r>
        <w:rPr>
          <w:spacing w:val="-6"/>
        </w:rPr>
        <w:t> </w:t>
      </w:r>
      <w:r>
        <w:rPr/>
        <w:t>(1999)).</w:t>
      </w:r>
      <w:r>
        <w:rPr>
          <w:spacing w:val="40"/>
        </w:rPr>
        <w:t> </w:t>
      </w:r>
      <w:r>
        <w:rPr/>
        <w:t>That</w:t>
      </w:r>
      <w:r>
        <w:rPr>
          <w:spacing w:val="-7"/>
        </w:rPr>
        <w:t> </w:t>
      </w:r>
      <w:r>
        <w:rPr/>
        <w:t>is</w:t>
      </w:r>
      <w:r>
        <w:rPr>
          <w:spacing w:val="-8"/>
        </w:rPr>
        <w:t> </w:t>
      </w:r>
      <w:r>
        <w:rPr/>
        <w:t>to</w:t>
      </w:r>
      <w:r>
        <w:rPr>
          <w:spacing w:val="-8"/>
        </w:rPr>
        <w:t> </w:t>
      </w:r>
      <w:r>
        <w:rPr/>
        <w:t>say,</w:t>
      </w:r>
      <w:r>
        <w:rPr>
          <w:spacing w:val="-8"/>
        </w:rPr>
        <w:t> </w:t>
      </w:r>
      <w:r>
        <w:rPr/>
        <w:t>they</w:t>
      </w:r>
      <w:r>
        <w:rPr>
          <w:spacing w:val="-8"/>
        </w:rPr>
        <w:t> </w:t>
      </w:r>
      <w:r>
        <w:rPr/>
        <w:t>comprise</w:t>
      </w:r>
      <w:r>
        <w:rPr>
          <w:spacing w:val="-8"/>
        </w:rPr>
        <w:t> </w:t>
      </w:r>
      <w:r>
        <w:rPr/>
        <w:t>a</w:t>
      </w:r>
      <w:r>
        <w:rPr>
          <w:spacing w:val="-7"/>
        </w:rPr>
        <w:t> </w:t>
      </w:r>
      <w:r>
        <w:rPr/>
        <w:t>core</w:t>
      </w:r>
      <w:r>
        <w:rPr>
          <w:spacing w:val="-8"/>
        </w:rPr>
        <w:t> </w:t>
      </w:r>
      <w:r>
        <w:rPr/>
        <w:t>set</w:t>
      </w:r>
      <w:r>
        <w:rPr>
          <w:spacing w:val="-7"/>
        </w:rPr>
        <w:t> </w:t>
      </w:r>
      <w:r>
        <w:rPr/>
        <w:t>of</w:t>
      </w:r>
      <w:r>
        <w:rPr>
          <w:spacing w:val="-7"/>
        </w:rPr>
        <w:t> </w:t>
      </w:r>
      <w:r>
        <w:rPr/>
        <w:t>nodes with a large number of connections and a large set of peripheral nodes with few connections. There is a core-periphery, or hub-and-spokes, network configuration. This scale-free property has been found in everything from food webs to the World Wide Web, from eco-systems to economic systems, from synapses to cities, from social networks to financial networks (Jackson</w:t>
      </w:r>
      <w:r>
        <w:rPr>
          <w:spacing w:val="-38"/>
        </w:rPr>
        <w:t> </w:t>
      </w:r>
      <w:r>
        <w:rPr/>
        <w:t>(2010)).</w:t>
      </w:r>
    </w:p>
    <w:p>
      <w:pPr>
        <w:pStyle w:val="BodyText"/>
        <w:spacing w:before="7"/>
        <w:rPr>
          <w:sz w:val="27"/>
        </w:rPr>
      </w:pPr>
    </w:p>
    <w:p>
      <w:pPr>
        <w:pStyle w:val="BodyText"/>
        <w:spacing w:line="357" w:lineRule="auto" w:before="1"/>
        <w:ind w:left="634" w:right="179"/>
      </w:pPr>
      <w:r>
        <w:rPr/>
        <w:t>These scale-free topologies have important, if subtle, implications for system resilience. For example, core-periphery models have been found to be very robust, at a systemic level, to random shocks.</w:t>
      </w:r>
    </w:p>
    <w:p>
      <w:pPr>
        <w:pStyle w:val="BodyText"/>
        <w:spacing w:line="357" w:lineRule="auto"/>
        <w:ind w:left="634" w:right="204"/>
      </w:pPr>
      <w:r>
        <w:rPr/>
        <w:t>That is because these shocks are very likely to fall on peripheral nodes unconnected with, and hence unlikely to cascade through, the system as a whole. But these systems are also vulnerable to targeted attack on the core nodes – the “super-spreaders” – whose hyper-connectivity risks generating a systemic cascade (Albert, Jeong and Barabasi (2000)).</w:t>
      </w:r>
    </w:p>
    <w:p>
      <w:pPr>
        <w:pStyle w:val="BodyText"/>
        <w:spacing w:before="8"/>
        <w:rPr>
          <w:sz w:val="27"/>
        </w:rPr>
      </w:pPr>
    </w:p>
    <w:p>
      <w:pPr>
        <w:pStyle w:val="BodyText"/>
        <w:spacing w:line="355" w:lineRule="auto" w:before="1"/>
        <w:ind w:left="634" w:right="215"/>
      </w:pPr>
      <w:r>
        <w:rPr/>
        <w:t>Another typical feature of complex systems is that they tend to organise themselves as a hierarchy, with a well-defined structure of systems and sub-systems (Simon (1962, 1976)). Herbert Simon believed hierarchical structures of a particular type were likely to dominate, namely ones which were “decomposable”. By this he meant organisational structures which could be partitioned such that the resilience of the system as a whole was not reliant on any one sub-element.</w:t>
      </w:r>
      <w:r>
        <w:rPr>
          <w:vertAlign w:val="superscript"/>
        </w:rPr>
        <w:t>1</w:t>
      </w:r>
      <w:r>
        <w:rPr>
          <w:vertAlign w:val="baseline"/>
        </w:rPr>
        <w:t> For evolutionary reasons of survival of the fittest, Simon posited that decomposable networks were more resilient and hence more likely to proliferate as a species (Simon (1962)).</w:t>
      </w:r>
      <w:r>
        <w:rPr>
          <w:vertAlign w:val="superscript"/>
        </w:rPr>
        <w:t>2</w:t>
      </w:r>
    </w:p>
    <w:p>
      <w:pPr>
        <w:pStyle w:val="BodyText"/>
        <w:spacing w:before="10"/>
        <w:rPr>
          <w:sz w:val="28"/>
        </w:rPr>
      </w:pPr>
    </w:p>
    <w:p>
      <w:pPr>
        <w:pStyle w:val="BodyText"/>
        <w:spacing w:line="357" w:lineRule="auto"/>
        <w:ind w:left="634" w:right="231"/>
      </w:pPr>
      <w:r>
        <w:rPr/>
        <w:t>While Simon’s evolutionary theory may be a reasonable long-run description of some real-world complex systems – natural and biological – it may be less good as a description of the evolution of </w:t>
      </w:r>
      <w:r>
        <w:rPr>
          <w:i/>
        </w:rPr>
        <w:t>socio-economic </w:t>
      </w:r>
      <w:r>
        <w:rPr/>
        <w:t>systems. The efficiency of many of these networks relies on their hyper-connectivity. There are, in the language of economics, significantly increasing returns to scale and scope in a network industry. These returns increase with network connectivity (Goldin and Mariathason (2014)).</w:t>
      </w:r>
    </w:p>
    <w:p>
      <w:pPr>
        <w:pStyle w:val="BodyText"/>
        <w:spacing w:line="357" w:lineRule="auto"/>
        <w:ind w:left="634" w:right="561"/>
      </w:pPr>
      <w:r>
        <w:rPr/>
        <w:t>Think of the benefits of global supply chains and global interbank networks for trade and financial risk-sharing. This provides a powerful secular incentive for non-decomposable socio-economic systems.</w:t>
      </w:r>
    </w:p>
    <w:p>
      <w:pPr>
        <w:pStyle w:val="BodyText"/>
        <w:spacing w:before="7"/>
        <w:rPr>
          <w:sz w:val="27"/>
        </w:rPr>
      </w:pPr>
    </w:p>
    <w:p>
      <w:pPr>
        <w:pStyle w:val="BodyText"/>
        <w:spacing w:line="355" w:lineRule="auto"/>
        <w:ind w:left="634" w:right="258"/>
      </w:pPr>
      <w:r>
        <w:rPr/>
        <w:t>Moreover, if these hyper-connected networks do face systemic threat, they are often able to adapt in ways which avoids extinction. For example, the risk of social, economic or financial disorder will</w:t>
      </w:r>
    </w:p>
    <w:p>
      <w:pPr>
        <w:pStyle w:val="BodyText"/>
        <w:spacing w:before="6"/>
        <w:rPr>
          <w:sz w:val="11"/>
        </w:rPr>
      </w:pPr>
      <w:r>
        <w:rPr/>
        <w:pict>
          <v:shape style="position:absolute;margin-left:93.720001pt;margin-top:8.843582pt;width:135.5pt;height:.1pt;mso-position-horizontal-relative:page;mso-position-vertical-relative:paragraph;z-index:-251656192;mso-wrap-distance-left:0;mso-wrap-distance-right:0" coordorigin="1874,177" coordsize="2710,0" path="m1874,177l4584,177e" filled="false" stroked="true" strokeweight=".41998pt" strokecolor="#000000">
            <v:path arrowok="t"/>
            <v:stroke dashstyle="solid"/>
            <w10:wrap type="topAndBottom"/>
          </v:shape>
        </w:pict>
      </w:r>
    </w:p>
    <w:p>
      <w:pPr>
        <w:spacing w:before="27"/>
        <w:ind w:left="634" w:right="215" w:firstLine="0"/>
        <w:jc w:val="left"/>
        <w:rPr>
          <w:sz w:val="15"/>
        </w:rPr>
      </w:pPr>
      <w:r>
        <w:rPr>
          <w:position w:val="8"/>
          <w:sz w:val="9"/>
        </w:rPr>
        <w:t>1 </w:t>
      </w:r>
      <w:r>
        <w:rPr>
          <w:sz w:val="15"/>
        </w:rPr>
        <w:t>As an example, early TV sets were built in a non-decomposable way, which made them vulnerable to the failure of one element. Later, TV sets, cars and other complex gadgets tend to be constructed in a “decomposable” fashion to improve their resilience.</w:t>
      </w:r>
    </w:p>
    <w:p>
      <w:pPr>
        <w:spacing w:line="175" w:lineRule="exact" w:before="0"/>
        <w:ind w:left="634" w:right="0" w:firstLine="0"/>
        <w:jc w:val="left"/>
        <w:rPr>
          <w:sz w:val="15"/>
        </w:rPr>
      </w:pPr>
      <w:r>
        <w:rPr>
          <w:position w:val="8"/>
          <w:sz w:val="9"/>
        </w:rPr>
        <w:t>2 </w:t>
      </w:r>
      <w:r>
        <w:rPr>
          <w:sz w:val="15"/>
        </w:rPr>
        <w:t>Charles Perrow’s concept of “tightly coupled” – non-decomposable - systems is closely linked (Perrow (1984)).</w:t>
      </w:r>
    </w:p>
    <w:p>
      <w:pPr>
        <w:spacing w:after="0" w:line="175" w:lineRule="exact"/>
        <w:jc w:val="left"/>
        <w:rPr>
          <w:sz w:val="15"/>
        </w:rPr>
        <w:sectPr>
          <w:pgSz w:w="12240" w:h="15840"/>
          <w:pgMar w:header="0" w:footer="974" w:top="1280" w:bottom="1160" w:left="1240" w:right="1660"/>
        </w:sectPr>
      </w:pPr>
    </w:p>
    <w:p>
      <w:pPr>
        <w:pStyle w:val="BodyText"/>
        <w:spacing w:line="357" w:lineRule="auto" w:before="71"/>
        <w:ind w:left="634" w:right="142"/>
      </w:pPr>
      <w:r>
        <w:rPr/>
        <w:t>typically lead to an adaptation of policies to prevent systemic collapse. These adaptive policy responses may preserve otherwise-fragile socio-economic topologies. They may even further encourage the growth of connectivity and complexity of these networks. For example, policies to support “super-spreader” banks in a crisis may encourage them to become larger, and more complex, still over time (Haldane (2009)). The combination of network economies, and policy responses to failure, means socio-economic systems may be less Darwinian, and hence decomposable, than natural and biological systems.</w:t>
      </w:r>
    </w:p>
    <w:p>
      <w:pPr>
        <w:pStyle w:val="BodyText"/>
        <w:spacing w:before="8"/>
        <w:rPr>
          <w:sz w:val="27"/>
        </w:rPr>
      </w:pPr>
    </w:p>
    <w:p>
      <w:pPr>
        <w:pStyle w:val="BodyText"/>
        <w:spacing w:line="357" w:lineRule="auto"/>
        <w:ind w:left="634" w:right="237"/>
      </w:pPr>
      <w:r>
        <w:rPr/>
        <w:t>It is against this backdrop that a complex, socio-economic “system of systems” may emerge. This can defined as one comprising an interlocking set of individually complex webs ((Gorod et al (2014)). The system of system concept initially emerged for engineering and enterprise systems, which involved</w:t>
      </w:r>
      <w:r>
        <w:rPr>
          <w:spacing w:val="-8"/>
        </w:rPr>
        <w:t> </w:t>
      </w:r>
      <w:r>
        <w:rPr/>
        <w:t>the</w:t>
      </w:r>
      <w:r>
        <w:rPr>
          <w:spacing w:val="-6"/>
        </w:rPr>
        <w:t> </w:t>
      </w:r>
      <w:r>
        <w:rPr/>
        <w:t>multi-layered</w:t>
      </w:r>
      <w:r>
        <w:rPr>
          <w:spacing w:val="-7"/>
        </w:rPr>
        <w:t> </w:t>
      </w:r>
      <w:r>
        <w:rPr/>
        <w:t>assembly</w:t>
      </w:r>
      <w:r>
        <w:rPr>
          <w:spacing w:val="-7"/>
        </w:rPr>
        <w:t> </w:t>
      </w:r>
      <w:r>
        <w:rPr/>
        <w:t>of</w:t>
      </w:r>
      <w:r>
        <w:rPr>
          <w:spacing w:val="-7"/>
        </w:rPr>
        <w:t> </w:t>
      </w:r>
      <w:r>
        <w:rPr/>
        <w:t>component</w:t>
      </w:r>
      <w:r>
        <w:rPr>
          <w:spacing w:val="-6"/>
        </w:rPr>
        <w:t> </w:t>
      </w:r>
      <w:r>
        <w:rPr/>
        <w:t>parts.</w:t>
      </w:r>
      <w:r>
        <w:rPr>
          <w:spacing w:val="38"/>
        </w:rPr>
        <w:t> </w:t>
      </w:r>
      <w:r>
        <w:rPr/>
        <w:t>But</w:t>
      </w:r>
      <w:r>
        <w:rPr>
          <w:spacing w:val="-7"/>
        </w:rPr>
        <w:t> </w:t>
      </w:r>
      <w:r>
        <w:rPr/>
        <w:t>it</w:t>
      </w:r>
      <w:r>
        <w:rPr>
          <w:spacing w:val="-8"/>
        </w:rPr>
        <w:t> </w:t>
      </w:r>
      <w:r>
        <w:rPr/>
        <w:t>has</w:t>
      </w:r>
      <w:r>
        <w:rPr>
          <w:spacing w:val="-5"/>
        </w:rPr>
        <w:t> </w:t>
      </w:r>
      <w:r>
        <w:rPr/>
        <w:t>since</w:t>
      </w:r>
      <w:r>
        <w:rPr>
          <w:spacing w:val="-8"/>
        </w:rPr>
        <w:t> </w:t>
      </w:r>
      <w:r>
        <w:rPr/>
        <w:t>found</w:t>
      </w:r>
      <w:r>
        <w:rPr>
          <w:spacing w:val="-8"/>
        </w:rPr>
        <w:t> </w:t>
      </w:r>
      <w:r>
        <w:rPr/>
        <w:t>its</w:t>
      </w:r>
      <w:r>
        <w:rPr>
          <w:spacing w:val="-6"/>
        </w:rPr>
        <w:t> </w:t>
      </w:r>
      <w:r>
        <w:rPr/>
        <w:t>way</w:t>
      </w:r>
      <w:r>
        <w:rPr>
          <w:spacing w:val="-6"/>
        </w:rPr>
        <w:t> </w:t>
      </w:r>
      <w:r>
        <w:rPr/>
        <w:t>into</w:t>
      </w:r>
      <w:r>
        <w:rPr>
          <w:spacing w:val="-7"/>
        </w:rPr>
        <w:t> </w:t>
      </w:r>
      <w:r>
        <w:rPr/>
        <w:t>a</w:t>
      </w:r>
      <w:r>
        <w:rPr>
          <w:spacing w:val="-5"/>
        </w:rPr>
        <w:t> </w:t>
      </w:r>
      <w:r>
        <w:rPr/>
        <w:t>number of</w:t>
      </w:r>
      <w:r>
        <w:rPr>
          <w:spacing w:val="-12"/>
        </w:rPr>
        <w:t> </w:t>
      </w:r>
      <w:r>
        <w:rPr/>
        <w:t>other</w:t>
      </w:r>
      <w:r>
        <w:rPr>
          <w:spacing w:val="-11"/>
        </w:rPr>
        <w:t> </w:t>
      </w:r>
      <w:r>
        <w:rPr/>
        <w:t>domains</w:t>
      </w:r>
      <w:r>
        <w:rPr>
          <w:spacing w:val="-10"/>
        </w:rPr>
        <w:t> </w:t>
      </w:r>
      <w:r>
        <w:rPr/>
        <w:t>including</w:t>
      </w:r>
      <w:r>
        <w:rPr>
          <w:spacing w:val="-10"/>
        </w:rPr>
        <w:t> </w:t>
      </w:r>
      <w:r>
        <w:rPr/>
        <w:t>military</w:t>
      </w:r>
      <w:r>
        <w:rPr>
          <w:spacing w:val="-11"/>
        </w:rPr>
        <w:t> </w:t>
      </w:r>
      <w:r>
        <w:rPr/>
        <w:t>planning,</w:t>
      </w:r>
      <w:r>
        <w:rPr>
          <w:spacing w:val="-11"/>
        </w:rPr>
        <w:t> </w:t>
      </w:r>
      <w:r>
        <w:rPr/>
        <w:t>ecological</w:t>
      </w:r>
      <w:r>
        <w:rPr>
          <w:spacing w:val="-11"/>
        </w:rPr>
        <w:t> </w:t>
      </w:r>
      <w:r>
        <w:rPr/>
        <w:t>evolution,</w:t>
      </w:r>
      <w:r>
        <w:rPr>
          <w:spacing w:val="-9"/>
        </w:rPr>
        <w:t> </w:t>
      </w:r>
      <w:r>
        <w:rPr/>
        <w:t>power</w:t>
      </w:r>
      <w:r>
        <w:rPr>
          <w:spacing w:val="-12"/>
        </w:rPr>
        <w:t> </w:t>
      </w:r>
      <w:r>
        <w:rPr/>
        <w:t>grids,</w:t>
      </w:r>
      <w:r>
        <w:rPr>
          <w:spacing w:val="-11"/>
        </w:rPr>
        <w:t> </w:t>
      </w:r>
      <w:r>
        <w:rPr/>
        <w:t>transport</w:t>
      </w:r>
      <w:r>
        <w:rPr>
          <w:spacing w:val="-9"/>
        </w:rPr>
        <w:t> </w:t>
      </w:r>
      <w:r>
        <w:rPr/>
        <w:t>networks</w:t>
      </w:r>
      <w:r>
        <w:rPr>
          <w:spacing w:val="-9"/>
        </w:rPr>
        <w:t> </w:t>
      </w:r>
      <w:r>
        <w:rPr/>
        <w:t>and neurological structures (Gao et al</w:t>
      </w:r>
      <w:r>
        <w:rPr>
          <w:spacing w:val="-8"/>
        </w:rPr>
        <w:t> </w:t>
      </w:r>
      <w:r>
        <w:rPr/>
        <w:t>(2014)).</w:t>
      </w:r>
    </w:p>
    <w:p>
      <w:pPr>
        <w:pStyle w:val="BodyText"/>
        <w:spacing w:before="8"/>
        <w:rPr>
          <w:sz w:val="27"/>
        </w:rPr>
      </w:pPr>
    </w:p>
    <w:p>
      <w:pPr>
        <w:pStyle w:val="BodyText"/>
        <w:spacing w:line="357" w:lineRule="auto"/>
        <w:ind w:left="634" w:right="225"/>
      </w:pPr>
      <w:r>
        <w:rPr/>
        <w:t>Although still in its infancy, there are some general properties of a “system of systems” perspective that are worth bringing out. For example, Kurant and Thiran (2006) look at the behaviour of a particular topology – a </w:t>
      </w:r>
      <w:r>
        <w:rPr>
          <w:i/>
        </w:rPr>
        <w:t>layered </w:t>
      </w:r>
      <w:r>
        <w:rPr/>
        <w:t>complex network. Specifically, they focus on the behaviour of transport networks with a two-layer structure. Simulations of this network suggest that monitoring risk on a layer-by-layer basis is likely to understate significantly the risk facing each individual layer.</w:t>
      </w:r>
    </w:p>
    <w:p>
      <w:pPr>
        <w:pStyle w:val="BodyText"/>
        <w:spacing w:before="9"/>
        <w:rPr>
          <w:sz w:val="27"/>
        </w:rPr>
      </w:pPr>
    </w:p>
    <w:p>
      <w:pPr>
        <w:pStyle w:val="BodyText"/>
        <w:spacing w:line="357" w:lineRule="auto"/>
        <w:ind w:left="634" w:right="258"/>
      </w:pPr>
      <w:r>
        <w:rPr/>
        <w:t>Layered complex networks may also be less robust to failure than might be apparent from assessing the resilience of each layer in turn. In other words, the risks in a layered network are strikingly different than the sum of their parts. The greater the complexity of each layer, and the stronger the correlation between layers, the greater is this vulnerability (Kurant and Thiran (2006)). In some respects, this is the counterpart of Simon’s “decomposability” hypothesis in a system of systems context.</w:t>
      </w:r>
    </w:p>
    <w:p>
      <w:pPr>
        <w:pStyle w:val="BodyText"/>
        <w:spacing w:before="8"/>
        <w:rPr>
          <w:sz w:val="27"/>
        </w:rPr>
      </w:pPr>
    </w:p>
    <w:p>
      <w:pPr>
        <w:pStyle w:val="BodyText"/>
        <w:spacing w:line="357" w:lineRule="auto"/>
        <w:ind w:left="634" w:right="237"/>
      </w:pPr>
      <w:r>
        <w:rPr/>
        <w:t>Most recently, research has focussed on the controllability of complex, layered networks (Liu, Slotine and Barabasi (2011), Gao, Liu, D’Souza and Barabasi (2014)). It has tended to find that, even when the dimensionality of a network is large (a large number of layers), effective control can be exercised by acting on a relatively small number of key layers or nodes. This is particularly the case when the network has scale-free properties – in other words, a core-periphery-type topology.</w:t>
      </w:r>
    </w:p>
    <w:p>
      <w:pPr>
        <w:pStyle w:val="BodyText"/>
        <w:spacing w:before="10"/>
        <w:rPr>
          <w:sz w:val="27"/>
        </w:rPr>
      </w:pPr>
    </w:p>
    <w:p>
      <w:pPr>
        <w:pStyle w:val="BodyText"/>
        <w:spacing w:line="357" w:lineRule="auto"/>
        <w:ind w:left="634" w:right="131"/>
      </w:pPr>
      <w:r>
        <w:rPr/>
        <w:t>These points can be brought to life using some simulations of the statistical distribution of a simple set of systems of systems. These are constructed by mixing together component distributions, which proxy the layers or sub-systems. These layers may themselves be complex. This mixing of layers, or distributions, is done using an assumed distribution of correlations, which may itself be non-normal and complex. In other words, there are multiple layers of complexity in this system of systems. The inputs to the simulations are shown in Table 1.</w:t>
      </w:r>
    </w:p>
    <w:p>
      <w:pPr>
        <w:spacing w:after="0" w:line="357" w:lineRule="auto"/>
        <w:sectPr>
          <w:footerReference w:type="default" r:id="rId8"/>
          <w:pgSz w:w="12240" w:h="15840"/>
          <w:pgMar w:footer="974" w:header="0" w:top="1280" w:bottom="1160" w:left="1240" w:right="1660"/>
          <w:pgNumType w:start="5"/>
        </w:sectPr>
      </w:pPr>
    </w:p>
    <w:p>
      <w:pPr>
        <w:pStyle w:val="BodyText"/>
        <w:spacing w:line="357" w:lineRule="auto" w:before="71"/>
        <w:ind w:left="634" w:right="220"/>
      </w:pPr>
      <w:r>
        <w:rPr/>
        <w:t>Chart 1 shows a set of joint (system-wide) distributions from these simulations, where each line represents a probability contour of the distribution.</w:t>
      </w:r>
      <w:r>
        <w:rPr>
          <w:vertAlign w:val="superscript"/>
        </w:rPr>
        <w:t>3</w:t>
      </w:r>
      <w:r>
        <w:rPr>
          <w:vertAlign w:val="baseline"/>
        </w:rPr>
        <w:t> Chart 1a is the baseline case. It involves a mix of two normal distributions with a low correlation coefficient (0.3) where these correlations are themselves normally distributed.</w:t>
      </w:r>
      <w:r>
        <w:rPr>
          <w:vertAlign w:val="superscript"/>
        </w:rPr>
        <w:t>4</w:t>
      </w:r>
      <w:r>
        <w:rPr>
          <w:vertAlign w:val="baseline"/>
        </w:rPr>
        <w:t> This joint distribution represents a two-layer system of systems, with</w:t>
      </w:r>
      <w:r>
        <w:rPr>
          <w:spacing w:val="-9"/>
          <w:vertAlign w:val="baseline"/>
        </w:rPr>
        <w:t> </w:t>
      </w:r>
      <w:r>
        <w:rPr>
          <w:vertAlign w:val="baseline"/>
        </w:rPr>
        <w:t>neither</w:t>
      </w:r>
      <w:r>
        <w:rPr>
          <w:spacing w:val="-9"/>
          <w:vertAlign w:val="baseline"/>
        </w:rPr>
        <w:t> </w:t>
      </w:r>
      <w:r>
        <w:rPr>
          <w:vertAlign w:val="baseline"/>
        </w:rPr>
        <w:t>layer</w:t>
      </w:r>
      <w:r>
        <w:rPr>
          <w:spacing w:val="-9"/>
          <w:vertAlign w:val="baseline"/>
        </w:rPr>
        <w:t> </w:t>
      </w:r>
      <w:r>
        <w:rPr>
          <w:vertAlign w:val="baseline"/>
        </w:rPr>
        <w:t>complex</w:t>
      </w:r>
      <w:r>
        <w:rPr>
          <w:spacing w:val="-8"/>
          <w:vertAlign w:val="baseline"/>
        </w:rPr>
        <w:t> </w:t>
      </w:r>
      <w:r>
        <w:rPr>
          <w:vertAlign w:val="baseline"/>
        </w:rPr>
        <w:t>(hence</w:t>
      </w:r>
      <w:r>
        <w:rPr>
          <w:spacing w:val="-10"/>
          <w:vertAlign w:val="baseline"/>
        </w:rPr>
        <w:t> </w:t>
      </w:r>
      <w:r>
        <w:rPr>
          <w:vertAlign w:val="baseline"/>
        </w:rPr>
        <w:t>the</w:t>
      </w:r>
      <w:r>
        <w:rPr>
          <w:spacing w:val="-9"/>
          <w:vertAlign w:val="baseline"/>
        </w:rPr>
        <w:t> </w:t>
      </w:r>
      <w:r>
        <w:rPr>
          <w:vertAlign w:val="baseline"/>
        </w:rPr>
        <w:t>normal</w:t>
      </w:r>
      <w:r>
        <w:rPr>
          <w:spacing w:val="-9"/>
          <w:vertAlign w:val="baseline"/>
        </w:rPr>
        <w:t> </w:t>
      </w:r>
      <w:r>
        <w:rPr>
          <w:vertAlign w:val="baseline"/>
        </w:rPr>
        <w:t>distribution</w:t>
      </w:r>
      <w:r>
        <w:rPr>
          <w:spacing w:val="-9"/>
          <w:vertAlign w:val="baseline"/>
        </w:rPr>
        <w:t> </w:t>
      </w:r>
      <w:r>
        <w:rPr>
          <w:vertAlign w:val="baseline"/>
        </w:rPr>
        <w:t>for</w:t>
      </w:r>
      <w:r>
        <w:rPr>
          <w:spacing w:val="-8"/>
          <w:vertAlign w:val="baseline"/>
        </w:rPr>
        <w:t> </w:t>
      </w:r>
      <w:r>
        <w:rPr>
          <w:vertAlign w:val="baseline"/>
        </w:rPr>
        <w:t>each)</w:t>
      </w:r>
      <w:r>
        <w:rPr>
          <w:spacing w:val="-9"/>
          <w:vertAlign w:val="baseline"/>
        </w:rPr>
        <w:t> </w:t>
      </w:r>
      <w:r>
        <w:rPr>
          <w:vertAlign w:val="baseline"/>
        </w:rPr>
        <w:t>and</w:t>
      </w:r>
      <w:r>
        <w:rPr>
          <w:spacing w:val="-7"/>
          <w:vertAlign w:val="baseline"/>
        </w:rPr>
        <w:t> </w:t>
      </w:r>
      <w:r>
        <w:rPr>
          <w:vertAlign w:val="baseline"/>
        </w:rPr>
        <w:t>where</w:t>
      </w:r>
      <w:r>
        <w:rPr>
          <w:spacing w:val="-9"/>
          <w:vertAlign w:val="baseline"/>
        </w:rPr>
        <w:t> </w:t>
      </w:r>
      <w:r>
        <w:rPr>
          <w:vertAlign w:val="baseline"/>
        </w:rPr>
        <w:t>the</w:t>
      </w:r>
      <w:r>
        <w:rPr>
          <w:spacing w:val="-9"/>
          <w:vertAlign w:val="baseline"/>
        </w:rPr>
        <w:t> </w:t>
      </w:r>
      <w:r>
        <w:rPr>
          <w:vertAlign w:val="baseline"/>
        </w:rPr>
        <w:t>correlation</w:t>
      </w:r>
      <w:r>
        <w:rPr>
          <w:spacing w:val="-9"/>
          <w:vertAlign w:val="baseline"/>
        </w:rPr>
        <w:t> </w:t>
      </w:r>
      <w:r>
        <w:rPr>
          <w:vertAlign w:val="baseline"/>
        </w:rPr>
        <w:t>between the sub-systems is weak and regular. The resulting joint distribution is slightly more elliptical than the normal</w:t>
      </w:r>
      <w:r>
        <w:rPr>
          <w:spacing w:val="-10"/>
          <w:vertAlign w:val="baseline"/>
        </w:rPr>
        <w:t> </w:t>
      </w:r>
      <w:r>
        <w:rPr>
          <w:vertAlign w:val="baseline"/>
        </w:rPr>
        <w:t>-</w:t>
      </w:r>
      <w:r>
        <w:rPr>
          <w:spacing w:val="-10"/>
          <w:vertAlign w:val="baseline"/>
        </w:rPr>
        <w:t> </w:t>
      </w:r>
      <w:r>
        <w:rPr>
          <w:vertAlign w:val="baseline"/>
        </w:rPr>
        <w:t>meaning</w:t>
      </w:r>
      <w:r>
        <w:rPr>
          <w:spacing w:val="-9"/>
          <w:vertAlign w:val="baseline"/>
        </w:rPr>
        <w:t> </w:t>
      </w:r>
      <w:r>
        <w:rPr>
          <w:vertAlign w:val="baseline"/>
        </w:rPr>
        <w:t>a</w:t>
      </w:r>
      <w:r>
        <w:rPr>
          <w:spacing w:val="-11"/>
          <w:vertAlign w:val="baseline"/>
        </w:rPr>
        <w:t> </w:t>
      </w:r>
      <w:r>
        <w:rPr>
          <w:vertAlign w:val="baseline"/>
        </w:rPr>
        <w:t>greater</w:t>
      </w:r>
      <w:r>
        <w:rPr>
          <w:spacing w:val="-9"/>
          <w:vertAlign w:val="baseline"/>
        </w:rPr>
        <w:t> </w:t>
      </w:r>
      <w:r>
        <w:rPr>
          <w:vertAlign w:val="baseline"/>
        </w:rPr>
        <w:t>likelihood</w:t>
      </w:r>
      <w:r>
        <w:rPr>
          <w:spacing w:val="-10"/>
          <w:vertAlign w:val="baseline"/>
        </w:rPr>
        <w:t> </w:t>
      </w:r>
      <w:r>
        <w:rPr>
          <w:vertAlign w:val="baseline"/>
        </w:rPr>
        <w:t>of</w:t>
      </w:r>
      <w:r>
        <w:rPr>
          <w:spacing w:val="-8"/>
          <w:vertAlign w:val="baseline"/>
        </w:rPr>
        <w:t> </w:t>
      </w:r>
      <w:r>
        <w:rPr>
          <w:vertAlign w:val="baseline"/>
        </w:rPr>
        <w:t>large</w:t>
      </w:r>
      <w:r>
        <w:rPr>
          <w:spacing w:val="-10"/>
          <w:vertAlign w:val="baseline"/>
        </w:rPr>
        <w:t> </w:t>
      </w:r>
      <w:r>
        <w:rPr>
          <w:vertAlign w:val="baseline"/>
        </w:rPr>
        <w:t>positive</w:t>
      </w:r>
      <w:r>
        <w:rPr>
          <w:spacing w:val="-9"/>
          <w:vertAlign w:val="baseline"/>
        </w:rPr>
        <w:t> </w:t>
      </w:r>
      <w:r>
        <w:rPr>
          <w:vertAlign w:val="baseline"/>
        </w:rPr>
        <w:t>or</w:t>
      </w:r>
      <w:r>
        <w:rPr>
          <w:spacing w:val="-10"/>
          <w:vertAlign w:val="baseline"/>
        </w:rPr>
        <w:t> </w:t>
      </w:r>
      <w:r>
        <w:rPr>
          <w:vertAlign w:val="baseline"/>
        </w:rPr>
        <w:t>negative</w:t>
      </w:r>
      <w:r>
        <w:rPr>
          <w:spacing w:val="-10"/>
          <w:vertAlign w:val="baseline"/>
        </w:rPr>
        <w:t> </w:t>
      </w:r>
      <w:r>
        <w:rPr>
          <w:vertAlign w:val="baseline"/>
        </w:rPr>
        <w:t>outcomes</w:t>
      </w:r>
      <w:r>
        <w:rPr>
          <w:spacing w:val="-7"/>
          <w:vertAlign w:val="baseline"/>
        </w:rPr>
        <w:t> </w:t>
      </w:r>
      <w:r>
        <w:rPr>
          <w:vertAlign w:val="baseline"/>
        </w:rPr>
        <w:t>occurring</w:t>
      </w:r>
      <w:r>
        <w:rPr>
          <w:spacing w:val="-11"/>
          <w:vertAlign w:val="baseline"/>
        </w:rPr>
        <w:t> </w:t>
      </w:r>
      <w:r>
        <w:rPr>
          <w:vertAlign w:val="baseline"/>
        </w:rPr>
        <w:t>simultaneously</w:t>
      </w:r>
    </w:p>
    <w:p>
      <w:pPr>
        <w:pStyle w:val="BodyText"/>
        <w:spacing w:line="211" w:lineRule="exact"/>
        <w:ind w:left="634"/>
      </w:pPr>
      <w:r>
        <w:rPr/>
        <w:t>- but is otherwise unexceptional.</w:t>
      </w:r>
      <w:r>
        <w:rPr>
          <w:vertAlign w:val="superscript"/>
        </w:rPr>
        <w:t>5</w:t>
      </w:r>
    </w:p>
    <w:p>
      <w:pPr>
        <w:pStyle w:val="BodyText"/>
        <w:rPr>
          <w:sz w:val="24"/>
        </w:rPr>
      </w:pPr>
    </w:p>
    <w:p>
      <w:pPr>
        <w:pStyle w:val="BodyText"/>
        <w:spacing w:line="357" w:lineRule="auto" w:before="155"/>
        <w:ind w:left="634" w:right="254"/>
      </w:pPr>
      <w:r>
        <w:rPr/>
        <w:t>We can now add progressively greater degrees of complexity to this base case to assess its impact on the distribution of systemic risk. Chart 1b raises the correlation between the two layers to 0.8; there is now strong feedback between the sub-systems. It results in a notable elongation of the system-wide</w:t>
      </w:r>
      <w:r>
        <w:rPr>
          <w:spacing w:val="-10"/>
        </w:rPr>
        <w:t> </w:t>
      </w:r>
      <w:r>
        <w:rPr/>
        <w:t>distribution</w:t>
      </w:r>
      <w:r>
        <w:rPr>
          <w:spacing w:val="-9"/>
        </w:rPr>
        <w:t> </w:t>
      </w:r>
      <w:r>
        <w:rPr/>
        <w:t>and</w:t>
      </w:r>
      <w:r>
        <w:rPr>
          <w:spacing w:val="-9"/>
        </w:rPr>
        <w:t> </w:t>
      </w:r>
      <w:r>
        <w:rPr/>
        <w:t>an</w:t>
      </w:r>
      <w:r>
        <w:rPr>
          <w:spacing w:val="-10"/>
        </w:rPr>
        <w:t> </w:t>
      </w:r>
      <w:r>
        <w:rPr/>
        <w:t>even</w:t>
      </w:r>
      <w:r>
        <w:rPr>
          <w:spacing w:val="-9"/>
        </w:rPr>
        <w:t> </w:t>
      </w:r>
      <w:r>
        <w:rPr/>
        <w:t>greater</w:t>
      </w:r>
      <w:r>
        <w:rPr>
          <w:spacing w:val="-9"/>
        </w:rPr>
        <w:t> </w:t>
      </w:r>
      <w:r>
        <w:rPr/>
        <w:t>probability</w:t>
      </w:r>
      <w:r>
        <w:rPr>
          <w:spacing w:val="-10"/>
        </w:rPr>
        <w:t> </w:t>
      </w:r>
      <w:r>
        <w:rPr/>
        <w:t>of</w:t>
      </w:r>
      <w:r>
        <w:rPr>
          <w:spacing w:val="-9"/>
        </w:rPr>
        <w:t> </w:t>
      </w:r>
      <w:r>
        <w:rPr/>
        <w:t>good</w:t>
      </w:r>
      <w:r>
        <w:rPr>
          <w:spacing w:val="-9"/>
        </w:rPr>
        <w:t> </w:t>
      </w:r>
      <w:r>
        <w:rPr/>
        <w:t>or</w:t>
      </w:r>
      <w:r>
        <w:rPr>
          <w:spacing w:val="-9"/>
        </w:rPr>
        <w:t> </w:t>
      </w:r>
      <w:r>
        <w:rPr/>
        <w:t>bad</w:t>
      </w:r>
      <w:r>
        <w:rPr>
          <w:spacing w:val="-10"/>
        </w:rPr>
        <w:t> </w:t>
      </w:r>
      <w:r>
        <w:rPr/>
        <w:t>news</w:t>
      </w:r>
      <w:r>
        <w:rPr>
          <w:spacing w:val="-8"/>
        </w:rPr>
        <w:t> </w:t>
      </w:r>
      <w:r>
        <w:rPr/>
        <w:t>striking</w:t>
      </w:r>
      <w:r>
        <w:rPr>
          <w:spacing w:val="-10"/>
        </w:rPr>
        <w:t> </w:t>
      </w:r>
      <w:r>
        <w:rPr/>
        <w:t>simultaneously; it</w:t>
      </w:r>
      <w:r>
        <w:rPr>
          <w:spacing w:val="-10"/>
        </w:rPr>
        <w:t> </w:t>
      </w:r>
      <w:r>
        <w:rPr/>
        <w:t>becomes</w:t>
      </w:r>
      <w:r>
        <w:rPr>
          <w:spacing w:val="-8"/>
        </w:rPr>
        <w:t> </w:t>
      </w:r>
      <w:r>
        <w:rPr/>
        <w:t>more</w:t>
      </w:r>
      <w:r>
        <w:rPr>
          <w:spacing w:val="-10"/>
        </w:rPr>
        <w:t> </w:t>
      </w:r>
      <w:r>
        <w:rPr/>
        <w:t>non-normal,</w:t>
      </w:r>
      <w:r>
        <w:rPr>
          <w:spacing w:val="-10"/>
        </w:rPr>
        <w:t> </w:t>
      </w:r>
      <w:r>
        <w:rPr/>
        <w:t>closer</w:t>
      </w:r>
      <w:r>
        <w:rPr>
          <w:spacing w:val="-10"/>
        </w:rPr>
        <w:t> </w:t>
      </w:r>
      <w:r>
        <w:rPr/>
        <w:t>to</w:t>
      </w:r>
      <w:r>
        <w:rPr>
          <w:spacing w:val="-9"/>
        </w:rPr>
        <w:t> </w:t>
      </w:r>
      <w:r>
        <w:rPr/>
        <w:t>the</w:t>
      </w:r>
      <w:r>
        <w:rPr>
          <w:spacing w:val="-10"/>
        </w:rPr>
        <w:t> </w:t>
      </w:r>
      <w:r>
        <w:rPr/>
        <w:t>statistical</w:t>
      </w:r>
      <w:r>
        <w:rPr>
          <w:spacing w:val="-10"/>
        </w:rPr>
        <w:t> </w:t>
      </w:r>
      <w:r>
        <w:rPr/>
        <w:t>properties</w:t>
      </w:r>
      <w:r>
        <w:rPr>
          <w:spacing w:val="-7"/>
        </w:rPr>
        <w:t> </w:t>
      </w:r>
      <w:r>
        <w:rPr/>
        <w:t>we</w:t>
      </w:r>
      <w:r>
        <w:rPr>
          <w:spacing w:val="-10"/>
        </w:rPr>
        <w:t> </w:t>
      </w:r>
      <w:r>
        <w:rPr/>
        <w:t>expect</w:t>
      </w:r>
      <w:r>
        <w:rPr>
          <w:spacing w:val="-8"/>
        </w:rPr>
        <w:t> </w:t>
      </w:r>
      <w:r>
        <w:rPr/>
        <w:t>from</w:t>
      </w:r>
      <w:r>
        <w:rPr>
          <w:spacing w:val="-10"/>
        </w:rPr>
        <w:t> </w:t>
      </w:r>
      <w:r>
        <w:rPr/>
        <w:t>natural,</w:t>
      </w:r>
      <w:r>
        <w:rPr>
          <w:spacing w:val="-8"/>
        </w:rPr>
        <w:t> </w:t>
      </w:r>
      <w:r>
        <w:rPr/>
        <w:t>biological</w:t>
      </w:r>
      <w:r>
        <w:rPr>
          <w:spacing w:val="-9"/>
        </w:rPr>
        <w:t> </w:t>
      </w:r>
      <w:r>
        <w:rPr/>
        <w:t>and social</w:t>
      </w:r>
      <w:r>
        <w:rPr>
          <w:spacing w:val="-1"/>
        </w:rPr>
        <w:t> </w:t>
      </w:r>
      <w:r>
        <w:rPr/>
        <w:t>networks.</w:t>
      </w:r>
    </w:p>
    <w:p>
      <w:pPr>
        <w:pStyle w:val="BodyText"/>
        <w:spacing w:before="9"/>
        <w:rPr>
          <w:sz w:val="27"/>
        </w:rPr>
      </w:pPr>
    </w:p>
    <w:p>
      <w:pPr>
        <w:pStyle w:val="BodyText"/>
        <w:spacing w:line="357" w:lineRule="auto"/>
        <w:ind w:left="634" w:right="215"/>
      </w:pPr>
      <w:r>
        <w:rPr/>
        <w:t>If</w:t>
      </w:r>
      <w:r>
        <w:rPr>
          <w:spacing w:val="-7"/>
        </w:rPr>
        <w:t> </w:t>
      </w:r>
      <w:r>
        <w:rPr/>
        <w:t>we</w:t>
      </w:r>
      <w:r>
        <w:rPr>
          <w:spacing w:val="-7"/>
        </w:rPr>
        <w:t> </w:t>
      </w:r>
      <w:r>
        <w:rPr/>
        <w:t>allow</w:t>
      </w:r>
      <w:r>
        <w:rPr>
          <w:spacing w:val="-7"/>
        </w:rPr>
        <w:t> </w:t>
      </w:r>
      <w:r>
        <w:rPr/>
        <w:t>one</w:t>
      </w:r>
      <w:r>
        <w:rPr>
          <w:spacing w:val="-6"/>
        </w:rPr>
        <w:t> </w:t>
      </w:r>
      <w:r>
        <w:rPr/>
        <w:t>of</w:t>
      </w:r>
      <w:r>
        <w:rPr>
          <w:spacing w:val="-6"/>
        </w:rPr>
        <w:t> </w:t>
      </w:r>
      <w:r>
        <w:rPr/>
        <w:t>the</w:t>
      </w:r>
      <w:r>
        <w:rPr>
          <w:spacing w:val="-6"/>
        </w:rPr>
        <w:t> </w:t>
      </w:r>
      <w:r>
        <w:rPr/>
        <w:t>layers</w:t>
      </w:r>
      <w:r>
        <w:rPr>
          <w:spacing w:val="-5"/>
        </w:rPr>
        <w:t> </w:t>
      </w:r>
      <w:r>
        <w:rPr/>
        <w:t>of</w:t>
      </w:r>
      <w:r>
        <w:rPr>
          <w:spacing w:val="-6"/>
        </w:rPr>
        <w:t> </w:t>
      </w:r>
      <w:r>
        <w:rPr/>
        <w:t>this</w:t>
      </w:r>
      <w:r>
        <w:rPr>
          <w:spacing w:val="-7"/>
        </w:rPr>
        <w:t> </w:t>
      </w:r>
      <w:r>
        <w:rPr/>
        <w:t>cake</w:t>
      </w:r>
      <w:r>
        <w:rPr>
          <w:spacing w:val="-7"/>
        </w:rPr>
        <w:t> </w:t>
      </w:r>
      <w:r>
        <w:rPr/>
        <w:t>to</w:t>
      </w:r>
      <w:r>
        <w:rPr>
          <w:spacing w:val="-6"/>
        </w:rPr>
        <w:t> </w:t>
      </w:r>
      <w:r>
        <w:rPr/>
        <w:t>exhibit</w:t>
      </w:r>
      <w:r>
        <w:rPr>
          <w:spacing w:val="-4"/>
        </w:rPr>
        <w:t> </w:t>
      </w:r>
      <w:r>
        <w:rPr/>
        <w:t>the</w:t>
      </w:r>
      <w:r>
        <w:rPr>
          <w:spacing w:val="-7"/>
        </w:rPr>
        <w:t> </w:t>
      </w:r>
      <w:r>
        <w:rPr/>
        <w:t>properties</w:t>
      </w:r>
      <w:r>
        <w:rPr>
          <w:spacing w:val="-4"/>
        </w:rPr>
        <w:t> </w:t>
      </w:r>
      <w:r>
        <w:rPr/>
        <w:t>of</w:t>
      </w:r>
      <w:r>
        <w:rPr>
          <w:spacing w:val="-6"/>
        </w:rPr>
        <w:t> </w:t>
      </w:r>
      <w:r>
        <w:rPr/>
        <w:t>a</w:t>
      </w:r>
      <w:r>
        <w:rPr>
          <w:spacing w:val="-7"/>
        </w:rPr>
        <w:t> </w:t>
      </w:r>
      <w:r>
        <w:rPr/>
        <w:t>complex</w:t>
      </w:r>
      <w:r>
        <w:rPr>
          <w:spacing w:val="-6"/>
        </w:rPr>
        <w:t> </w:t>
      </w:r>
      <w:r>
        <w:rPr/>
        <w:t>system,</w:t>
      </w:r>
      <w:r>
        <w:rPr>
          <w:spacing w:val="-6"/>
        </w:rPr>
        <w:t> </w:t>
      </w:r>
      <w:r>
        <w:rPr/>
        <w:t>by</w:t>
      </w:r>
      <w:r>
        <w:rPr>
          <w:spacing w:val="-6"/>
        </w:rPr>
        <w:t> </w:t>
      </w:r>
      <w:r>
        <w:rPr/>
        <w:t>assuming</w:t>
      </w:r>
      <w:r>
        <w:rPr>
          <w:spacing w:val="-6"/>
        </w:rPr>
        <w:t> </w:t>
      </w:r>
      <w:r>
        <w:rPr/>
        <w:t>it is</w:t>
      </w:r>
      <w:r>
        <w:rPr>
          <w:spacing w:val="-8"/>
        </w:rPr>
        <w:t> </w:t>
      </w:r>
      <w:r>
        <w:rPr/>
        <w:t>t-</w:t>
      </w:r>
      <w:r>
        <w:rPr>
          <w:spacing w:val="-7"/>
        </w:rPr>
        <w:t> </w:t>
      </w:r>
      <w:r>
        <w:rPr/>
        <w:t>rather</w:t>
      </w:r>
      <w:r>
        <w:rPr>
          <w:spacing w:val="-6"/>
        </w:rPr>
        <w:t> </w:t>
      </w:r>
      <w:r>
        <w:rPr/>
        <w:t>than</w:t>
      </w:r>
      <w:r>
        <w:rPr>
          <w:spacing w:val="-8"/>
        </w:rPr>
        <w:t> </w:t>
      </w:r>
      <w:r>
        <w:rPr/>
        <w:t>normally-distributed,</w:t>
      </w:r>
      <w:r>
        <w:rPr>
          <w:spacing w:val="-6"/>
        </w:rPr>
        <w:t> </w:t>
      </w:r>
      <w:r>
        <w:rPr/>
        <w:t>then</w:t>
      </w:r>
      <w:r>
        <w:rPr>
          <w:spacing w:val="-8"/>
        </w:rPr>
        <w:t> </w:t>
      </w:r>
      <w:r>
        <w:rPr/>
        <w:t>the</w:t>
      </w:r>
      <w:r>
        <w:rPr>
          <w:spacing w:val="-7"/>
        </w:rPr>
        <w:t> </w:t>
      </w:r>
      <w:r>
        <w:rPr/>
        <w:t>system-wide</w:t>
      </w:r>
      <w:r>
        <w:rPr>
          <w:spacing w:val="-7"/>
        </w:rPr>
        <w:t> </w:t>
      </w:r>
      <w:r>
        <w:rPr/>
        <w:t>distribution</w:t>
      </w:r>
      <w:r>
        <w:rPr>
          <w:spacing w:val="-8"/>
        </w:rPr>
        <w:t> </w:t>
      </w:r>
      <w:r>
        <w:rPr/>
        <w:t>is</w:t>
      </w:r>
      <w:r>
        <w:rPr>
          <w:spacing w:val="-6"/>
        </w:rPr>
        <w:t> </w:t>
      </w:r>
      <w:r>
        <w:rPr/>
        <w:t>shown</w:t>
      </w:r>
      <w:r>
        <w:rPr>
          <w:spacing w:val="-8"/>
        </w:rPr>
        <w:t> </w:t>
      </w:r>
      <w:r>
        <w:rPr/>
        <w:t>in</w:t>
      </w:r>
      <w:r>
        <w:rPr>
          <w:spacing w:val="-7"/>
        </w:rPr>
        <w:t> </w:t>
      </w:r>
      <w:r>
        <w:rPr/>
        <w:t>Chart</w:t>
      </w:r>
      <w:r>
        <w:rPr>
          <w:spacing w:val="-6"/>
        </w:rPr>
        <w:t> </w:t>
      </w:r>
      <w:r>
        <w:rPr/>
        <w:t>1c.</w:t>
      </w:r>
      <w:r>
        <w:rPr>
          <w:vertAlign w:val="superscript"/>
        </w:rPr>
        <w:t>6</w:t>
      </w:r>
      <w:r>
        <w:rPr>
          <w:spacing w:val="40"/>
          <w:vertAlign w:val="baseline"/>
        </w:rPr>
        <w:t> </w:t>
      </w:r>
      <w:r>
        <w:rPr>
          <w:vertAlign w:val="baseline"/>
        </w:rPr>
        <w:t>The</w:t>
      </w:r>
      <w:r>
        <w:rPr>
          <w:spacing w:val="-7"/>
          <w:vertAlign w:val="baseline"/>
        </w:rPr>
        <w:t> </w:t>
      </w:r>
      <w:r>
        <w:rPr>
          <w:vertAlign w:val="baseline"/>
        </w:rPr>
        <w:t>tails of this distribution have now further widened. And if we allow for a non-normal distribution of correlations between the sub-systems – by assuming correlations rise when there is a bad draw, as during</w:t>
      </w:r>
      <w:r>
        <w:rPr>
          <w:spacing w:val="-4"/>
          <w:vertAlign w:val="baseline"/>
        </w:rPr>
        <w:t> </w:t>
      </w:r>
      <w:r>
        <w:rPr>
          <w:vertAlign w:val="baseline"/>
        </w:rPr>
        <w:t>crises</w:t>
      </w:r>
      <w:r>
        <w:rPr>
          <w:spacing w:val="-4"/>
          <w:vertAlign w:val="baseline"/>
        </w:rPr>
        <w:t> </w:t>
      </w:r>
      <w:r>
        <w:rPr>
          <w:vertAlign w:val="baseline"/>
        </w:rPr>
        <w:t>–</w:t>
      </w:r>
      <w:r>
        <w:rPr>
          <w:spacing w:val="-4"/>
          <w:vertAlign w:val="baseline"/>
        </w:rPr>
        <w:t> </w:t>
      </w:r>
      <w:r>
        <w:rPr>
          <w:vertAlign w:val="baseline"/>
        </w:rPr>
        <w:t>the</w:t>
      </w:r>
      <w:r>
        <w:rPr>
          <w:spacing w:val="-3"/>
          <w:vertAlign w:val="baseline"/>
        </w:rPr>
        <w:t> </w:t>
      </w:r>
      <w:r>
        <w:rPr>
          <w:vertAlign w:val="baseline"/>
        </w:rPr>
        <w:t>lower</w:t>
      </w:r>
      <w:r>
        <w:rPr>
          <w:spacing w:val="-4"/>
          <w:vertAlign w:val="baseline"/>
        </w:rPr>
        <w:t> </w:t>
      </w:r>
      <w:r>
        <w:rPr>
          <w:vertAlign w:val="baseline"/>
        </w:rPr>
        <w:t>tail</w:t>
      </w:r>
      <w:r>
        <w:rPr>
          <w:spacing w:val="-4"/>
          <w:vertAlign w:val="baseline"/>
        </w:rPr>
        <w:t> </w:t>
      </w:r>
      <w:r>
        <w:rPr>
          <w:vertAlign w:val="baseline"/>
        </w:rPr>
        <w:t>is</w:t>
      </w:r>
      <w:r>
        <w:rPr>
          <w:spacing w:val="-4"/>
          <w:vertAlign w:val="baseline"/>
        </w:rPr>
        <w:t> </w:t>
      </w:r>
      <w:r>
        <w:rPr>
          <w:vertAlign w:val="baseline"/>
        </w:rPr>
        <w:t>larger</w:t>
      </w:r>
      <w:r>
        <w:rPr>
          <w:spacing w:val="-3"/>
          <w:vertAlign w:val="baseline"/>
        </w:rPr>
        <w:t> </w:t>
      </w:r>
      <w:r>
        <w:rPr>
          <w:vertAlign w:val="baseline"/>
        </w:rPr>
        <w:t>still</w:t>
      </w:r>
      <w:r>
        <w:rPr>
          <w:spacing w:val="-4"/>
          <w:vertAlign w:val="baseline"/>
        </w:rPr>
        <w:t> </w:t>
      </w:r>
      <w:r>
        <w:rPr>
          <w:vertAlign w:val="baseline"/>
        </w:rPr>
        <w:t>and</w:t>
      </w:r>
      <w:r>
        <w:rPr>
          <w:spacing w:val="-4"/>
          <w:vertAlign w:val="baseline"/>
        </w:rPr>
        <w:t> </w:t>
      </w:r>
      <w:r>
        <w:rPr>
          <w:vertAlign w:val="baseline"/>
        </w:rPr>
        <w:t>the</w:t>
      </w:r>
      <w:r>
        <w:rPr>
          <w:spacing w:val="-4"/>
          <w:vertAlign w:val="baseline"/>
        </w:rPr>
        <w:t> </w:t>
      </w:r>
      <w:r>
        <w:rPr>
          <w:vertAlign w:val="baseline"/>
        </w:rPr>
        <w:t>mass</w:t>
      </w:r>
      <w:r>
        <w:rPr>
          <w:spacing w:val="-2"/>
          <w:vertAlign w:val="baseline"/>
        </w:rPr>
        <w:t> </w:t>
      </w:r>
      <w:r>
        <w:rPr>
          <w:vertAlign w:val="baseline"/>
        </w:rPr>
        <w:t>is</w:t>
      </w:r>
      <w:r>
        <w:rPr>
          <w:spacing w:val="-4"/>
          <w:vertAlign w:val="baseline"/>
        </w:rPr>
        <w:t> </w:t>
      </w:r>
      <w:r>
        <w:rPr>
          <w:vertAlign w:val="baseline"/>
        </w:rPr>
        <w:t>skewed</w:t>
      </w:r>
      <w:r>
        <w:rPr>
          <w:spacing w:val="-5"/>
          <w:vertAlign w:val="baseline"/>
        </w:rPr>
        <w:t> </w:t>
      </w:r>
      <w:r>
        <w:rPr>
          <w:vertAlign w:val="baseline"/>
        </w:rPr>
        <w:t>downwards</w:t>
      </w:r>
      <w:r>
        <w:rPr>
          <w:spacing w:val="-2"/>
          <w:vertAlign w:val="baseline"/>
        </w:rPr>
        <w:t> </w:t>
      </w:r>
      <w:r>
        <w:rPr>
          <w:vertAlign w:val="baseline"/>
        </w:rPr>
        <w:t>(Chart</w:t>
      </w:r>
      <w:r>
        <w:rPr>
          <w:spacing w:val="-2"/>
          <w:vertAlign w:val="baseline"/>
        </w:rPr>
        <w:t> </w:t>
      </w:r>
      <w:r>
        <w:rPr>
          <w:vertAlign w:val="baseline"/>
        </w:rPr>
        <w:t>1d).</w:t>
      </w:r>
    </w:p>
    <w:p>
      <w:pPr>
        <w:pStyle w:val="BodyText"/>
        <w:spacing w:before="8"/>
        <w:rPr>
          <w:sz w:val="27"/>
        </w:rPr>
      </w:pPr>
    </w:p>
    <w:p>
      <w:pPr>
        <w:pStyle w:val="BodyText"/>
        <w:spacing w:line="357" w:lineRule="auto" w:before="1"/>
        <w:ind w:left="634" w:right="163"/>
      </w:pPr>
      <w:r>
        <w:rPr/>
        <w:t>The final, and perhaps most interesting, case is shown in Chart 1e. This shows a three-layer network. Two of these layers are themselves complex (they are t-distributed) and all of the layers are strongly correlated in the network tree. The resulting system-wide distribution is highly irregular. It is also heavily fat-tailed, meaning that catastrophically good or bad outcomes are now much more probable than the normal distribution would suggest. Its topology is significantly more complex than any of its individual layers.</w:t>
      </w:r>
    </w:p>
    <w:p>
      <w:pPr>
        <w:pStyle w:val="BodyText"/>
        <w:spacing w:before="8"/>
        <w:rPr>
          <w:sz w:val="27"/>
        </w:rPr>
      </w:pPr>
    </w:p>
    <w:p>
      <w:pPr>
        <w:pStyle w:val="BodyText"/>
        <w:spacing w:line="357" w:lineRule="auto" w:before="1"/>
        <w:ind w:left="634" w:right="364"/>
      </w:pPr>
      <w:r>
        <w:rPr/>
        <w:t>These simulations, although simple, provide some insight into the likely behaviour of a complex system of systems. For example, they suggest that viewing risk through the lens of a single layer is likely to provide a significantly distorted picture of the true risk distribution, with the probability of tail events materially under-estimated. As an example of that, Chart 1f looks at the unconditional and conditional distributions of one of the sub-systems in Chart 1c. The conditional distribution is conditioned on outcomes in the second layer lying in the lower half of the distribution.</w:t>
      </w:r>
    </w:p>
    <w:p>
      <w:pPr>
        <w:pStyle w:val="BodyText"/>
        <w:rPr>
          <w:sz w:val="20"/>
        </w:rPr>
      </w:pPr>
    </w:p>
    <w:p>
      <w:pPr>
        <w:pStyle w:val="BodyText"/>
        <w:rPr>
          <w:sz w:val="20"/>
        </w:rPr>
      </w:pPr>
    </w:p>
    <w:p>
      <w:pPr>
        <w:pStyle w:val="BodyText"/>
        <w:rPr>
          <w:sz w:val="20"/>
        </w:rPr>
      </w:pPr>
    </w:p>
    <w:p>
      <w:pPr>
        <w:pStyle w:val="BodyText"/>
        <w:spacing w:before="4"/>
        <w:rPr>
          <w:sz w:val="22"/>
        </w:rPr>
      </w:pPr>
      <w:r>
        <w:rPr/>
        <w:pict>
          <v:shape style="position:absolute;margin-left:93.720001pt;margin-top:15.081067pt;width:135.5pt;height:.1pt;mso-position-horizontal-relative:page;mso-position-vertical-relative:paragraph;z-index:-251655168;mso-wrap-distance-left:0;mso-wrap-distance-right:0" coordorigin="1874,302" coordsize="2710,0" path="m1874,302l4584,302e" filled="false" stroked="true" strokeweight=".42001pt" strokecolor="#000000">
            <v:path arrowok="t"/>
            <v:stroke dashstyle="solid"/>
            <w10:wrap type="topAndBottom"/>
          </v:shape>
        </w:pict>
      </w:r>
    </w:p>
    <w:p>
      <w:pPr>
        <w:spacing w:line="185" w:lineRule="exact" w:before="26"/>
        <w:ind w:left="634" w:right="0" w:firstLine="0"/>
        <w:jc w:val="left"/>
        <w:rPr>
          <w:sz w:val="15"/>
        </w:rPr>
      </w:pPr>
      <w:r>
        <w:rPr>
          <w:position w:val="8"/>
          <w:sz w:val="9"/>
        </w:rPr>
        <w:t>3 </w:t>
      </w:r>
      <w:r>
        <w:rPr>
          <w:sz w:val="15"/>
        </w:rPr>
        <w:t>Which are based on one million replications of the data generating process.</w:t>
      </w:r>
    </w:p>
    <w:p>
      <w:pPr>
        <w:spacing w:line="173" w:lineRule="exact" w:before="0"/>
        <w:ind w:left="634" w:right="0" w:firstLine="0"/>
        <w:jc w:val="left"/>
        <w:rPr>
          <w:sz w:val="15"/>
        </w:rPr>
      </w:pPr>
      <w:r>
        <w:rPr>
          <w:position w:val="8"/>
          <w:sz w:val="9"/>
        </w:rPr>
        <w:t>4 </w:t>
      </w:r>
      <w:r>
        <w:rPr>
          <w:sz w:val="15"/>
        </w:rPr>
        <w:t>Technically, this is done using the so-called Gaussian copula.</w:t>
      </w:r>
    </w:p>
    <w:p>
      <w:pPr>
        <w:spacing w:line="173" w:lineRule="exact" w:before="0"/>
        <w:ind w:left="634" w:right="0" w:firstLine="0"/>
        <w:jc w:val="left"/>
        <w:rPr>
          <w:sz w:val="15"/>
        </w:rPr>
      </w:pPr>
      <w:r>
        <w:rPr>
          <w:position w:val="8"/>
          <w:sz w:val="9"/>
        </w:rPr>
        <w:t>5 </w:t>
      </w:r>
      <w:r>
        <w:rPr>
          <w:sz w:val="15"/>
        </w:rPr>
        <w:t>With zero correlation between the two distributions, Chart 1a would be a set of concentric circles.</w:t>
      </w:r>
    </w:p>
    <w:p>
      <w:pPr>
        <w:spacing w:line="185" w:lineRule="exact" w:before="0"/>
        <w:ind w:left="634" w:right="0" w:firstLine="0"/>
        <w:jc w:val="left"/>
        <w:rPr>
          <w:sz w:val="15"/>
        </w:rPr>
      </w:pPr>
      <w:r>
        <w:rPr>
          <w:position w:val="8"/>
          <w:sz w:val="9"/>
        </w:rPr>
        <w:t>6 </w:t>
      </w:r>
      <w:r>
        <w:rPr>
          <w:sz w:val="15"/>
        </w:rPr>
        <w:t>The t-distribution has fatter tails than the normal. In the simulations, we assume 5 degrees of freedom.</w:t>
      </w:r>
    </w:p>
    <w:p>
      <w:pPr>
        <w:spacing w:after="0" w:line="185" w:lineRule="exact"/>
        <w:jc w:val="left"/>
        <w:rPr>
          <w:sz w:val="15"/>
        </w:rPr>
        <w:sectPr>
          <w:footerReference w:type="default" r:id="rId9"/>
          <w:pgSz w:w="12240" w:h="15840"/>
          <w:pgMar w:footer="974" w:header="0" w:top="1280" w:bottom="1160" w:left="1240" w:right="1660"/>
          <w:pgNumType w:start="6"/>
        </w:sectPr>
      </w:pPr>
    </w:p>
    <w:p>
      <w:pPr>
        <w:pStyle w:val="BodyText"/>
        <w:spacing w:line="357" w:lineRule="auto" w:before="71"/>
        <w:ind w:left="634" w:right="178"/>
      </w:pPr>
      <w:r>
        <w:rPr/>
        <w:t>A risk manager looking at the unconditional distribution (a single layer perspective) would significantly under-estimate the true tail risk they were facing. This has direct parallels with the pre-crisis situation, when the actions of individual risk managers at banks, and individual supervisors of those banks, ignored the role of systemic risk when gauging individual firm risk. This led to a material under- estimation of individual firm risk. The micro-prudential microscope was wrongly focussed.</w:t>
      </w:r>
    </w:p>
    <w:p>
      <w:pPr>
        <w:pStyle w:val="BodyText"/>
        <w:spacing w:before="10"/>
        <w:rPr>
          <w:sz w:val="27"/>
        </w:rPr>
      </w:pPr>
    </w:p>
    <w:p>
      <w:pPr>
        <w:pStyle w:val="BodyText"/>
        <w:spacing w:line="357" w:lineRule="auto"/>
        <w:ind w:left="634" w:right="278"/>
      </w:pPr>
      <w:r>
        <w:rPr/>
        <w:t>Ignoring a layer, or sub-system, is likely to be equally distorting. That can be seen by comparing the risk distributions in Chart 1d (two layers) and 1e (three layers). If the world involves three layers of complexity, then missing a layer will lead to a significant under-estimation of risk. This, too, has a parallel with the pre-crisis situation where the macro-prudential layer was essentially ignored by both micro-prudential and macro-economic policymakers. This led both to under-estimate the policy risk they faced.</w:t>
      </w:r>
    </w:p>
    <w:p>
      <w:pPr>
        <w:pStyle w:val="BodyText"/>
        <w:spacing w:before="8"/>
        <w:rPr>
          <w:sz w:val="27"/>
        </w:rPr>
      </w:pPr>
    </w:p>
    <w:p>
      <w:pPr>
        <w:pStyle w:val="BodyText"/>
        <w:spacing w:line="357" w:lineRule="auto"/>
        <w:ind w:left="634" w:right="266"/>
      </w:pPr>
      <w:r>
        <w:rPr/>
        <w:t>Pulling this together, what are the public policy implications which follow from this complex system of systems perspective? First, it underscores the importance of accurate data, and timely mapping, of each layers in a system of systems. This is especially important when these layers are themselves complex. Granular data is needed to capture the interactions within and between these complex sub-systems.</w:t>
      </w:r>
    </w:p>
    <w:p>
      <w:pPr>
        <w:pStyle w:val="BodyText"/>
        <w:spacing w:before="9"/>
        <w:rPr>
          <w:sz w:val="27"/>
        </w:rPr>
      </w:pPr>
    </w:p>
    <w:p>
      <w:pPr>
        <w:pStyle w:val="BodyText"/>
        <w:spacing w:line="357" w:lineRule="auto"/>
        <w:ind w:left="634" w:right="691"/>
      </w:pPr>
      <w:r>
        <w:rPr/>
        <w:t>Second, modelling of each of these layers, and their interaction with other layers, is likely to be important, both for understanding system risks and dynamics and for calibrating potential policy responses to them.</w:t>
      </w:r>
    </w:p>
    <w:p>
      <w:pPr>
        <w:pStyle w:val="BodyText"/>
        <w:rPr>
          <w:sz w:val="28"/>
        </w:rPr>
      </w:pPr>
    </w:p>
    <w:p>
      <w:pPr>
        <w:pStyle w:val="BodyText"/>
        <w:spacing w:line="357" w:lineRule="auto"/>
        <w:ind w:left="634" w:right="164"/>
      </w:pPr>
      <w:r>
        <w:rPr/>
        <w:t>Third, in controlling these risks, something akin to the Tinbergen Rule is likely to apply. There is likely to need to be at least as many policy instruments as there are complex sub-components of a system of systems if risk is to be monitored and managed effectively. Put differently, an under-identified complex system of systems is likely to result in a loss of control, both system-wide and for each of the layers.</w:t>
      </w:r>
    </w:p>
    <w:p>
      <w:pPr>
        <w:pStyle w:val="BodyText"/>
        <w:spacing w:before="8"/>
        <w:rPr>
          <w:sz w:val="27"/>
        </w:rPr>
      </w:pPr>
    </w:p>
    <w:p>
      <w:pPr>
        <w:pStyle w:val="Heading3"/>
      </w:pPr>
      <w:r>
        <w:rPr/>
        <w:t>The architecture of macro-financial systems</w:t>
      </w:r>
    </w:p>
    <w:p>
      <w:pPr>
        <w:pStyle w:val="BodyText"/>
        <w:rPr>
          <w:b/>
          <w:sz w:val="20"/>
        </w:rPr>
      </w:pPr>
    </w:p>
    <w:p>
      <w:pPr>
        <w:pStyle w:val="BodyText"/>
        <w:spacing w:before="7"/>
        <w:rPr>
          <w:b/>
          <w:sz w:val="17"/>
        </w:rPr>
      </w:pPr>
    </w:p>
    <w:p>
      <w:pPr>
        <w:pStyle w:val="BodyText"/>
        <w:spacing w:line="355" w:lineRule="auto"/>
        <w:ind w:left="634"/>
      </w:pPr>
      <w:r>
        <w:rPr/>
        <w:t>How, then, does this theory relate to real-world, macro-financial systems? These systems are likely to contain many moving parts. Moreover, these moving parts are likely to be significantly more</w:t>
      </w:r>
    </w:p>
    <w:p>
      <w:pPr>
        <w:pStyle w:val="BodyText"/>
        <w:spacing w:line="357" w:lineRule="auto" w:before="2"/>
        <w:ind w:left="634" w:right="215"/>
      </w:pPr>
      <w:r>
        <w:rPr/>
        <w:t>tightly-coupled than in the past as a result of financial and global integration. In other words, the global economic and financial system may, over recent decades, have become a “system of systems”, with multiple, interacting layers each a complex system in its own right.</w:t>
      </w:r>
    </w:p>
    <w:p>
      <w:pPr>
        <w:pStyle w:val="BodyText"/>
        <w:rPr>
          <w:sz w:val="28"/>
        </w:rPr>
      </w:pPr>
    </w:p>
    <w:p>
      <w:pPr>
        <w:pStyle w:val="BodyText"/>
        <w:spacing w:line="355" w:lineRule="auto"/>
        <w:ind w:left="634"/>
      </w:pPr>
      <w:r>
        <w:rPr/>
        <w:t>Chart 2 provides a stylised characterisation of those layers, decomposed four ways. At the highest resolution - the “micro-prudential” layer - are individual financial firms. These are, if you like, the</w:t>
      </w:r>
    </w:p>
    <w:p>
      <w:pPr>
        <w:spacing w:after="0" w:line="355" w:lineRule="auto"/>
        <w:sectPr>
          <w:pgSz w:w="12240" w:h="15840"/>
          <w:pgMar w:header="0" w:footer="974" w:top="1280" w:bottom="1160" w:left="1240" w:right="1660"/>
        </w:sectPr>
      </w:pPr>
    </w:p>
    <w:p>
      <w:pPr>
        <w:pStyle w:val="BodyText"/>
        <w:spacing w:line="355" w:lineRule="auto" w:before="71"/>
        <w:ind w:left="634"/>
      </w:pPr>
      <w:r>
        <w:rPr/>
        <w:t>atoms of the financial system. Like atoms, however, some individual banks are themselves complex entities, with many moving and interacting business parts.</w:t>
      </w:r>
    </w:p>
    <w:p>
      <w:pPr>
        <w:pStyle w:val="BodyText"/>
        <w:spacing w:before="5"/>
        <w:rPr>
          <w:sz w:val="28"/>
        </w:rPr>
      </w:pPr>
    </w:p>
    <w:p>
      <w:pPr>
        <w:pStyle w:val="BodyText"/>
        <w:spacing w:line="357" w:lineRule="auto"/>
        <w:ind w:left="634" w:right="215"/>
      </w:pPr>
      <w:r>
        <w:rPr/>
        <w:t>At one lower level of resolution – the “macro-prudential” layer – is the financial system. This comprises interactions between financial firms in the network, as might arise from counterparty relationships</w:t>
      </w:r>
      <w:r>
        <w:rPr>
          <w:spacing w:val="-7"/>
        </w:rPr>
        <w:t> </w:t>
      </w:r>
      <w:r>
        <w:rPr/>
        <w:t>in</w:t>
      </w:r>
      <w:r>
        <w:rPr>
          <w:spacing w:val="-9"/>
        </w:rPr>
        <w:t> </w:t>
      </w:r>
      <w:r>
        <w:rPr/>
        <w:t>interbank,</w:t>
      </w:r>
      <w:r>
        <w:rPr>
          <w:spacing w:val="-7"/>
        </w:rPr>
        <w:t> </w:t>
      </w:r>
      <w:r>
        <w:rPr/>
        <w:t>repo</w:t>
      </w:r>
      <w:r>
        <w:rPr>
          <w:spacing w:val="-7"/>
        </w:rPr>
        <w:t> </w:t>
      </w:r>
      <w:r>
        <w:rPr/>
        <w:t>and</w:t>
      </w:r>
      <w:r>
        <w:rPr>
          <w:spacing w:val="-8"/>
        </w:rPr>
        <w:t> </w:t>
      </w:r>
      <w:r>
        <w:rPr/>
        <w:t>derivatives</w:t>
      </w:r>
      <w:r>
        <w:rPr>
          <w:spacing w:val="-7"/>
        </w:rPr>
        <w:t> </w:t>
      </w:r>
      <w:r>
        <w:rPr/>
        <w:t>markets.</w:t>
      </w:r>
      <w:r>
        <w:rPr>
          <w:spacing w:val="38"/>
        </w:rPr>
        <w:t> </w:t>
      </w:r>
      <w:r>
        <w:rPr/>
        <w:t>This</w:t>
      </w:r>
      <w:r>
        <w:rPr>
          <w:spacing w:val="-8"/>
        </w:rPr>
        <w:t> </w:t>
      </w:r>
      <w:r>
        <w:rPr/>
        <w:t>layer</w:t>
      </w:r>
      <w:r>
        <w:rPr>
          <w:spacing w:val="-7"/>
        </w:rPr>
        <w:t> </w:t>
      </w:r>
      <w:r>
        <w:rPr/>
        <w:t>is</w:t>
      </w:r>
      <w:r>
        <w:rPr>
          <w:spacing w:val="-7"/>
        </w:rPr>
        <w:t> </w:t>
      </w:r>
      <w:r>
        <w:rPr/>
        <w:t>akin</w:t>
      </w:r>
      <w:r>
        <w:rPr>
          <w:spacing w:val="-9"/>
        </w:rPr>
        <w:t> </w:t>
      </w:r>
      <w:r>
        <w:rPr/>
        <w:t>to</w:t>
      </w:r>
      <w:r>
        <w:rPr>
          <w:spacing w:val="-9"/>
        </w:rPr>
        <w:t> </w:t>
      </w:r>
      <w:r>
        <w:rPr/>
        <w:t>an</w:t>
      </w:r>
      <w:r>
        <w:rPr>
          <w:spacing w:val="-8"/>
        </w:rPr>
        <w:t> </w:t>
      </w:r>
      <w:r>
        <w:rPr/>
        <w:t>organ,</w:t>
      </w:r>
      <w:r>
        <w:rPr>
          <w:spacing w:val="-7"/>
        </w:rPr>
        <w:t> </w:t>
      </w:r>
      <w:r>
        <w:rPr/>
        <w:t>like</w:t>
      </w:r>
      <w:r>
        <w:rPr>
          <w:spacing w:val="-9"/>
        </w:rPr>
        <w:t> </w:t>
      </w:r>
      <w:r>
        <w:rPr/>
        <w:t>the</w:t>
      </w:r>
      <w:r>
        <w:rPr>
          <w:spacing w:val="-7"/>
        </w:rPr>
        <w:t> </w:t>
      </w:r>
      <w:r>
        <w:rPr/>
        <w:t>brain, whose</w:t>
      </w:r>
      <w:r>
        <w:rPr>
          <w:spacing w:val="-7"/>
        </w:rPr>
        <w:t> </w:t>
      </w:r>
      <w:r>
        <w:rPr/>
        <w:t>behaviour</w:t>
      </w:r>
      <w:r>
        <w:rPr>
          <w:spacing w:val="-6"/>
        </w:rPr>
        <w:t> </w:t>
      </w:r>
      <w:r>
        <w:rPr/>
        <w:t>is</w:t>
      </w:r>
      <w:r>
        <w:rPr>
          <w:spacing w:val="-6"/>
        </w:rPr>
        <w:t> </w:t>
      </w:r>
      <w:r>
        <w:rPr/>
        <w:t>the</w:t>
      </w:r>
      <w:r>
        <w:rPr>
          <w:spacing w:val="-6"/>
        </w:rPr>
        <w:t> </w:t>
      </w:r>
      <w:r>
        <w:rPr/>
        <w:t>result</w:t>
      </w:r>
      <w:r>
        <w:rPr>
          <w:spacing w:val="-6"/>
        </w:rPr>
        <w:t> </w:t>
      </w:r>
      <w:r>
        <w:rPr/>
        <w:t>of</w:t>
      </w:r>
      <w:r>
        <w:rPr>
          <w:spacing w:val="-4"/>
        </w:rPr>
        <w:t> </w:t>
      </w:r>
      <w:r>
        <w:rPr/>
        <w:t>interactions</w:t>
      </w:r>
      <w:r>
        <w:rPr>
          <w:spacing w:val="-5"/>
        </w:rPr>
        <w:t> </w:t>
      </w:r>
      <w:r>
        <w:rPr/>
        <w:t>between</w:t>
      </w:r>
      <w:r>
        <w:rPr>
          <w:spacing w:val="-7"/>
        </w:rPr>
        <w:t> </w:t>
      </w:r>
      <w:r>
        <w:rPr/>
        <w:t>complex</w:t>
      </w:r>
      <w:r>
        <w:rPr>
          <w:spacing w:val="-6"/>
        </w:rPr>
        <w:t> </w:t>
      </w:r>
      <w:r>
        <w:rPr/>
        <w:t>neurological</w:t>
      </w:r>
      <w:r>
        <w:rPr>
          <w:spacing w:val="-6"/>
        </w:rPr>
        <w:t> </w:t>
      </w:r>
      <w:r>
        <w:rPr/>
        <w:t>sub-components.</w:t>
      </w:r>
    </w:p>
    <w:p>
      <w:pPr>
        <w:pStyle w:val="BodyText"/>
        <w:spacing w:before="11"/>
        <w:rPr>
          <w:sz w:val="27"/>
        </w:rPr>
      </w:pPr>
    </w:p>
    <w:p>
      <w:pPr>
        <w:pStyle w:val="BodyText"/>
        <w:spacing w:line="355" w:lineRule="auto"/>
        <w:ind w:left="634" w:right="215"/>
      </w:pPr>
      <w:r>
        <w:rPr/>
        <w:t>At a lower level of resolution still - the “macro-economic” layer” – is the national economy. This comprises complex interactions between the financial sector and the wider economy – the flows of funds</w:t>
      </w:r>
      <w:r>
        <w:rPr>
          <w:spacing w:val="-6"/>
        </w:rPr>
        <w:t> </w:t>
      </w:r>
      <w:r>
        <w:rPr/>
        <w:t>which</w:t>
      </w:r>
      <w:r>
        <w:rPr>
          <w:spacing w:val="-7"/>
        </w:rPr>
        <w:t> </w:t>
      </w:r>
      <w:r>
        <w:rPr/>
        <w:t>intermediates</w:t>
      </w:r>
      <w:r>
        <w:rPr>
          <w:spacing w:val="-6"/>
        </w:rPr>
        <w:t> </w:t>
      </w:r>
      <w:r>
        <w:rPr/>
        <w:t>money</w:t>
      </w:r>
      <w:r>
        <w:rPr>
          <w:spacing w:val="-8"/>
        </w:rPr>
        <w:t> </w:t>
      </w:r>
      <w:r>
        <w:rPr/>
        <w:t>from</w:t>
      </w:r>
      <w:r>
        <w:rPr>
          <w:spacing w:val="-6"/>
        </w:rPr>
        <w:t> </w:t>
      </w:r>
      <w:r>
        <w:rPr/>
        <w:t>owners</w:t>
      </w:r>
      <w:r>
        <w:rPr>
          <w:spacing w:val="-6"/>
        </w:rPr>
        <w:t> </w:t>
      </w:r>
      <w:r>
        <w:rPr/>
        <w:t>to</w:t>
      </w:r>
      <w:r>
        <w:rPr>
          <w:spacing w:val="-8"/>
        </w:rPr>
        <w:t> </w:t>
      </w:r>
      <w:r>
        <w:rPr/>
        <w:t>borrowers.</w:t>
      </w:r>
      <w:r>
        <w:rPr>
          <w:spacing w:val="33"/>
        </w:rPr>
        <w:t> </w:t>
      </w:r>
      <w:r>
        <w:rPr/>
        <w:t>It</w:t>
      </w:r>
      <w:r>
        <w:rPr>
          <w:spacing w:val="-5"/>
        </w:rPr>
        <w:t> </w:t>
      </w:r>
      <w:r>
        <w:rPr/>
        <w:t>is</w:t>
      </w:r>
      <w:r>
        <w:rPr>
          <w:spacing w:val="-8"/>
        </w:rPr>
        <w:t> </w:t>
      </w:r>
      <w:r>
        <w:rPr/>
        <w:t>akin</w:t>
      </w:r>
      <w:r>
        <w:rPr>
          <w:spacing w:val="-8"/>
        </w:rPr>
        <w:t> </w:t>
      </w:r>
      <w:r>
        <w:rPr/>
        <w:t>to</w:t>
      </w:r>
      <w:r>
        <w:rPr>
          <w:spacing w:val="-8"/>
        </w:rPr>
        <w:t> </w:t>
      </w:r>
      <w:r>
        <w:rPr/>
        <w:t>the</w:t>
      </w:r>
      <w:r>
        <w:rPr>
          <w:spacing w:val="-8"/>
        </w:rPr>
        <w:t> </w:t>
      </w:r>
      <w:r>
        <w:rPr/>
        <w:t>physiology</w:t>
      </w:r>
      <w:r>
        <w:rPr>
          <w:spacing w:val="-6"/>
        </w:rPr>
        <w:t> </w:t>
      </w:r>
      <w:r>
        <w:rPr/>
        <w:t>of</w:t>
      </w:r>
      <w:r>
        <w:rPr>
          <w:spacing w:val="-5"/>
        </w:rPr>
        <w:t> </w:t>
      </w:r>
      <w:r>
        <w:rPr/>
        <w:t>a</w:t>
      </w:r>
      <w:r>
        <w:rPr>
          <w:spacing w:val="-8"/>
        </w:rPr>
        <w:t> </w:t>
      </w:r>
      <w:r>
        <w:rPr/>
        <w:t>human, whose</w:t>
      </w:r>
      <w:r>
        <w:rPr>
          <w:spacing w:val="-6"/>
        </w:rPr>
        <w:t> </w:t>
      </w:r>
      <w:r>
        <w:rPr/>
        <w:t>behaviour</w:t>
      </w:r>
      <w:r>
        <w:rPr>
          <w:spacing w:val="-5"/>
        </w:rPr>
        <w:t> </w:t>
      </w:r>
      <w:r>
        <w:rPr/>
        <w:t>in</w:t>
      </w:r>
      <w:r>
        <w:rPr>
          <w:spacing w:val="-6"/>
        </w:rPr>
        <w:t> </w:t>
      </w:r>
      <w:r>
        <w:rPr/>
        <w:t>the</w:t>
      </w:r>
      <w:r>
        <w:rPr>
          <w:spacing w:val="-6"/>
        </w:rPr>
        <w:t> </w:t>
      </w:r>
      <w:r>
        <w:rPr/>
        <w:t>result</w:t>
      </w:r>
      <w:r>
        <w:rPr>
          <w:spacing w:val="-5"/>
        </w:rPr>
        <w:t> </w:t>
      </w:r>
      <w:r>
        <w:rPr/>
        <w:t>of</w:t>
      </w:r>
      <w:r>
        <w:rPr>
          <w:spacing w:val="-6"/>
        </w:rPr>
        <w:t> </w:t>
      </w:r>
      <w:r>
        <w:rPr/>
        <w:t>complex</w:t>
      </w:r>
      <w:r>
        <w:rPr>
          <w:spacing w:val="-5"/>
        </w:rPr>
        <w:t> </w:t>
      </w:r>
      <w:r>
        <w:rPr/>
        <w:t>interactions</w:t>
      </w:r>
      <w:r>
        <w:rPr>
          <w:spacing w:val="-4"/>
        </w:rPr>
        <w:t> </w:t>
      </w:r>
      <w:r>
        <w:rPr/>
        <w:t>among</w:t>
      </w:r>
      <w:r>
        <w:rPr>
          <w:spacing w:val="-5"/>
        </w:rPr>
        <w:t> </w:t>
      </w:r>
      <w:r>
        <w:rPr/>
        <w:t>its</w:t>
      </w:r>
      <w:r>
        <w:rPr>
          <w:spacing w:val="-6"/>
        </w:rPr>
        <w:t> </w:t>
      </w:r>
      <w:r>
        <w:rPr/>
        <w:t>organs,</w:t>
      </w:r>
      <w:r>
        <w:rPr>
          <w:spacing w:val="-6"/>
        </w:rPr>
        <w:t> </w:t>
      </w:r>
      <w:r>
        <w:rPr/>
        <w:t>themselves</w:t>
      </w:r>
      <w:r>
        <w:rPr>
          <w:spacing w:val="-4"/>
        </w:rPr>
        <w:t> </w:t>
      </w:r>
      <w:r>
        <w:rPr/>
        <w:t>complex</w:t>
      </w:r>
    </w:p>
    <w:p>
      <w:pPr>
        <w:pStyle w:val="BodyText"/>
        <w:spacing w:before="5"/>
        <w:ind w:left="634"/>
      </w:pPr>
      <w:r>
        <w:rPr/>
        <w:t>sub-components.</w:t>
      </w:r>
    </w:p>
    <w:p>
      <w:pPr>
        <w:pStyle w:val="BodyText"/>
        <w:rPr>
          <w:sz w:val="20"/>
        </w:rPr>
      </w:pPr>
    </w:p>
    <w:p>
      <w:pPr>
        <w:pStyle w:val="BodyText"/>
        <w:spacing w:before="5"/>
        <w:rPr>
          <w:sz w:val="17"/>
        </w:rPr>
      </w:pPr>
    </w:p>
    <w:p>
      <w:pPr>
        <w:pStyle w:val="BodyText"/>
        <w:spacing w:line="355" w:lineRule="auto"/>
        <w:ind w:left="634"/>
      </w:pPr>
      <w:r>
        <w:rPr/>
        <w:t>Finally, at the lowest level of resolution of all – the “telescopic” layer – is the global economic and financial system. This involves cross-border trade and financial interactions between countries, with flows of goods, services or information at increasing volumes and velocities. It is akin to interactions within a social network or across the World Wide Web.</w:t>
      </w:r>
    </w:p>
    <w:p>
      <w:pPr>
        <w:pStyle w:val="BodyText"/>
        <w:spacing w:before="7"/>
        <w:rPr>
          <w:sz w:val="28"/>
        </w:rPr>
      </w:pPr>
    </w:p>
    <w:p>
      <w:pPr>
        <w:pStyle w:val="BodyText"/>
        <w:spacing w:line="355" w:lineRule="auto"/>
        <w:ind w:left="634" w:right="291"/>
      </w:pPr>
      <w:r>
        <w:rPr/>
        <w:t>At least in principle, each of these individual layers could be complex. These layers are also likely to interact. For example, there are likely to be strong interactions between the financial system and the macro-economy and between individual national financial systems and the global financial system. This coupling between sub-systems adds to the degree of complexity of the system as a whole.</w:t>
      </w:r>
    </w:p>
    <w:p>
      <w:pPr>
        <w:pStyle w:val="BodyText"/>
        <w:spacing w:before="7"/>
        <w:rPr>
          <w:sz w:val="28"/>
        </w:rPr>
      </w:pPr>
    </w:p>
    <w:p>
      <w:pPr>
        <w:pStyle w:val="BodyText"/>
        <w:spacing w:line="357" w:lineRule="auto"/>
        <w:ind w:left="634" w:right="343"/>
      </w:pPr>
      <w:r>
        <w:rPr/>
        <w:t>Let me present some stylised facts on each of these layers, from microscopic through telescopic, to illustrate why each has the characteristics of a complex sub-component. I will also present some evidence on interactions between these sub-systems, which means we have a genuine</w:t>
      </w:r>
    </w:p>
    <w:p>
      <w:pPr>
        <w:pStyle w:val="BodyText"/>
        <w:spacing w:line="216" w:lineRule="exact"/>
        <w:ind w:left="634"/>
      </w:pPr>
      <w:r>
        <w:rPr/>
        <w:t>macro-financial system of systems.</w:t>
      </w:r>
    </w:p>
    <w:p>
      <w:pPr>
        <w:pStyle w:val="BodyText"/>
        <w:rPr>
          <w:sz w:val="20"/>
        </w:rPr>
      </w:pPr>
    </w:p>
    <w:p>
      <w:pPr>
        <w:pStyle w:val="BodyText"/>
        <w:spacing w:before="7"/>
        <w:rPr>
          <w:sz w:val="17"/>
        </w:rPr>
      </w:pPr>
    </w:p>
    <w:p>
      <w:pPr>
        <w:pStyle w:val="ListParagraph"/>
        <w:numPr>
          <w:ilvl w:val="0"/>
          <w:numId w:val="1"/>
        </w:numPr>
        <w:tabs>
          <w:tab w:pos="918" w:val="left" w:leader="none"/>
        </w:tabs>
        <w:spacing w:line="240" w:lineRule="auto" w:before="0" w:after="0"/>
        <w:ind w:left="917" w:right="0" w:hanging="284"/>
        <w:jc w:val="left"/>
        <w:rPr>
          <w:i/>
          <w:sz w:val="19"/>
        </w:rPr>
      </w:pPr>
      <w:r>
        <w:rPr>
          <w:i/>
          <w:sz w:val="19"/>
        </w:rPr>
        <w:t>Complexity among individual</w:t>
      </w:r>
      <w:r>
        <w:rPr>
          <w:i/>
          <w:spacing w:val="-3"/>
          <w:sz w:val="19"/>
        </w:rPr>
        <w:t> </w:t>
      </w:r>
      <w:r>
        <w:rPr>
          <w:i/>
          <w:sz w:val="19"/>
        </w:rPr>
        <w:t>firms</w:t>
      </w:r>
    </w:p>
    <w:p>
      <w:pPr>
        <w:pStyle w:val="BodyText"/>
        <w:rPr>
          <w:i/>
          <w:sz w:val="20"/>
        </w:rPr>
      </w:pPr>
    </w:p>
    <w:p>
      <w:pPr>
        <w:pStyle w:val="BodyText"/>
        <w:spacing w:before="4"/>
        <w:rPr>
          <w:i/>
          <w:sz w:val="17"/>
        </w:rPr>
      </w:pPr>
    </w:p>
    <w:p>
      <w:pPr>
        <w:pStyle w:val="BodyText"/>
        <w:spacing w:line="357" w:lineRule="auto"/>
        <w:ind w:left="634" w:right="215"/>
      </w:pPr>
      <w:r>
        <w:rPr/>
        <w:t>There is no off-the-shelf measure of organisational complexity, whether within banks or more generally, but a number of proxies have recently been constructed. For example, the Basel Committee has recently devised a range of complexity metrics for the world’s so-called SIFIs – systemically important financial institutions.</w:t>
      </w:r>
      <w:r>
        <w:rPr>
          <w:vertAlign w:val="superscript"/>
        </w:rPr>
        <w:t>7</w:t>
      </w:r>
      <w:r>
        <w:rPr>
          <w:vertAlign w:val="baseline"/>
        </w:rPr>
        <w:t> So far, 30 institutions globally have been designated by the Financial Stability Board (FSB) as SIFIs, from across a range of countries.</w:t>
      </w:r>
    </w:p>
    <w:p>
      <w:pPr>
        <w:pStyle w:val="BodyText"/>
        <w:spacing w:before="9"/>
        <w:rPr>
          <w:sz w:val="27"/>
        </w:rPr>
      </w:pPr>
    </w:p>
    <w:p>
      <w:pPr>
        <w:pStyle w:val="BodyText"/>
        <w:spacing w:line="355" w:lineRule="auto"/>
        <w:ind w:left="634" w:right="469"/>
      </w:pPr>
      <w:r>
        <w:rPr/>
        <w:t>Chart 3 looks at a set of four complexity proxies for each of the designated SIFIs in 2006, the year before the financial crisis broke: total balance sheet size; the notional value of their derivatives</w:t>
      </w:r>
    </w:p>
    <w:p>
      <w:pPr>
        <w:pStyle w:val="BodyText"/>
        <w:spacing w:before="4"/>
        <w:rPr>
          <w:sz w:val="15"/>
        </w:rPr>
      </w:pPr>
      <w:r>
        <w:rPr/>
        <w:pict>
          <v:shape style="position:absolute;margin-left:93.720001pt;margin-top:11.071445pt;width:135.5pt;height:.1pt;mso-position-horizontal-relative:page;mso-position-vertical-relative:paragraph;z-index:-251654144;mso-wrap-distance-left:0;mso-wrap-distance-right:0" coordorigin="1874,221" coordsize="2710,0" path="m1874,221l4584,221e" filled="false" stroked="true" strokeweight=".41998pt" strokecolor="#000000">
            <v:path arrowok="t"/>
            <v:stroke dashstyle="solid"/>
            <w10:wrap type="topAndBottom"/>
          </v:shape>
        </w:pict>
      </w:r>
    </w:p>
    <w:p>
      <w:pPr>
        <w:spacing w:before="26"/>
        <w:ind w:left="634" w:right="0" w:firstLine="0"/>
        <w:jc w:val="left"/>
        <w:rPr>
          <w:sz w:val="15"/>
        </w:rPr>
      </w:pPr>
      <w:r>
        <w:rPr>
          <w:position w:val="8"/>
          <w:sz w:val="9"/>
        </w:rPr>
        <w:t>7 </w:t>
      </w:r>
      <w:r>
        <w:rPr>
          <w:sz w:val="15"/>
        </w:rPr>
        <w:t>See BCBS (2014)</w:t>
      </w:r>
    </w:p>
    <w:p>
      <w:pPr>
        <w:spacing w:after="0"/>
        <w:jc w:val="left"/>
        <w:rPr>
          <w:sz w:val="15"/>
        </w:rPr>
        <w:sectPr>
          <w:pgSz w:w="12240" w:h="15840"/>
          <w:pgMar w:header="0" w:footer="974" w:top="1280" w:bottom="1160" w:left="1240" w:right="1660"/>
        </w:sectPr>
      </w:pPr>
    </w:p>
    <w:p>
      <w:pPr>
        <w:pStyle w:val="BodyText"/>
        <w:spacing w:line="355" w:lineRule="auto" w:before="71"/>
        <w:ind w:left="634"/>
      </w:pPr>
      <w:r>
        <w:rPr/>
        <w:t>portfolio; the number of legal entities in the group; and their trading assets. They are shown by their country of incorporation.</w:t>
      </w:r>
    </w:p>
    <w:p>
      <w:pPr>
        <w:pStyle w:val="BodyText"/>
        <w:spacing w:before="5"/>
        <w:rPr>
          <w:sz w:val="28"/>
        </w:rPr>
      </w:pPr>
    </w:p>
    <w:p>
      <w:pPr>
        <w:pStyle w:val="BodyText"/>
        <w:spacing w:line="357" w:lineRule="auto"/>
        <w:ind w:left="634" w:right="162"/>
      </w:pPr>
      <w:r>
        <w:rPr/>
        <w:t>In 2006, the average SIFI had a balance sheet of $1.35 trillion – roughly the same as the annual GDP of a small G7 country. The largest SIFI had a balance sheet totalling $3.0 trillion. This is many multiplies of the largest non-financial firm. It also only covers on-balance sheet positions. Turning to off balance sheet positions, the derivatives portfolio of an average SIFI totalled $19 trillion in notional terms in 2006.</w:t>
      </w:r>
      <w:r>
        <w:rPr>
          <w:vertAlign w:val="superscript"/>
        </w:rPr>
        <w:t>8</w:t>
      </w:r>
      <w:r>
        <w:rPr>
          <w:vertAlign w:val="baseline"/>
        </w:rPr>
        <w:t> For the largest SIFI, it was $60 trillion. This, too, is many multiples of the largest</w:t>
      </w:r>
    </w:p>
    <w:p>
      <w:pPr>
        <w:pStyle w:val="BodyText"/>
        <w:spacing w:line="214" w:lineRule="exact"/>
        <w:ind w:left="634"/>
      </w:pPr>
      <w:r>
        <w:rPr/>
        <w:t>non-financial firm’s position.</w:t>
      </w:r>
    </w:p>
    <w:p>
      <w:pPr>
        <w:pStyle w:val="BodyText"/>
        <w:rPr>
          <w:sz w:val="20"/>
        </w:rPr>
      </w:pPr>
    </w:p>
    <w:p>
      <w:pPr>
        <w:pStyle w:val="BodyText"/>
        <w:spacing w:before="5"/>
        <w:rPr>
          <w:sz w:val="17"/>
        </w:rPr>
      </w:pPr>
    </w:p>
    <w:p>
      <w:pPr>
        <w:pStyle w:val="BodyText"/>
        <w:spacing w:line="357" w:lineRule="auto"/>
        <w:ind w:left="634" w:right="215"/>
      </w:pPr>
      <w:r>
        <w:rPr/>
        <w:t>These massive SIFI balance sheets were, in turn, spread across a very large array of distinct legal entities within each group. In 2006, the average SIFI had around 328 legal entities within the group. The largest had almost 900 distinct legal entities. Most of the largest global SIFIs had numbers of legal entities running to four figures. By comparison, the world’s largest non-financial firms had less than half this number of legal affiliates (Carmassi and Herring (2014)).</w:t>
      </w:r>
    </w:p>
    <w:p>
      <w:pPr>
        <w:pStyle w:val="BodyText"/>
        <w:spacing w:before="10"/>
        <w:rPr>
          <w:sz w:val="27"/>
        </w:rPr>
      </w:pPr>
    </w:p>
    <w:p>
      <w:pPr>
        <w:pStyle w:val="BodyText"/>
        <w:spacing w:line="357" w:lineRule="auto"/>
        <w:ind w:left="634" w:right="376"/>
      </w:pPr>
      <w:r>
        <w:rPr/>
        <w:t>A final complexity metric is the proportion of so-called trading assets. This is a diagnostic on the diversity of a bank’s business model – whether it is engaged in investment as well as commercial banking. Some of these trading assets will also be complex and hence difficult to price and trade – so-called Level 2 and 3 assets. As Chart 3 shows, the average SIFI had a trading book of around a quarter of assets in 2006. For the largest, this was closer to around 50% of assets.</w:t>
      </w:r>
    </w:p>
    <w:p>
      <w:pPr>
        <w:pStyle w:val="BodyText"/>
        <w:spacing w:before="8"/>
        <w:rPr>
          <w:sz w:val="27"/>
        </w:rPr>
      </w:pPr>
    </w:p>
    <w:p>
      <w:pPr>
        <w:pStyle w:val="BodyText"/>
        <w:spacing w:line="357" w:lineRule="auto"/>
        <w:ind w:left="634" w:right="215"/>
      </w:pPr>
      <w:r>
        <w:rPr/>
        <w:t>Since the crisis, there is little evidence of these complexities having reversed. Chart 4 updates the four metrics using end-2013 data. The balance sheet of the average SIFI has not shrunk. In fact, it had risen to around $1.8 trillion by end-2013. For the largest SIFI, it was around $4.0 trillion. The pattern is even more striking off balance sheet. For the average SIFI, the derivatives book has risen by over 50% to over $30 trillion by 2013. For the largest, it had risen to $75 trillion.</w:t>
      </w:r>
    </w:p>
    <w:p>
      <w:pPr>
        <w:pStyle w:val="BodyText"/>
        <w:spacing w:before="9"/>
        <w:rPr>
          <w:sz w:val="27"/>
        </w:rPr>
      </w:pPr>
    </w:p>
    <w:p>
      <w:pPr>
        <w:pStyle w:val="BodyText"/>
        <w:spacing w:line="357" w:lineRule="auto"/>
        <w:ind w:left="634" w:right="215"/>
      </w:pPr>
      <w:r>
        <w:rPr/>
        <w:t>On the other complexity metrics, the number of legal entities for the average SIFIs is essentially unchanged comparing 2006 and 2013. And despite a significant rise in risk weights, there had been only a modest slimming of SIFI trading books by 2013, with the average share of assets going from 22% to 19%.</w:t>
      </w:r>
    </w:p>
    <w:p>
      <w:pPr>
        <w:pStyle w:val="BodyText"/>
        <w:rPr>
          <w:sz w:val="28"/>
        </w:rPr>
      </w:pPr>
    </w:p>
    <w:p>
      <w:pPr>
        <w:pStyle w:val="BodyText"/>
        <w:spacing w:line="355" w:lineRule="auto"/>
        <w:ind w:left="634" w:right="163"/>
      </w:pPr>
      <w:r>
        <w:rPr/>
        <w:t>An alternative, more micro-economic, approach to gauging organisational complexity is to look at internal structures. For example, Collinson and Jay (2012) use a five-way classification of complexity: governance; internal structures; staff capabilities; roles and responsibilities; and corporate culture. They use this to evaluate the world’s largest 200 companies, including 26 banks.</w:t>
      </w:r>
    </w:p>
    <w:p>
      <w:pPr>
        <w:pStyle w:val="BodyText"/>
        <w:rPr>
          <w:sz w:val="20"/>
        </w:rPr>
      </w:pPr>
    </w:p>
    <w:p>
      <w:pPr>
        <w:pStyle w:val="BodyText"/>
        <w:rPr>
          <w:sz w:val="20"/>
        </w:rPr>
      </w:pPr>
    </w:p>
    <w:p>
      <w:pPr>
        <w:pStyle w:val="BodyText"/>
        <w:spacing w:before="10"/>
        <w:rPr>
          <w:sz w:val="16"/>
        </w:rPr>
      </w:pPr>
      <w:r>
        <w:rPr/>
        <w:pict>
          <v:shape style="position:absolute;margin-left:93.720001pt;margin-top:11.940742pt;width:135.5pt;height:.1pt;mso-position-horizontal-relative:page;mso-position-vertical-relative:paragraph;z-index:-251653120;mso-wrap-distance-left:0;mso-wrap-distance-right:0" coordorigin="1874,239" coordsize="2710,0" path="m1874,239l4584,239e" filled="false" stroked="true" strokeweight=".42001pt" strokecolor="#000000">
            <v:path arrowok="t"/>
            <v:stroke dashstyle="solid"/>
            <w10:wrap type="topAndBottom"/>
          </v:shape>
        </w:pict>
      </w:r>
    </w:p>
    <w:p>
      <w:pPr>
        <w:spacing w:before="27"/>
        <w:ind w:left="634" w:right="364" w:firstLine="0"/>
        <w:jc w:val="left"/>
        <w:rPr>
          <w:sz w:val="15"/>
        </w:rPr>
      </w:pPr>
      <w:r>
        <w:rPr>
          <w:position w:val="8"/>
          <w:sz w:val="9"/>
        </w:rPr>
        <w:t>8 </w:t>
      </w:r>
      <w:r>
        <w:rPr>
          <w:sz w:val="15"/>
        </w:rPr>
        <w:t>Notional exposures are likely to be a poor proxy of the underlying risk on this portfolio, but provide an indication of the scale of gross derivative</w:t>
      </w:r>
      <w:r>
        <w:rPr>
          <w:spacing w:val="-2"/>
          <w:sz w:val="15"/>
        </w:rPr>
        <w:t> </w:t>
      </w:r>
      <w:r>
        <w:rPr>
          <w:sz w:val="15"/>
        </w:rPr>
        <w:t>positions.</w:t>
      </w:r>
    </w:p>
    <w:p>
      <w:pPr>
        <w:spacing w:after="0"/>
        <w:jc w:val="left"/>
        <w:rPr>
          <w:sz w:val="15"/>
        </w:rPr>
        <w:sectPr>
          <w:footerReference w:type="default" r:id="rId10"/>
          <w:pgSz w:w="12240" w:h="15840"/>
          <w:pgMar w:footer="974" w:header="0" w:top="1280" w:bottom="1160" w:left="1240" w:right="1660"/>
          <w:pgNumType w:start="9"/>
        </w:sectPr>
      </w:pPr>
    </w:p>
    <w:p>
      <w:pPr>
        <w:pStyle w:val="BodyText"/>
        <w:spacing w:line="357" w:lineRule="auto" w:before="71"/>
        <w:ind w:left="634" w:right="258"/>
      </w:pPr>
      <w:r>
        <w:rPr/>
        <w:t>Financial services rank sixth overall as an industry on complexity grounds. Within this, however, there</w:t>
      </w:r>
      <w:r>
        <w:rPr>
          <w:spacing w:val="-8"/>
        </w:rPr>
        <w:t> </w:t>
      </w:r>
      <w:r>
        <w:rPr/>
        <w:t>is</w:t>
      </w:r>
      <w:r>
        <w:rPr>
          <w:spacing w:val="-7"/>
        </w:rPr>
        <w:t> </w:t>
      </w:r>
      <w:r>
        <w:rPr/>
        <w:t>a</w:t>
      </w:r>
      <w:r>
        <w:rPr>
          <w:spacing w:val="-8"/>
        </w:rPr>
        <w:t> </w:t>
      </w:r>
      <w:r>
        <w:rPr/>
        <w:t>striking</w:t>
      </w:r>
      <w:r>
        <w:rPr>
          <w:spacing w:val="-8"/>
        </w:rPr>
        <w:t> </w:t>
      </w:r>
      <w:r>
        <w:rPr/>
        <w:t>diversity</w:t>
      </w:r>
      <w:r>
        <w:rPr>
          <w:spacing w:val="-8"/>
        </w:rPr>
        <w:t> </w:t>
      </w:r>
      <w:r>
        <w:rPr/>
        <w:t>in</w:t>
      </w:r>
      <w:r>
        <w:rPr>
          <w:spacing w:val="-8"/>
        </w:rPr>
        <w:t> </w:t>
      </w:r>
      <w:r>
        <w:rPr/>
        <w:t>performance,</w:t>
      </w:r>
      <w:r>
        <w:rPr>
          <w:spacing w:val="-6"/>
        </w:rPr>
        <w:t> </w:t>
      </w:r>
      <w:r>
        <w:rPr/>
        <w:t>with</w:t>
      </w:r>
      <w:r>
        <w:rPr>
          <w:spacing w:val="-8"/>
        </w:rPr>
        <w:t> </w:t>
      </w:r>
      <w:r>
        <w:rPr/>
        <w:t>a</w:t>
      </w:r>
      <w:r>
        <w:rPr>
          <w:spacing w:val="-8"/>
        </w:rPr>
        <w:t> </w:t>
      </w:r>
      <w:r>
        <w:rPr/>
        <w:t>number</w:t>
      </w:r>
      <w:r>
        <w:rPr>
          <w:spacing w:val="-8"/>
        </w:rPr>
        <w:t> </w:t>
      </w:r>
      <w:r>
        <w:rPr/>
        <w:t>of</w:t>
      </w:r>
      <w:r>
        <w:rPr>
          <w:spacing w:val="-5"/>
        </w:rPr>
        <w:t> </w:t>
      </w:r>
      <w:r>
        <w:rPr/>
        <w:t>banks</w:t>
      </w:r>
      <w:r>
        <w:rPr>
          <w:spacing w:val="-8"/>
        </w:rPr>
        <w:t> </w:t>
      </w:r>
      <w:r>
        <w:rPr/>
        <w:t>standing</w:t>
      </w:r>
      <w:r>
        <w:rPr>
          <w:spacing w:val="-8"/>
        </w:rPr>
        <w:t> </w:t>
      </w:r>
      <w:r>
        <w:rPr/>
        <w:t>out</w:t>
      </w:r>
      <w:r>
        <w:rPr>
          <w:spacing w:val="-8"/>
        </w:rPr>
        <w:t> </w:t>
      </w:r>
      <w:r>
        <w:rPr/>
        <w:t>as</w:t>
      </w:r>
      <w:r>
        <w:rPr>
          <w:spacing w:val="-7"/>
        </w:rPr>
        <w:t> </w:t>
      </w:r>
      <w:r>
        <w:rPr/>
        <w:t>having</w:t>
      </w:r>
      <w:r>
        <w:rPr>
          <w:spacing w:val="-7"/>
        </w:rPr>
        <w:t> </w:t>
      </w:r>
      <w:r>
        <w:rPr/>
        <w:t>high</w:t>
      </w:r>
      <w:r>
        <w:rPr>
          <w:spacing w:val="-8"/>
        </w:rPr>
        <w:t> </w:t>
      </w:r>
      <w:r>
        <w:rPr/>
        <w:t>levels of complexity and low performance. Chart 5 plots banks’ complexity and performance, based on a study by Simplicity Consulting in 2012.</w:t>
      </w:r>
      <w:r>
        <w:rPr>
          <w:vertAlign w:val="superscript"/>
        </w:rPr>
        <w:t>9</w:t>
      </w:r>
      <w:r>
        <w:rPr>
          <w:vertAlign w:val="baseline"/>
        </w:rPr>
        <w:t> It shows an inverted U-shaped pattern. While modest degrees</w:t>
      </w:r>
      <w:r>
        <w:rPr>
          <w:spacing w:val="-7"/>
          <w:vertAlign w:val="baseline"/>
        </w:rPr>
        <w:t> </w:t>
      </w:r>
      <w:r>
        <w:rPr>
          <w:vertAlign w:val="baseline"/>
        </w:rPr>
        <w:t>of</w:t>
      </w:r>
      <w:r>
        <w:rPr>
          <w:spacing w:val="-7"/>
          <w:vertAlign w:val="baseline"/>
        </w:rPr>
        <w:t> </w:t>
      </w:r>
      <w:r>
        <w:rPr>
          <w:vertAlign w:val="baseline"/>
        </w:rPr>
        <w:t>bank</w:t>
      </w:r>
      <w:r>
        <w:rPr>
          <w:spacing w:val="-7"/>
          <w:vertAlign w:val="baseline"/>
        </w:rPr>
        <w:t> </w:t>
      </w:r>
      <w:r>
        <w:rPr>
          <w:vertAlign w:val="baseline"/>
        </w:rPr>
        <w:t>complexity</w:t>
      </w:r>
      <w:r>
        <w:rPr>
          <w:spacing w:val="-8"/>
          <w:vertAlign w:val="baseline"/>
        </w:rPr>
        <w:t> </w:t>
      </w:r>
      <w:r>
        <w:rPr>
          <w:vertAlign w:val="baseline"/>
        </w:rPr>
        <w:t>are</w:t>
      </w:r>
      <w:r>
        <w:rPr>
          <w:spacing w:val="-10"/>
          <w:vertAlign w:val="baseline"/>
        </w:rPr>
        <w:t> </w:t>
      </w:r>
      <w:r>
        <w:rPr>
          <w:vertAlign w:val="baseline"/>
        </w:rPr>
        <w:t>good</w:t>
      </w:r>
      <w:r>
        <w:rPr>
          <w:spacing w:val="-8"/>
          <w:vertAlign w:val="baseline"/>
        </w:rPr>
        <w:t> </w:t>
      </w:r>
      <w:r>
        <w:rPr>
          <w:vertAlign w:val="baseline"/>
        </w:rPr>
        <w:t>for</w:t>
      </w:r>
      <w:r>
        <w:rPr>
          <w:spacing w:val="-9"/>
          <w:vertAlign w:val="baseline"/>
        </w:rPr>
        <w:t> </w:t>
      </w:r>
      <w:r>
        <w:rPr>
          <w:vertAlign w:val="baseline"/>
        </w:rPr>
        <w:t>performance,</w:t>
      </w:r>
      <w:r>
        <w:rPr>
          <w:spacing w:val="-8"/>
          <w:vertAlign w:val="baseline"/>
        </w:rPr>
        <w:t> </w:t>
      </w:r>
      <w:r>
        <w:rPr>
          <w:vertAlign w:val="baseline"/>
        </w:rPr>
        <w:t>beyond</w:t>
      </w:r>
      <w:r>
        <w:rPr>
          <w:spacing w:val="-10"/>
          <w:vertAlign w:val="baseline"/>
        </w:rPr>
        <w:t> </w:t>
      </w:r>
      <w:r>
        <w:rPr>
          <w:vertAlign w:val="baseline"/>
        </w:rPr>
        <w:t>a</w:t>
      </w:r>
      <w:r>
        <w:rPr>
          <w:spacing w:val="-8"/>
          <w:vertAlign w:val="baseline"/>
        </w:rPr>
        <w:t> </w:t>
      </w:r>
      <w:r>
        <w:rPr>
          <w:vertAlign w:val="baseline"/>
        </w:rPr>
        <w:t>threshold</w:t>
      </w:r>
      <w:r>
        <w:rPr>
          <w:spacing w:val="-9"/>
          <w:vertAlign w:val="baseline"/>
        </w:rPr>
        <w:t> </w:t>
      </w:r>
      <w:r>
        <w:rPr>
          <w:vertAlign w:val="baseline"/>
        </w:rPr>
        <w:t>these</w:t>
      </w:r>
      <w:r>
        <w:rPr>
          <w:spacing w:val="-9"/>
          <w:vertAlign w:val="baseline"/>
        </w:rPr>
        <w:t> </w:t>
      </w:r>
      <w:r>
        <w:rPr>
          <w:vertAlign w:val="baseline"/>
        </w:rPr>
        <w:t>complexity</w:t>
      </w:r>
      <w:r>
        <w:rPr>
          <w:spacing w:val="-7"/>
          <w:vertAlign w:val="baseline"/>
        </w:rPr>
        <w:t> </w:t>
      </w:r>
      <w:r>
        <w:rPr>
          <w:vertAlign w:val="baseline"/>
        </w:rPr>
        <w:t>benefits go into reverse and performance</w:t>
      </w:r>
      <w:r>
        <w:rPr>
          <w:spacing w:val="-8"/>
          <w:vertAlign w:val="baseline"/>
        </w:rPr>
        <w:t> </w:t>
      </w:r>
      <w:r>
        <w:rPr>
          <w:vertAlign w:val="baseline"/>
        </w:rPr>
        <w:t>worsens.</w:t>
      </w:r>
    </w:p>
    <w:p>
      <w:pPr>
        <w:pStyle w:val="BodyText"/>
        <w:spacing w:before="8"/>
        <w:rPr>
          <w:sz w:val="27"/>
        </w:rPr>
      </w:pPr>
    </w:p>
    <w:p>
      <w:pPr>
        <w:pStyle w:val="BodyText"/>
        <w:spacing w:line="357" w:lineRule="auto"/>
        <w:ind w:left="634" w:right="215"/>
      </w:pPr>
      <w:r>
        <w:rPr/>
        <w:t>This U-shaped pattern is consistent with micro-economic theory. It suggests economies of scale and scope in banking can give way to diseconomies beyond some threshold. There is empirical evidence suggesting diseconomies of scale may operate for some SIFIs, consistent with them being “too complex to manage” (Davies and Tracey (2014)). Taken together, this evidence suggests the world’s SIFIs are, and remain, highly complex entities in their own right.</w:t>
      </w:r>
    </w:p>
    <w:p>
      <w:pPr>
        <w:pStyle w:val="BodyText"/>
        <w:spacing w:before="11"/>
        <w:rPr>
          <w:sz w:val="27"/>
        </w:rPr>
      </w:pPr>
    </w:p>
    <w:p>
      <w:pPr>
        <w:pStyle w:val="ListParagraph"/>
        <w:numPr>
          <w:ilvl w:val="0"/>
          <w:numId w:val="1"/>
        </w:numPr>
        <w:tabs>
          <w:tab w:pos="918" w:val="left" w:leader="none"/>
        </w:tabs>
        <w:spacing w:line="240" w:lineRule="auto" w:before="0" w:after="0"/>
        <w:ind w:left="917" w:right="0" w:hanging="284"/>
        <w:jc w:val="left"/>
        <w:rPr>
          <w:i/>
          <w:sz w:val="19"/>
        </w:rPr>
      </w:pPr>
      <w:r>
        <w:rPr>
          <w:i/>
          <w:sz w:val="19"/>
        </w:rPr>
        <w:t>Complexity within the Financial</w:t>
      </w:r>
      <w:r>
        <w:rPr>
          <w:i/>
          <w:spacing w:val="-5"/>
          <w:sz w:val="19"/>
        </w:rPr>
        <w:t> </w:t>
      </w:r>
      <w:r>
        <w:rPr>
          <w:i/>
          <w:sz w:val="19"/>
        </w:rPr>
        <w:t>System</w:t>
      </w:r>
    </w:p>
    <w:p>
      <w:pPr>
        <w:pStyle w:val="BodyText"/>
        <w:rPr>
          <w:i/>
          <w:sz w:val="20"/>
        </w:rPr>
      </w:pPr>
    </w:p>
    <w:p>
      <w:pPr>
        <w:pStyle w:val="BodyText"/>
        <w:spacing w:before="4"/>
        <w:rPr>
          <w:i/>
          <w:sz w:val="17"/>
        </w:rPr>
      </w:pPr>
    </w:p>
    <w:p>
      <w:pPr>
        <w:pStyle w:val="BodyText"/>
        <w:spacing w:line="357" w:lineRule="auto"/>
        <w:ind w:left="634" w:right="173"/>
      </w:pPr>
      <w:r>
        <w:rPr/>
        <w:t>As with individual banks, there are no perfect metrics of financial system complexity. But maps of the topology or wiring of the financial sector can be revealing about the strength, direction and complexity of the counterparty links between, and interactions among, financial firms. As one example, Chart 6 looks at the interbank connections between UK banks in 2013.</w:t>
      </w:r>
      <w:r>
        <w:rPr>
          <w:vertAlign w:val="superscript"/>
        </w:rPr>
        <w:t>10</w:t>
      </w:r>
    </w:p>
    <w:p>
      <w:pPr>
        <w:pStyle w:val="BodyText"/>
        <w:spacing w:before="11"/>
        <w:rPr>
          <w:sz w:val="27"/>
        </w:rPr>
      </w:pPr>
    </w:p>
    <w:p>
      <w:pPr>
        <w:pStyle w:val="BodyText"/>
        <w:spacing w:line="355" w:lineRule="auto"/>
        <w:ind w:left="634" w:right="258"/>
      </w:pPr>
      <w:r>
        <w:rPr/>
        <w:t>This suggests the wiring of the interbank network is messy and dense. The network’s epicentre is a small set of large banks with a very large number of connections - “super-spreader” banks. There are, in addition, a large number of peripheral banks with few connections. In other words, the interbank system has all the properties of a classic scale-free network.</w:t>
      </w:r>
    </w:p>
    <w:p>
      <w:pPr>
        <w:pStyle w:val="BodyText"/>
        <w:spacing w:before="7"/>
        <w:rPr>
          <w:sz w:val="28"/>
        </w:rPr>
      </w:pPr>
    </w:p>
    <w:p>
      <w:pPr>
        <w:pStyle w:val="BodyText"/>
        <w:spacing w:line="357" w:lineRule="auto"/>
        <w:ind w:left="634" w:right="215"/>
      </w:pPr>
      <w:r>
        <w:rPr/>
        <w:t>Chart 7 looks at the pattern of interbank funding exposures among UK banks. It, too, suggests a complex web with scale-free properties. Networks with these properties are prone to failures among the super-spreader nodes. Since these are likely to be the entities most exposed to “too complex to manage” problems, this topology harbours a potential systemic vulnerability, the type of which was exposed in 2008.</w:t>
      </w:r>
    </w:p>
    <w:p>
      <w:pPr>
        <w:pStyle w:val="BodyText"/>
        <w:spacing w:before="9"/>
        <w:rPr>
          <w:sz w:val="27"/>
        </w:rPr>
      </w:pPr>
    </w:p>
    <w:p>
      <w:pPr>
        <w:pStyle w:val="BodyText"/>
        <w:spacing w:line="357" w:lineRule="auto" w:before="1"/>
        <w:ind w:left="634" w:right="258"/>
      </w:pPr>
      <w:r>
        <w:rPr/>
        <w:t>Complex interactions are not confined to the banking sector. The non-bank (“shadow” banking) sector has become increasingly important over recent years. In the US, estimates suggest it was broadly equivalent in scale to banking in the run-up to the crisis. At a global level, non-bank intermediation is currently estimated at around $75 trillion, around half of the assets of the global banking system.</w:t>
      </w:r>
    </w:p>
    <w:p>
      <w:pPr>
        <w:pStyle w:val="BodyText"/>
        <w:rPr>
          <w:sz w:val="20"/>
        </w:rPr>
      </w:pPr>
    </w:p>
    <w:p>
      <w:pPr>
        <w:pStyle w:val="BodyText"/>
        <w:rPr>
          <w:sz w:val="20"/>
        </w:rPr>
      </w:pPr>
    </w:p>
    <w:p>
      <w:pPr>
        <w:pStyle w:val="BodyText"/>
        <w:spacing w:before="3"/>
        <w:rPr>
          <w:sz w:val="29"/>
        </w:rPr>
      </w:pPr>
      <w:r>
        <w:rPr/>
        <w:pict>
          <v:shape style="position:absolute;margin-left:93.720001pt;margin-top:19.029139pt;width:135.5pt;height:.1pt;mso-position-horizontal-relative:page;mso-position-vertical-relative:paragraph;z-index:-251652096;mso-wrap-distance-left:0;mso-wrap-distance-right:0" coordorigin="1874,381" coordsize="2710,0" path="m1874,381l4584,381e" filled="false" stroked="true" strokeweight=".41998pt" strokecolor="#000000">
            <v:path arrowok="t"/>
            <v:stroke dashstyle="solid"/>
            <w10:wrap type="topAndBottom"/>
          </v:shape>
        </w:pict>
      </w:r>
    </w:p>
    <w:p>
      <w:pPr>
        <w:spacing w:line="185" w:lineRule="exact" w:before="27"/>
        <w:ind w:left="634" w:right="0" w:firstLine="0"/>
        <w:jc w:val="left"/>
        <w:rPr>
          <w:sz w:val="15"/>
        </w:rPr>
      </w:pPr>
      <w:r>
        <w:rPr>
          <w:position w:val="8"/>
          <w:sz w:val="9"/>
        </w:rPr>
        <w:t>9 </w:t>
      </w:r>
      <w:r>
        <w:rPr>
          <w:sz w:val="15"/>
        </w:rPr>
        <w:t>‘True Cost of complexity in the banking sector’, Simplicity Consulting (2012).</w:t>
      </w:r>
    </w:p>
    <w:p>
      <w:pPr>
        <w:spacing w:line="172" w:lineRule="exact" w:before="16"/>
        <w:ind w:left="634" w:right="561" w:firstLine="0"/>
        <w:jc w:val="left"/>
        <w:rPr>
          <w:sz w:val="15"/>
        </w:rPr>
      </w:pPr>
      <w:r>
        <w:rPr>
          <w:position w:val="8"/>
          <w:sz w:val="9"/>
        </w:rPr>
        <w:t>10 </w:t>
      </w:r>
      <w:r>
        <w:rPr>
          <w:sz w:val="15"/>
        </w:rPr>
        <w:t>It is taken from Langfield, Liu and Ota (2014). Exposures comprise unsecured loans, marketable securities, CDS sold minus CDS bought, securities lending and repo and derivatives exposures.</w:t>
      </w:r>
    </w:p>
    <w:p>
      <w:pPr>
        <w:spacing w:after="0" w:line="172" w:lineRule="exact"/>
        <w:jc w:val="left"/>
        <w:rPr>
          <w:sz w:val="15"/>
        </w:rPr>
        <w:sectPr>
          <w:footerReference w:type="default" r:id="rId11"/>
          <w:pgSz w:w="12240" w:h="15840"/>
          <w:pgMar w:footer="974" w:header="0" w:top="1280" w:bottom="1160" w:left="1240" w:right="1660"/>
          <w:pgNumType w:start="10"/>
        </w:sectPr>
      </w:pPr>
    </w:p>
    <w:p>
      <w:pPr>
        <w:pStyle w:val="BodyText"/>
        <w:spacing w:line="357" w:lineRule="auto" w:before="71"/>
        <w:ind w:left="634" w:right="163"/>
      </w:pPr>
      <w:r>
        <w:rPr/>
        <w:t>Because many of these entities sit outside of the regulatory perimeter, data on their exposures and interactions is thin on the ground. But work in the US to map these interactions suggests they too are dense and complex (Pozsar et al (2010)). Chart 8, from Claessens </w:t>
      </w:r>
      <w:r>
        <w:rPr>
          <w:i/>
        </w:rPr>
        <w:t>et al </w:t>
      </w:r>
      <w:r>
        <w:rPr/>
        <w:t>(2012), presents a stylised map of the shadow banking sector and its interaction with the banking sector. These interactions are highly complex and multi-layered.</w:t>
      </w:r>
    </w:p>
    <w:p>
      <w:pPr>
        <w:pStyle w:val="BodyText"/>
        <w:spacing w:before="11"/>
        <w:rPr>
          <w:sz w:val="27"/>
        </w:rPr>
      </w:pPr>
    </w:p>
    <w:p>
      <w:pPr>
        <w:pStyle w:val="ListParagraph"/>
        <w:numPr>
          <w:ilvl w:val="0"/>
          <w:numId w:val="1"/>
        </w:numPr>
        <w:tabs>
          <w:tab w:pos="908" w:val="left" w:leader="none"/>
        </w:tabs>
        <w:spacing w:line="240" w:lineRule="auto" w:before="0" w:after="0"/>
        <w:ind w:left="907" w:right="0" w:hanging="274"/>
        <w:jc w:val="left"/>
        <w:rPr>
          <w:i/>
          <w:sz w:val="19"/>
        </w:rPr>
      </w:pPr>
      <w:r>
        <w:rPr>
          <w:i/>
          <w:sz w:val="19"/>
        </w:rPr>
        <w:t>Complexity of macro-financial</w:t>
      </w:r>
      <w:r>
        <w:rPr>
          <w:i/>
          <w:spacing w:val="-4"/>
          <w:sz w:val="19"/>
        </w:rPr>
        <w:t> </w:t>
      </w:r>
      <w:r>
        <w:rPr>
          <w:i/>
          <w:sz w:val="19"/>
        </w:rPr>
        <w:t>interactions</w:t>
      </w:r>
    </w:p>
    <w:p>
      <w:pPr>
        <w:pStyle w:val="BodyText"/>
        <w:rPr>
          <w:i/>
          <w:sz w:val="20"/>
        </w:rPr>
      </w:pPr>
    </w:p>
    <w:p>
      <w:pPr>
        <w:pStyle w:val="BodyText"/>
        <w:spacing w:before="4"/>
        <w:rPr>
          <w:i/>
          <w:sz w:val="17"/>
        </w:rPr>
      </w:pPr>
    </w:p>
    <w:p>
      <w:pPr>
        <w:pStyle w:val="BodyText"/>
        <w:spacing w:line="357" w:lineRule="auto"/>
        <w:ind w:left="634" w:right="184"/>
      </w:pPr>
      <w:r>
        <w:rPr/>
        <w:t>The links and interactions between the financial sector and the wider economy are, in some respects, even less well mapped than the shadow banking sector. They, too, have evolved significantly over recent decades in scale and complexity.</w:t>
      </w:r>
    </w:p>
    <w:p>
      <w:pPr>
        <w:pStyle w:val="BodyText"/>
        <w:rPr>
          <w:sz w:val="28"/>
        </w:rPr>
      </w:pPr>
    </w:p>
    <w:p>
      <w:pPr>
        <w:pStyle w:val="BodyText"/>
        <w:spacing w:line="355" w:lineRule="auto"/>
        <w:ind w:left="634" w:right="544"/>
      </w:pPr>
      <w:r>
        <w:rPr/>
        <w:t>As an example of that evolution, Chart 9 looks at a representation of the flow of funds between various sectors in the UK – companies, households, the rest of the world and government. It also shows the role of the financial sector in intermediating these flows of funds between ultimate asset-owners (shown at the top) and liability-holders (shown at the bottom). The intermediation</w:t>
      </w:r>
    </w:p>
    <w:p>
      <w:pPr>
        <w:pStyle w:val="BodyText"/>
        <w:spacing w:line="355" w:lineRule="auto" w:before="5"/>
        <w:ind w:left="634"/>
      </w:pPr>
      <w:r>
        <w:rPr/>
        <w:t>sector</w:t>
      </w:r>
      <w:r>
        <w:rPr>
          <w:spacing w:val="-11"/>
        </w:rPr>
        <w:t> </w:t>
      </w:r>
      <w:r>
        <w:rPr/>
        <w:t>is</w:t>
      </w:r>
      <w:r>
        <w:rPr>
          <w:spacing w:val="-9"/>
        </w:rPr>
        <w:t> </w:t>
      </w:r>
      <w:r>
        <w:rPr/>
        <w:t>further</w:t>
      </w:r>
      <w:r>
        <w:rPr>
          <w:spacing w:val="-10"/>
        </w:rPr>
        <w:t> </w:t>
      </w:r>
      <w:r>
        <w:rPr/>
        <w:t>decomposed</w:t>
      </w:r>
      <w:r>
        <w:rPr>
          <w:spacing w:val="-10"/>
        </w:rPr>
        <w:t> </w:t>
      </w:r>
      <w:r>
        <w:rPr/>
        <w:t>into</w:t>
      </w:r>
      <w:r>
        <w:rPr>
          <w:spacing w:val="-10"/>
        </w:rPr>
        <w:t> </w:t>
      </w:r>
      <w:r>
        <w:rPr/>
        <w:t>banking</w:t>
      </w:r>
      <w:r>
        <w:rPr>
          <w:spacing w:val="-11"/>
        </w:rPr>
        <w:t> </w:t>
      </w:r>
      <w:r>
        <w:rPr/>
        <w:t>and</w:t>
      </w:r>
      <w:r>
        <w:rPr>
          <w:spacing w:val="-10"/>
        </w:rPr>
        <w:t> </w:t>
      </w:r>
      <w:r>
        <w:rPr/>
        <w:t>“other”</w:t>
      </w:r>
      <w:r>
        <w:rPr>
          <w:spacing w:val="-10"/>
        </w:rPr>
        <w:t> </w:t>
      </w:r>
      <w:r>
        <w:rPr/>
        <w:t>financial</w:t>
      </w:r>
      <w:r>
        <w:rPr>
          <w:spacing w:val="-10"/>
        </w:rPr>
        <w:t> </w:t>
      </w:r>
      <w:r>
        <w:rPr/>
        <w:t>intermediaries</w:t>
      </w:r>
      <w:r>
        <w:rPr>
          <w:spacing w:val="-9"/>
        </w:rPr>
        <w:t> </w:t>
      </w:r>
      <w:r>
        <w:rPr/>
        <w:t>such</w:t>
      </w:r>
      <w:r>
        <w:rPr>
          <w:spacing w:val="-10"/>
        </w:rPr>
        <w:t> </w:t>
      </w:r>
      <w:r>
        <w:rPr/>
        <w:t>as</w:t>
      </w:r>
      <w:r>
        <w:rPr>
          <w:spacing w:val="-9"/>
        </w:rPr>
        <w:t> </w:t>
      </w:r>
      <w:r>
        <w:rPr/>
        <w:t>pension,</w:t>
      </w:r>
      <w:r>
        <w:rPr>
          <w:spacing w:val="-10"/>
        </w:rPr>
        <w:t> </w:t>
      </w:r>
      <w:r>
        <w:rPr/>
        <w:t>hedge and other funds and insurance companies. The Bank of England’s is also</w:t>
      </w:r>
      <w:r>
        <w:rPr>
          <w:spacing w:val="-36"/>
        </w:rPr>
        <w:t> </w:t>
      </w:r>
      <w:r>
        <w:rPr/>
        <w:t>shown.</w:t>
      </w:r>
    </w:p>
    <w:p>
      <w:pPr>
        <w:pStyle w:val="BodyText"/>
        <w:spacing w:before="4"/>
        <w:rPr>
          <w:sz w:val="28"/>
        </w:rPr>
      </w:pPr>
    </w:p>
    <w:p>
      <w:pPr>
        <w:pStyle w:val="BodyText"/>
        <w:spacing w:line="357" w:lineRule="auto" w:before="1"/>
        <w:ind w:left="634" w:right="215"/>
      </w:pPr>
      <w:r>
        <w:rPr/>
        <w:t>These balance sheets are scaled relative to GDP at two dates, 1978 and 2011. The changes over time in the scale and pattern of intermediation are striking. In 1978, the UK banking system was dominated by foreign banks. Banks’ assets summed to a little over 100% of GDP. Non-bank intermediaries, meanwhile, accounted for little more than 50% of GDP and were dominated by traditional real-money investors, such as pension funds and insurance companies. The Bank of England’s balance sheet was a mere 6% of GDP.</w:t>
      </w:r>
    </w:p>
    <w:p>
      <w:pPr>
        <w:pStyle w:val="BodyText"/>
        <w:spacing w:before="7"/>
        <w:rPr>
          <w:sz w:val="27"/>
        </w:rPr>
      </w:pPr>
    </w:p>
    <w:p>
      <w:pPr>
        <w:pStyle w:val="BodyText"/>
        <w:spacing w:line="357" w:lineRule="auto"/>
        <w:ind w:left="634" w:right="258"/>
      </w:pPr>
      <w:r>
        <w:rPr/>
        <w:t>Fast forwarding to 2011, this flow of funds picture has been transformed. The balance sheets of ultimate</w:t>
      </w:r>
      <w:r>
        <w:rPr>
          <w:spacing w:val="-10"/>
        </w:rPr>
        <w:t> </w:t>
      </w:r>
      <w:r>
        <w:rPr/>
        <w:t>asset-owners/liability-holders</w:t>
      </w:r>
      <w:r>
        <w:rPr>
          <w:spacing w:val="-8"/>
        </w:rPr>
        <w:t> </w:t>
      </w:r>
      <w:r>
        <w:rPr/>
        <w:t>has</w:t>
      </w:r>
      <w:r>
        <w:rPr>
          <w:spacing w:val="-8"/>
        </w:rPr>
        <w:t> </w:t>
      </w:r>
      <w:r>
        <w:rPr/>
        <w:t>risen</w:t>
      </w:r>
      <w:r>
        <w:rPr>
          <w:spacing w:val="-9"/>
        </w:rPr>
        <w:t> </w:t>
      </w:r>
      <w:r>
        <w:rPr/>
        <w:t>from</w:t>
      </w:r>
      <w:r>
        <w:rPr>
          <w:spacing w:val="-9"/>
        </w:rPr>
        <w:t> </w:t>
      </w:r>
      <w:r>
        <w:rPr/>
        <w:t>around</w:t>
      </w:r>
      <w:r>
        <w:rPr>
          <w:spacing w:val="-9"/>
        </w:rPr>
        <w:t> </w:t>
      </w:r>
      <w:r>
        <w:rPr/>
        <w:t>200%</w:t>
      </w:r>
      <w:r>
        <w:rPr>
          <w:spacing w:val="-8"/>
        </w:rPr>
        <w:t> </w:t>
      </w:r>
      <w:r>
        <w:rPr/>
        <w:t>of</w:t>
      </w:r>
      <w:r>
        <w:rPr>
          <w:spacing w:val="-8"/>
        </w:rPr>
        <w:t> </w:t>
      </w:r>
      <w:r>
        <w:rPr/>
        <w:t>GDP</w:t>
      </w:r>
      <w:r>
        <w:rPr>
          <w:spacing w:val="-8"/>
        </w:rPr>
        <w:t> </w:t>
      </w:r>
      <w:r>
        <w:rPr/>
        <w:t>to</w:t>
      </w:r>
      <w:r>
        <w:rPr>
          <w:spacing w:val="-10"/>
        </w:rPr>
        <w:t> </w:t>
      </w:r>
      <w:r>
        <w:rPr/>
        <w:t>around</w:t>
      </w:r>
      <w:r>
        <w:rPr>
          <w:spacing w:val="-10"/>
        </w:rPr>
        <w:t> </w:t>
      </w:r>
      <w:r>
        <w:rPr/>
        <w:t>600%</w:t>
      </w:r>
      <w:r>
        <w:rPr>
          <w:spacing w:val="-9"/>
        </w:rPr>
        <w:t> </w:t>
      </w:r>
      <w:r>
        <w:rPr/>
        <w:t>of</w:t>
      </w:r>
      <w:r>
        <w:rPr>
          <w:spacing w:val="-10"/>
        </w:rPr>
        <w:t> </w:t>
      </w:r>
      <w:r>
        <w:rPr/>
        <w:t>GDP</w:t>
      </w:r>
      <w:r>
        <w:rPr>
          <w:spacing w:val="-10"/>
        </w:rPr>
        <w:t> </w:t>
      </w:r>
      <w:r>
        <w:rPr/>
        <w:t>– a threefold rise. The scale and pattern of intermediation between these sectors has also been transformed. The banking sector has also risen substantially over this period. UK universal banks now dominate the landscape, accounting for 80% of total banking assets. They are the new “super- spreaders” of the UK financial</w:t>
      </w:r>
      <w:r>
        <w:rPr>
          <w:spacing w:val="-8"/>
        </w:rPr>
        <w:t> </w:t>
      </w:r>
      <w:r>
        <w:rPr/>
        <w:t>sector.</w:t>
      </w:r>
    </w:p>
    <w:p>
      <w:pPr>
        <w:pStyle w:val="BodyText"/>
        <w:spacing w:before="9"/>
        <w:rPr>
          <w:sz w:val="27"/>
        </w:rPr>
      </w:pPr>
    </w:p>
    <w:p>
      <w:pPr>
        <w:pStyle w:val="BodyText"/>
        <w:spacing w:line="357" w:lineRule="auto" w:before="1"/>
        <w:ind w:left="634" w:right="163"/>
      </w:pPr>
      <w:r>
        <w:rPr/>
        <w:t>Non-bank intermediation has also seen a dramatic scaling-up of its balance sheets, rising sixfold to 300% of GDP. Within this, growth has been particularly strong within the non-traditional sectors (such as hedge funds and unauthorised funds) and among new types of vehicle (such as ETFs and private equity funds). These are a new strain of potential “super-spreader”. The Bank of England’s balance sheet has also grown rapidly, rising to over 25% of GDP, largely courtesy of QE.</w:t>
      </w:r>
    </w:p>
    <w:p>
      <w:pPr>
        <w:spacing w:after="0" w:line="357" w:lineRule="auto"/>
        <w:sectPr>
          <w:pgSz w:w="12240" w:h="15840"/>
          <w:pgMar w:header="0" w:footer="974" w:top="1280" w:bottom="1160" w:left="1240" w:right="1660"/>
        </w:sectPr>
      </w:pPr>
    </w:p>
    <w:p>
      <w:pPr>
        <w:pStyle w:val="BodyText"/>
        <w:spacing w:line="355" w:lineRule="auto" w:before="71"/>
        <w:ind w:left="634" w:right="427"/>
      </w:pPr>
      <w:r>
        <w:rPr/>
        <w:t>Overall, the picture is of a much larger, much more diverse and potentially considerably more complex set of channels of intermediation than in the past. Of course, this stylised map offers only the most cursory of indications of the true degree of complexity in individual interactions within and between sectors.</w:t>
      </w:r>
    </w:p>
    <w:p>
      <w:pPr>
        <w:pStyle w:val="BodyText"/>
        <w:spacing w:before="9"/>
        <w:rPr>
          <w:sz w:val="28"/>
        </w:rPr>
      </w:pPr>
    </w:p>
    <w:p>
      <w:pPr>
        <w:pStyle w:val="ListParagraph"/>
        <w:numPr>
          <w:ilvl w:val="0"/>
          <w:numId w:val="1"/>
        </w:numPr>
        <w:tabs>
          <w:tab w:pos="918" w:val="left" w:leader="none"/>
        </w:tabs>
        <w:spacing w:line="240" w:lineRule="auto" w:before="0" w:after="0"/>
        <w:ind w:left="917" w:right="0" w:hanging="284"/>
        <w:jc w:val="left"/>
        <w:rPr>
          <w:i/>
          <w:sz w:val="19"/>
        </w:rPr>
      </w:pPr>
      <w:r>
        <w:rPr>
          <w:i/>
          <w:sz w:val="19"/>
        </w:rPr>
        <w:t>Complexity of global macro-financial</w:t>
      </w:r>
      <w:r>
        <w:rPr>
          <w:i/>
          <w:spacing w:val="-1"/>
          <w:sz w:val="19"/>
        </w:rPr>
        <w:t> </w:t>
      </w:r>
      <w:r>
        <w:rPr>
          <w:i/>
          <w:sz w:val="19"/>
        </w:rPr>
        <w:t>interactions</w:t>
      </w:r>
    </w:p>
    <w:p>
      <w:pPr>
        <w:pStyle w:val="BodyText"/>
        <w:rPr>
          <w:i/>
          <w:sz w:val="20"/>
        </w:rPr>
      </w:pPr>
    </w:p>
    <w:p>
      <w:pPr>
        <w:pStyle w:val="BodyText"/>
        <w:spacing w:before="4"/>
        <w:rPr>
          <w:i/>
          <w:sz w:val="17"/>
        </w:rPr>
      </w:pPr>
    </w:p>
    <w:p>
      <w:pPr>
        <w:pStyle w:val="BodyText"/>
        <w:spacing w:line="357" w:lineRule="auto"/>
        <w:ind w:left="634" w:right="173"/>
      </w:pPr>
      <w:r>
        <w:rPr/>
        <w:t>A final dimension to network complexity is the global one. There has been a dramatic rise in the scale of global trade and, in particular, capital market integration over the past few decades. Both are now at their highest levels for several centuries and, most probably, ever (Chart 10).</w:t>
      </w:r>
    </w:p>
    <w:p>
      <w:pPr>
        <w:pStyle w:val="BodyText"/>
        <w:spacing w:before="11"/>
        <w:rPr>
          <w:sz w:val="27"/>
        </w:rPr>
      </w:pPr>
    </w:p>
    <w:p>
      <w:pPr>
        <w:pStyle w:val="BodyText"/>
        <w:spacing w:line="357" w:lineRule="auto"/>
        <w:ind w:left="634" w:right="152"/>
      </w:pPr>
      <w:r>
        <w:rPr/>
        <w:t>For global trade, Chart 11 compares trade flows across 70 countries constituting around 80% of world exports at two dates - 1995 and 2013. The size of the nodes reflects the importance of a country to world trade and the thickness of the links the size of trade flows. It is clear that the wiring of the international trading systems has become considerably more dense and complex over this period, reflecting the deepening and lengthening of global value chains (OECD (2013), de Backer and Miroudet (2014)).</w:t>
      </w:r>
    </w:p>
    <w:p>
      <w:pPr>
        <w:pStyle w:val="BodyText"/>
        <w:spacing w:before="9"/>
        <w:rPr>
          <w:sz w:val="27"/>
        </w:rPr>
      </w:pPr>
    </w:p>
    <w:p>
      <w:pPr>
        <w:pStyle w:val="BodyText"/>
        <w:spacing w:line="357" w:lineRule="auto"/>
        <w:ind w:left="634" w:right="225"/>
      </w:pPr>
      <w:r>
        <w:rPr/>
        <w:t>This highly interconnected and complex set of global supply chains has the potential to propagate disturbances much more virulently than in the past, as two recent events illustrate. The first was the correlated collapse of world trade during the financial crisis. Between 2008Q1 and 2009Q1, real world</w:t>
      </w:r>
      <w:r>
        <w:rPr>
          <w:spacing w:val="-8"/>
        </w:rPr>
        <w:t> </w:t>
      </w:r>
      <w:r>
        <w:rPr/>
        <w:t>trade</w:t>
      </w:r>
      <w:r>
        <w:rPr>
          <w:spacing w:val="-7"/>
        </w:rPr>
        <w:t> </w:t>
      </w:r>
      <w:r>
        <w:rPr/>
        <w:t>fell</w:t>
      </w:r>
      <w:r>
        <w:rPr>
          <w:spacing w:val="-8"/>
        </w:rPr>
        <w:t> </w:t>
      </w:r>
      <w:r>
        <w:rPr/>
        <w:t>by</w:t>
      </w:r>
      <w:r>
        <w:rPr>
          <w:spacing w:val="-7"/>
        </w:rPr>
        <w:t> </w:t>
      </w:r>
      <w:r>
        <w:rPr/>
        <w:t>almost</w:t>
      </w:r>
      <w:r>
        <w:rPr>
          <w:spacing w:val="-7"/>
        </w:rPr>
        <w:t> </w:t>
      </w:r>
      <w:r>
        <w:rPr/>
        <w:t>15%.</w:t>
      </w:r>
      <w:r>
        <w:rPr>
          <w:spacing w:val="39"/>
        </w:rPr>
        <w:t> </w:t>
      </w:r>
      <w:r>
        <w:rPr/>
        <w:t>Correlations</w:t>
      </w:r>
      <w:r>
        <w:rPr>
          <w:spacing w:val="-7"/>
        </w:rPr>
        <w:t> </w:t>
      </w:r>
      <w:r>
        <w:rPr/>
        <w:t>between</w:t>
      </w:r>
      <w:r>
        <w:rPr>
          <w:spacing w:val="-10"/>
        </w:rPr>
        <w:t> </w:t>
      </w:r>
      <w:r>
        <w:rPr/>
        <w:t>regional</w:t>
      </w:r>
      <w:r>
        <w:rPr>
          <w:spacing w:val="-6"/>
        </w:rPr>
        <w:t> </w:t>
      </w:r>
      <w:r>
        <w:rPr/>
        <w:t>import</w:t>
      </w:r>
      <w:r>
        <w:rPr>
          <w:spacing w:val="-8"/>
        </w:rPr>
        <w:t> </w:t>
      </w:r>
      <w:r>
        <w:rPr/>
        <w:t>volumes</w:t>
      </w:r>
      <w:r>
        <w:rPr>
          <w:spacing w:val="-6"/>
        </w:rPr>
        <w:t> </w:t>
      </w:r>
      <w:r>
        <w:rPr/>
        <w:t>rose</w:t>
      </w:r>
      <w:r>
        <w:rPr>
          <w:spacing w:val="-8"/>
        </w:rPr>
        <w:t> </w:t>
      </w:r>
      <w:r>
        <w:rPr/>
        <w:t>to</w:t>
      </w:r>
      <w:r>
        <w:rPr>
          <w:spacing w:val="-8"/>
        </w:rPr>
        <w:t> </w:t>
      </w:r>
      <w:r>
        <w:rPr/>
        <w:t>close</w:t>
      </w:r>
      <w:r>
        <w:rPr>
          <w:spacing w:val="-8"/>
        </w:rPr>
        <w:t> </w:t>
      </w:r>
      <w:r>
        <w:rPr/>
        <w:t>to</w:t>
      </w:r>
      <w:r>
        <w:rPr>
          <w:spacing w:val="-8"/>
        </w:rPr>
        <w:t> </w:t>
      </w:r>
      <w:r>
        <w:rPr/>
        <w:t>unity</w:t>
      </w:r>
      <w:r>
        <w:rPr>
          <w:spacing w:val="-7"/>
        </w:rPr>
        <w:t> </w:t>
      </w:r>
      <w:r>
        <w:rPr/>
        <w:t>at the height of the crisis (Chart 12). The strength and length of global supply chains caused a synchronous collapse in trade (Bems et al</w:t>
      </w:r>
      <w:r>
        <w:rPr>
          <w:spacing w:val="-8"/>
        </w:rPr>
        <w:t> </w:t>
      </w:r>
      <w:r>
        <w:rPr/>
        <w:t>(2012)).</w:t>
      </w:r>
    </w:p>
    <w:p>
      <w:pPr>
        <w:pStyle w:val="BodyText"/>
        <w:spacing w:before="8"/>
        <w:rPr>
          <w:sz w:val="27"/>
        </w:rPr>
      </w:pPr>
    </w:p>
    <w:p>
      <w:pPr>
        <w:pStyle w:val="BodyText"/>
        <w:spacing w:line="355" w:lineRule="auto"/>
        <w:ind w:left="634" w:right="215"/>
      </w:pPr>
      <w:r>
        <w:rPr/>
        <w:t>The second was the Japanese earthquake and tsunami in 2011. Because Japan plays a central role in</w:t>
      </w:r>
      <w:r>
        <w:rPr>
          <w:spacing w:val="-9"/>
        </w:rPr>
        <w:t> </w:t>
      </w:r>
      <w:r>
        <w:rPr/>
        <w:t>global</w:t>
      </w:r>
      <w:r>
        <w:rPr>
          <w:spacing w:val="-7"/>
        </w:rPr>
        <w:t> </w:t>
      </w:r>
      <w:r>
        <w:rPr/>
        <w:t>supply</w:t>
      </w:r>
      <w:r>
        <w:rPr>
          <w:spacing w:val="-8"/>
        </w:rPr>
        <w:t> </w:t>
      </w:r>
      <w:r>
        <w:rPr/>
        <w:t>chains</w:t>
      </w:r>
      <w:r>
        <w:rPr>
          <w:spacing w:val="-7"/>
        </w:rPr>
        <w:t> </w:t>
      </w:r>
      <w:r>
        <w:rPr/>
        <w:t>as</w:t>
      </w:r>
      <w:r>
        <w:rPr>
          <w:spacing w:val="-9"/>
        </w:rPr>
        <w:t> </w:t>
      </w:r>
      <w:r>
        <w:rPr/>
        <w:t>a</w:t>
      </w:r>
      <w:r>
        <w:rPr>
          <w:spacing w:val="-8"/>
        </w:rPr>
        <w:t> </w:t>
      </w:r>
      <w:r>
        <w:rPr/>
        <w:t>producer</w:t>
      </w:r>
      <w:r>
        <w:rPr>
          <w:spacing w:val="-8"/>
        </w:rPr>
        <w:t> </w:t>
      </w:r>
      <w:r>
        <w:rPr/>
        <w:t>of</w:t>
      </w:r>
      <w:r>
        <w:rPr>
          <w:spacing w:val="-8"/>
        </w:rPr>
        <w:t> </w:t>
      </w:r>
      <w:r>
        <w:rPr/>
        <w:t>high-value</w:t>
      </w:r>
      <w:r>
        <w:rPr>
          <w:spacing w:val="-10"/>
        </w:rPr>
        <w:t> </w:t>
      </w:r>
      <w:r>
        <w:rPr/>
        <w:t>intermediate</w:t>
      </w:r>
      <w:r>
        <w:rPr>
          <w:spacing w:val="-8"/>
        </w:rPr>
        <w:t> </w:t>
      </w:r>
      <w:r>
        <w:rPr/>
        <w:t>goods,</w:t>
      </w:r>
      <w:r>
        <w:rPr>
          <w:spacing w:val="-7"/>
        </w:rPr>
        <w:t> </w:t>
      </w:r>
      <w:r>
        <w:rPr/>
        <w:t>this</w:t>
      </w:r>
      <w:r>
        <w:rPr>
          <w:spacing w:val="-8"/>
        </w:rPr>
        <w:t> </w:t>
      </w:r>
      <w:r>
        <w:rPr/>
        <w:t>had</w:t>
      </w:r>
      <w:r>
        <w:rPr>
          <w:spacing w:val="-9"/>
        </w:rPr>
        <w:t> </w:t>
      </w:r>
      <w:r>
        <w:rPr/>
        <w:t>a</w:t>
      </w:r>
      <w:r>
        <w:rPr>
          <w:spacing w:val="-8"/>
        </w:rPr>
        <w:t> </w:t>
      </w:r>
      <w:r>
        <w:rPr/>
        <w:t>cascading</w:t>
      </w:r>
      <w:r>
        <w:rPr>
          <w:spacing w:val="-7"/>
        </w:rPr>
        <w:t> </w:t>
      </w:r>
      <w:r>
        <w:rPr/>
        <w:t>effect</w:t>
      </w:r>
      <w:r>
        <w:rPr>
          <w:spacing w:val="-7"/>
        </w:rPr>
        <w:t> </w:t>
      </w:r>
      <w:r>
        <w:rPr/>
        <w:t>on global production. For example, as Japanese car producers ceased production, their foreign affiliates were</w:t>
      </w:r>
      <w:r>
        <w:rPr>
          <w:spacing w:val="-5"/>
        </w:rPr>
        <w:t> </w:t>
      </w:r>
      <w:r>
        <w:rPr/>
        <w:t>unable</w:t>
      </w:r>
      <w:r>
        <w:rPr>
          <w:spacing w:val="-5"/>
        </w:rPr>
        <w:t> </w:t>
      </w:r>
      <w:r>
        <w:rPr/>
        <w:t>to</w:t>
      </w:r>
      <w:r>
        <w:rPr>
          <w:spacing w:val="-4"/>
        </w:rPr>
        <w:t> </w:t>
      </w:r>
      <w:r>
        <w:rPr/>
        <w:t>compensate</w:t>
      </w:r>
      <w:r>
        <w:rPr>
          <w:spacing w:val="-5"/>
        </w:rPr>
        <w:t> </w:t>
      </w:r>
      <w:r>
        <w:rPr/>
        <w:t>because</w:t>
      </w:r>
      <w:r>
        <w:rPr>
          <w:spacing w:val="-5"/>
        </w:rPr>
        <w:t> </w:t>
      </w:r>
      <w:r>
        <w:rPr/>
        <w:t>they</w:t>
      </w:r>
      <w:r>
        <w:rPr>
          <w:spacing w:val="-3"/>
        </w:rPr>
        <w:t> </w:t>
      </w:r>
      <w:r>
        <w:rPr/>
        <w:t>depending</w:t>
      </w:r>
      <w:r>
        <w:rPr>
          <w:spacing w:val="-4"/>
        </w:rPr>
        <w:t> </w:t>
      </w:r>
      <w:r>
        <w:rPr/>
        <w:t>on</w:t>
      </w:r>
      <w:r>
        <w:rPr>
          <w:spacing w:val="-5"/>
        </w:rPr>
        <w:t> </w:t>
      </w:r>
      <w:r>
        <w:rPr/>
        <w:t>inputs</w:t>
      </w:r>
      <w:r>
        <w:rPr>
          <w:spacing w:val="-4"/>
        </w:rPr>
        <w:t> </w:t>
      </w:r>
      <w:r>
        <w:rPr/>
        <w:t>from</w:t>
      </w:r>
      <w:r>
        <w:rPr>
          <w:spacing w:val="-6"/>
        </w:rPr>
        <w:t> </w:t>
      </w:r>
      <w:r>
        <w:rPr/>
        <w:t>Japan</w:t>
      </w:r>
      <w:r>
        <w:rPr>
          <w:spacing w:val="-5"/>
        </w:rPr>
        <w:t> </w:t>
      </w:r>
      <w:r>
        <w:rPr/>
        <w:t>(OECD</w:t>
      </w:r>
      <w:r>
        <w:rPr>
          <w:spacing w:val="-2"/>
        </w:rPr>
        <w:t> </w:t>
      </w:r>
      <w:r>
        <w:rPr/>
        <w:t>(2013)).</w:t>
      </w:r>
    </w:p>
    <w:p>
      <w:pPr>
        <w:pStyle w:val="BodyText"/>
        <w:spacing w:line="355" w:lineRule="auto" w:before="5"/>
        <w:ind w:left="634" w:right="1621"/>
      </w:pPr>
      <w:r>
        <w:rPr/>
        <w:t>Deepening global supply chains mean a large number of countries are now potential “super-spreaders” of global trade contagion.</w:t>
      </w:r>
    </w:p>
    <w:p>
      <w:pPr>
        <w:pStyle w:val="BodyText"/>
        <w:spacing w:before="4"/>
        <w:rPr>
          <w:sz w:val="28"/>
        </w:rPr>
      </w:pPr>
    </w:p>
    <w:p>
      <w:pPr>
        <w:pStyle w:val="BodyText"/>
        <w:spacing w:line="357" w:lineRule="auto" w:before="1"/>
        <w:ind w:left="634" w:right="215"/>
      </w:pPr>
      <w:r>
        <w:rPr/>
        <w:t>The story is similar, if on an even more dramatic scale, when it comes to global banking. Chart 13 plots the network of cross-border bank lending flows across a wide range of countries, in 1990 and in 2007. As with trade, the wiring of the international banking network has become significantly more dense and complex (Minoiu and Reyes (2013)).</w:t>
      </w:r>
      <w:r>
        <w:rPr>
          <w:vertAlign w:val="superscript"/>
        </w:rPr>
        <w:t>11</w:t>
      </w:r>
      <w:r>
        <w:rPr>
          <w:vertAlign w:val="baseline"/>
        </w:rPr>
        <w:t> And as with domestic banking networks, there is a clear core-periphery pattern to the network, with a small number of nodal “super-spreader” banking sectors serving as international lenders to the periphery banks.</w:t>
      </w:r>
    </w:p>
    <w:p>
      <w:pPr>
        <w:pStyle w:val="BodyText"/>
        <w:spacing w:before="9"/>
        <w:rPr>
          <w:sz w:val="12"/>
        </w:rPr>
      </w:pPr>
      <w:r>
        <w:rPr/>
        <w:pict>
          <v:shape style="position:absolute;margin-left:93.720001pt;margin-top:9.553943pt;width:135.5pt;height:.1pt;mso-position-horizontal-relative:page;mso-position-vertical-relative:paragraph;z-index:-251651072;mso-wrap-distance-left:0;mso-wrap-distance-right:0" coordorigin="1874,191" coordsize="2710,0" path="m1874,191l4584,191e" filled="false" stroked="true" strokeweight=".41998pt" strokecolor="#000000">
            <v:path arrowok="t"/>
            <v:stroke dashstyle="solid"/>
            <w10:wrap type="topAndBottom"/>
          </v:shape>
        </w:pict>
      </w:r>
    </w:p>
    <w:p>
      <w:pPr>
        <w:spacing w:before="27"/>
        <w:ind w:left="634" w:right="0" w:firstLine="0"/>
        <w:jc w:val="left"/>
        <w:rPr>
          <w:sz w:val="15"/>
        </w:rPr>
      </w:pPr>
      <w:r>
        <w:rPr>
          <w:position w:val="8"/>
          <w:sz w:val="9"/>
        </w:rPr>
        <w:t>11 </w:t>
      </w:r>
      <w:r>
        <w:rPr>
          <w:sz w:val="15"/>
        </w:rPr>
        <w:t>This analysis uses the Bank for International Settlements bilateral locational statistics. This does not capture flows between periphery countries, so there is a risk that it overstates the importance of the core. See Minoiu and Reyes (2013) for more information</w:t>
      </w:r>
    </w:p>
    <w:p>
      <w:pPr>
        <w:spacing w:after="0"/>
        <w:jc w:val="left"/>
        <w:rPr>
          <w:sz w:val="15"/>
        </w:rPr>
        <w:sectPr>
          <w:pgSz w:w="12240" w:h="15840"/>
          <w:pgMar w:header="0" w:footer="974" w:top="1280" w:bottom="1160" w:left="1240" w:right="1660"/>
        </w:sectPr>
      </w:pPr>
    </w:p>
    <w:p>
      <w:pPr>
        <w:pStyle w:val="BodyText"/>
        <w:spacing w:line="355" w:lineRule="auto" w:before="71"/>
        <w:ind w:left="634" w:right="226"/>
      </w:pPr>
      <w:r>
        <w:rPr/>
        <w:t>The global financial crisis provided a telling illustration of the susceptibility of such a network to a weakening, or failure, of the core banking sector. As these core sectors came under stress, it caused a significant cascading of global interbank contagion. Cross-border inter-bank lending flows fell by around 20% between 2008Q2 and 2010Q2. The largest cross-border banks – the “super-spreaders”</w:t>
      </w:r>
    </w:p>
    <w:p>
      <w:pPr>
        <w:pStyle w:val="BodyText"/>
        <w:spacing w:line="355" w:lineRule="auto" w:before="5"/>
        <w:ind w:left="634" w:right="331"/>
      </w:pPr>
      <w:r>
        <w:rPr/>
        <w:t>– appear to have played a central role in instigating and propagating this global contagion (Hills and Hoggarth (2013)).</w:t>
      </w:r>
    </w:p>
    <w:p>
      <w:pPr>
        <w:pStyle w:val="BodyText"/>
        <w:spacing w:before="6"/>
        <w:rPr>
          <w:sz w:val="28"/>
        </w:rPr>
      </w:pPr>
    </w:p>
    <w:p>
      <w:pPr>
        <w:pStyle w:val="ListParagraph"/>
        <w:numPr>
          <w:ilvl w:val="0"/>
          <w:numId w:val="1"/>
        </w:numPr>
        <w:tabs>
          <w:tab w:pos="1023" w:val="left" w:leader="none"/>
        </w:tabs>
        <w:spacing w:line="240" w:lineRule="auto" w:before="0" w:after="0"/>
        <w:ind w:left="1022" w:right="0" w:hanging="336"/>
        <w:jc w:val="left"/>
        <w:rPr>
          <w:i/>
          <w:sz w:val="19"/>
        </w:rPr>
      </w:pPr>
      <w:r>
        <w:rPr>
          <w:i/>
          <w:sz w:val="19"/>
        </w:rPr>
        <w:t>Correlations among</w:t>
      </w:r>
      <w:r>
        <w:rPr>
          <w:i/>
          <w:spacing w:val="-2"/>
          <w:sz w:val="19"/>
        </w:rPr>
        <w:t> </w:t>
      </w:r>
      <w:r>
        <w:rPr>
          <w:i/>
          <w:sz w:val="19"/>
        </w:rPr>
        <w:t>sub-systems</w:t>
      </w:r>
    </w:p>
    <w:p>
      <w:pPr>
        <w:pStyle w:val="BodyText"/>
        <w:rPr>
          <w:i/>
          <w:sz w:val="20"/>
        </w:rPr>
      </w:pPr>
    </w:p>
    <w:p>
      <w:pPr>
        <w:pStyle w:val="BodyText"/>
        <w:spacing w:before="4"/>
        <w:rPr>
          <w:i/>
          <w:sz w:val="17"/>
        </w:rPr>
      </w:pPr>
    </w:p>
    <w:p>
      <w:pPr>
        <w:pStyle w:val="BodyText"/>
        <w:spacing w:line="357" w:lineRule="auto"/>
        <w:ind w:left="634" w:right="122" w:hanging="1"/>
      </w:pPr>
      <w:r>
        <w:rPr/>
        <w:t>Another dimension when gauging risks to the macro-financial system is the correlation </w:t>
      </w:r>
      <w:r>
        <w:rPr>
          <w:i/>
        </w:rPr>
        <w:t>between </w:t>
      </w:r>
      <w:r>
        <w:rPr/>
        <w:t>layers of the system. For correlations between individual banks and the financial system as a whole, one metric is provided by looking at the common component within the joint distribution of bank equity prices. For example, the first principal component of UK bank equity prices accounts for around 70% of the overall movement in bank equities. At the time of the financial crisis, this common component rose to nearer 90%. These correlations are high and highly crisis-sensitive, suggesting a close link between individual and systemic bank risk.</w:t>
      </w:r>
    </w:p>
    <w:p>
      <w:pPr>
        <w:pStyle w:val="BodyText"/>
        <w:spacing w:before="8"/>
        <w:rPr>
          <w:sz w:val="27"/>
        </w:rPr>
      </w:pPr>
    </w:p>
    <w:p>
      <w:pPr>
        <w:pStyle w:val="BodyText"/>
        <w:spacing w:line="357" w:lineRule="auto"/>
        <w:ind w:left="634" w:right="215"/>
      </w:pPr>
      <w:r>
        <w:rPr/>
        <w:t>The picture is similar when looking at correlations between developments in the financial system and the wider economy. For example, the pairwise correlation between the financial and non-financial components of UK equity prices is high, at around 0.8-0.9. The picture is similar if we move from the national to the international level: the first principal component of international equity prices accounts for around 80-90% of the variation. Each of these correlations is, in their own way, a rather imperfect metric of cross-system interaction. Nonetheless, they suggest these interactions are, in general, both important and strong.</w:t>
      </w:r>
    </w:p>
    <w:p>
      <w:pPr>
        <w:pStyle w:val="BodyText"/>
        <w:spacing w:before="7"/>
        <w:rPr>
          <w:sz w:val="27"/>
        </w:rPr>
      </w:pPr>
    </w:p>
    <w:p>
      <w:pPr>
        <w:pStyle w:val="BodyText"/>
        <w:spacing w:line="357" w:lineRule="auto"/>
        <w:ind w:left="634" w:right="215"/>
      </w:pPr>
      <w:r>
        <w:rPr/>
        <w:t>A</w:t>
      </w:r>
      <w:r>
        <w:rPr>
          <w:spacing w:val="-8"/>
        </w:rPr>
        <w:t> </w:t>
      </w:r>
      <w:r>
        <w:rPr/>
        <w:t>final,</w:t>
      </w:r>
      <w:r>
        <w:rPr>
          <w:spacing w:val="-10"/>
        </w:rPr>
        <w:t> </w:t>
      </w:r>
      <w:r>
        <w:rPr/>
        <w:t>indirect</w:t>
      </w:r>
      <w:r>
        <w:rPr>
          <w:spacing w:val="-8"/>
        </w:rPr>
        <w:t> </w:t>
      </w:r>
      <w:r>
        <w:rPr/>
        <w:t>and</w:t>
      </w:r>
      <w:r>
        <w:rPr>
          <w:spacing w:val="-10"/>
        </w:rPr>
        <w:t> </w:t>
      </w:r>
      <w:r>
        <w:rPr/>
        <w:t>reduced-form,</w:t>
      </w:r>
      <w:r>
        <w:rPr>
          <w:spacing w:val="-10"/>
        </w:rPr>
        <w:t> </w:t>
      </w:r>
      <w:r>
        <w:rPr/>
        <w:t>piece</w:t>
      </w:r>
      <w:r>
        <w:rPr>
          <w:spacing w:val="-9"/>
        </w:rPr>
        <w:t> </w:t>
      </w:r>
      <w:r>
        <w:rPr/>
        <w:t>of</w:t>
      </w:r>
      <w:r>
        <w:rPr>
          <w:spacing w:val="-10"/>
        </w:rPr>
        <w:t> </w:t>
      </w:r>
      <w:r>
        <w:rPr/>
        <w:t>evidence</w:t>
      </w:r>
      <w:r>
        <w:rPr>
          <w:spacing w:val="-9"/>
        </w:rPr>
        <w:t> </w:t>
      </w:r>
      <w:r>
        <w:rPr/>
        <w:t>on</w:t>
      </w:r>
      <w:r>
        <w:rPr>
          <w:spacing w:val="-9"/>
        </w:rPr>
        <w:t> </w:t>
      </w:r>
      <w:r>
        <w:rPr/>
        <w:t>the</w:t>
      </w:r>
      <w:r>
        <w:rPr>
          <w:spacing w:val="-10"/>
        </w:rPr>
        <w:t> </w:t>
      </w:r>
      <w:r>
        <w:rPr/>
        <w:t>complexity</w:t>
      </w:r>
      <w:r>
        <w:rPr>
          <w:spacing w:val="-9"/>
        </w:rPr>
        <w:t> </w:t>
      </w:r>
      <w:r>
        <w:rPr/>
        <w:t>of</w:t>
      </w:r>
      <w:r>
        <w:rPr>
          <w:spacing w:val="-10"/>
        </w:rPr>
        <w:t> </w:t>
      </w:r>
      <w:r>
        <w:rPr/>
        <w:t>the</w:t>
      </w:r>
      <w:r>
        <w:rPr>
          <w:spacing w:val="-10"/>
        </w:rPr>
        <w:t> </w:t>
      </w:r>
      <w:r>
        <w:rPr/>
        <w:t>macro-financial</w:t>
      </w:r>
      <w:r>
        <w:rPr>
          <w:spacing w:val="-7"/>
        </w:rPr>
        <w:t> </w:t>
      </w:r>
      <w:r>
        <w:rPr/>
        <w:t>system comes from looking at the statistical distribution of behaviour in these systems. For other complex systems, physical, natural, biological and social systems, this statistical distribution is known to be highly non-normal (Newman (2005)). Indeed, many of these systems are found to be Power-law distributed,</w:t>
      </w:r>
      <w:r>
        <w:rPr>
          <w:spacing w:val="-3"/>
        </w:rPr>
        <w:t> </w:t>
      </w:r>
      <w:r>
        <w:rPr/>
        <w:t>with</w:t>
      </w:r>
      <w:r>
        <w:rPr>
          <w:spacing w:val="-4"/>
        </w:rPr>
        <w:t> </w:t>
      </w:r>
      <w:r>
        <w:rPr/>
        <w:t>much</w:t>
      </w:r>
      <w:r>
        <w:rPr>
          <w:spacing w:val="-4"/>
        </w:rPr>
        <w:t> </w:t>
      </w:r>
      <w:r>
        <w:rPr/>
        <w:t>fatter</w:t>
      </w:r>
      <w:r>
        <w:rPr>
          <w:spacing w:val="-4"/>
        </w:rPr>
        <w:t> </w:t>
      </w:r>
      <w:r>
        <w:rPr/>
        <w:t>tails</w:t>
      </w:r>
      <w:r>
        <w:rPr>
          <w:spacing w:val="-4"/>
        </w:rPr>
        <w:t> </w:t>
      </w:r>
      <w:r>
        <w:rPr/>
        <w:t>than</w:t>
      </w:r>
      <w:r>
        <w:rPr>
          <w:spacing w:val="-4"/>
        </w:rPr>
        <w:t> </w:t>
      </w:r>
      <w:r>
        <w:rPr/>
        <w:t>would</w:t>
      </w:r>
      <w:r>
        <w:rPr>
          <w:spacing w:val="-3"/>
        </w:rPr>
        <w:t> </w:t>
      </w:r>
      <w:r>
        <w:rPr/>
        <w:t>be</w:t>
      </w:r>
      <w:r>
        <w:rPr>
          <w:spacing w:val="-5"/>
        </w:rPr>
        <w:t> </w:t>
      </w:r>
      <w:r>
        <w:rPr/>
        <w:t>expected</w:t>
      </w:r>
      <w:r>
        <w:rPr>
          <w:spacing w:val="-3"/>
        </w:rPr>
        <w:t> </w:t>
      </w:r>
      <w:r>
        <w:rPr/>
        <w:t>from</w:t>
      </w:r>
      <w:r>
        <w:rPr>
          <w:spacing w:val="-3"/>
        </w:rPr>
        <w:t> </w:t>
      </w:r>
      <w:r>
        <w:rPr/>
        <w:t>a</w:t>
      </w:r>
      <w:r>
        <w:rPr>
          <w:spacing w:val="-4"/>
        </w:rPr>
        <w:t> </w:t>
      </w:r>
      <w:r>
        <w:rPr/>
        <w:t>normal</w:t>
      </w:r>
      <w:r>
        <w:rPr>
          <w:spacing w:val="-3"/>
        </w:rPr>
        <w:t> </w:t>
      </w:r>
      <w:r>
        <w:rPr/>
        <w:t>distribution.</w:t>
      </w:r>
    </w:p>
    <w:p>
      <w:pPr>
        <w:pStyle w:val="BodyText"/>
        <w:spacing w:before="10"/>
        <w:rPr>
          <w:sz w:val="27"/>
        </w:rPr>
      </w:pPr>
    </w:p>
    <w:p>
      <w:pPr>
        <w:pStyle w:val="BodyText"/>
        <w:spacing w:line="357" w:lineRule="auto"/>
        <w:ind w:left="634" w:right="163"/>
      </w:pPr>
      <w:r>
        <w:rPr/>
        <w:t>To what extent are these statistical properties evident in macro-economic and financial time-series data? Chart 14 looks at the statistical distribution of GDP growth, credit growth, equity prices and rice prices, using a long time-series covering several hundreds of year. These densities have been transformed such that, if the underlying distribution is normal, the dots trace a straight line. Any deviation at the extremities is evidence of a fat-tailed distribution.</w:t>
      </w:r>
    </w:p>
    <w:p>
      <w:pPr>
        <w:pStyle w:val="BodyText"/>
        <w:spacing w:before="9"/>
        <w:rPr>
          <w:sz w:val="27"/>
        </w:rPr>
      </w:pPr>
    </w:p>
    <w:p>
      <w:pPr>
        <w:pStyle w:val="BodyText"/>
        <w:spacing w:line="355" w:lineRule="auto"/>
        <w:ind w:left="634" w:right="290"/>
      </w:pPr>
      <w:r>
        <w:rPr/>
        <w:t>It is clear from Chart 14 that all four series exhibit a significant degree of fat-tailedness, considerably more so than a normal distribution. This is consistent with economic and financial systems, locally and globally, exhibiting complex system of systems properties. For example, a four-standard</w:t>
      </w:r>
    </w:p>
    <w:p>
      <w:pPr>
        <w:spacing w:after="0" w:line="355" w:lineRule="auto"/>
        <w:sectPr>
          <w:footerReference w:type="default" r:id="rId12"/>
          <w:pgSz w:w="12240" w:h="15840"/>
          <w:pgMar w:footer="974" w:header="0" w:top="1280" w:bottom="1160" w:left="1240" w:right="1660"/>
          <w:pgNumType w:start="13"/>
        </w:sectPr>
      </w:pPr>
    </w:p>
    <w:p>
      <w:pPr>
        <w:pStyle w:val="BodyText"/>
        <w:spacing w:line="357" w:lineRule="auto" w:before="71"/>
        <w:ind w:left="634"/>
      </w:pPr>
      <w:r>
        <w:rPr/>
        <w:t>deviation</w:t>
      </w:r>
      <w:r>
        <w:rPr>
          <w:spacing w:val="-8"/>
        </w:rPr>
        <w:t> </w:t>
      </w:r>
      <w:r>
        <w:rPr/>
        <w:t>event</w:t>
      </w:r>
      <w:r>
        <w:rPr>
          <w:spacing w:val="-6"/>
        </w:rPr>
        <w:t> </w:t>
      </w:r>
      <w:r>
        <w:rPr/>
        <w:t>–</w:t>
      </w:r>
      <w:r>
        <w:rPr>
          <w:spacing w:val="-8"/>
        </w:rPr>
        <w:t> </w:t>
      </w:r>
      <w:r>
        <w:rPr/>
        <w:t>a</w:t>
      </w:r>
      <w:r>
        <w:rPr>
          <w:spacing w:val="-9"/>
        </w:rPr>
        <w:t> </w:t>
      </w:r>
      <w:r>
        <w:rPr/>
        <w:t>true</w:t>
      </w:r>
      <w:r>
        <w:rPr>
          <w:spacing w:val="-8"/>
        </w:rPr>
        <w:t> </w:t>
      </w:r>
      <w:r>
        <w:rPr/>
        <w:t>catastrophe</w:t>
      </w:r>
      <w:r>
        <w:rPr>
          <w:spacing w:val="-7"/>
        </w:rPr>
        <w:t> </w:t>
      </w:r>
      <w:r>
        <w:rPr/>
        <w:t>–</w:t>
      </w:r>
      <w:r>
        <w:rPr>
          <w:spacing w:val="-8"/>
        </w:rPr>
        <w:t> </w:t>
      </w:r>
      <w:r>
        <w:rPr/>
        <w:t>would</w:t>
      </w:r>
      <w:r>
        <w:rPr>
          <w:spacing w:val="-8"/>
        </w:rPr>
        <w:t> </w:t>
      </w:r>
      <w:r>
        <w:rPr/>
        <w:t>under</w:t>
      </w:r>
      <w:r>
        <w:rPr>
          <w:spacing w:val="-8"/>
        </w:rPr>
        <w:t> </w:t>
      </w:r>
      <w:r>
        <w:rPr/>
        <w:t>a</w:t>
      </w:r>
      <w:r>
        <w:rPr>
          <w:spacing w:val="-8"/>
        </w:rPr>
        <w:t> </w:t>
      </w:r>
      <w:r>
        <w:rPr/>
        <w:t>normal</w:t>
      </w:r>
      <w:r>
        <w:rPr>
          <w:spacing w:val="-7"/>
        </w:rPr>
        <w:t> </w:t>
      </w:r>
      <w:r>
        <w:rPr/>
        <w:t>distribution</w:t>
      </w:r>
      <w:r>
        <w:rPr>
          <w:spacing w:val="-9"/>
        </w:rPr>
        <w:t> </w:t>
      </w:r>
      <w:r>
        <w:rPr/>
        <w:t>be</w:t>
      </w:r>
      <w:r>
        <w:rPr>
          <w:spacing w:val="-8"/>
        </w:rPr>
        <w:t> </w:t>
      </w:r>
      <w:r>
        <w:rPr/>
        <w:t>expected</w:t>
      </w:r>
      <w:r>
        <w:rPr>
          <w:spacing w:val="-8"/>
        </w:rPr>
        <w:t> </w:t>
      </w:r>
      <w:r>
        <w:rPr/>
        <w:t>to</w:t>
      </w:r>
      <w:r>
        <w:rPr>
          <w:spacing w:val="-8"/>
        </w:rPr>
        <w:t> </w:t>
      </w:r>
      <w:r>
        <w:rPr/>
        <w:t>occur</w:t>
      </w:r>
      <w:r>
        <w:rPr>
          <w:spacing w:val="-8"/>
        </w:rPr>
        <w:t> </w:t>
      </w:r>
      <w:r>
        <w:rPr/>
        <w:t>roughly every 15,000 years. Under the estimated distributions for economic and financial systems, such an event would occur every 10 to 15</w:t>
      </w:r>
      <w:r>
        <w:rPr>
          <w:spacing w:val="-10"/>
        </w:rPr>
        <w:t> </w:t>
      </w:r>
      <w:r>
        <w:rPr/>
        <w:t>years.</w:t>
      </w:r>
    </w:p>
    <w:p>
      <w:pPr>
        <w:pStyle w:val="BodyText"/>
        <w:spacing w:before="10"/>
        <w:rPr>
          <w:sz w:val="27"/>
        </w:rPr>
      </w:pPr>
    </w:p>
    <w:p>
      <w:pPr>
        <w:pStyle w:val="Heading3"/>
        <w:spacing w:before="1"/>
      </w:pPr>
      <w:r>
        <w:rPr/>
        <w:t>Implications for policy design</w:t>
      </w:r>
    </w:p>
    <w:p>
      <w:pPr>
        <w:pStyle w:val="BodyText"/>
        <w:rPr>
          <w:b/>
          <w:sz w:val="20"/>
        </w:rPr>
      </w:pPr>
    </w:p>
    <w:p>
      <w:pPr>
        <w:pStyle w:val="BodyText"/>
        <w:spacing w:before="6"/>
        <w:rPr>
          <w:b/>
          <w:sz w:val="17"/>
        </w:rPr>
      </w:pPr>
    </w:p>
    <w:p>
      <w:pPr>
        <w:pStyle w:val="BodyText"/>
        <w:spacing w:line="355" w:lineRule="auto"/>
        <w:ind w:left="634" w:right="205"/>
      </w:pPr>
      <w:r>
        <w:rPr/>
        <w:t>So what might this mean for the design of the policy architecture? Let me mention three areas where clear progress has been made since the crisis, but where more may be needed in the period ahead if we are to manage effectively this complex, macro-financial system of systems: </w:t>
      </w:r>
      <w:r>
        <w:rPr>
          <w:i/>
        </w:rPr>
        <w:t>data, modelling </w:t>
      </w:r>
      <w:r>
        <w:rPr/>
        <w:t>and </w:t>
      </w:r>
      <w:r>
        <w:rPr>
          <w:i/>
        </w:rPr>
        <w:t>policy design</w:t>
      </w:r>
      <w:r>
        <w:rPr/>
        <w:t>.</w:t>
      </w:r>
    </w:p>
    <w:p>
      <w:pPr>
        <w:pStyle w:val="BodyText"/>
        <w:spacing w:before="8"/>
        <w:rPr>
          <w:sz w:val="28"/>
        </w:rPr>
      </w:pPr>
    </w:p>
    <w:p>
      <w:pPr>
        <w:pStyle w:val="ListParagraph"/>
        <w:numPr>
          <w:ilvl w:val="0"/>
          <w:numId w:val="2"/>
        </w:numPr>
        <w:tabs>
          <w:tab w:pos="917" w:val="left" w:leader="none"/>
        </w:tabs>
        <w:spacing w:line="240" w:lineRule="auto" w:before="0" w:after="0"/>
        <w:ind w:left="916" w:right="0" w:hanging="283"/>
        <w:jc w:val="left"/>
        <w:rPr>
          <w:i/>
          <w:sz w:val="19"/>
        </w:rPr>
      </w:pPr>
      <w:r>
        <w:rPr>
          <w:i/>
          <w:sz w:val="19"/>
        </w:rPr>
        <w:t>Data</w:t>
      </w:r>
    </w:p>
    <w:p>
      <w:pPr>
        <w:pStyle w:val="BodyText"/>
        <w:rPr>
          <w:i/>
          <w:sz w:val="20"/>
        </w:rPr>
      </w:pPr>
    </w:p>
    <w:p>
      <w:pPr>
        <w:pStyle w:val="BodyText"/>
        <w:spacing w:before="4"/>
        <w:rPr>
          <w:i/>
          <w:sz w:val="17"/>
        </w:rPr>
      </w:pPr>
    </w:p>
    <w:p>
      <w:pPr>
        <w:pStyle w:val="BodyText"/>
        <w:spacing w:line="357" w:lineRule="auto"/>
        <w:ind w:left="634" w:right="233"/>
      </w:pPr>
      <w:r>
        <w:rPr/>
        <w:t>Monitoring</w:t>
      </w:r>
      <w:r>
        <w:rPr>
          <w:spacing w:val="-7"/>
        </w:rPr>
        <w:t> </w:t>
      </w:r>
      <w:r>
        <w:rPr/>
        <w:t>risk</w:t>
      </w:r>
      <w:r>
        <w:rPr>
          <w:spacing w:val="-6"/>
        </w:rPr>
        <w:t> </w:t>
      </w:r>
      <w:r>
        <w:rPr/>
        <w:t>in</w:t>
      </w:r>
      <w:r>
        <w:rPr>
          <w:spacing w:val="-6"/>
        </w:rPr>
        <w:t> </w:t>
      </w:r>
      <w:r>
        <w:rPr/>
        <w:t>a</w:t>
      </w:r>
      <w:r>
        <w:rPr>
          <w:spacing w:val="-8"/>
        </w:rPr>
        <w:t> </w:t>
      </w:r>
      <w:r>
        <w:rPr/>
        <w:t>system</w:t>
      </w:r>
      <w:r>
        <w:rPr>
          <w:spacing w:val="-7"/>
        </w:rPr>
        <w:t> </w:t>
      </w:r>
      <w:r>
        <w:rPr/>
        <w:t>of</w:t>
      </w:r>
      <w:r>
        <w:rPr>
          <w:spacing w:val="-5"/>
        </w:rPr>
        <w:t> </w:t>
      </w:r>
      <w:r>
        <w:rPr/>
        <w:t>systems</w:t>
      </w:r>
      <w:r>
        <w:rPr>
          <w:spacing w:val="-5"/>
        </w:rPr>
        <w:t> </w:t>
      </w:r>
      <w:r>
        <w:rPr/>
        <w:t>requires</w:t>
      </w:r>
      <w:r>
        <w:rPr>
          <w:spacing w:val="-6"/>
        </w:rPr>
        <w:t> </w:t>
      </w:r>
      <w:r>
        <w:rPr/>
        <w:t>data</w:t>
      </w:r>
      <w:r>
        <w:rPr>
          <w:spacing w:val="-7"/>
        </w:rPr>
        <w:t> </w:t>
      </w:r>
      <w:r>
        <w:rPr/>
        <w:t>on</w:t>
      </w:r>
      <w:r>
        <w:rPr>
          <w:spacing w:val="-7"/>
        </w:rPr>
        <w:t> </w:t>
      </w:r>
      <w:r>
        <w:rPr/>
        <w:t>each</w:t>
      </w:r>
      <w:r>
        <w:rPr>
          <w:spacing w:val="-6"/>
        </w:rPr>
        <w:t> </w:t>
      </w:r>
      <w:r>
        <w:rPr/>
        <w:t>of</w:t>
      </w:r>
      <w:r>
        <w:rPr>
          <w:spacing w:val="-5"/>
        </w:rPr>
        <w:t> </w:t>
      </w:r>
      <w:r>
        <w:rPr/>
        <w:t>the</w:t>
      </w:r>
      <w:r>
        <w:rPr>
          <w:spacing w:val="-7"/>
        </w:rPr>
        <w:t> </w:t>
      </w:r>
      <w:r>
        <w:rPr/>
        <w:t>sub-systems,</w:t>
      </w:r>
      <w:r>
        <w:rPr>
          <w:spacing w:val="-6"/>
        </w:rPr>
        <w:t> </w:t>
      </w:r>
      <w:r>
        <w:rPr/>
        <w:t>often</w:t>
      </w:r>
      <w:r>
        <w:rPr>
          <w:spacing w:val="-7"/>
        </w:rPr>
        <w:t> </w:t>
      </w:r>
      <w:r>
        <w:rPr/>
        <w:t>at</w:t>
      </w:r>
      <w:r>
        <w:rPr>
          <w:spacing w:val="-5"/>
        </w:rPr>
        <w:t> </w:t>
      </w:r>
      <w:r>
        <w:rPr/>
        <w:t>a</w:t>
      </w:r>
      <w:r>
        <w:rPr>
          <w:spacing w:val="-7"/>
        </w:rPr>
        <w:t> </w:t>
      </w:r>
      <w:r>
        <w:rPr/>
        <w:t>high</w:t>
      </w:r>
      <w:r>
        <w:rPr>
          <w:spacing w:val="-7"/>
        </w:rPr>
        <w:t> </w:t>
      </w:r>
      <w:r>
        <w:rPr/>
        <w:t>level of granularity. Often in response to crisis, efforts have been made over time to improve data on economic</w:t>
      </w:r>
      <w:r>
        <w:rPr>
          <w:spacing w:val="-9"/>
        </w:rPr>
        <w:t> </w:t>
      </w:r>
      <w:r>
        <w:rPr/>
        <w:t>and</w:t>
      </w:r>
      <w:r>
        <w:rPr>
          <w:spacing w:val="-9"/>
        </w:rPr>
        <w:t> </w:t>
      </w:r>
      <w:r>
        <w:rPr/>
        <w:t>financial</w:t>
      </w:r>
      <w:r>
        <w:rPr>
          <w:spacing w:val="-9"/>
        </w:rPr>
        <w:t> </w:t>
      </w:r>
      <w:r>
        <w:rPr/>
        <w:t>systems.</w:t>
      </w:r>
      <w:r>
        <w:rPr>
          <w:spacing w:val="36"/>
        </w:rPr>
        <w:t> </w:t>
      </w:r>
      <w:r>
        <w:rPr/>
        <w:t>For</w:t>
      </w:r>
      <w:r>
        <w:rPr>
          <w:spacing w:val="-9"/>
        </w:rPr>
        <w:t> </w:t>
      </w:r>
      <w:r>
        <w:rPr/>
        <w:t>example,</w:t>
      </w:r>
      <w:r>
        <w:rPr>
          <w:spacing w:val="-9"/>
        </w:rPr>
        <w:t> </w:t>
      </w:r>
      <w:r>
        <w:rPr/>
        <w:t>there</w:t>
      </w:r>
      <w:r>
        <w:rPr>
          <w:spacing w:val="-8"/>
        </w:rPr>
        <w:t> </w:t>
      </w:r>
      <w:r>
        <w:rPr/>
        <w:t>have</w:t>
      </w:r>
      <w:r>
        <w:rPr>
          <w:spacing w:val="-9"/>
        </w:rPr>
        <w:t> </w:t>
      </w:r>
      <w:r>
        <w:rPr/>
        <w:t>been</w:t>
      </w:r>
      <w:r>
        <w:rPr>
          <w:spacing w:val="-10"/>
        </w:rPr>
        <w:t> </w:t>
      </w:r>
      <w:r>
        <w:rPr/>
        <w:t>successive</w:t>
      </w:r>
      <w:r>
        <w:rPr>
          <w:spacing w:val="-9"/>
        </w:rPr>
        <w:t> </w:t>
      </w:r>
      <w:r>
        <w:rPr/>
        <w:t>waves</w:t>
      </w:r>
      <w:r>
        <w:rPr>
          <w:spacing w:val="-8"/>
        </w:rPr>
        <w:t> </w:t>
      </w:r>
      <w:r>
        <w:rPr/>
        <w:t>of</w:t>
      </w:r>
      <w:r>
        <w:rPr>
          <w:spacing w:val="-8"/>
        </w:rPr>
        <w:t> </w:t>
      </w:r>
      <w:r>
        <w:rPr/>
        <w:t>improvement</w:t>
      </w:r>
      <w:r>
        <w:rPr>
          <w:spacing w:val="-9"/>
        </w:rPr>
        <w:t> </w:t>
      </w:r>
      <w:r>
        <w:rPr/>
        <w:t>to statistics on international banking flows, starting in the 1970s. In response to the latest crisis, renewed</w:t>
      </w:r>
      <w:r>
        <w:rPr>
          <w:spacing w:val="-8"/>
        </w:rPr>
        <w:t> </w:t>
      </w:r>
      <w:r>
        <w:rPr/>
        <w:t>efforts</w:t>
      </w:r>
      <w:r>
        <w:rPr>
          <w:spacing w:val="-7"/>
        </w:rPr>
        <w:t> </w:t>
      </w:r>
      <w:r>
        <w:rPr/>
        <w:t>have</w:t>
      </w:r>
      <w:r>
        <w:rPr>
          <w:spacing w:val="-7"/>
        </w:rPr>
        <w:t> </w:t>
      </w:r>
      <w:r>
        <w:rPr/>
        <w:t>been</w:t>
      </w:r>
      <w:r>
        <w:rPr>
          <w:spacing w:val="-7"/>
        </w:rPr>
        <w:t> </w:t>
      </w:r>
      <w:r>
        <w:rPr/>
        <w:t>made</w:t>
      </w:r>
      <w:r>
        <w:rPr>
          <w:spacing w:val="-7"/>
        </w:rPr>
        <w:t> </w:t>
      </w:r>
      <w:r>
        <w:rPr/>
        <w:t>to</w:t>
      </w:r>
      <w:r>
        <w:rPr>
          <w:spacing w:val="-7"/>
        </w:rPr>
        <w:t> </w:t>
      </w:r>
      <w:r>
        <w:rPr/>
        <w:t>fill</w:t>
      </w:r>
      <w:r>
        <w:rPr>
          <w:spacing w:val="-8"/>
        </w:rPr>
        <w:t> </w:t>
      </w:r>
      <w:r>
        <w:rPr/>
        <w:t>data</w:t>
      </w:r>
      <w:r>
        <w:rPr>
          <w:spacing w:val="-7"/>
        </w:rPr>
        <w:t> </w:t>
      </w:r>
      <w:r>
        <w:rPr/>
        <w:t>gaps</w:t>
      </w:r>
      <w:r>
        <w:rPr>
          <w:spacing w:val="-7"/>
        </w:rPr>
        <w:t> </w:t>
      </w:r>
      <w:r>
        <w:rPr/>
        <w:t>and</w:t>
      </w:r>
      <w:r>
        <w:rPr>
          <w:spacing w:val="-8"/>
        </w:rPr>
        <w:t> </w:t>
      </w:r>
      <w:r>
        <w:rPr/>
        <w:t>to</w:t>
      </w:r>
      <w:r>
        <w:rPr>
          <w:spacing w:val="-7"/>
        </w:rPr>
        <w:t> </w:t>
      </w:r>
      <w:r>
        <w:rPr/>
        <w:t>improve</w:t>
      </w:r>
      <w:r>
        <w:rPr>
          <w:spacing w:val="-7"/>
        </w:rPr>
        <w:t> </w:t>
      </w:r>
      <w:r>
        <w:rPr/>
        <w:t>the</w:t>
      </w:r>
      <w:r>
        <w:rPr>
          <w:spacing w:val="-7"/>
        </w:rPr>
        <w:t> </w:t>
      </w:r>
      <w:r>
        <w:rPr/>
        <w:t>degree</w:t>
      </w:r>
      <w:r>
        <w:rPr>
          <w:spacing w:val="-8"/>
        </w:rPr>
        <w:t> </w:t>
      </w:r>
      <w:r>
        <w:rPr/>
        <w:t>of</w:t>
      </w:r>
      <w:r>
        <w:rPr>
          <w:spacing w:val="-7"/>
        </w:rPr>
        <w:t> </w:t>
      </w:r>
      <w:r>
        <w:rPr/>
        <w:t>disclosure</w:t>
      </w:r>
      <w:r>
        <w:rPr>
          <w:spacing w:val="-7"/>
        </w:rPr>
        <w:t> </w:t>
      </w:r>
      <w:r>
        <w:rPr/>
        <w:t>by</w:t>
      </w:r>
      <w:r>
        <w:rPr>
          <w:spacing w:val="-8"/>
        </w:rPr>
        <w:t> </w:t>
      </w:r>
      <w:r>
        <w:rPr/>
        <w:t>banks</w:t>
      </w:r>
      <w:r>
        <w:rPr>
          <w:spacing w:val="-6"/>
        </w:rPr>
        <w:t> </w:t>
      </w:r>
      <w:r>
        <w:rPr/>
        <w:t>of their balance sheet positions (FSB</w:t>
      </w:r>
      <w:r>
        <w:rPr>
          <w:spacing w:val="-5"/>
        </w:rPr>
        <w:t> </w:t>
      </w:r>
      <w:r>
        <w:rPr/>
        <w:t>(2012)).</w:t>
      </w:r>
    </w:p>
    <w:p>
      <w:pPr>
        <w:pStyle w:val="BodyText"/>
        <w:spacing w:before="9"/>
        <w:rPr>
          <w:sz w:val="27"/>
        </w:rPr>
      </w:pPr>
    </w:p>
    <w:p>
      <w:pPr>
        <w:pStyle w:val="BodyText"/>
        <w:spacing w:line="357" w:lineRule="auto"/>
        <w:ind w:left="634" w:right="163"/>
      </w:pPr>
      <w:r>
        <w:rPr/>
        <w:t>As one example, data on banks’ cross-border assets and liabilities only distinguish between banks and non-banks. In practice, a richer sectoral decomposition of these data is often desirable to understand interactions between different parts of the financial sector and between it and the wider economy (Hills and Hoggarth (2013), Lane (2014)). For example, the dollar funding crisis which faced European banks in 2011/12 involved a complex string of cross-border financing. Funds raised in the US from money market funds were round-tripped back into the US through the purchase of</w:t>
      </w:r>
    </w:p>
    <w:p>
      <w:pPr>
        <w:pStyle w:val="BodyText"/>
        <w:spacing w:line="357" w:lineRule="auto"/>
        <w:ind w:left="634" w:right="333"/>
      </w:pPr>
      <w:r>
        <w:rPr/>
        <w:t>asset-backed securities by European banks. When US money funds withdrew their dollar funding, this chain went into reverse gear causing a dollar funding problem. Understanding those links in the cross-border financing chain is impossible without detailed sectoral data. That is now in train.</w:t>
      </w:r>
    </w:p>
    <w:p>
      <w:pPr>
        <w:pStyle w:val="BodyText"/>
        <w:spacing w:before="5"/>
        <w:rPr>
          <w:sz w:val="27"/>
        </w:rPr>
      </w:pPr>
    </w:p>
    <w:p>
      <w:pPr>
        <w:pStyle w:val="BodyText"/>
        <w:spacing w:line="357" w:lineRule="auto"/>
        <w:ind w:left="634" w:right="512"/>
      </w:pPr>
      <w:r>
        <w:rPr/>
        <w:t>Yet there remain significant data constraints on our ability to map the macro-financial system of systems in the detail necessary to capture accurately interactions within and across sub-systems. Even among the world’s largest banks, data on their bilateral exposures to one another remains partial and patchy, especially for off balance sheet positions and securities holdings. That means large parts of the core of the international banking map remain, essentially, uncharted territory.</w:t>
      </w:r>
    </w:p>
    <w:p>
      <w:pPr>
        <w:pStyle w:val="BodyText"/>
        <w:spacing w:before="9"/>
        <w:rPr>
          <w:sz w:val="27"/>
        </w:rPr>
      </w:pPr>
    </w:p>
    <w:p>
      <w:pPr>
        <w:pStyle w:val="BodyText"/>
        <w:spacing w:line="357" w:lineRule="auto"/>
        <w:ind w:left="634" w:right="385"/>
        <w:jc w:val="both"/>
      </w:pPr>
      <w:r>
        <w:rPr/>
        <w:t>These</w:t>
      </w:r>
      <w:r>
        <w:rPr>
          <w:spacing w:val="-8"/>
        </w:rPr>
        <w:t> </w:t>
      </w:r>
      <w:r>
        <w:rPr/>
        <w:t>data</w:t>
      </w:r>
      <w:r>
        <w:rPr>
          <w:spacing w:val="-7"/>
        </w:rPr>
        <w:t> </w:t>
      </w:r>
      <w:r>
        <w:rPr/>
        <w:t>gaps</w:t>
      </w:r>
      <w:r>
        <w:rPr>
          <w:spacing w:val="-6"/>
        </w:rPr>
        <w:t> </w:t>
      </w:r>
      <w:r>
        <w:rPr/>
        <w:t>are</w:t>
      </w:r>
      <w:r>
        <w:rPr>
          <w:spacing w:val="-7"/>
        </w:rPr>
        <w:t> </w:t>
      </w:r>
      <w:r>
        <w:rPr/>
        <w:t>even</w:t>
      </w:r>
      <w:r>
        <w:rPr>
          <w:spacing w:val="-7"/>
        </w:rPr>
        <w:t> </w:t>
      </w:r>
      <w:r>
        <w:rPr/>
        <w:t>more</w:t>
      </w:r>
      <w:r>
        <w:rPr>
          <w:spacing w:val="-8"/>
        </w:rPr>
        <w:t> </w:t>
      </w:r>
      <w:r>
        <w:rPr/>
        <w:t>acute</w:t>
      </w:r>
      <w:r>
        <w:rPr>
          <w:spacing w:val="-7"/>
        </w:rPr>
        <w:t> </w:t>
      </w:r>
      <w:r>
        <w:rPr/>
        <w:t>when</w:t>
      </w:r>
      <w:r>
        <w:rPr>
          <w:spacing w:val="-8"/>
        </w:rPr>
        <w:t> </w:t>
      </w:r>
      <w:r>
        <w:rPr/>
        <w:t>moving</w:t>
      </w:r>
      <w:r>
        <w:rPr>
          <w:spacing w:val="-7"/>
        </w:rPr>
        <w:t> </w:t>
      </w:r>
      <w:r>
        <w:rPr/>
        <w:t>beyond</w:t>
      </w:r>
      <w:r>
        <w:rPr>
          <w:spacing w:val="-7"/>
        </w:rPr>
        <w:t> </w:t>
      </w:r>
      <w:r>
        <w:rPr/>
        <w:t>the</w:t>
      </w:r>
      <w:r>
        <w:rPr>
          <w:spacing w:val="-8"/>
        </w:rPr>
        <w:t> </w:t>
      </w:r>
      <w:r>
        <w:rPr/>
        <w:t>banking</w:t>
      </w:r>
      <w:r>
        <w:rPr>
          <w:spacing w:val="-7"/>
        </w:rPr>
        <w:t> </w:t>
      </w:r>
      <w:r>
        <w:rPr/>
        <w:t>system.</w:t>
      </w:r>
      <w:r>
        <w:rPr>
          <w:spacing w:val="39"/>
        </w:rPr>
        <w:t> </w:t>
      </w:r>
      <w:r>
        <w:rPr/>
        <w:t>Large</w:t>
      </w:r>
      <w:r>
        <w:rPr>
          <w:spacing w:val="-7"/>
        </w:rPr>
        <w:t> </w:t>
      </w:r>
      <w:r>
        <w:rPr/>
        <w:t>parts</w:t>
      </w:r>
      <w:r>
        <w:rPr>
          <w:spacing w:val="-7"/>
        </w:rPr>
        <w:t> </w:t>
      </w:r>
      <w:r>
        <w:rPr/>
        <w:t>of</w:t>
      </w:r>
      <w:r>
        <w:rPr>
          <w:spacing w:val="-6"/>
        </w:rPr>
        <w:t> </w:t>
      </w:r>
      <w:r>
        <w:rPr/>
        <w:t>the non-bank</w:t>
      </w:r>
      <w:r>
        <w:rPr>
          <w:spacing w:val="-8"/>
        </w:rPr>
        <w:t> </w:t>
      </w:r>
      <w:r>
        <w:rPr/>
        <w:t>sector</w:t>
      </w:r>
      <w:r>
        <w:rPr>
          <w:spacing w:val="-8"/>
        </w:rPr>
        <w:t> </w:t>
      </w:r>
      <w:r>
        <w:rPr/>
        <w:t>remain</w:t>
      </w:r>
      <w:r>
        <w:rPr>
          <w:spacing w:val="-9"/>
        </w:rPr>
        <w:t> </w:t>
      </w:r>
      <w:r>
        <w:rPr/>
        <w:t>in</w:t>
      </w:r>
      <w:r>
        <w:rPr>
          <w:spacing w:val="-9"/>
        </w:rPr>
        <w:t> </w:t>
      </w:r>
      <w:r>
        <w:rPr/>
        <w:t>the</w:t>
      </w:r>
      <w:r>
        <w:rPr>
          <w:spacing w:val="-9"/>
        </w:rPr>
        <w:t> </w:t>
      </w:r>
      <w:r>
        <w:rPr/>
        <w:t>shadows</w:t>
      </w:r>
      <w:r>
        <w:rPr>
          <w:spacing w:val="-7"/>
        </w:rPr>
        <w:t> </w:t>
      </w:r>
      <w:r>
        <w:rPr/>
        <w:t>from</w:t>
      </w:r>
      <w:r>
        <w:rPr>
          <w:spacing w:val="-9"/>
        </w:rPr>
        <w:t> </w:t>
      </w:r>
      <w:r>
        <w:rPr/>
        <w:t>a</w:t>
      </w:r>
      <w:r>
        <w:rPr>
          <w:spacing w:val="-8"/>
        </w:rPr>
        <w:t> </w:t>
      </w:r>
      <w:r>
        <w:rPr/>
        <w:t>data</w:t>
      </w:r>
      <w:r>
        <w:rPr>
          <w:spacing w:val="-8"/>
        </w:rPr>
        <w:t> </w:t>
      </w:r>
      <w:r>
        <w:rPr/>
        <w:t>perspective.</w:t>
      </w:r>
      <w:r>
        <w:rPr>
          <w:spacing w:val="36"/>
        </w:rPr>
        <w:t> </w:t>
      </w:r>
      <w:r>
        <w:rPr/>
        <w:t>For</w:t>
      </w:r>
      <w:r>
        <w:rPr>
          <w:spacing w:val="-8"/>
        </w:rPr>
        <w:t> </w:t>
      </w:r>
      <w:r>
        <w:rPr/>
        <w:t>example,</w:t>
      </w:r>
      <w:r>
        <w:rPr>
          <w:spacing w:val="-7"/>
        </w:rPr>
        <w:t> </w:t>
      </w:r>
      <w:r>
        <w:rPr/>
        <w:t>reliable</w:t>
      </w:r>
      <w:r>
        <w:rPr>
          <w:spacing w:val="-8"/>
        </w:rPr>
        <w:t> </w:t>
      </w:r>
      <w:r>
        <w:rPr/>
        <w:t>measures</w:t>
      </w:r>
      <w:r>
        <w:rPr>
          <w:spacing w:val="-8"/>
        </w:rPr>
        <w:t> </w:t>
      </w:r>
      <w:r>
        <w:rPr/>
        <w:t>of the</w:t>
      </w:r>
      <w:r>
        <w:rPr>
          <w:spacing w:val="-7"/>
        </w:rPr>
        <w:t> </w:t>
      </w:r>
      <w:r>
        <w:rPr/>
        <w:t>aggregate</w:t>
      </w:r>
      <w:r>
        <w:rPr>
          <w:spacing w:val="-7"/>
        </w:rPr>
        <w:t> </w:t>
      </w:r>
      <w:r>
        <w:rPr/>
        <w:t>and/or</w:t>
      </w:r>
      <w:r>
        <w:rPr>
          <w:spacing w:val="-6"/>
        </w:rPr>
        <w:t> </w:t>
      </w:r>
      <w:r>
        <w:rPr/>
        <w:t>individual</w:t>
      </w:r>
      <w:r>
        <w:rPr>
          <w:spacing w:val="-6"/>
        </w:rPr>
        <w:t> </w:t>
      </w:r>
      <w:r>
        <w:rPr/>
        <w:t>leverage,</w:t>
      </w:r>
      <w:r>
        <w:rPr>
          <w:spacing w:val="-5"/>
        </w:rPr>
        <w:t> </w:t>
      </w:r>
      <w:r>
        <w:rPr/>
        <w:t>maturity</w:t>
      </w:r>
      <w:r>
        <w:rPr>
          <w:spacing w:val="-5"/>
        </w:rPr>
        <w:t> </w:t>
      </w:r>
      <w:r>
        <w:rPr/>
        <w:t>and</w:t>
      </w:r>
      <w:r>
        <w:rPr>
          <w:spacing w:val="-6"/>
        </w:rPr>
        <w:t> </w:t>
      </w:r>
      <w:r>
        <w:rPr/>
        <w:t>foreign</w:t>
      </w:r>
      <w:r>
        <w:rPr>
          <w:spacing w:val="-6"/>
        </w:rPr>
        <w:t> </w:t>
      </w:r>
      <w:r>
        <w:rPr/>
        <w:t>currency</w:t>
      </w:r>
      <w:r>
        <w:rPr>
          <w:spacing w:val="-7"/>
        </w:rPr>
        <w:t> </w:t>
      </w:r>
      <w:r>
        <w:rPr/>
        <w:t>mismatch</w:t>
      </w:r>
      <w:r>
        <w:rPr>
          <w:spacing w:val="-6"/>
        </w:rPr>
        <w:t> </w:t>
      </w:r>
      <w:r>
        <w:rPr/>
        <w:t>positions</w:t>
      </w:r>
      <w:r>
        <w:rPr>
          <w:spacing w:val="-4"/>
        </w:rPr>
        <w:t> </w:t>
      </w:r>
      <w:r>
        <w:rPr/>
        <w:t>of</w:t>
      </w:r>
    </w:p>
    <w:p>
      <w:pPr>
        <w:spacing w:after="0" w:line="357" w:lineRule="auto"/>
        <w:jc w:val="both"/>
        <w:sectPr>
          <w:pgSz w:w="12240" w:h="15840"/>
          <w:pgMar w:header="0" w:footer="974" w:top="1280" w:bottom="1160" w:left="1240" w:right="1660"/>
        </w:sectPr>
      </w:pPr>
    </w:p>
    <w:p>
      <w:pPr>
        <w:pStyle w:val="BodyText"/>
        <w:spacing w:line="355" w:lineRule="auto" w:before="71"/>
        <w:ind w:left="634" w:right="233"/>
      </w:pPr>
      <w:r>
        <w:rPr/>
        <w:t>non-bank intermediaries – some of the key vulnerability metrics - are thin on the ground. The FSB has an agenda to fill these data gaps.</w:t>
      </w:r>
    </w:p>
    <w:p>
      <w:pPr>
        <w:pStyle w:val="BodyText"/>
        <w:spacing w:before="5"/>
        <w:rPr>
          <w:sz w:val="28"/>
        </w:rPr>
      </w:pPr>
    </w:p>
    <w:p>
      <w:pPr>
        <w:pStyle w:val="BodyText"/>
        <w:spacing w:line="357" w:lineRule="auto"/>
        <w:ind w:left="634" w:right="215"/>
      </w:pPr>
      <w:r>
        <w:rPr/>
        <w:t>More broadly, flows of funds data, both within the financial sector and between it and the wider economy, domestically and internationally, is at present partial. Chart 15 takes the UK flows of funds map shown earlier and colour codes this according to one measure of its data availability. There remain a number of key areas for improvement, particularly within the non-banks part of the intermediation chain, as well as among companies, households and externally.</w:t>
      </w:r>
    </w:p>
    <w:p>
      <w:pPr>
        <w:pStyle w:val="BodyText"/>
        <w:spacing w:before="9"/>
        <w:rPr>
          <w:sz w:val="27"/>
        </w:rPr>
      </w:pPr>
    </w:p>
    <w:p>
      <w:pPr>
        <w:pStyle w:val="BodyText"/>
        <w:spacing w:line="357" w:lineRule="auto"/>
        <w:ind w:left="634" w:right="303"/>
      </w:pPr>
      <w:r>
        <w:rPr/>
        <w:t>In</w:t>
      </w:r>
      <w:r>
        <w:rPr>
          <w:spacing w:val="-8"/>
        </w:rPr>
        <w:t> </w:t>
      </w:r>
      <w:r>
        <w:rPr/>
        <w:t>response</w:t>
      </w:r>
      <w:r>
        <w:rPr>
          <w:spacing w:val="-7"/>
        </w:rPr>
        <w:t> </w:t>
      </w:r>
      <w:r>
        <w:rPr/>
        <w:t>to</w:t>
      </w:r>
      <w:r>
        <w:rPr>
          <w:spacing w:val="-7"/>
        </w:rPr>
        <w:t> </w:t>
      </w:r>
      <w:r>
        <w:rPr/>
        <w:t>this,</w:t>
      </w:r>
      <w:r>
        <w:rPr>
          <w:spacing w:val="-9"/>
        </w:rPr>
        <w:t> </w:t>
      </w:r>
      <w:r>
        <w:rPr/>
        <w:t>the</w:t>
      </w:r>
      <w:r>
        <w:rPr>
          <w:spacing w:val="-7"/>
        </w:rPr>
        <w:t> </w:t>
      </w:r>
      <w:r>
        <w:rPr/>
        <w:t>Bank</w:t>
      </w:r>
      <w:r>
        <w:rPr>
          <w:spacing w:val="-6"/>
        </w:rPr>
        <w:t> </w:t>
      </w:r>
      <w:r>
        <w:rPr/>
        <w:t>and</w:t>
      </w:r>
      <w:r>
        <w:rPr>
          <w:spacing w:val="-8"/>
        </w:rPr>
        <w:t> </w:t>
      </w:r>
      <w:r>
        <w:rPr/>
        <w:t>the</w:t>
      </w:r>
      <w:r>
        <w:rPr>
          <w:spacing w:val="-7"/>
        </w:rPr>
        <w:t> </w:t>
      </w:r>
      <w:r>
        <w:rPr/>
        <w:t>UK’s</w:t>
      </w:r>
      <w:r>
        <w:rPr>
          <w:spacing w:val="-8"/>
        </w:rPr>
        <w:t> </w:t>
      </w:r>
      <w:r>
        <w:rPr/>
        <w:t>Office</w:t>
      </w:r>
      <w:r>
        <w:rPr>
          <w:spacing w:val="-7"/>
        </w:rPr>
        <w:t> </w:t>
      </w:r>
      <w:r>
        <w:rPr/>
        <w:t>for</w:t>
      </w:r>
      <w:r>
        <w:rPr>
          <w:spacing w:val="-9"/>
        </w:rPr>
        <w:t> </w:t>
      </w:r>
      <w:r>
        <w:rPr/>
        <w:t>National</w:t>
      </w:r>
      <w:r>
        <w:rPr>
          <w:spacing w:val="-7"/>
        </w:rPr>
        <w:t> </w:t>
      </w:r>
      <w:r>
        <w:rPr/>
        <w:t>Statistics</w:t>
      </w:r>
      <w:r>
        <w:rPr>
          <w:spacing w:val="-6"/>
        </w:rPr>
        <w:t> </w:t>
      </w:r>
      <w:r>
        <w:rPr/>
        <w:t>(ONS)</w:t>
      </w:r>
      <w:r>
        <w:rPr>
          <w:spacing w:val="-8"/>
        </w:rPr>
        <w:t> </w:t>
      </w:r>
      <w:r>
        <w:rPr/>
        <w:t>have</w:t>
      </w:r>
      <w:r>
        <w:rPr>
          <w:spacing w:val="-8"/>
        </w:rPr>
        <w:t> </w:t>
      </w:r>
      <w:r>
        <w:rPr/>
        <w:t>recently</w:t>
      </w:r>
      <w:r>
        <w:rPr>
          <w:spacing w:val="-7"/>
        </w:rPr>
        <w:t> </w:t>
      </w:r>
      <w:r>
        <w:rPr/>
        <w:t>initiated a project to improve the UK’s flows of funds data. Although at an early stage, this aims to provide more granular picture of sectoral (“who-to-whom”) flows. Once complete, this should enable interactions</w:t>
      </w:r>
      <w:r>
        <w:rPr>
          <w:spacing w:val="-8"/>
        </w:rPr>
        <w:t> </w:t>
      </w:r>
      <w:r>
        <w:rPr/>
        <w:t>between</w:t>
      </w:r>
      <w:r>
        <w:rPr>
          <w:spacing w:val="-8"/>
        </w:rPr>
        <w:t> </w:t>
      </w:r>
      <w:r>
        <w:rPr/>
        <w:t>and</w:t>
      </w:r>
      <w:r>
        <w:rPr>
          <w:spacing w:val="-8"/>
        </w:rPr>
        <w:t> </w:t>
      </w:r>
      <w:r>
        <w:rPr/>
        <w:t>within</w:t>
      </w:r>
      <w:r>
        <w:rPr>
          <w:spacing w:val="-8"/>
        </w:rPr>
        <w:t> </w:t>
      </w:r>
      <w:r>
        <w:rPr/>
        <w:t>the</w:t>
      </w:r>
      <w:r>
        <w:rPr>
          <w:spacing w:val="-9"/>
        </w:rPr>
        <w:t> </w:t>
      </w:r>
      <w:r>
        <w:rPr/>
        <w:t>financial</w:t>
      </w:r>
      <w:r>
        <w:rPr>
          <w:spacing w:val="-8"/>
        </w:rPr>
        <w:t> </w:t>
      </w:r>
      <w:r>
        <w:rPr/>
        <w:t>and</w:t>
      </w:r>
      <w:r>
        <w:rPr>
          <w:spacing w:val="-8"/>
        </w:rPr>
        <w:t> </w:t>
      </w:r>
      <w:r>
        <w:rPr/>
        <w:t>real</w:t>
      </w:r>
      <w:r>
        <w:rPr>
          <w:spacing w:val="-6"/>
        </w:rPr>
        <w:t> </w:t>
      </w:r>
      <w:r>
        <w:rPr/>
        <w:t>sectors</w:t>
      </w:r>
      <w:r>
        <w:rPr>
          <w:spacing w:val="-7"/>
        </w:rPr>
        <w:t> </w:t>
      </w:r>
      <w:r>
        <w:rPr/>
        <w:t>of</w:t>
      </w:r>
      <w:r>
        <w:rPr>
          <w:spacing w:val="-8"/>
        </w:rPr>
        <w:t> </w:t>
      </w:r>
      <w:r>
        <w:rPr/>
        <w:t>the</w:t>
      </w:r>
      <w:r>
        <w:rPr>
          <w:spacing w:val="-8"/>
        </w:rPr>
        <w:t> </w:t>
      </w:r>
      <w:r>
        <w:rPr/>
        <w:t>UK</w:t>
      </w:r>
      <w:r>
        <w:rPr>
          <w:spacing w:val="-7"/>
        </w:rPr>
        <w:t> </w:t>
      </w:r>
      <w:r>
        <w:rPr/>
        <w:t>economy</w:t>
      </w:r>
      <w:r>
        <w:rPr>
          <w:spacing w:val="-8"/>
        </w:rPr>
        <w:t> </w:t>
      </w:r>
      <w:r>
        <w:rPr/>
        <w:t>to</w:t>
      </w:r>
      <w:r>
        <w:rPr>
          <w:spacing w:val="-8"/>
        </w:rPr>
        <w:t> </w:t>
      </w:r>
      <w:r>
        <w:rPr/>
        <w:t>be</w:t>
      </w:r>
      <w:r>
        <w:rPr>
          <w:spacing w:val="-8"/>
        </w:rPr>
        <w:t> </w:t>
      </w:r>
      <w:r>
        <w:rPr/>
        <w:t>better</w:t>
      </w:r>
      <w:r>
        <w:rPr>
          <w:spacing w:val="-8"/>
        </w:rPr>
        <w:t> </w:t>
      </w:r>
      <w:r>
        <w:rPr/>
        <w:t>tracked and</w:t>
      </w:r>
      <w:r>
        <w:rPr>
          <w:spacing w:val="-2"/>
        </w:rPr>
        <w:t> </w:t>
      </w:r>
      <w:r>
        <w:rPr/>
        <w:t>modelled.</w:t>
      </w:r>
    </w:p>
    <w:p>
      <w:pPr>
        <w:pStyle w:val="BodyText"/>
        <w:spacing w:before="10"/>
        <w:rPr>
          <w:sz w:val="27"/>
        </w:rPr>
      </w:pPr>
    </w:p>
    <w:p>
      <w:pPr>
        <w:pStyle w:val="BodyText"/>
        <w:spacing w:line="357" w:lineRule="auto"/>
        <w:ind w:left="634" w:right="233"/>
      </w:pPr>
      <w:r>
        <w:rPr/>
        <w:t>This pattern of data gaps is mirrored globally. Global flow of funds data beyond banking is patchy. Data on flows, and in particular stocks, of cross-border portfolio and foreign direct investment are often low in quality and lack timeliness. For example, official data suggest the UK has a net external </w:t>
      </w:r>
      <w:r>
        <w:rPr>
          <w:i/>
        </w:rPr>
        <w:t>liability </w:t>
      </w:r>
      <w:r>
        <w:rPr/>
        <w:t>position of around 20-30% of GDP. But if foreign direct investment stocks are valued at market (rather than book) prices, this switches to a net </w:t>
      </w:r>
      <w:r>
        <w:rPr>
          <w:i/>
        </w:rPr>
        <w:t>asset </w:t>
      </w:r>
      <w:r>
        <w:rPr/>
        <w:t>position of around the same amount (Bank of England (2014)).</w:t>
      </w:r>
    </w:p>
    <w:p>
      <w:pPr>
        <w:pStyle w:val="BodyText"/>
        <w:spacing w:before="8"/>
        <w:rPr>
          <w:sz w:val="27"/>
        </w:rPr>
      </w:pPr>
    </w:p>
    <w:p>
      <w:pPr>
        <w:pStyle w:val="BodyText"/>
        <w:spacing w:line="357" w:lineRule="auto"/>
        <w:ind w:left="634" w:right="300"/>
      </w:pPr>
      <w:r>
        <w:rPr/>
        <w:t>Derivatives positions and net foreign currency positions are also imperfectly captured in global flows of funds data, particularly for companies. For example, over recent years many emerging market companies have borrowed cheaply in dollar-denominated instruments. But gauging the scale of that borrowing, and whether it is hedged either with derivatives or dollar income receipts, is a real data challenge. This is a significant gap because unhedged dollar borrowing is one potential fault-line in the international financial system at present (BIS (2014)).</w:t>
      </w:r>
    </w:p>
    <w:p>
      <w:pPr>
        <w:pStyle w:val="BodyText"/>
        <w:spacing w:before="10"/>
        <w:rPr>
          <w:sz w:val="27"/>
        </w:rPr>
      </w:pPr>
    </w:p>
    <w:p>
      <w:pPr>
        <w:pStyle w:val="ListParagraph"/>
        <w:numPr>
          <w:ilvl w:val="0"/>
          <w:numId w:val="2"/>
        </w:numPr>
        <w:tabs>
          <w:tab w:pos="917" w:val="left" w:leader="none"/>
        </w:tabs>
        <w:spacing w:line="240" w:lineRule="auto" w:before="0" w:after="0"/>
        <w:ind w:left="916" w:right="0" w:hanging="283"/>
        <w:jc w:val="left"/>
        <w:rPr>
          <w:i/>
          <w:sz w:val="19"/>
        </w:rPr>
      </w:pPr>
      <w:r>
        <w:rPr>
          <w:i/>
          <w:sz w:val="19"/>
        </w:rPr>
        <w:t>Modelling</w:t>
      </w:r>
    </w:p>
    <w:p>
      <w:pPr>
        <w:pStyle w:val="BodyText"/>
        <w:rPr>
          <w:i/>
          <w:sz w:val="20"/>
        </w:rPr>
      </w:pPr>
    </w:p>
    <w:p>
      <w:pPr>
        <w:pStyle w:val="BodyText"/>
        <w:spacing w:before="4"/>
        <w:rPr>
          <w:i/>
          <w:sz w:val="17"/>
        </w:rPr>
      </w:pPr>
    </w:p>
    <w:p>
      <w:pPr>
        <w:pStyle w:val="BodyText"/>
        <w:spacing w:line="357" w:lineRule="auto"/>
        <w:ind w:left="634" w:right="194"/>
      </w:pPr>
      <w:r>
        <w:rPr/>
        <w:t>Once the necessary data is in place, a natural next question is how best to use this to understand the dynamics of the macro-financial system of systems. There are a number of potentially fruitful, if fledgling, avenues of research currently being pursued on that front.</w:t>
      </w:r>
    </w:p>
    <w:p>
      <w:pPr>
        <w:pStyle w:val="BodyText"/>
        <w:rPr>
          <w:sz w:val="28"/>
        </w:rPr>
      </w:pPr>
    </w:p>
    <w:p>
      <w:pPr>
        <w:pStyle w:val="BodyText"/>
        <w:spacing w:line="355" w:lineRule="auto"/>
        <w:ind w:left="634" w:right="161"/>
      </w:pPr>
      <w:r>
        <w:rPr/>
        <w:t>In making sense of the macro-financial system, it would be desirable to have a quantitative framework for understanding and evaluating interactions both within the financial system and between it and the wider economy. Pre-crisis, such models were close to non-existent. Indeed, many mainstream macro-economic models did not even contain a well-defined financial sector, much less interactions within it (Roger and Vleck (2011)).</w:t>
      </w:r>
    </w:p>
    <w:p>
      <w:pPr>
        <w:spacing w:after="0" w:line="355" w:lineRule="auto"/>
        <w:sectPr>
          <w:pgSz w:w="12240" w:h="15840"/>
          <w:pgMar w:header="0" w:footer="974" w:top="1280" w:bottom="1160" w:left="1240" w:right="1660"/>
        </w:sectPr>
      </w:pPr>
    </w:p>
    <w:p>
      <w:pPr>
        <w:pStyle w:val="BodyText"/>
        <w:spacing w:line="357" w:lineRule="auto" w:before="71"/>
        <w:ind w:left="634" w:right="456"/>
      </w:pPr>
      <w:r>
        <w:rPr/>
        <w:t>The Bank of England was an early pioneer of an approach which placed the financial sector centre-stage, with its so-called RAMSI (Risk Assessment Model of Systemic Institutions) model (Burrows et al (2012)). A stylised overview of RAMSI is given in Chart 16. RAMSI embodies interactions between the elements of individual banks’ balance sheets (the micro-prudential layer), between individual banks (the macro-prudential layer) and between the financial system and the economy (the macro-economic layer).</w:t>
      </w:r>
    </w:p>
    <w:p>
      <w:pPr>
        <w:pStyle w:val="BodyText"/>
        <w:spacing w:before="8"/>
        <w:rPr>
          <w:sz w:val="27"/>
        </w:rPr>
      </w:pPr>
    </w:p>
    <w:p>
      <w:pPr>
        <w:pStyle w:val="BodyText"/>
        <w:spacing w:line="357" w:lineRule="auto"/>
        <w:ind w:left="634" w:right="205"/>
      </w:pPr>
      <w:r>
        <w:rPr/>
        <w:t>As an example, RAMSI embodies an interbank network which allows counterparty network contagion to propagate. It also contains a behavioural model of funding markets and banks’ liquidity positions which can generate liquidity crisis externalities (Aikman et al (2009)). There are also explicit behavioural links between macro-economic variables and bank balance sheets (through arrears, defaults, losses given default etc). These complex, non-linear channels of risk propagation mean the probability distributions generated from RAMSI are fat-tailed (Chart 17).</w:t>
      </w:r>
    </w:p>
    <w:p>
      <w:pPr>
        <w:pStyle w:val="BodyText"/>
        <w:spacing w:before="9"/>
        <w:rPr>
          <w:sz w:val="27"/>
        </w:rPr>
      </w:pPr>
    </w:p>
    <w:p>
      <w:pPr>
        <w:pStyle w:val="BodyText"/>
        <w:spacing w:line="357" w:lineRule="auto"/>
        <w:ind w:left="634" w:right="239"/>
      </w:pPr>
      <w:r>
        <w:rPr/>
        <w:t>These ingredients, with rich interactions both within and across banks and between banks and the economy, mean RAMSI is a useful framework when undertaking top-down stress-testing. Alongside bottom-up granular models, the Bank used RAMSI in its concurrent stress-testing of UK banks at the end of last year. Because it can be used to draw probability distributions of bank balance sheet measures, such as liquidity and solvency, in time this may enable probabilistic “fan charts” of bank strength to be constructed. These would be akin to the fan charts for inflation and output produced in the Bank’s </w:t>
      </w:r>
      <w:r>
        <w:rPr>
          <w:i/>
        </w:rPr>
        <w:t>Inflation Report </w:t>
      </w:r>
      <w:r>
        <w:rPr/>
        <w:t>for monetary policy purposes.</w:t>
      </w:r>
    </w:p>
    <w:p>
      <w:pPr>
        <w:pStyle w:val="BodyText"/>
        <w:spacing w:before="7"/>
        <w:rPr>
          <w:sz w:val="27"/>
        </w:rPr>
      </w:pPr>
    </w:p>
    <w:p>
      <w:pPr>
        <w:pStyle w:val="BodyText"/>
        <w:spacing w:line="357" w:lineRule="auto"/>
        <w:ind w:left="634" w:right="331"/>
      </w:pPr>
      <w:r>
        <w:rPr/>
        <w:t>In a broadly similar spirit, but at a greater level of granularity, Agent-Based Models (ABM) are a natural vehicle for modelling behavioural interactions within and across macro-financial systems (Farmer and Foley (2009)). There has been some progress towards developing ABMs, in particular since the financial crisis. For example, the CRISIS (Complexity Research Initiative for Systemic Instabilities) project is a consortium of EU universities, private firms and policymaking institutions which is building large-scale calibrated models to capture sectoral behaviour, including between the economy and the financial system.</w:t>
      </w:r>
      <w:r>
        <w:rPr>
          <w:vertAlign w:val="superscript"/>
        </w:rPr>
        <w:t>12</w:t>
      </w:r>
    </w:p>
    <w:p>
      <w:pPr>
        <w:pStyle w:val="BodyText"/>
        <w:spacing w:before="7"/>
        <w:rPr>
          <w:sz w:val="27"/>
        </w:rPr>
      </w:pPr>
    </w:p>
    <w:p>
      <w:pPr>
        <w:pStyle w:val="BodyText"/>
        <w:spacing w:line="357" w:lineRule="auto"/>
        <w:ind w:left="634"/>
      </w:pPr>
      <w:r>
        <w:rPr/>
        <w:t>At national level, promising progress has also been made in developing ABM models of the housing market. For example, Geanakoplos et al (2012) develop a regional model of the US housing market, which does a much better job than aggregate macro-economic models in matching housing market patterns, both in in the run-up to, and following, the financial crisis.</w:t>
      </w:r>
    </w:p>
    <w:p>
      <w:pPr>
        <w:pStyle w:val="BodyText"/>
        <w:rPr>
          <w:sz w:val="28"/>
        </w:rPr>
      </w:pPr>
    </w:p>
    <w:p>
      <w:pPr>
        <w:pStyle w:val="BodyText"/>
        <w:spacing w:line="357" w:lineRule="auto"/>
        <w:ind w:left="634" w:right="215"/>
      </w:pPr>
      <w:r>
        <w:rPr/>
        <w:t>As part of its new research agenda, the Bank of England is working currently with the Institute for New Economic Thinking (INET) at Oxford to try and develop an ABM model of the UK housing market.</w:t>
      </w:r>
      <w:r>
        <w:rPr>
          <w:vertAlign w:val="superscript"/>
        </w:rPr>
        <w:t>13</w:t>
      </w:r>
      <w:r>
        <w:rPr>
          <w:vertAlign w:val="baseline"/>
        </w:rPr>
        <w:t> As with Geanakoplos et al (2012), the aim is to provide a calibrated, granular model which</w:t>
      </w:r>
    </w:p>
    <w:p>
      <w:pPr>
        <w:pStyle w:val="BodyText"/>
        <w:rPr>
          <w:sz w:val="13"/>
        </w:rPr>
      </w:pPr>
      <w:r>
        <w:rPr/>
        <w:pict>
          <v:shape style="position:absolute;margin-left:93.720001pt;margin-top:9.680017pt;width:135.5pt;height:.1pt;mso-position-horizontal-relative:page;mso-position-vertical-relative:paragraph;z-index:-251650048;mso-wrap-distance-left:0;mso-wrap-distance-right:0" coordorigin="1874,194" coordsize="2710,0" path="m1874,194l4584,194e" filled="false" stroked="true" strokeweight=".41998pt" strokecolor="#000000">
            <v:path arrowok="t"/>
            <v:stroke dashstyle="solid"/>
            <w10:wrap type="topAndBottom"/>
          </v:shape>
        </w:pict>
      </w:r>
    </w:p>
    <w:p>
      <w:pPr>
        <w:spacing w:line="185" w:lineRule="exact" w:before="27"/>
        <w:ind w:left="634" w:right="0" w:firstLine="0"/>
        <w:jc w:val="left"/>
        <w:rPr>
          <w:sz w:val="15"/>
        </w:rPr>
      </w:pPr>
      <w:r>
        <w:rPr>
          <w:position w:val="8"/>
          <w:sz w:val="9"/>
        </w:rPr>
        <w:t>12 </w:t>
      </w:r>
      <w:r>
        <w:rPr>
          <w:sz w:val="15"/>
        </w:rPr>
        <w:t>More details are available at </w:t>
      </w:r>
      <w:hyperlink r:id="rId14">
        <w:r>
          <w:rPr>
            <w:color w:val="0000FF"/>
            <w:sz w:val="15"/>
            <w:u w:val="single" w:color="0000FF"/>
          </w:rPr>
          <w:t>www.crisis-economics.eu</w:t>
        </w:r>
        <w:r>
          <w:rPr>
            <w:sz w:val="15"/>
          </w:rPr>
          <w:t>.</w:t>
        </w:r>
      </w:hyperlink>
    </w:p>
    <w:p>
      <w:pPr>
        <w:spacing w:line="172" w:lineRule="exact" w:before="16"/>
        <w:ind w:left="634" w:right="0" w:firstLine="0"/>
        <w:jc w:val="left"/>
        <w:rPr>
          <w:sz w:val="15"/>
        </w:rPr>
      </w:pPr>
      <w:r>
        <w:rPr>
          <w:position w:val="8"/>
          <w:sz w:val="9"/>
        </w:rPr>
        <w:t>13 </w:t>
      </w:r>
      <w:r>
        <w:rPr>
          <w:sz w:val="15"/>
        </w:rPr>
        <w:t>For more on the Bank’s research agenda, please see </w:t>
      </w:r>
      <w:hyperlink r:id="rId15">
        <w:r>
          <w:rPr>
            <w:color w:val="0000FF"/>
            <w:sz w:val="15"/>
            <w:u w:val="single" w:color="0000FF"/>
          </w:rPr>
          <w:t>http://www.bankofengland.co.uk/research/Documents/onebank/discussion.pdf</w:t>
        </w:r>
      </w:hyperlink>
    </w:p>
    <w:p>
      <w:pPr>
        <w:spacing w:after="0" w:line="172" w:lineRule="exact"/>
        <w:jc w:val="left"/>
        <w:rPr>
          <w:sz w:val="15"/>
        </w:rPr>
        <w:sectPr>
          <w:footerReference w:type="default" r:id="rId13"/>
          <w:pgSz w:w="12240" w:h="15840"/>
          <w:pgMar w:footer="974" w:header="0" w:top="1280" w:bottom="1160" w:left="1240" w:right="1660"/>
          <w:pgNumType w:start="16"/>
        </w:sectPr>
      </w:pPr>
    </w:p>
    <w:p>
      <w:pPr>
        <w:pStyle w:val="BodyText"/>
        <w:spacing w:line="357" w:lineRule="auto" w:before="71"/>
        <w:ind w:left="634" w:right="448"/>
      </w:pPr>
      <w:r>
        <w:rPr/>
        <w:t>better captures the dynamics of the housing market. It could also, potentially, be used to help evaluate the efficacy of macro-prudential interventions in that market – for example, policies which alter mortgage loan-to-income or loan-to-value limits.</w:t>
      </w:r>
    </w:p>
    <w:p>
      <w:pPr>
        <w:pStyle w:val="BodyText"/>
        <w:rPr>
          <w:sz w:val="28"/>
        </w:rPr>
      </w:pPr>
    </w:p>
    <w:p>
      <w:pPr>
        <w:pStyle w:val="BodyText"/>
        <w:spacing w:line="357" w:lineRule="auto"/>
        <w:ind w:left="634" w:right="151"/>
      </w:pPr>
      <w:r>
        <w:rPr/>
        <w:t>A third promising area of research concerns the interaction the macro-prudential and macro-economic layers of the system – that is, the interplay between macro-prudential and monetary policy tools. This is another priority area for the Bank’s new research agenda. Although these policies have distinct primary objectives, their transmission channels are likely to be closely interwoven, with both affecting risk-taking and economic activity. This adds additional complexity to the setting of monetary and macro-prudential policies.</w:t>
      </w:r>
    </w:p>
    <w:p>
      <w:pPr>
        <w:pStyle w:val="BodyText"/>
        <w:spacing w:before="8"/>
        <w:rPr>
          <w:sz w:val="27"/>
        </w:rPr>
      </w:pPr>
    </w:p>
    <w:p>
      <w:pPr>
        <w:pStyle w:val="BodyText"/>
        <w:spacing w:line="357" w:lineRule="auto"/>
        <w:ind w:left="634" w:right="153"/>
      </w:pPr>
      <w:r>
        <w:rPr/>
        <w:t>It is possible to explore this complex interplay using simulations from models comprising both nominal and financial frictions. Both are needed to accommodate a role for monetary policy (whose effectiveness relies primarily on nominal frictions) and macro-prudential policies (whose effectiveness relies principally on financial frictions). A number of models have recently been developed with these core ingredients and have been used to explore monetary and macro-prudential policy interactions (Smets (2013), Paustian and De Paoli (2013)).</w:t>
      </w:r>
    </w:p>
    <w:p>
      <w:pPr>
        <w:pStyle w:val="BodyText"/>
        <w:spacing w:before="9"/>
        <w:rPr>
          <w:sz w:val="27"/>
        </w:rPr>
      </w:pPr>
    </w:p>
    <w:p>
      <w:pPr>
        <w:pStyle w:val="BodyText"/>
        <w:spacing w:line="355" w:lineRule="auto"/>
        <w:ind w:left="634" w:right="438"/>
      </w:pPr>
      <w:r>
        <w:rPr/>
        <w:t>Chart 18 shows the results of a simulation from a model developed by two colleagues at the Bank (Aikman and Nelson (2014)). This, too, embodies both nominal and financial frictions. On the axes are plotted two measures of stability – macro-economic stability (as proxied by the variability of nominal GDP) on the x-axis, financial stability (as proxied by the variance of credit spreads) on the</w:t>
      </w:r>
    </w:p>
    <w:p>
      <w:pPr>
        <w:pStyle w:val="BodyText"/>
        <w:spacing w:line="357" w:lineRule="auto" w:before="4"/>
        <w:ind w:left="634"/>
      </w:pPr>
      <w:r>
        <w:rPr/>
        <w:t>y-axis. Historically estimated levels of these two variables, normalised to one, are shown at point A in Chart 18.</w:t>
      </w:r>
    </w:p>
    <w:p>
      <w:pPr>
        <w:pStyle w:val="BodyText"/>
        <w:spacing w:before="1"/>
        <w:rPr>
          <w:sz w:val="28"/>
        </w:rPr>
      </w:pPr>
    </w:p>
    <w:p>
      <w:pPr>
        <w:pStyle w:val="BodyText"/>
        <w:spacing w:line="357" w:lineRule="auto"/>
        <w:ind w:left="634" w:right="511"/>
      </w:pPr>
      <w:r>
        <w:rPr/>
        <w:t>If we now allow monetary policy to play an active role in stabilising the business cycle, through an optimal policy rule which weights output and inflation deviations from target, we can move the economy to point B. This is unambiguously preferred to point A, with greater stability in both the financial system and, in particular, the wider economy. But could we do better still by having monetary policy assume </w:t>
      </w:r>
      <w:r>
        <w:rPr>
          <w:i/>
        </w:rPr>
        <w:t>explicit </w:t>
      </w:r>
      <w:r>
        <w:rPr/>
        <w:t>responsibility for safeguarding financial stability?</w:t>
      </w:r>
    </w:p>
    <w:p>
      <w:pPr>
        <w:pStyle w:val="BodyText"/>
        <w:spacing w:before="10"/>
        <w:rPr>
          <w:sz w:val="27"/>
        </w:rPr>
      </w:pPr>
    </w:p>
    <w:p>
      <w:pPr>
        <w:pStyle w:val="BodyText"/>
        <w:spacing w:line="357" w:lineRule="auto"/>
        <w:ind w:left="634" w:right="277"/>
      </w:pPr>
      <w:r>
        <w:rPr/>
        <w:t>If</w:t>
      </w:r>
      <w:r>
        <w:rPr>
          <w:spacing w:val="-6"/>
        </w:rPr>
        <w:t> </w:t>
      </w:r>
      <w:r>
        <w:rPr/>
        <w:t>we</w:t>
      </w:r>
      <w:r>
        <w:rPr>
          <w:spacing w:val="-8"/>
        </w:rPr>
        <w:t> </w:t>
      </w:r>
      <w:r>
        <w:rPr/>
        <w:t>augment</w:t>
      </w:r>
      <w:r>
        <w:rPr>
          <w:spacing w:val="-7"/>
        </w:rPr>
        <w:t> </w:t>
      </w:r>
      <w:r>
        <w:rPr/>
        <w:t>this</w:t>
      </w:r>
      <w:r>
        <w:rPr>
          <w:spacing w:val="-6"/>
        </w:rPr>
        <w:t> </w:t>
      </w:r>
      <w:r>
        <w:rPr/>
        <w:t>monetary</w:t>
      </w:r>
      <w:r>
        <w:rPr>
          <w:spacing w:val="-6"/>
        </w:rPr>
        <w:t> </w:t>
      </w:r>
      <w:r>
        <w:rPr/>
        <w:t>policy</w:t>
      </w:r>
      <w:r>
        <w:rPr>
          <w:spacing w:val="-5"/>
        </w:rPr>
        <w:t> </w:t>
      </w:r>
      <w:r>
        <w:rPr/>
        <w:t>rule</w:t>
      </w:r>
      <w:r>
        <w:rPr>
          <w:spacing w:val="-6"/>
        </w:rPr>
        <w:t> </w:t>
      </w:r>
      <w:r>
        <w:rPr/>
        <w:t>to</w:t>
      </w:r>
      <w:r>
        <w:rPr>
          <w:spacing w:val="-6"/>
        </w:rPr>
        <w:t> </w:t>
      </w:r>
      <w:r>
        <w:rPr/>
        <w:t>take</w:t>
      </w:r>
      <w:r>
        <w:rPr>
          <w:spacing w:val="-5"/>
        </w:rPr>
        <w:t> </w:t>
      </w:r>
      <w:r>
        <w:rPr/>
        <w:t>account</w:t>
      </w:r>
      <w:r>
        <w:rPr>
          <w:spacing w:val="-5"/>
        </w:rPr>
        <w:t> </w:t>
      </w:r>
      <w:r>
        <w:rPr/>
        <w:t>of</w:t>
      </w:r>
      <w:r>
        <w:rPr>
          <w:spacing w:val="-6"/>
        </w:rPr>
        <w:t> </w:t>
      </w:r>
      <w:r>
        <w:rPr/>
        <w:t>financial</w:t>
      </w:r>
      <w:r>
        <w:rPr>
          <w:spacing w:val="-5"/>
        </w:rPr>
        <w:t> </w:t>
      </w:r>
      <w:r>
        <w:rPr/>
        <w:t>stability</w:t>
      </w:r>
      <w:r>
        <w:rPr>
          <w:spacing w:val="-5"/>
        </w:rPr>
        <w:t> </w:t>
      </w:r>
      <w:r>
        <w:rPr/>
        <w:t>factors,</w:t>
      </w:r>
      <w:r>
        <w:rPr>
          <w:spacing w:val="-6"/>
        </w:rPr>
        <w:t> </w:t>
      </w:r>
      <w:r>
        <w:rPr/>
        <w:t>by</w:t>
      </w:r>
      <w:r>
        <w:rPr>
          <w:spacing w:val="-6"/>
        </w:rPr>
        <w:t> </w:t>
      </w:r>
      <w:r>
        <w:rPr/>
        <w:t>having</w:t>
      </w:r>
      <w:r>
        <w:rPr>
          <w:spacing w:val="-5"/>
        </w:rPr>
        <w:t> </w:t>
      </w:r>
      <w:r>
        <w:rPr/>
        <w:t>interest rates respond to credit spreads, we move to point C. This has the benefit of improving financial stability relative to the conventional monetary policy case. But this comes at the cost of destabilising somewhat the macro-economy. It is unclear whether point C dominates B in a welfare sense. In other words, having monetary policy meet both macro-economic and macro-prudential objectives involves a</w:t>
      </w:r>
      <w:r>
        <w:rPr>
          <w:spacing w:val="-2"/>
        </w:rPr>
        <w:t> </w:t>
      </w:r>
      <w:r>
        <w:rPr/>
        <w:t>trade-off.</w:t>
      </w:r>
    </w:p>
    <w:p>
      <w:pPr>
        <w:pStyle w:val="BodyText"/>
        <w:spacing w:before="8"/>
        <w:rPr>
          <w:sz w:val="27"/>
        </w:rPr>
      </w:pPr>
    </w:p>
    <w:p>
      <w:pPr>
        <w:pStyle w:val="BodyText"/>
        <w:spacing w:line="355" w:lineRule="auto"/>
        <w:ind w:left="634" w:right="215"/>
      </w:pPr>
      <w:r>
        <w:rPr/>
        <w:t>Once we add an explicit macro-prudential instrument to the equation, however, this trade-off disappears, or at least is lessened. In particular, let’s add a regulatory-set counter-cyclical capital</w:t>
      </w:r>
    </w:p>
    <w:p>
      <w:pPr>
        <w:spacing w:after="0" w:line="355" w:lineRule="auto"/>
        <w:sectPr>
          <w:footerReference w:type="default" r:id="rId16"/>
          <w:pgSz w:w="12240" w:h="15840"/>
          <w:pgMar w:footer="974" w:header="0" w:top="1280" w:bottom="1160" w:left="1240" w:right="1660"/>
          <w:pgNumType w:start="17"/>
        </w:sectPr>
      </w:pPr>
    </w:p>
    <w:p>
      <w:pPr>
        <w:pStyle w:val="BodyText"/>
        <w:spacing w:line="357" w:lineRule="auto" w:before="71"/>
        <w:ind w:left="634" w:right="215"/>
      </w:pPr>
      <w:r>
        <w:rPr/>
        <w:t>buffer for banks, the like of which is now part of Basel III. Used in tandem with optimal monetary policy, this moves the economy to point D. This involves both greater macro-economic and financial stability than the alternatives. On the face if it at least, it is welfare-improving.</w:t>
      </w:r>
    </w:p>
    <w:p>
      <w:pPr>
        <w:pStyle w:val="BodyText"/>
        <w:rPr>
          <w:sz w:val="28"/>
        </w:rPr>
      </w:pPr>
    </w:p>
    <w:p>
      <w:pPr>
        <w:pStyle w:val="BodyText"/>
        <w:spacing w:line="357" w:lineRule="auto"/>
        <w:ind w:left="634" w:right="183"/>
      </w:pPr>
      <w:r>
        <w:rPr/>
        <w:t>Although the model used is specific, the policy lesson appears to be a general one. Having two instruments (monetary and macro-prudential) leads to an improvement in macro-financial stability. Two policy hands beat one when there are two policy objectives. This in a sense underscores the importance of Tinbergen’s augmented policy rule – that there should be as many policy tools as there are complex sub-systems - when managing a complex system of systems.</w:t>
      </w:r>
    </w:p>
    <w:p>
      <w:pPr>
        <w:pStyle w:val="BodyText"/>
        <w:spacing w:before="10"/>
        <w:rPr>
          <w:sz w:val="27"/>
        </w:rPr>
      </w:pPr>
    </w:p>
    <w:p>
      <w:pPr>
        <w:pStyle w:val="BodyText"/>
        <w:spacing w:line="357" w:lineRule="auto"/>
        <w:ind w:left="634" w:right="591"/>
      </w:pPr>
      <w:r>
        <w:rPr/>
        <w:t>None of the models so far considers global spill-overs, either through trade or financial channels. Generally-speaking, there is a dearth of macro-economic models which take seriously these international spillovers in an analytically-coherent fashion. Even if modelling this behaviour is</w:t>
      </w:r>
    </w:p>
    <w:p>
      <w:pPr>
        <w:pStyle w:val="BodyText"/>
        <w:spacing w:line="357" w:lineRule="auto"/>
        <w:ind w:left="634" w:right="354"/>
      </w:pPr>
      <w:r>
        <w:rPr/>
        <w:t>over-ambitious in the short-term, there may be merit in improved monitoring of these global flows of financing over time, given their importance for the stability of economies and financial systems.</w:t>
      </w:r>
    </w:p>
    <w:p>
      <w:pPr>
        <w:pStyle w:val="BodyText"/>
        <w:spacing w:before="9"/>
        <w:rPr>
          <w:sz w:val="27"/>
        </w:rPr>
      </w:pPr>
    </w:p>
    <w:p>
      <w:pPr>
        <w:pStyle w:val="BodyText"/>
        <w:spacing w:line="357" w:lineRule="auto"/>
        <w:ind w:left="634" w:right="209"/>
      </w:pPr>
      <w:r>
        <w:rPr/>
        <w:t>Elsewhere, I have likened this to the creation of “global weather map”. This could be used to track and map the source, scale and nature of cross-border capital flows in close to real-time (Haldane (2012, 2014) and IMF (2013)). Plotting this complex, rapidly-adapting web would be a natural precursor to using it to address “what if” questions. What, for example, would be the impact of a rise in US interest rates on the international flow of funds? The IMF would be the natural guardians of this surveillance-cum-stress-testing machine.</w:t>
      </w:r>
    </w:p>
    <w:p>
      <w:pPr>
        <w:pStyle w:val="BodyText"/>
        <w:spacing w:before="9"/>
        <w:rPr>
          <w:sz w:val="27"/>
        </w:rPr>
      </w:pPr>
    </w:p>
    <w:p>
      <w:pPr>
        <w:pStyle w:val="ListParagraph"/>
        <w:numPr>
          <w:ilvl w:val="0"/>
          <w:numId w:val="2"/>
        </w:numPr>
        <w:tabs>
          <w:tab w:pos="907" w:val="left" w:leader="none"/>
        </w:tabs>
        <w:spacing w:line="240" w:lineRule="auto" w:before="0" w:after="0"/>
        <w:ind w:left="906" w:right="0" w:hanging="273"/>
        <w:jc w:val="left"/>
        <w:rPr>
          <w:i/>
          <w:sz w:val="19"/>
        </w:rPr>
      </w:pPr>
      <w:r>
        <w:rPr>
          <w:i/>
          <w:sz w:val="19"/>
        </w:rPr>
        <w:t>Policy</w:t>
      </w:r>
      <w:r>
        <w:rPr>
          <w:i/>
          <w:spacing w:val="-2"/>
          <w:sz w:val="19"/>
        </w:rPr>
        <w:t> </w:t>
      </w:r>
      <w:r>
        <w:rPr>
          <w:i/>
          <w:sz w:val="19"/>
        </w:rPr>
        <w:t>design</w:t>
      </w:r>
    </w:p>
    <w:p>
      <w:pPr>
        <w:pStyle w:val="BodyText"/>
        <w:rPr>
          <w:i/>
          <w:sz w:val="20"/>
        </w:rPr>
      </w:pPr>
    </w:p>
    <w:p>
      <w:pPr>
        <w:pStyle w:val="BodyText"/>
        <w:spacing w:before="4"/>
        <w:rPr>
          <w:i/>
          <w:sz w:val="17"/>
        </w:rPr>
      </w:pPr>
    </w:p>
    <w:p>
      <w:pPr>
        <w:pStyle w:val="BodyText"/>
        <w:spacing w:line="357" w:lineRule="auto"/>
        <w:ind w:left="634"/>
      </w:pPr>
      <w:r>
        <w:rPr/>
        <w:t>Significant changes have been made to the macro-financial policy architecture since the crisis. In general, these frameworks have moved closer towards meeting Tinbergen’s rule of having as many distinct policy tools as there are complex layers in the macro-financial system. These frameworks are now equipped with tools for assessing and addressing risks at a range of resolutions – microscopic, macroscopic and telescopic. And the gaping hole in the pre-crisis policy architecture – the</w:t>
      </w:r>
    </w:p>
    <w:p>
      <w:pPr>
        <w:pStyle w:val="BodyText"/>
        <w:spacing w:line="213" w:lineRule="exact"/>
        <w:ind w:left="634"/>
      </w:pPr>
      <w:r>
        <w:rPr/>
        <w:t>macro-prudential layer – has now been filled.</w:t>
      </w:r>
    </w:p>
    <w:p>
      <w:pPr>
        <w:pStyle w:val="BodyText"/>
        <w:rPr>
          <w:sz w:val="20"/>
        </w:rPr>
      </w:pPr>
    </w:p>
    <w:p>
      <w:pPr>
        <w:pStyle w:val="BodyText"/>
        <w:spacing w:before="5"/>
        <w:rPr>
          <w:sz w:val="17"/>
        </w:rPr>
      </w:pPr>
    </w:p>
    <w:p>
      <w:pPr>
        <w:pStyle w:val="BodyText"/>
        <w:spacing w:line="357" w:lineRule="auto" w:before="1"/>
        <w:ind w:left="634" w:right="233"/>
      </w:pPr>
      <w:r>
        <w:rPr/>
        <w:t>The</w:t>
      </w:r>
      <w:r>
        <w:rPr>
          <w:spacing w:val="-11"/>
        </w:rPr>
        <w:t> </w:t>
      </w:r>
      <w:r>
        <w:rPr/>
        <w:t>institutional</w:t>
      </w:r>
      <w:r>
        <w:rPr>
          <w:spacing w:val="-10"/>
        </w:rPr>
        <w:t> </w:t>
      </w:r>
      <w:r>
        <w:rPr/>
        <w:t>architecture</w:t>
      </w:r>
      <w:r>
        <w:rPr>
          <w:spacing w:val="-9"/>
        </w:rPr>
        <w:t> </w:t>
      </w:r>
      <w:r>
        <w:rPr/>
        <w:t>for</w:t>
      </w:r>
      <w:r>
        <w:rPr>
          <w:spacing w:val="-10"/>
        </w:rPr>
        <w:t> </w:t>
      </w:r>
      <w:r>
        <w:rPr/>
        <w:t>macro-financial</w:t>
      </w:r>
      <w:r>
        <w:rPr>
          <w:spacing w:val="-9"/>
        </w:rPr>
        <w:t> </w:t>
      </w:r>
      <w:r>
        <w:rPr/>
        <w:t>policy</w:t>
      </w:r>
      <w:r>
        <w:rPr>
          <w:spacing w:val="-10"/>
        </w:rPr>
        <w:t> </w:t>
      </w:r>
      <w:r>
        <w:rPr/>
        <w:t>has</w:t>
      </w:r>
      <w:r>
        <w:rPr>
          <w:spacing w:val="-8"/>
        </w:rPr>
        <w:t> </w:t>
      </w:r>
      <w:r>
        <w:rPr/>
        <w:t>also</w:t>
      </w:r>
      <w:r>
        <w:rPr>
          <w:spacing w:val="-10"/>
        </w:rPr>
        <w:t> </w:t>
      </w:r>
      <w:r>
        <w:rPr/>
        <w:t>been</w:t>
      </w:r>
      <w:r>
        <w:rPr>
          <w:spacing w:val="-9"/>
        </w:rPr>
        <w:t> </w:t>
      </w:r>
      <w:r>
        <w:rPr/>
        <w:t>adapted</w:t>
      </w:r>
      <w:r>
        <w:rPr>
          <w:spacing w:val="-10"/>
        </w:rPr>
        <w:t> </w:t>
      </w:r>
      <w:r>
        <w:rPr/>
        <w:t>since</w:t>
      </w:r>
      <w:r>
        <w:rPr>
          <w:spacing w:val="-9"/>
        </w:rPr>
        <w:t> </w:t>
      </w:r>
      <w:r>
        <w:rPr/>
        <w:t>the</w:t>
      </w:r>
      <w:r>
        <w:rPr>
          <w:spacing w:val="-11"/>
        </w:rPr>
        <w:t> </w:t>
      </w:r>
      <w:r>
        <w:rPr/>
        <w:t>crisis</w:t>
      </w:r>
      <w:r>
        <w:rPr>
          <w:spacing w:val="-10"/>
        </w:rPr>
        <w:t> </w:t>
      </w:r>
      <w:r>
        <w:rPr/>
        <w:t>to</w:t>
      </w:r>
      <w:r>
        <w:rPr>
          <w:spacing w:val="-10"/>
        </w:rPr>
        <w:t> </w:t>
      </w:r>
      <w:r>
        <w:rPr/>
        <w:t>better enable interactions between these policy layers to be addressed. In the UK, the micro-prudential, macro-prudential</w:t>
      </w:r>
      <w:r>
        <w:rPr>
          <w:spacing w:val="-5"/>
        </w:rPr>
        <w:t> </w:t>
      </w:r>
      <w:r>
        <w:rPr/>
        <w:t>and</w:t>
      </w:r>
      <w:r>
        <w:rPr>
          <w:spacing w:val="-4"/>
        </w:rPr>
        <w:t> </w:t>
      </w:r>
      <w:r>
        <w:rPr/>
        <w:t>monetary</w:t>
      </w:r>
      <w:r>
        <w:rPr>
          <w:spacing w:val="-5"/>
        </w:rPr>
        <w:t> </w:t>
      </w:r>
      <w:r>
        <w:rPr/>
        <w:t>policy</w:t>
      </w:r>
      <w:r>
        <w:rPr>
          <w:spacing w:val="-4"/>
        </w:rPr>
        <w:t> </w:t>
      </w:r>
      <w:r>
        <w:rPr/>
        <w:t>arms</w:t>
      </w:r>
      <w:r>
        <w:rPr>
          <w:spacing w:val="-3"/>
        </w:rPr>
        <w:t> </w:t>
      </w:r>
      <w:r>
        <w:rPr/>
        <w:t>of</w:t>
      </w:r>
      <w:r>
        <w:rPr>
          <w:spacing w:val="-3"/>
        </w:rPr>
        <w:t> </w:t>
      </w:r>
      <w:r>
        <w:rPr/>
        <w:t>policy</w:t>
      </w:r>
      <w:r>
        <w:rPr>
          <w:spacing w:val="-4"/>
        </w:rPr>
        <w:t> </w:t>
      </w:r>
      <w:r>
        <w:rPr/>
        <w:t>are</w:t>
      </w:r>
      <w:r>
        <w:rPr>
          <w:spacing w:val="-4"/>
        </w:rPr>
        <w:t> </w:t>
      </w:r>
      <w:r>
        <w:rPr/>
        <w:t>now</w:t>
      </w:r>
      <w:r>
        <w:rPr>
          <w:spacing w:val="-5"/>
        </w:rPr>
        <w:t> </w:t>
      </w:r>
      <w:r>
        <w:rPr/>
        <w:t>attached</w:t>
      </w:r>
      <w:r>
        <w:rPr>
          <w:spacing w:val="-6"/>
        </w:rPr>
        <w:t> </w:t>
      </w:r>
      <w:r>
        <w:rPr/>
        <w:t>to</w:t>
      </w:r>
      <w:r>
        <w:rPr>
          <w:spacing w:val="-5"/>
        </w:rPr>
        <w:t> </w:t>
      </w:r>
      <w:r>
        <w:rPr/>
        <w:t>a</w:t>
      </w:r>
      <w:r>
        <w:rPr>
          <w:spacing w:val="-4"/>
        </w:rPr>
        <w:t> </w:t>
      </w:r>
      <w:r>
        <w:rPr/>
        <w:t>single</w:t>
      </w:r>
      <w:r>
        <w:rPr>
          <w:spacing w:val="-5"/>
        </w:rPr>
        <w:t> </w:t>
      </w:r>
      <w:r>
        <w:rPr/>
        <w:t>body,</w:t>
      </w:r>
      <w:r>
        <w:rPr>
          <w:spacing w:val="-2"/>
        </w:rPr>
        <w:t> </w:t>
      </w:r>
      <w:r>
        <w:rPr/>
        <w:t>the</w:t>
      </w:r>
    </w:p>
    <w:p>
      <w:pPr>
        <w:pStyle w:val="BodyText"/>
        <w:spacing w:line="357" w:lineRule="auto"/>
        <w:ind w:left="634" w:right="269"/>
      </w:pPr>
      <w:r>
        <w:rPr/>
        <w:t>Bank of England. Each arm has a separate policy committee tasked with setting policy. But these policy committees have shared inputs of information and meet jointly to discuss areas of intersecting policy responsibility (Bank of England (2014)).</w:t>
      </w:r>
    </w:p>
    <w:p>
      <w:pPr>
        <w:spacing w:after="0" w:line="357" w:lineRule="auto"/>
        <w:sectPr>
          <w:pgSz w:w="12240" w:h="15840"/>
          <w:pgMar w:header="0" w:footer="974" w:top="1280" w:bottom="1160" w:left="1240" w:right="1660"/>
        </w:sectPr>
      </w:pPr>
    </w:p>
    <w:p>
      <w:pPr>
        <w:pStyle w:val="BodyText"/>
        <w:spacing w:line="357" w:lineRule="auto" w:before="71"/>
        <w:ind w:left="634" w:right="258"/>
      </w:pPr>
      <w:r>
        <w:rPr/>
        <w:t>Taking each of the arms of policy in turn, at the highest level of resolution </w:t>
      </w:r>
      <w:r>
        <w:rPr>
          <w:i/>
        </w:rPr>
        <w:t>micro-prudential policy </w:t>
      </w:r>
      <w:r>
        <w:rPr>
          <w:i/>
        </w:rPr>
        <w:t>frameworks </w:t>
      </w:r>
      <w:r>
        <w:rPr/>
        <w:t>have been significantly revised in a number of countries since the crisis. Often, this has had the aim of refocussing the microscope on the systemic, as well as firm-specific, risks facing banks. For the world’s largest banks, significant extra cushions of loss-absorbing capacity are now being required, together with changes to banks’ organisational structures to make them credibly resolvable. In some countries, including the UK and US, large banks’ activities are being separated or ring-fenced. These initiatives ought, over time, to lower the degree of complexity and</w:t>
      </w:r>
    </w:p>
    <w:p>
      <w:pPr>
        <w:pStyle w:val="BodyText"/>
        <w:spacing w:line="211" w:lineRule="exact"/>
        <w:ind w:left="634"/>
      </w:pPr>
      <w:r>
        <w:rPr/>
        <w:t>inter-connectivity of these entities, making them less virulent super-spreaders of financial contagion.</w:t>
      </w:r>
    </w:p>
    <w:p>
      <w:pPr>
        <w:pStyle w:val="BodyText"/>
        <w:rPr>
          <w:sz w:val="20"/>
        </w:rPr>
      </w:pPr>
    </w:p>
    <w:p>
      <w:pPr>
        <w:pStyle w:val="BodyText"/>
        <w:spacing w:before="6"/>
        <w:rPr>
          <w:sz w:val="17"/>
        </w:rPr>
      </w:pPr>
    </w:p>
    <w:p>
      <w:pPr>
        <w:pStyle w:val="BodyText"/>
        <w:spacing w:line="357" w:lineRule="auto"/>
        <w:ind w:left="634" w:right="264"/>
      </w:pPr>
      <w:r>
        <w:rPr/>
        <w:t>A second area of progress is stress-testing. A major step forward was taken last year in the concurrent stress-testing of banks across Europe. This followed the successful practice first adopted in the US in 2009. Concurrent stress-testing of the whole banking sector allows both top-down and bottom-up perspectives to be brought to bear when assessing individual firms’ risks.</w:t>
      </w:r>
    </w:p>
    <w:p>
      <w:pPr>
        <w:pStyle w:val="BodyText"/>
        <w:spacing w:before="11"/>
        <w:rPr>
          <w:sz w:val="27"/>
        </w:rPr>
      </w:pPr>
    </w:p>
    <w:p>
      <w:pPr>
        <w:pStyle w:val="BodyText"/>
        <w:spacing w:line="357" w:lineRule="auto"/>
        <w:ind w:left="634"/>
      </w:pPr>
      <w:r>
        <w:rPr/>
        <w:t>This opens up the possibility of taking seriously complex behavioural interactions, both within the financial sector and between it and the wider economy. For example, a capital-deficient firm might withdraw funding and cause wider liquidity pressures for other banks. Or a sequence of</w:t>
      </w:r>
    </w:p>
    <w:p>
      <w:pPr>
        <w:pStyle w:val="BodyText"/>
        <w:spacing w:line="357" w:lineRule="auto"/>
        <w:ind w:left="634" w:right="120"/>
      </w:pPr>
      <w:r>
        <w:rPr/>
        <w:t>capital-deficient banks might contract lending in a credit crunch, thereby damaging the wider economy and feeding back negatively to other banks’ portfolios (Haldane (2009)).</w:t>
      </w:r>
    </w:p>
    <w:p>
      <w:pPr>
        <w:pStyle w:val="BodyText"/>
        <w:spacing w:before="9"/>
        <w:rPr>
          <w:sz w:val="27"/>
        </w:rPr>
      </w:pPr>
    </w:p>
    <w:p>
      <w:pPr>
        <w:pStyle w:val="BodyText"/>
        <w:spacing w:line="355" w:lineRule="auto"/>
        <w:ind w:left="634" w:right="173"/>
      </w:pPr>
      <w:r>
        <w:rPr/>
        <w:t>Yet it remains early days in the development of stress-testing technologies. A system of systems perspective could be useful in enabling stress-testing technologies to better capture system-wide risks. For example, interaction and feedback channels could usefully be built into future stress-testing frameworks used by central banks, including the Bank of England, the Federal Reserve and the ECB.</w:t>
      </w:r>
    </w:p>
    <w:p>
      <w:pPr>
        <w:pStyle w:val="BodyText"/>
        <w:spacing w:before="7"/>
        <w:rPr>
          <w:sz w:val="28"/>
        </w:rPr>
      </w:pPr>
    </w:p>
    <w:p>
      <w:pPr>
        <w:pStyle w:val="BodyText"/>
        <w:spacing w:line="355" w:lineRule="auto"/>
        <w:ind w:left="634" w:right="215"/>
      </w:pPr>
      <w:r>
        <w:rPr/>
        <w:t>At the next level of policy resolution, a key area of progress in the post-crisis period has been in developing</w:t>
      </w:r>
      <w:r>
        <w:rPr>
          <w:spacing w:val="-12"/>
        </w:rPr>
        <w:t> </w:t>
      </w:r>
      <w:r>
        <w:rPr/>
        <w:t>the</w:t>
      </w:r>
      <w:r>
        <w:rPr>
          <w:spacing w:val="-9"/>
        </w:rPr>
        <w:t> </w:t>
      </w:r>
      <w:r>
        <w:rPr>
          <w:i/>
        </w:rPr>
        <w:t>macro-prudential</w:t>
      </w:r>
      <w:r>
        <w:rPr>
          <w:i/>
          <w:spacing w:val="-10"/>
        </w:rPr>
        <w:t> </w:t>
      </w:r>
      <w:r>
        <w:rPr>
          <w:i/>
        </w:rPr>
        <w:t>framework</w:t>
      </w:r>
      <w:r>
        <w:rPr>
          <w:i/>
          <w:spacing w:val="-9"/>
        </w:rPr>
        <w:t> </w:t>
      </w:r>
      <w:r>
        <w:rPr/>
        <w:t>and</w:t>
      </w:r>
      <w:r>
        <w:rPr>
          <w:spacing w:val="-11"/>
        </w:rPr>
        <w:t> </w:t>
      </w:r>
      <w:r>
        <w:rPr/>
        <w:t>the</w:t>
      </w:r>
      <w:r>
        <w:rPr>
          <w:spacing w:val="-11"/>
        </w:rPr>
        <w:t> </w:t>
      </w:r>
      <w:r>
        <w:rPr/>
        <w:t>instruments</w:t>
      </w:r>
      <w:r>
        <w:rPr>
          <w:spacing w:val="-10"/>
        </w:rPr>
        <w:t> </w:t>
      </w:r>
      <w:r>
        <w:rPr/>
        <w:t>necessary</w:t>
      </w:r>
      <w:r>
        <w:rPr>
          <w:spacing w:val="-10"/>
        </w:rPr>
        <w:t> </w:t>
      </w:r>
      <w:r>
        <w:rPr/>
        <w:t>to</w:t>
      </w:r>
      <w:r>
        <w:rPr>
          <w:spacing w:val="-11"/>
        </w:rPr>
        <w:t> </w:t>
      </w:r>
      <w:r>
        <w:rPr/>
        <w:t>execute</w:t>
      </w:r>
      <w:r>
        <w:rPr>
          <w:spacing w:val="-12"/>
        </w:rPr>
        <w:t> </w:t>
      </w:r>
      <w:r>
        <w:rPr/>
        <w:t>it</w:t>
      </w:r>
      <w:r>
        <w:rPr>
          <w:spacing w:val="-10"/>
        </w:rPr>
        <w:t> </w:t>
      </w:r>
      <w:r>
        <w:rPr/>
        <w:t>(IMF</w:t>
      </w:r>
      <w:r>
        <w:rPr>
          <w:spacing w:val="-11"/>
        </w:rPr>
        <w:t> </w:t>
      </w:r>
      <w:r>
        <w:rPr/>
        <w:t>(2013)). Many countries internationally now have a macro-prudential framework in place. And international case</w:t>
      </w:r>
      <w:r>
        <w:rPr>
          <w:spacing w:val="-6"/>
        </w:rPr>
        <w:t> </w:t>
      </w:r>
      <w:r>
        <w:rPr/>
        <w:t>law</w:t>
      </w:r>
      <w:r>
        <w:rPr>
          <w:spacing w:val="-7"/>
        </w:rPr>
        <w:t> </w:t>
      </w:r>
      <w:r>
        <w:rPr/>
        <w:t>on</w:t>
      </w:r>
      <w:r>
        <w:rPr>
          <w:spacing w:val="-5"/>
        </w:rPr>
        <w:t> </w:t>
      </w:r>
      <w:r>
        <w:rPr/>
        <w:t>the</w:t>
      </w:r>
      <w:r>
        <w:rPr>
          <w:spacing w:val="-6"/>
        </w:rPr>
        <w:t> </w:t>
      </w:r>
      <w:r>
        <w:rPr/>
        <w:t>efficacy</w:t>
      </w:r>
      <w:r>
        <w:rPr>
          <w:spacing w:val="-4"/>
        </w:rPr>
        <w:t> </w:t>
      </w:r>
      <w:r>
        <w:rPr/>
        <w:t>of</w:t>
      </w:r>
      <w:r>
        <w:rPr>
          <w:spacing w:val="-4"/>
        </w:rPr>
        <w:t> </w:t>
      </w:r>
      <w:r>
        <w:rPr/>
        <w:t>different</w:t>
      </w:r>
      <w:r>
        <w:rPr>
          <w:spacing w:val="-5"/>
        </w:rPr>
        <w:t> </w:t>
      </w:r>
      <w:r>
        <w:rPr/>
        <w:t>macro-prudential</w:t>
      </w:r>
      <w:r>
        <w:rPr>
          <w:spacing w:val="-3"/>
        </w:rPr>
        <w:t> </w:t>
      </w:r>
      <w:r>
        <w:rPr/>
        <w:t>tools</w:t>
      </w:r>
      <w:r>
        <w:rPr>
          <w:spacing w:val="-4"/>
        </w:rPr>
        <w:t> </w:t>
      </w:r>
      <w:r>
        <w:rPr/>
        <w:t>is</w:t>
      </w:r>
      <w:r>
        <w:rPr>
          <w:spacing w:val="-5"/>
        </w:rPr>
        <w:t> </w:t>
      </w:r>
      <w:r>
        <w:rPr/>
        <w:t>being</w:t>
      </w:r>
      <w:r>
        <w:rPr>
          <w:spacing w:val="-5"/>
        </w:rPr>
        <w:t> </w:t>
      </w:r>
      <w:r>
        <w:rPr/>
        <w:t>built</w:t>
      </w:r>
      <w:r>
        <w:rPr>
          <w:spacing w:val="-6"/>
        </w:rPr>
        <w:t> </w:t>
      </w:r>
      <w:r>
        <w:rPr/>
        <w:t>rapidly</w:t>
      </w:r>
      <w:r>
        <w:rPr>
          <w:spacing w:val="-3"/>
        </w:rPr>
        <w:t> </w:t>
      </w:r>
      <w:r>
        <w:rPr/>
        <w:t>(IMF</w:t>
      </w:r>
      <w:r>
        <w:rPr>
          <w:spacing w:val="-3"/>
        </w:rPr>
        <w:t> </w:t>
      </w:r>
      <w:r>
        <w:rPr/>
        <w:t>(2013)).</w:t>
      </w:r>
    </w:p>
    <w:p>
      <w:pPr>
        <w:pStyle w:val="BodyText"/>
        <w:spacing w:before="7"/>
        <w:rPr>
          <w:sz w:val="28"/>
        </w:rPr>
      </w:pPr>
    </w:p>
    <w:p>
      <w:pPr>
        <w:pStyle w:val="BodyText"/>
        <w:ind w:left="634"/>
      </w:pPr>
      <w:r>
        <w:rPr/>
        <w:t>Nonetheless, there is much further to go in understanding and calibrating the impact of</w:t>
      </w:r>
    </w:p>
    <w:p>
      <w:pPr>
        <w:pStyle w:val="BodyText"/>
        <w:spacing w:line="355" w:lineRule="auto" w:before="107"/>
        <w:ind w:left="634"/>
      </w:pPr>
      <w:r>
        <w:rPr/>
        <w:t>macro-prudential tools. As well as country case studies, this is likely to draw on models which explore how micro-economic interactions shape macro-economic phenomena. For example, the Bank has recently begun using a Product Sales Database (PSD) compiled by the UK’s Financial Conduct Authority (FCA). This covers almost all UK mortgage transaction since 2006, containing around</w:t>
      </w:r>
    </w:p>
    <w:p>
      <w:pPr>
        <w:pStyle w:val="BodyText"/>
        <w:spacing w:before="5"/>
        <w:ind w:left="634"/>
      </w:pPr>
      <w:r>
        <w:rPr/>
        <w:t>13 million transactions.</w:t>
      </w:r>
    </w:p>
    <w:p>
      <w:pPr>
        <w:pStyle w:val="BodyText"/>
        <w:rPr>
          <w:sz w:val="20"/>
        </w:rPr>
      </w:pPr>
    </w:p>
    <w:p>
      <w:pPr>
        <w:pStyle w:val="BodyText"/>
        <w:spacing w:before="5"/>
        <w:rPr>
          <w:sz w:val="17"/>
        </w:rPr>
      </w:pPr>
    </w:p>
    <w:p>
      <w:pPr>
        <w:pStyle w:val="BodyText"/>
        <w:spacing w:line="355" w:lineRule="auto"/>
        <w:ind w:left="634" w:right="405"/>
      </w:pPr>
      <w:r>
        <w:rPr/>
        <w:t>This large micro database can be used both to understand the dynamics of the UK housing market and to help calibrate macro-prudential interventions to shape it. For example, Chart 19 shows the regional distribution of loans made at a loan-to-income multiple in excess of 4.5 at two dates -</w:t>
      </w:r>
    </w:p>
    <w:p>
      <w:pPr>
        <w:spacing w:after="0" w:line="355" w:lineRule="auto"/>
        <w:sectPr>
          <w:pgSz w:w="12240" w:h="15840"/>
          <w:pgMar w:header="0" w:footer="974" w:top="1280" w:bottom="1160" w:left="1240" w:right="1660"/>
        </w:sectPr>
      </w:pPr>
    </w:p>
    <w:p>
      <w:pPr>
        <w:pStyle w:val="BodyText"/>
        <w:spacing w:line="357" w:lineRule="auto" w:before="71"/>
        <w:ind w:left="634" w:right="531"/>
        <w:jc w:val="both"/>
      </w:pPr>
      <w:r>
        <w:rPr/>
        <w:t>2009Q1 and 2014Q2. Cooler colours signify a smaller proportion of loans. As can be seen, there was</w:t>
      </w:r>
      <w:r>
        <w:rPr>
          <w:spacing w:val="-7"/>
        </w:rPr>
        <w:t> </w:t>
      </w:r>
      <w:r>
        <w:rPr/>
        <w:t>a</w:t>
      </w:r>
      <w:r>
        <w:rPr>
          <w:spacing w:val="-8"/>
        </w:rPr>
        <w:t> </w:t>
      </w:r>
      <w:r>
        <w:rPr/>
        <w:t>discernible</w:t>
      </w:r>
      <w:r>
        <w:rPr>
          <w:spacing w:val="-7"/>
        </w:rPr>
        <w:t> </w:t>
      </w:r>
      <w:r>
        <w:rPr/>
        <w:t>warming</w:t>
      </w:r>
      <w:r>
        <w:rPr>
          <w:spacing w:val="-8"/>
        </w:rPr>
        <w:t> </w:t>
      </w:r>
      <w:r>
        <w:rPr/>
        <w:t>in</w:t>
      </w:r>
      <w:r>
        <w:rPr>
          <w:spacing w:val="-8"/>
        </w:rPr>
        <w:t> </w:t>
      </w:r>
      <w:r>
        <w:rPr/>
        <w:t>the</w:t>
      </w:r>
      <w:r>
        <w:rPr>
          <w:spacing w:val="-8"/>
        </w:rPr>
        <w:t> </w:t>
      </w:r>
      <w:r>
        <w:rPr/>
        <w:t>UK</w:t>
      </w:r>
      <w:r>
        <w:rPr>
          <w:spacing w:val="-8"/>
        </w:rPr>
        <w:t> </w:t>
      </w:r>
      <w:r>
        <w:rPr/>
        <w:t>housing</w:t>
      </w:r>
      <w:r>
        <w:rPr>
          <w:spacing w:val="-7"/>
        </w:rPr>
        <w:t> </w:t>
      </w:r>
      <w:r>
        <w:rPr/>
        <w:t>market</w:t>
      </w:r>
      <w:r>
        <w:rPr>
          <w:spacing w:val="-8"/>
        </w:rPr>
        <w:t> </w:t>
      </w:r>
      <w:r>
        <w:rPr/>
        <w:t>up</w:t>
      </w:r>
      <w:r>
        <w:rPr>
          <w:spacing w:val="-9"/>
        </w:rPr>
        <w:t> </w:t>
      </w:r>
      <w:r>
        <w:rPr/>
        <w:t>to</w:t>
      </w:r>
      <w:r>
        <w:rPr>
          <w:spacing w:val="-9"/>
        </w:rPr>
        <w:t> </w:t>
      </w:r>
      <w:r>
        <w:rPr/>
        <w:t>2014,</w:t>
      </w:r>
      <w:r>
        <w:rPr>
          <w:spacing w:val="-8"/>
        </w:rPr>
        <w:t> </w:t>
      </w:r>
      <w:r>
        <w:rPr/>
        <w:t>at</w:t>
      </w:r>
      <w:r>
        <w:rPr>
          <w:spacing w:val="-7"/>
        </w:rPr>
        <w:t> </w:t>
      </w:r>
      <w:r>
        <w:rPr/>
        <w:t>least</w:t>
      </w:r>
      <w:r>
        <w:rPr>
          <w:spacing w:val="-6"/>
        </w:rPr>
        <w:t> </w:t>
      </w:r>
      <w:r>
        <w:rPr/>
        <w:t>for</w:t>
      </w:r>
      <w:r>
        <w:rPr>
          <w:spacing w:val="-8"/>
        </w:rPr>
        <w:t> </w:t>
      </w:r>
      <w:r>
        <w:rPr/>
        <w:t>higher</w:t>
      </w:r>
      <w:r>
        <w:rPr>
          <w:spacing w:val="-8"/>
        </w:rPr>
        <w:t> </w:t>
      </w:r>
      <w:r>
        <w:rPr/>
        <w:t>loan-to-income loans.</w:t>
      </w:r>
    </w:p>
    <w:p>
      <w:pPr>
        <w:pStyle w:val="BodyText"/>
        <w:rPr>
          <w:sz w:val="28"/>
        </w:rPr>
      </w:pPr>
    </w:p>
    <w:p>
      <w:pPr>
        <w:pStyle w:val="BodyText"/>
        <w:ind w:left="634"/>
      </w:pPr>
      <w:r>
        <w:rPr/>
        <w:t>At around this time, the Bank of England’s Financial Policy Committee (FPC) made a</w:t>
      </w:r>
    </w:p>
    <w:p>
      <w:pPr>
        <w:pStyle w:val="BodyText"/>
        <w:spacing w:line="357" w:lineRule="auto" w:before="106"/>
        <w:ind w:left="634" w:right="205"/>
      </w:pPr>
      <w:r>
        <w:rPr/>
        <w:t>macro-prudential intervention, constraining to 15% the proportion of mortgages with a loan-to-income multiple in excess of 4.5. This was the first time such a macro-prudential measure had been taken in the UK, though a number of other countries have capped mortgage loan-to-income or loan-to-value multiples (IMF (2013)).</w:t>
      </w:r>
    </w:p>
    <w:p>
      <w:pPr>
        <w:pStyle w:val="BodyText"/>
        <w:spacing w:before="11"/>
        <w:rPr>
          <w:sz w:val="27"/>
        </w:rPr>
      </w:pPr>
    </w:p>
    <w:p>
      <w:pPr>
        <w:pStyle w:val="BodyText"/>
        <w:spacing w:line="357" w:lineRule="auto"/>
        <w:ind w:left="634" w:right="187"/>
      </w:pPr>
      <w:r>
        <w:rPr/>
        <w:t>This was not, however, a step into the dark for the FPC. The calibration of its intervention drew explicitly on the micro-evidence contained in the PSD database. This gave a very clear idea of how many households and banks might be affected by such an intervention and by how much. This was a macro-prudential policy calibrated from micro-prudential constituents. Although a first step, there is clearly further to go in using micro-level data to calibrate the impact of macro-prudential tools on lender and borrower behaviour.</w:t>
      </w:r>
    </w:p>
    <w:p>
      <w:pPr>
        <w:pStyle w:val="BodyText"/>
        <w:spacing w:before="8"/>
        <w:rPr>
          <w:sz w:val="27"/>
        </w:rPr>
      </w:pPr>
    </w:p>
    <w:p>
      <w:pPr>
        <w:pStyle w:val="BodyText"/>
        <w:spacing w:line="357" w:lineRule="auto"/>
        <w:ind w:left="634" w:right="321"/>
      </w:pPr>
      <w:r>
        <w:rPr/>
        <w:t>Turning to the </w:t>
      </w:r>
      <w:r>
        <w:rPr>
          <w:i/>
        </w:rPr>
        <w:t>global economic and financial system</w:t>
      </w:r>
      <w:r>
        <w:rPr/>
        <w:t>, it is here where the existing policy architecture may at present be most deficient. Some have gone further and argued that there is nothing at present that much resembles a global financial architecture at all (de Larosiere (2014), Haldane (2014)). Despite the crisis being the first truly global one, reform of the global financial architecture has been slow.</w:t>
      </w:r>
    </w:p>
    <w:p>
      <w:pPr>
        <w:pStyle w:val="BodyText"/>
        <w:spacing w:before="9"/>
        <w:rPr>
          <w:sz w:val="27"/>
        </w:rPr>
      </w:pPr>
    </w:p>
    <w:p>
      <w:pPr>
        <w:pStyle w:val="BodyText"/>
        <w:spacing w:line="357" w:lineRule="auto"/>
        <w:ind w:left="634" w:right="184"/>
      </w:pPr>
      <w:r>
        <w:rPr/>
        <w:t>There are many dimensions to reform of the global financial architecture. These include the appropriate role and resourcing of the IMF, the reserve currency role of the dollar and the appropriate role of so-called for capital flow management policies to modulate fluctuations in the global flow of funds (IMF (2012)). Each of these has been widely discussed and debated over many decades. On some issues, there has been progress. For example, the IMF now endorses the use of capital flow management policies in some situations, in contrast to its position a few years ago.</w:t>
      </w:r>
    </w:p>
    <w:p>
      <w:pPr>
        <w:pStyle w:val="BodyText"/>
        <w:spacing w:before="8"/>
        <w:rPr>
          <w:sz w:val="27"/>
        </w:rPr>
      </w:pPr>
    </w:p>
    <w:p>
      <w:pPr>
        <w:pStyle w:val="BodyText"/>
        <w:spacing w:line="357" w:lineRule="auto"/>
        <w:ind w:left="634" w:right="131"/>
      </w:pPr>
      <w:r>
        <w:rPr/>
        <w:t>But there is one area where progress in strengthening the international financial architecture has been much slower. This is how best to deal with common shocks to global safe and risky yields. One striking feature of the past few years has been the extremely high correlation among asset prices globally, in particular among advanced economies. This is true of both “safe” rates of return on government assets and “risky” rates of return on private assets (Chart 20). In either case, correlations are extremely high, hovering around 0.9.</w:t>
      </w:r>
    </w:p>
    <w:p>
      <w:pPr>
        <w:pStyle w:val="BodyText"/>
        <w:spacing w:before="9"/>
        <w:rPr>
          <w:sz w:val="27"/>
        </w:rPr>
      </w:pPr>
    </w:p>
    <w:p>
      <w:pPr>
        <w:pStyle w:val="BodyText"/>
        <w:spacing w:line="355" w:lineRule="auto"/>
        <w:ind w:left="634" w:right="215"/>
      </w:pPr>
      <w:r>
        <w:rPr/>
        <w:t>This begs a number of questions, both research and policy. What is the root cause of these correlations? One possibility is portfolio shifts by global asset managers, allocating their portfolio on an asset-by-asset basis. If so, what implications does this carry for national monetary and</w:t>
      </w:r>
    </w:p>
    <w:p>
      <w:pPr>
        <w:spacing w:after="0" w:line="355" w:lineRule="auto"/>
        <w:sectPr>
          <w:footerReference w:type="default" r:id="rId17"/>
          <w:pgSz w:w="12240" w:h="15840"/>
          <w:pgMar w:footer="974" w:header="0" w:top="1280" w:bottom="1160" w:left="1240" w:right="1660"/>
          <w:pgNumType w:start="20"/>
        </w:sectPr>
      </w:pPr>
    </w:p>
    <w:p>
      <w:pPr>
        <w:pStyle w:val="BodyText"/>
        <w:spacing w:line="357" w:lineRule="auto" w:before="71"/>
        <w:ind w:left="634"/>
      </w:pPr>
      <w:r>
        <w:rPr/>
        <w:t>macro-prudential policymakers, seeking to steer safe and risky rates respectively? Do high global correlations strengthen the case for international co-ordination of monetary and macro-prudential policies?</w:t>
      </w:r>
    </w:p>
    <w:p>
      <w:pPr>
        <w:pStyle w:val="BodyText"/>
        <w:rPr>
          <w:sz w:val="28"/>
        </w:rPr>
      </w:pPr>
    </w:p>
    <w:p>
      <w:pPr>
        <w:pStyle w:val="BodyText"/>
        <w:spacing w:line="357" w:lineRule="auto"/>
        <w:ind w:left="634" w:right="186"/>
      </w:pPr>
      <w:r>
        <w:rPr/>
        <w:t>There may be greater scope to co-ordinate macro-prudential tools. One way of doing so is to develop macro-prudential instruments which operate on an asset-class basis, rather than on a national basis. This would be recognition that asset characteristics, rather than national characteristics, may be the key determinant of portfolio choices and asset price movements, perhaps reflecting the rising role of global asset managers.</w:t>
      </w:r>
    </w:p>
    <w:p>
      <w:pPr>
        <w:pStyle w:val="BodyText"/>
        <w:spacing w:before="10"/>
        <w:rPr>
          <w:sz w:val="27"/>
        </w:rPr>
      </w:pPr>
    </w:p>
    <w:p>
      <w:pPr>
        <w:pStyle w:val="BodyText"/>
        <w:spacing w:line="357" w:lineRule="auto"/>
        <w:ind w:left="634" w:right="268"/>
      </w:pPr>
      <w:r>
        <w:rPr/>
        <w:t>There has already been some international progress towards developing asset market specific macro-prudential tools, specifically in the context of securities financing transactions where minimum collateral requirements have been agreed internationally (FSB (2014)). But there may be scope to</w:t>
      </w:r>
    </w:p>
    <w:p>
      <w:pPr>
        <w:pStyle w:val="BodyText"/>
        <w:spacing w:line="357" w:lineRule="auto"/>
        <w:ind w:left="634" w:right="131"/>
      </w:pPr>
      <w:r>
        <w:rPr/>
        <w:t>widen and deepen the set of financial instruments covered by prudential requirements, to give a richer array of internationally-oriented macro-prudential tools. These would then be better able to lean against global fluctuations in a wider set of asset markets.</w:t>
      </w:r>
    </w:p>
    <w:p>
      <w:pPr>
        <w:pStyle w:val="BodyText"/>
        <w:spacing w:before="6"/>
        <w:rPr>
          <w:sz w:val="27"/>
        </w:rPr>
      </w:pPr>
    </w:p>
    <w:p>
      <w:pPr>
        <w:pStyle w:val="Heading3"/>
      </w:pPr>
      <w:r>
        <w:rPr/>
        <w:t>Conclusion</w:t>
      </w:r>
    </w:p>
    <w:p>
      <w:pPr>
        <w:pStyle w:val="BodyText"/>
        <w:rPr>
          <w:b/>
          <w:sz w:val="20"/>
        </w:rPr>
      </w:pPr>
    </w:p>
    <w:p>
      <w:pPr>
        <w:pStyle w:val="BodyText"/>
        <w:spacing w:before="7"/>
        <w:rPr>
          <w:b/>
          <w:sz w:val="17"/>
        </w:rPr>
      </w:pPr>
    </w:p>
    <w:p>
      <w:pPr>
        <w:pStyle w:val="BodyText"/>
        <w:spacing w:line="357" w:lineRule="auto"/>
        <w:ind w:left="634" w:right="388"/>
      </w:pPr>
      <w:r>
        <w:rPr/>
        <w:t>This time was different: never before has the world suffered a genuinely </w:t>
      </w:r>
      <w:r>
        <w:rPr>
          <w:i/>
        </w:rPr>
        <w:t>global </w:t>
      </w:r>
      <w:r>
        <w:rPr/>
        <w:t>financial crisis, with every country on the planet falling off the same cliff-edge at the same time. This fall laid bare the inadequacy of our pre-crisis understanding of the complexities of the financial system and its interaction with the wider economy, locally but in particular globally. It demonstrated why the global macro-financial network is not just a complex adaptive system, but a complex system of systems.</w:t>
      </w:r>
    </w:p>
    <w:p>
      <w:pPr>
        <w:pStyle w:val="BodyText"/>
        <w:spacing w:before="9"/>
        <w:rPr>
          <w:sz w:val="27"/>
        </w:rPr>
      </w:pPr>
    </w:p>
    <w:p>
      <w:pPr>
        <w:pStyle w:val="BodyText"/>
        <w:spacing w:line="355" w:lineRule="auto"/>
        <w:ind w:left="634" w:right="215"/>
      </w:pPr>
      <w:r>
        <w:rPr/>
        <w:t>The crisis also revealed gaps and inadequacies in our existing policy frameworks. Many of those gaps have since been filled. Micro-prudential microscopes have had their lens refocused.</w:t>
      </w:r>
    </w:p>
    <w:p>
      <w:pPr>
        <w:pStyle w:val="BodyText"/>
        <w:spacing w:line="357" w:lineRule="auto" w:before="3"/>
        <w:ind w:left="634" w:right="469"/>
      </w:pPr>
      <w:r>
        <w:rPr/>
        <w:t>Macro-prudential macroscopes have been (re)invented. And global telescopes have been strengthened and lengthened. Institutional arrangements have also been adapted, better enabling co-ordination between the micro, macro and global arms of policy. So far, so good.</w:t>
      </w:r>
    </w:p>
    <w:p>
      <w:pPr>
        <w:pStyle w:val="BodyText"/>
        <w:spacing w:before="11"/>
        <w:rPr>
          <w:sz w:val="27"/>
        </w:rPr>
      </w:pPr>
    </w:p>
    <w:p>
      <w:pPr>
        <w:pStyle w:val="BodyText"/>
        <w:spacing w:line="357" w:lineRule="auto"/>
        <w:ind w:left="634" w:right="302"/>
      </w:pPr>
      <w:r>
        <w:rPr/>
        <w:t>Clearly, however, this remains unfinished business. The data necessary to understand and model a macro-financial system of systems is still patchy. The models necessary to make behavioural sense of these complexities remain fledgling. And the policy frameworks necessary to defuse these evolving risks are still embryonic. More will need to be done – both research and policy-wise – to prevent next time being the same.</w:t>
      </w:r>
    </w:p>
    <w:p>
      <w:pPr>
        <w:spacing w:after="0" w:line="357" w:lineRule="auto"/>
        <w:sectPr>
          <w:pgSz w:w="12240" w:h="15840"/>
          <w:pgMar w:header="0" w:footer="974" w:top="1280" w:bottom="1160" w:left="1240" w:right="1660"/>
        </w:sectPr>
      </w:pPr>
    </w:p>
    <w:p>
      <w:pPr>
        <w:pStyle w:val="Heading1"/>
        <w:spacing w:before="79"/>
        <w:ind w:left="634"/>
      </w:pPr>
      <w:r>
        <w:rPr>
          <w:w w:val="105"/>
        </w:rPr>
        <w:t>References</w:t>
      </w:r>
    </w:p>
    <w:p>
      <w:pPr>
        <w:pStyle w:val="BodyText"/>
        <w:spacing w:before="1"/>
        <w:rPr>
          <w:b/>
          <w:sz w:val="30"/>
        </w:rPr>
      </w:pPr>
    </w:p>
    <w:p>
      <w:pPr>
        <w:spacing w:line="237" w:lineRule="auto" w:before="0"/>
        <w:ind w:left="634" w:right="693" w:firstLine="0"/>
        <w:jc w:val="left"/>
        <w:rPr>
          <w:i/>
          <w:sz w:val="19"/>
        </w:rPr>
      </w:pPr>
      <w:r>
        <w:rPr>
          <w:b/>
          <w:sz w:val="19"/>
        </w:rPr>
        <w:t>Aikman, D, Alessandri, P, Eklund, B, Gai, P, Kapadia, S, Martin, E, Mora, N, Sterne, G and Willison, M (2009), </w:t>
      </w:r>
      <w:r>
        <w:rPr>
          <w:sz w:val="19"/>
        </w:rPr>
        <w:t>‘Funding liquidity risk in a quantitative model of systemic stability’, </w:t>
      </w:r>
      <w:r>
        <w:rPr>
          <w:i/>
          <w:sz w:val="19"/>
        </w:rPr>
        <w:t>Bank of </w:t>
      </w:r>
      <w:r>
        <w:rPr>
          <w:i/>
          <w:sz w:val="19"/>
        </w:rPr>
        <w:t>England Working Paper No. 372</w:t>
      </w:r>
    </w:p>
    <w:p>
      <w:pPr>
        <w:pStyle w:val="BodyText"/>
        <w:spacing w:before="6"/>
        <w:rPr>
          <w:i/>
        </w:rPr>
      </w:pPr>
    </w:p>
    <w:p>
      <w:pPr>
        <w:spacing w:before="0"/>
        <w:ind w:left="634" w:right="185" w:firstLine="0"/>
        <w:jc w:val="left"/>
        <w:rPr>
          <w:sz w:val="19"/>
        </w:rPr>
      </w:pPr>
      <w:r>
        <w:rPr>
          <w:b/>
          <w:sz w:val="19"/>
        </w:rPr>
        <w:t>Aikman, D, Haldane, A and Nelson, B (2014</w:t>
      </w:r>
      <w:r>
        <w:rPr>
          <w:sz w:val="19"/>
        </w:rPr>
        <w:t>), ‘In search of macroprudential policy rules for the UK’, mimeo.</w:t>
      </w:r>
    </w:p>
    <w:p>
      <w:pPr>
        <w:pStyle w:val="BodyText"/>
        <w:spacing w:before="3"/>
      </w:pPr>
    </w:p>
    <w:p>
      <w:pPr>
        <w:spacing w:before="0"/>
        <w:ind w:left="634" w:right="0" w:firstLine="0"/>
        <w:jc w:val="left"/>
        <w:rPr>
          <w:sz w:val="19"/>
        </w:rPr>
      </w:pPr>
      <w:r>
        <w:rPr>
          <w:b/>
          <w:sz w:val="19"/>
        </w:rPr>
        <w:t>Aikman, D, Haldane A and Nelson, B (2014), </w:t>
      </w:r>
      <w:r>
        <w:rPr>
          <w:sz w:val="19"/>
        </w:rPr>
        <w:t>‘Curbing the credit cycle’, The Economic Journal.</w:t>
      </w:r>
    </w:p>
    <w:p>
      <w:pPr>
        <w:pStyle w:val="BodyText"/>
        <w:spacing w:before="6"/>
      </w:pPr>
    </w:p>
    <w:p>
      <w:pPr>
        <w:spacing w:line="217" w:lineRule="exact" w:before="0"/>
        <w:ind w:left="634" w:right="0" w:firstLine="0"/>
        <w:jc w:val="left"/>
        <w:rPr>
          <w:i/>
          <w:sz w:val="19"/>
        </w:rPr>
      </w:pPr>
      <w:r>
        <w:rPr>
          <w:b/>
          <w:sz w:val="19"/>
        </w:rPr>
        <w:t>Albert, R, Jeong, H &amp; Barabási, A (2000</w:t>
      </w:r>
      <w:r>
        <w:rPr>
          <w:sz w:val="19"/>
        </w:rPr>
        <w:t>), ‘Error and attack tolerance of complex networks’, </w:t>
      </w:r>
      <w:r>
        <w:rPr>
          <w:i/>
          <w:sz w:val="19"/>
        </w:rPr>
        <w:t>Nature</w:t>
      </w:r>
    </w:p>
    <w:p>
      <w:pPr>
        <w:spacing w:line="217" w:lineRule="exact" w:before="0"/>
        <w:ind w:left="634" w:right="0" w:firstLine="0"/>
        <w:jc w:val="left"/>
        <w:rPr>
          <w:sz w:val="19"/>
        </w:rPr>
      </w:pPr>
      <w:r>
        <w:rPr>
          <w:b/>
          <w:sz w:val="19"/>
        </w:rPr>
        <w:t>406</w:t>
      </w:r>
      <w:r>
        <w:rPr>
          <w:sz w:val="19"/>
        </w:rPr>
        <w:t>, 378-382</w:t>
      </w:r>
    </w:p>
    <w:p>
      <w:pPr>
        <w:pStyle w:val="BodyText"/>
        <w:spacing w:before="6"/>
      </w:pPr>
    </w:p>
    <w:p>
      <w:pPr>
        <w:spacing w:before="0"/>
        <w:ind w:left="634" w:right="0" w:firstLine="0"/>
        <w:jc w:val="left"/>
        <w:rPr>
          <w:i/>
          <w:sz w:val="19"/>
        </w:rPr>
      </w:pPr>
      <w:r>
        <w:rPr>
          <w:b/>
          <w:sz w:val="19"/>
        </w:rPr>
        <w:t>Arthur, W. Brian (2014), </w:t>
      </w:r>
      <w:r>
        <w:rPr>
          <w:sz w:val="19"/>
        </w:rPr>
        <w:t>‘Complexity and the Economy’, </w:t>
      </w:r>
      <w:r>
        <w:rPr>
          <w:i/>
          <w:sz w:val="19"/>
        </w:rPr>
        <w:t>Oxford University Press.</w:t>
      </w:r>
    </w:p>
    <w:p>
      <w:pPr>
        <w:pStyle w:val="BodyText"/>
        <w:spacing w:before="4"/>
        <w:rPr>
          <w:i/>
        </w:rPr>
      </w:pPr>
    </w:p>
    <w:p>
      <w:pPr>
        <w:spacing w:before="0"/>
        <w:ind w:left="634" w:right="0" w:firstLine="0"/>
        <w:jc w:val="left"/>
        <w:rPr>
          <w:i/>
          <w:sz w:val="19"/>
        </w:rPr>
      </w:pPr>
      <w:r>
        <w:rPr>
          <w:b/>
          <w:sz w:val="19"/>
        </w:rPr>
        <w:t>Barabási, Albert-László; Albert, Réka. (1999), </w:t>
      </w:r>
      <w:r>
        <w:rPr>
          <w:sz w:val="19"/>
        </w:rPr>
        <w:t>‘Emergence of scaling in random networks’. </w:t>
      </w:r>
      <w:r>
        <w:rPr>
          <w:i/>
          <w:sz w:val="19"/>
        </w:rPr>
        <w:t>Science</w:t>
      </w:r>
    </w:p>
    <w:p>
      <w:pPr>
        <w:pStyle w:val="BodyText"/>
        <w:ind w:left="634"/>
      </w:pPr>
      <w:r>
        <w:rPr/>
        <w:t>286 (5439): 509–512</w:t>
      </w:r>
    </w:p>
    <w:p>
      <w:pPr>
        <w:pStyle w:val="BodyText"/>
        <w:spacing w:before="4"/>
      </w:pPr>
    </w:p>
    <w:p>
      <w:pPr>
        <w:pStyle w:val="BodyText"/>
        <w:ind w:left="634" w:right="1652"/>
      </w:pPr>
      <w:r>
        <w:rPr>
          <w:b/>
        </w:rPr>
        <w:t>BCBS (2014)</w:t>
      </w:r>
      <w:r>
        <w:rPr/>
        <w:t>, ‘The G-SIB assessment methodology- score calculation’ available at: </w:t>
      </w:r>
      <w:hyperlink r:id="rId18">
        <w:r>
          <w:rPr>
            <w:color w:val="0000FF"/>
            <w:u w:val="single" w:color="0000FF"/>
          </w:rPr>
          <w:t>http://www.bis.org/bcbs/publ/d296.pdf</w:t>
        </w:r>
      </w:hyperlink>
    </w:p>
    <w:p>
      <w:pPr>
        <w:pStyle w:val="BodyText"/>
        <w:spacing w:before="2"/>
        <w:rPr>
          <w:sz w:val="11"/>
        </w:rPr>
      </w:pPr>
    </w:p>
    <w:p>
      <w:pPr>
        <w:spacing w:before="93"/>
        <w:ind w:left="634" w:right="0" w:firstLine="0"/>
        <w:jc w:val="left"/>
        <w:rPr>
          <w:sz w:val="19"/>
        </w:rPr>
      </w:pPr>
      <w:r>
        <w:rPr>
          <w:b/>
          <w:sz w:val="19"/>
        </w:rPr>
        <w:t>Bems, R., Johnson, R.C. and Yi, K. (2012)</w:t>
      </w:r>
      <w:r>
        <w:rPr>
          <w:sz w:val="19"/>
        </w:rPr>
        <w:t>, ‘The Great Trade Collapse’, NBER working paper 18632</w:t>
      </w:r>
    </w:p>
    <w:p>
      <w:pPr>
        <w:pStyle w:val="BodyText"/>
        <w:spacing w:before="6"/>
      </w:pPr>
    </w:p>
    <w:p>
      <w:pPr>
        <w:pStyle w:val="BodyText"/>
        <w:ind w:left="634"/>
      </w:pPr>
      <w:r>
        <w:rPr>
          <w:b/>
        </w:rPr>
        <w:t>BIS(2014), </w:t>
      </w:r>
      <w:r>
        <w:rPr/>
        <w:t>Annual Report, No. 84, available at: </w:t>
      </w:r>
      <w:hyperlink r:id="rId19">
        <w:r>
          <w:rPr>
            <w:color w:val="0000FF"/>
            <w:u w:val="single" w:color="0000FF"/>
          </w:rPr>
          <w:t>http://www.bis.org/publ/arpdf/ar2014_ec.pdf</w:t>
        </w:r>
      </w:hyperlink>
    </w:p>
    <w:p>
      <w:pPr>
        <w:pStyle w:val="BodyText"/>
        <w:spacing w:before="4"/>
        <w:rPr>
          <w:sz w:val="11"/>
        </w:rPr>
      </w:pPr>
    </w:p>
    <w:p>
      <w:pPr>
        <w:spacing w:line="237" w:lineRule="auto" w:before="94"/>
        <w:ind w:left="634" w:right="481" w:firstLine="0"/>
        <w:jc w:val="left"/>
        <w:rPr>
          <w:sz w:val="19"/>
        </w:rPr>
      </w:pPr>
      <w:r>
        <w:rPr>
          <w:b/>
          <w:sz w:val="19"/>
        </w:rPr>
        <w:t>Bisin,A, Moro, A and Topa,G (2011</w:t>
      </w:r>
      <w:r>
        <w:rPr>
          <w:sz w:val="19"/>
        </w:rPr>
        <w:t>), ‘The Empirical Content of Models with Multiple Equilibria in Economies with Social Interactions’</w:t>
      </w:r>
      <w:r>
        <w:rPr>
          <w:b/>
          <w:sz w:val="19"/>
        </w:rPr>
        <w:t>, </w:t>
      </w:r>
      <w:r>
        <w:rPr>
          <w:i/>
          <w:sz w:val="19"/>
        </w:rPr>
        <w:t>Federal Reserve Bank of New York Staff Reports</w:t>
      </w:r>
      <w:r>
        <w:rPr>
          <w:sz w:val="19"/>
        </w:rPr>
        <w:t>, no. 504</w:t>
      </w:r>
    </w:p>
    <w:p>
      <w:pPr>
        <w:pStyle w:val="BodyText"/>
        <w:spacing w:before="6"/>
      </w:pPr>
    </w:p>
    <w:p>
      <w:pPr>
        <w:spacing w:before="0"/>
        <w:ind w:left="634" w:right="0" w:firstLine="0"/>
        <w:jc w:val="left"/>
        <w:rPr>
          <w:sz w:val="19"/>
        </w:rPr>
      </w:pPr>
      <w:r>
        <w:rPr>
          <w:b/>
          <w:sz w:val="19"/>
        </w:rPr>
        <w:t>Burrows, O, Learmonth, D and McKeown, J (2012), </w:t>
      </w:r>
      <w:r>
        <w:rPr>
          <w:sz w:val="19"/>
        </w:rPr>
        <w:t>‘RAMSI: a top-down stress-testing model’,</w:t>
      </w:r>
    </w:p>
    <w:p>
      <w:pPr>
        <w:spacing w:before="0"/>
        <w:ind w:left="634" w:right="0" w:firstLine="0"/>
        <w:jc w:val="left"/>
        <w:rPr>
          <w:i/>
          <w:sz w:val="19"/>
        </w:rPr>
      </w:pPr>
      <w:r>
        <w:rPr>
          <w:i/>
          <w:sz w:val="19"/>
        </w:rPr>
        <w:t>Bank of England Financial Stability Paper No.17.</w:t>
      </w:r>
    </w:p>
    <w:p>
      <w:pPr>
        <w:pStyle w:val="BodyText"/>
        <w:spacing w:before="3"/>
        <w:rPr>
          <w:i/>
        </w:rPr>
      </w:pPr>
    </w:p>
    <w:p>
      <w:pPr>
        <w:pStyle w:val="BodyText"/>
        <w:spacing w:before="1"/>
        <w:ind w:left="634" w:right="638"/>
      </w:pPr>
      <w:r>
        <w:rPr>
          <w:b/>
        </w:rPr>
        <w:t>Carmassi, J &amp; Herring, R (2014) </w:t>
      </w:r>
      <w:r>
        <w:rPr/>
        <w:t>‘Corporate structures, transparency and resolvability of global systemically important banks’, The Systemic Risk Council research paper</w:t>
      </w:r>
    </w:p>
    <w:p>
      <w:pPr>
        <w:pStyle w:val="BodyText"/>
        <w:spacing w:before="3"/>
      </w:pPr>
    </w:p>
    <w:p>
      <w:pPr>
        <w:spacing w:line="237" w:lineRule="auto" w:before="1"/>
        <w:ind w:left="634" w:right="512" w:firstLine="0"/>
        <w:jc w:val="left"/>
        <w:rPr>
          <w:sz w:val="19"/>
        </w:rPr>
      </w:pPr>
      <w:r>
        <w:rPr>
          <w:b/>
          <w:sz w:val="19"/>
        </w:rPr>
        <w:t>Claessens, S, Pozsar, Z, Ratnovski, L and Singh, M (2012), </w:t>
      </w:r>
      <w:r>
        <w:rPr>
          <w:sz w:val="19"/>
        </w:rPr>
        <w:t>‘Shadow Banking: Economics and Policy’, </w:t>
      </w:r>
      <w:r>
        <w:rPr>
          <w:i/>
          <w:sz w:val="19"/>
        </w:rPr>
        <w:t>IMF Staff Discussion Note, </w:t>
      </w:r>
      <w:r>
        <w:rPr>
          <w:sz w:val="19"/>
        </w:rPr>
        <w:t>available here: </w:t>
      </w:r>
      <w:r>
        <w:rPr>
          <w:color w:val="0000FF"/>
          <w:sz w:val="19"/>
          <w:u w:val="single" w:color="0000FF"/>
        </w:rPr>
        <w:t>https://</w:t>
      </w:r>
      <w:hyperlink r:id="rId20">
        <w:r>
          <w:rPr>
            <w:color w:val="0000FF"/>
            <w:sz w:val="19"/>
            <w:u w:val="single" w:color="0000FF"/>
          </w:rPr>
          <w:t>www.imf.org/external/pubs/ft/sdn/2012/sdn1212.pdf</w:t>
        </w:r>
      </w:hyperlink>
    </w:p>
    <w:p>
      <w:pPr>
        <w:pStyle w:val="BodyText"/>
        <w:spacing w:before="5"/>
        <w:rPr>
          <w:sz w:val="11"/>
        </w:rPr>
      </w:pPr>
    </w:p>
    <w:p>
      <w:pPr>
        <w:spacing w:before="92"/>
        <w:ind w:left="634" w:right="0" w:firstLine="0"/>
        <w:jc w:val="left"/>
        <w:rPr>
          <w:i/>
          <w:sz w:val="19"/>
        </w:rPr>
      </w:pPr>
      <w:r>
        <w:rPr>
          <w:b/>
          <w:sz w:val="19"/>
        </w:rPr>
        <w:t>Collinson, S, Jay, M (2012)</w:t>
      </w:r>
      <w:r>
        <w:rPr>
          <w:sz w:val="19"/>
        </w:rPr>
        <w:t>, ‘From Complexity to Simplicity’, </w:t>
      </w:r>
      <w:r>
        <w:rPr>
          <w:i/>
          <w:sz w:val="19"/>
        </w:rPr>
        <w:t>Palgrave Macmillan</w:t>
      </w:r>
    </w:p>
    <w:p>
      <w:pPr>
        <w:pStyle w:val="BodyText"/>
        <w:spacing w:before="6"/>
        <w:rPr>
          <w:i/>
        </w:rPr>
      </w:pPr>
    </w:p>
    <w:p>
      <w:pPr>
        <w:spacing w:before="0"/>
        <w:ind w:left="634" w:right="258" w:firstLine="0"/>
        <w:jc w:val="left"/>
        <w:rPr>
          <w:sz w:val="19"/>
        </w:rPr>
      </w:pPr>
      <w:r>
        <w:rPr>
          <w:b/>
          <w:sz w:val="19"/>
        </w:rPr>
        <w:t>Craig, B, Alter, A and Raupach,P (2014), ‘</w:t>
      </w:r>
      <w:r>
        <w:rPr>
          <w:sz w:val="19"/>
        </w:rPr>
        <w:t>Centrality-based Capital Allocations’, </w:t>
      </w:r>
      <w:r>
        <w:rPr>
          <w:i/>
          <w:sz w:val="19"/>
        </w:rPr>
        <w:t>IMF Working </w:t>
      </w:r>
      <w:r>
        <w:rPr>
          <w:i/>
          <w:sz w:val="19"/>
        </w:rPr>
        <w:t>Paper</w:t>
      </w:r>
      <w:r>
        <w:rPr>
          <w:sz w:val="19"/>
        </w:rPr>
        <w:t>, December 2014</w:t>
      </w:r>
    </w:p>
    <w:p>
      <w:pPr>
        <w:pStyle w:val="BodyText"/>
        <w:spacing w:before="3"/>
      </w:pPr>
    </w:p>
    <w:p>
      <w:pPr>
        <w:pStyle w:val="BodyText"/>
        <w:ind w:left="634" w:right="997"/>
      </w:pPr>
      <w:r>
        <w:rPr>
          <w:b/>
        </w:rPr>
        <w:t>Davies, R &amp; Tracey, B (2014)</w:t>
      </w:r>
      <w:r>
        <w:rPr/>
        <w:t>, ’Too Big to Be Efficient? The Impact of Implicit Subsidies on Estimates of Scale Economies for Banks’, Journal of Money, Credit and Banking</w:t>
      </w:r>
    </w:p>
    <w:p>
      <w:pPr>
        <w:pStyle w:val="BodyText"/>
        <w:spacing w:before="2"/>
      </w:pPr>
    </w:p>
    <w:p>
      <w:pPr>
        <w:spacing w:before="1"/>
        <w:ind w:left="634" w:right="744" w:firstLine="0"/>
        <w:jc w:val="left"/>
        <w:rPr>
          <w:i/>
          <w:sz w:val="19"/>
        </w:rPr>
      </w:pPr>
      <w:r>
        <w:rPr>
          <w:b/>
          <w:sz w:val="19"/>
        </w:rPr>
        <w:t>De Paoli and Paustian (2013), </w:t>
      </w:r>
      <w:r>
        <w:rPr>
          <w:sz w:val="19"/>
        </w:rPr>
        <w:t>‘Coordinating Monetary and Macroprudential Policies’, </w:t>
      </w:r>
      <w:r>
        <w:rPr>
          <w:i/>
          <w:sz w:val="19"/>
        </w:rPr>
        <w:t>Federal </w:t>
      </w:r>
      <w:r>
        <w:rPr>
          <w:i/>
          <w:sz w:val="19"/>
        </w:rPr>
        <w:t>Reserve Bank of New York Staff Reports, No. 653</w:t>
      </w:r>
    </w:p>
    <w:p>
      <w:pPr>
        <w:pStyle w:val="BodyText"/>
        <w:spacing w:before="3"/>
        <w:rPr>
          <w:i/>
        </w:rPr>
      </w:pPr>
    </w:p>
    <w:p>
      <w:pPr>
        <w:spacing w:before="0"/>
        <w:ind w:left="634" w:right="0" w:firstLine="0"/>
        <w:jc w:val="left"/>
        <w:rPr>
          <w:i/>
          <w:sz w:val="19"/>
        </w:rPr>
      </w:pPr>
      <w:r>
        <w:rPr>
          <w:b/>
          <w:sz w:val="19"/>
        </w:rPr>
        <w:t>Farmer, J.D., and Foley, D (2009), ‘</w:t>
      </w:r>
      <w:r>
        <w:rPr>
          <w:sz w:val="19"/>
        </w:rPr>
        <w:t>The Economy Needs Agent-Based Modelling’, </w:t>
      </w:r>
      <w:r>
        <w:rPr>
          <w:i/>
          <w:sz w:val="19"/>
        </w:rPr>
        <w:t>Nature vol. 460</w:t>
      </w:r>
    </w:p>
    <w:p>
      <w:pPr>
        <w:pStyle w:val="BodyText"/>
        <w:spacing w:before="4"/>
        <w:rPr>
          <w:i/>
        </w:rPr>
      </w:pPr>
    </w:p>
    <w:p>
      <w:pPr>
        <w:pStyle w:val="BodyText"/>
        <w:spacing w:before="1"/>
        <w:ind w:left="634" w:right="2701"/>
      </w:pPr>
      <w:r>
        <w:rPr>
          <w:b/>
        </w:rPr>
        <w:t>FSB (2012), </w:t>
      </w:r>
      <w:r>
        <w:rPr/>
        <w:t>‘Enhanced Disclosure Task Force’, available at: </w:t>
      </w:r>
      <w:hyperlink r:id="rId21">
        <w:r>
          <w:rPr>
            <w:color w:val="0000FF"/>
            <w:spacing w:val="-1"/>
            <w:w w:val="95"/>
            <w:u w:val="single" w:color="0000FF"/>
          </w:rPr>
          <w:t>http://www.financialstabilityboard.org/wp-content/uploads/pr_120510.pdf</w:t>
        </w:r>
      </w:hyperlink>
    </w:p>
    <w:p>
      <w:pPr>
        <w:pStyle w:val="BodyText"/>
        <w:spacing w:before="3"/>
        <w:rPr>
          <w:sz w:val="11"/>
        </w:rPr>
      </w:pPr>
    </w:p>
    <w:p>
      <w:pPr>
        <w:pStyle w:val="BodyText"/>
        <w:spacing w:line="237" w:lineRule="auto" w:before="95"/>
        <w:ind w:left="634" w:right="850"/>
      </w:pPr>
      <w:r>
        <w:rPr>
          <w:b/>
        </w:rPr>
        <w:t>FSB</w:t>
      </w:r>
      <w:r>
        <w:rPr>
          <w:b/>
          <w:spacing w:val="-11"/>
        </w:rPr>
        <w:t> </w:t>
      </w:r>
      <w:r>
        <w:rPr>
          <w:b/>
        </w:rPr>
        <w:t>(2014),</w:t>
      </w:r>
      <w:r>
        <w:rPr>
          <w:b/>
          <w:spacing w:val="-9"/>
        </w:rPr>
        <w:t> </w:t>
      </w:r>
      <w:r>
        <w:rPr/>
        <w:t>‘Strengthening</w:t>
      </w:r>
      <w:r>
        <w:rPr>
          <w:spacing w:val="-11"/>
        </w:rPr>
        <w:t> </w:t>
      </w:r>
      <w:r>
        <w:rPr/>
        <w:t>Oversight</w:t>
      </w:r>
      <w:r>
        <w:rPr>
          <w:spacing w:val="-11"/>
        </w:rPr>
        <w:t> </w:t>
      </w:r>
      <w:r>
        <w:rPr/>
        <w:t>and</w:t>
      </w:r>
      <w:r>
        <w:rPr>
          <w:spacing w:val="-11"/>
        </w:rPr>
        <w:t> </w:t>
      </w:r>
      <w:r>
        <w:rPr/>
        <w:t>Regulation</w:t>
      </w:r>
      <w:r>
        <w:rPr>
          <w:spacing w:val="-11"/>
        </w:rPr>
        <w:t> </w:t>
      </w:r>
      <w:r>
        <w:rPr/>
        <w:t>of</w:t>
      </w:r>
      <w:r>
        <w:rPr>
          <w:spacing w:val="-11"/>
        </w:rPr>
        <w:t> </w:t>
      </w:r>
      <w:r>
        <w:rPr/>
        <w:t>Shadow</w:t>
      </w:r>
      <w:r>
        <w:rPr>
          <w:spacing w:val="-12"/>
        </w:rPr>
        <w:t> </w:t>
      </w:r>
      <w:r>
        <w:rPr/>
        <w:t>Banking</w:t>
      </w:r>
      <w:r>
        <w:rPr>
          <w:spacing w:val="-11"/>
        </w:rPr>
        <w:t> </w:t>
      </w:r>
      <w:r>
        <w:rPr/>
        <w:t>Report’,</w:t>
      </w:r>
      <w:r>
        <w:rPr>
          <w:spacing w:val="-10"/>
        </w:rPr>
        <w:t> </w:t>
      </w:r>
      <w:r>
        <w:rPr/>
        <w:t>available</w:t>
      </w:r>
      <w:r>
        <w:rPr>
          <w:spacing w:val="-10"/>
        </w:rPr>
        <w:t> </w:t>
      </w:r>
      <w:r>
        <w:rPr/>
        <w:t>at </w:t>
      </w:r>
      <w:hyperlink r:id="rId22">
        <w:r>
          <w:rPr>
            <w:color w:val="0000FF"/>
            <w:u w:val="single" w:color="0000FF"/>
          </w:rPr>
          <w:t>http://www.financialstabilityboard.org/wp-content/uploads/r_141013a.pdf</w:t>
        </w:r>
      </w:hyperlink>
    </w:p>
    <w:p>
      <w:pPr>
        <w:spacing w:after="0" w:line="237" w:lineRule="auto"/>
        <w:sectPr>
          <w:pgSz w:w="12240" w:h="15840"/>
          <w:pgMar w:header="0" w:footer="974" w:top="1280" w:bottom="1160" w:left="1240" w:right="1660"/>
        </w:sectPr>
      </w:pPr>
    </w:p>
    <w:p>
      <w:pPr>
        <w:spacing w:before="70"/>
        <w:ind w:left="634" w:right="258" w:firstLine="0"/>
        <w:jc w:val="left"/>
        <w:rPr>
          <w:sz w:val="19"/>
        </w:rPr>
      </w:pPr>
      <w:r>
        <w:rPr>
          <w:b/>
          <w:sz w:val="19"/>
        </w:rPr>
        <w:t>Gai, P, Haldane, A and Kapadia,S </w:t>
      </w:r>
      <w:r>
        <w:rPr>
          <w:sz w:val="19"/>
        </w:rPr>
        <w:t>‘Complexity, Concentration and Contagion’, </w:t>
      </w:r>
      <w:r>
        <w:rPr>
          <w:i/>
          <w:sz w:val="19"/>
        </w:rPr>
        <w:t>Journal of Monetary </w:t>
      </w:r>
      <w:r>
        <w:rPr>
          <w:i/>
          <w:sz w:val="19"/>
        </w:rPr>
        <w:t>Economics</w:t>
      </w:r>
      <w:r>
        <w:rPr>
          <w:sz w:val="19"/>
        </w:rPr>
        <w:t>, Vol. 58, (5), pages 453-470, 2011.</w:t>
      </w:r>
    </w:p>
    <w:p>
      <w:pPr>
        <w:pStyle w:val="BodyText"/>
        <w:spacing w:before="2"/>
      </w:pPr>
    </w:p>
    <w:p>
      <w:pPr>
        <w:spacing w:before="0"/>
        <w:ind w:left="634" w:right="586" w:firstLine="0"/>
        <w:jc w:val="left"/>
        <w:rPr>
          <w:i/>
          <w:sz w:val="19"/>
        </w:rPr>
      </w:pPr>
      <w:r>
        <w:rPr>
          <w:b/>
          <w:sz w:val="19"/>
        </w:rPr>
        <w:t>Gai, P and Kapadia, S (2011), </w:t>
      </w:r>
      <w:r>
        <w:rPr>
          <w:sz w:val="19"/>
        </w:rPr>
        <w:t>‘Contagion in financial Markets’, </w:t>
      </w:r>
      <w:r>
        <w:rPr>
          <w:i/>
          <w:sz w:val="19"/>
        </w:rPr>
        <w:t>Bank of England Working Paper </w:t>
      </w:r>
      <w:r>
        <w:rPr>
          <w:i/>
          <w:sz w:val="19"/>
        </w:rPr>
        <w:t>Number 383.</w:t>
      </w:r>
    </w:p>
    <w:p>
      <w:pPr>
        <w:pStyle w:val="BodyText"/>
        <w:spacing w:before="5"/>
        <w:rPr>
          <w:i/>
        </w:rPr>
      </w:pPr>
    </w:p>
    <w:p>
      <w:pPr>
        <w:spacing w:before="0"/>
        <w:ind w:left="634" w:right="333" w:hanging="1"/>
        <w:jc w:val="left"/>
        <w:rPr>
          <w:sz w:val="19"/>
        </w:rPr>
      </w:pPr>
      <w:r>
        <w:rPr>
          <w:b/>
          <w:sz w:val="19"/>
        </w:rPr>
        <w:t>Gabaix, X (2009), </w:t>
      </w:r>
      <w:r>
        <w:rPr>
          <w:sz w:val="19"/>
        </w:rPr>
        <w:t>‘Power laws in economics and finance’, </w:t>
      </w:r>
      <w:r>
        <w:rPr>
          <w:i/>
          <w:sz w:val="19"/>
        </w:rPr>
        <w:t>Annual Review of Economics</w:t>
      </w:r>
      <w:r>
        <w:rPr>
          <w:sz w:val="19"/>
        </w:rPr>
        <w:t>, 1 pp. 255- 93.</w:t>
      </w:r>
    </w:p>
    <w:p>
      <w:pPr>
        <w:pStyle w:val="BodyText"/>
        <w:spacing w:before="2"/>
      </w:pPr>
    </w:p>
    <w:p>
      <w:pPr>
        <w:spacing w:before="0"/>
        <w:ind w:left="634" w:right="0" w:firstLine="0"/>
        <w:jc w:val="left"/>
        <w:rPr>
          <w:sz w:val="19"/>
        </w:rPr>
      </w:pPr>
      <w:r>
        <w:rPr>
          <w:b/>
          <w:sz w:val="19"/>
        </w:rPr>
        <w:t>Gao,J Liu,Y, D'Souza,R &amp; Barabási, A (2014), </w:t>
      </w:r>
      <w:r>
        <w:rPr>
          <w:sz w:val="19"/>
        </w:rPr>
        <w:t>‘Target control of complex networks’, </w:t>
      </w:r>
      <w:r>
        <w:rPr>
          <w:i/>
          <w:sz w:val="19"/>
        </w:rPr>
        <w:t>Nature </w:t>
      </w:r>
      <w:r>
        <w:rPr>
          <w:i/>
          <w:sz w:val="19"/>
        </w:rPr>
        <w:t>Communications </w:t>
      </w:r>
      <w:r>
        <w:rPr>
          <w:sz w:val="19"/>
        </w:rPr>
        <w:t>5, 5415</w:t>
      </w:r>
    </w:p>
    <w:p>
      <w:pPr>
        <w:pStyle w:val="BodyText"/>
        <w:spacing w:before="3"/>
      </w:pPr>
    </w:p>
    <w:p>
      <w:pPr>
        <w:spacing w:before="0"/>
        <w:ind w:left="634" w:right="249" w:firstLine="0"/>
        <w:jc w:val="left"/>
        <w:rPr>
          <w:i/>
          <w:sz w:val="19"/>
        </w:rPr>
      </w:pPr>
      <w:r>
        <w:rPr>
          <w:b/>
          <w:sz w:val="19"/>
        </w:rPr>
        <w:t>Geanakoplos, J, Axtell, R, Farmer, J.D., Howitt, P, Conlee, B, Goldstein, J, Hendrey, M, Palmer and N.M., Yang, C-Y (2012), </w:t>
      </w:r>
      <w:r>
        <w:rPr>
          <w:sz w:val="19"/>
        </w:rPr>
        <w:t>‘Getting at systemic risk via an agent-based model of the housing market’, </w:t>
      </w:r>
      <w:r>
        <w:rPr>
          <w:i/>
          <w:sz w:val="19"/>
        </w:rPr>
        <w:t>American Economic Review vol.102</w:t>
      </w:r>
    </w:p>
    <w:p>
      <w:pPr>
        <w:pStyle w:val="BodyText"/>
        <w:spacing w:before="1"/>
        <w:rPr>
          <w:i/>
        </w:rPr>
      </w:pPr>
    </w:p>
    <w:p>
      <w:pPr>
        <w:spacing w:before="0"/>
        <w:ind w:left="634" w:right="397" w:firstLine="0"/>
        <w:jc w:val="left"/>
        <w:rPr>
          <w:sz w:val="19"/>
        </w:rPr>
      </w:pPr>
      <w:r>
        <w:rPr>
          <w:b/>
          <w:sz w:val="19"/>
        </w:rPr>
        <w:t>Goldin, I. and Mariathasan, M. (2014), </w:t>
      </w:r>
      <w:r>
        <w:rPr>
          <w:sz w:val="19"/>
        </w:rPr>
        <w:t>‘The Butterfly Defect: How Globalization Creates Systemic Risks, and What to Do about It’, </w:t>
      </w:r>
      <w:r>
        <w:rPr>
          <w:i/>
          <w:sz w:val="19"/>
        </w:rPr>
        <w:t>Princeton University Press, July</w:t>
      </w:r>
      <w:r>
        <w:rPr>
          <w:sz w:val="19"/>
        </w:rPr>
        <w:t>.</w:t>
      </w:r>
    </w:p>
    <w:p>
      <w:pPr>
        <w:pStyle w:val="BodyText"/>
        <w:spacing w:before="4"/>
      </w:pPr>
    </w:p>
    <w:p>
      <w:pPr>
        <w:spacing w:before="0"/>
        <w:ind w:left="634" w:right="233" w:firstLine="0"/>
        <w:jc w:val="left"/>
        <w:rPr>
          <w:sz w:val="19"/>
        </w:rPr>
      </w:pPr>
      <w:r>
        <w:rPr>
          <w:b/>
          <w:color w:val="323232"/>
          <w:sz w:val="19"/>
        </w:rPr>
        <w:t>Gorod, A, White,B, Ireland,V, Gandhi,S and Sauser,B (2014), </w:t>
      </w:r>
      <w:r>
        <w:rPr>
          <w:sz w:val="19"/>
        </w:rPr>
        <w:t>‘Case Studies in System of Systems, Enterprise Systems, and Complex Systems Engineering’, </w:t>
      </w:r>
      <w:r>
        <w:rPr>
          <w:i/>
          <w:sz w:val="19"/>
        </w:rPr>
        <w:t>CRC Press</w:t>
      </w:r>
      <w:r>
        <w:rPr>
          <w:sz w:val="19"/>
        </w:rPr>
        <w:t>,Pages 3-32</w:t>
      </w:r>
    </w:p>
    <w:p>
      <w:pPr>
        <w:pStyle w:val="BodyText"/>
        <w:spacing w:before="3"/>
      </w:pPr>
    </w:p>
    <w:p>
      <w:pPr>
        <w:pStyle w:val="BodyText"/>
        <w:ind w:left="634"/>
      </w:pPr>
      <w:r>
        <w:rPr>
          <w:b/>
        </w:rPr>
        <w:t>Haldane, A. G (2009), </w:t>
      </w:r>
      <w:r>
        <w:rPr/>
        <w:t>‘Rethinking the financial network’, available at </w:t>
      </w:r>
      <w:hyperlink r:id="rId23">
        <w:r>
          <w:rPr>
            <w:color w:val="0000FF"/>
            <w:w w:val="95"/>
            <w:u w:val="single" w:color="0000FF"/>
          </w:rPr>
          <w:t>http://www.bankofengland.co.uk/publications/speeches/2009/speech386.pdf</w:t>
        </w:r>
      </w:hyperlink>
    </w:p>
    <w:p>
      <w:pPr>
        <w:pStyle w:val="BodyText"/>
        <w:spacing w:before="2"/>
        <w:rPr>
          <w:sz w:val="11"/>
        </w:rPr>
      </w:pPr>
    </w:p>
    <w:p>
      <w:pPr>
        <w:pStyle w:val="BodyText"/>
        <w:spacing w:before="92"/>
        <w:ind w:left="634"/>
      </w:pPr>
      <w:r>
        <w:rPr>
          <w:b/>
        </w:rPr>
        <w:t>Haldane, A. G (2009), </w:t>
      </w:r>
      <w:r>
        <w:rPr/>
        <w:t>‘Banking on the State’, available at: </w:t>
      </w:r>
      <w:hyperlink r:id="rId24">
        <w:r>
          <w:rPr>
            <w:color w:val="0000FF"/>
            <w:w w:val="95"/>
            <w:u w:val="single" w:color="0000FF"/>
          </w:rPr>
          <w:t>http://www.bankofengland.co.uk/archive/Documents/historicpubs/speeches/2009/speech409.pdf</w:t>
        </w:r>
      </w:hyperlink>
    </w:p>
    <w:p>
      <w:pPr>
        <w:pStyle w:val="BodyText"/>
        <w:spacing w:before="3"/>
        <w:rPr>
          <w:sz w:val="11"/>
        </w:rPr>
      </w:pPr>
    </w:p>
    <w:p>
      <w:pPr>
        <w:spacing w:before="93"/>
        <w:ind w:left="634" w:right="0" w:firstLine="0"/>
        <w:jc w:val="left"/>
        <w:rPr>
          <w:sz w:val="19"/>
        </w:rPr>
      </w:pPr>
      <w:r>
        <w:rPr>
          <w:b/>
          <w:sz w:val="19"/>
        </w:rPr>
        <w:t>Haldane, A and May, R (2011), </w:t>
      </w:r>
      <w:r>
        <w:rPr>
          <w:sz w:val="19"/>
        </w:rPr>
        <w:t>‘Systemic risk in banking ecosystems’, </w:t>
      </w:r>
      <w:r>
        <w:rPr>
          <w:i/>
          <w:sz w:val="19"/>
        </w:rPr>
        <w:t>Nature</w:t>
      </w:r>
      <w:r>
        <w:rPr>
          <w:sz w:val="19"/>
        </w:rPr>
        <w:t>, issue 469, 351–355.</w:t>
      </w:r>
    </w:p>
    <w:p>
      <w:pPr>
        <w:pStyle w:val="BodyText"/>
        <w:spacing w:before="7"/>
      </w:pPr>
    </w:p>
    <w:p>
      <w:pPr>
        <w:spacing w:line="237" w:lineRule="auto" w:before="0"/>
        <w:ind w:left="634" w:right="215" w:firstLine="0"/>
        <w:jc w:val="left"/>
        <w:rPr>
          <w:sz w:val="19"/>
        </w:rPr>
      </w:pPr>
      <w:r>
        <w:rPr>
          <w:b/>
          <w:sz w:val="19"/>
        </w:rPr>
        <w:t>Haldane,</w:t>
      </w:r>
      <w:r>
        <w:rPr>
          <w:b/>
          <w:spacing w:val="-9"/>
          <w:sz w:val="19"/>
        </w:rPr>
        <w:t> </w:t>
      </w:r>
      <w:r>
        <w:rPr>
          <w:b/>
          <w:sz w:val="19"/>
        </w:rPr>
        <w:t>A</w:t>
      </w:r>
      <w:r>
        <w:rPr>
          <w:b/>
          <w:spacing w:val="-9"/>
          <w:sz w:val="19"/>
        </w:rPr>
        <w:t> </w:t>
      </w:r>
      <w:r>
        <w:rPr>
          <w:b/>
          <w:sz w:val="19"/>
        </w:rPr>
        <w:t>(2012</w:t>
      </w:r>
      <w:r>
        <w:rPr>
          <w:sz w:val="19"/>
        </w:rPr>
        <w:t>),</w:t>
      </w:r>
      <w:r>
        <w:rPr>
          <w:spacing w:val="-8"/>
          <w:sz w:val="19"/>
        </w:rPr>
        <w:t> </w:t>
      </w:r>
      <w:r>
        <w:rPr>
          <w:sz w:val="19"/>
        </w:rPr>
        <w:t>‘Tails</w:t>
      </w:r>
      <w:r>
        <w:rPr>
          <w:spacing w:val="-8"/>
          <w:sz w:val="19"/>
        </w:rPr>
        <w:t> </w:t>
      </w:r>
      <w:r>
        <w:rPr>
          <w:sz w:val="19"/>
        </w:rPr>
        <w:t>of</w:t>
      </w:r>
      <w:r>
        <w:rPr>
          <w:spacing w:val="-7"/>
          <w:sz w:val="19"/>
        </w:rPr>
        <w:t> </w:t>
      </w:r>
      <w:r>
        <w:rPr>
          <w:sz w:val="19"/>
        </w:rPr>
        <w:t>the</w:t>
      </w:r>
      <w:r>
        <w:rPr>
          <w:spacing w:val="-9"/>
          <w:sz w:val="19"/>
        </w:rPr>
        <w:t> </w:t>
      </w:r>
      <w:r>
        <w:rPr>
          <w:sz w:val="19"/>
        </w:rPr>
        <w:t>unexpected’,</w:t>
      </w:r>
      <w:r>
        <w:rPr>
          <w:spacing w:val="-8"/>
          <w:sz w:val="19"/>
        </w:rPr>
        <w:t> </w:t>
      </w:r>
      <w:r>
        <w:rPr>
          <w:i/>
          <w:sz w:val="19"/>
        </w:rPr>
        <w:t>speech</w:t>
      </w:r>
      <w:r>
        <w:rPr>
          <w:i/>
          <w:spacing w:val="-8"/>
          <w:sz w:val="19"/>
        </w:rPr>
        <w:t> </w:t>
      </w:r>
      <w:r>
        <w:rPr>
          <w:i/>
          <w:sz w:val="19"/>
        </w:rPr>
        <w:t>at</w:t>
      </w:r>
      <w:r>
        <w:rPr>
          <w:i/>
          <w:spacing w:val="-8"/>
          <w:sz w:val="19"/>
        </w:rPr>
        <w:t> </w:t>
      </w:r>
      <w:r>
        <w:rPr>
          <w:i/>
          <w:sz w:val="19"/>
        </w:rPr>
        <w:t>‘The</w:t>
      </w:r>
      <w:r>
        <w:rPr>
          <w:i/>
          <w:spacing w:val="-8"/>
          <w:sz w:val="19"/>
        </w:rPr>
        <w:t> </w:t>
      </w:r>
      <w:r>
        <w:rPr>
          <w:i/>
          <w:sz w:val="19"/>
        </w:rPr>
        <w:t>Credit</w:t>
      </w:r>
      <w:r>
        <w:rPr>
          <w:i/>
          <w:spacing w:val="-8"/>
          <w:sz w:val="19"/>
        </w:rPr>
        <w:t> </w:t>
      </w:r>
      <w:r>
        <w:rPr>
          <w:i/>
          <w:sz w:val="19"/>
        </w:rPr>
        <w:t>Crisis</w:t>
      </w:r>
      <w:r>
        <w:rPr>
          <w:i/>
          <w:spacing w:val="-8"/>
          <w:sz w:val="19"/>
        </w:rPr>
        <w:t> </w:t>
      </w:r>
      <w:r>
        <w:rPr>
          <w:i/>
          <w:sz w:val="19"/>
        </w:rPr>
        <w:t>Five</w:t>
      </w:r>
      <w:r>
        <w:rPr>
          <w:i/>
          <w:spacing w:val="-10"/>
          <w:sz w:val="19"/>
        </w:rPr>
        <w:t> </w:t>
      </w:r>
      <w:r>
        <w:rPr>
          <w:i/>
          <w:sz w:val="19"/>
        </w:rPr>
        <w:t>Years</w:t>
      </w:r>
      <w:r>
        <w:rPr>
          <w:i/>
          <w:spacing w:val="-8"/>
          <w:sz w:val="19"/>
        </w:rPr>
        <w:t> </w:t>
      </w:r>
      <w:r>
        <w:rPr>
          <w:i/>
          <w:sz w:val="19"/>
        </w:rPr>
        <w:t>On:</w:t>
      </w:r>
      <w:r>
        <w:rPr>
          <w:i/>
          <w:spacing w:val="-8"/>
          <w:sz w:val="19"/>
        </w:rPr>
        <w:t> </w:t>
      </w:r>
      <w:r>
        <w:rPr>
          <w:i/>
          <w:sz w:val="19"/>
        </w:rPr>
        <w:t>Unpacking </w:t>
      </w:r>
      <w:r>
        <w:rPr>
          <w:i/>
          <w:sz w:val="19"/>
        </w:rPr>
        <w:t>the Crisis’, conference held at the University of Edinburgh Business School, 8-9 June, </w:t>
      </w:r>
      <w:r>
        <w:rPr>
          <w:sz w:val="19"/>
        </w:rPr>
        <w:t>available at: </w:t>
      </w:r>
      <w:hyperlink r:id="rId25">
        <w:r>
          <w:rPr>
            <w:color w:val="0000FF"/>
            <w:sz w:val="19"/>
            <w:u w:val="single" w:color="0000FF"/>
          </w:rPr>
          <w:t>http://www.bankofengland.co.uk/publications/Documents/speeches/2012/speech582.pdf</w:t>
        </w:r>
      </w:hyperlink>
    </w:p>
    <w:p>
      <w:pPr>
        <w:pStyle w:val="BodyText"/>
        <w:spacing w:before="5"/>
        <w:rPr>
          <w:sz w:val="11"/>
        </w:rPr>
      </w:pPr>
    </w:p>
    <w:p>
      <w:pPr>
        <w:spacing w:before="93"/>
        <w:ind w:left="634" w:right="0" w:firstLine="0"/>
        <w:jc w:val="left"/>
        <w:rPr>
          <w:sz w:val="19"/>
        </w:rPr>
      </w:pPr>
      <w:r>
        <w:rPr>
          <w:b/>
          <w:sz w:val="19"/>
        </w:rPr>
        <w:t>Haldane,</w:t>
      </w:r>
      <w:r>
        <w:rPr>
          <w:b/>
          <w:spacing w:val="-9"/>
          <w:sz w:val="19"/>
        </w:rPr>
        <w:t> </w:t>
      </w:r>
      <w:r>
        <w:rPr>
          <w:b/>
          <w:sz w:val="19"/>
        </w:rPr>
        <w:t>A</w:t>
      </w:r>
      <w:r>
        <w:rPr>
          <w:b/>
          <w:spacing w:val="-9"/>
          <w:sz w:val="19"/>
        </w:rPr>
        <w:t> </w:t>
      </w:r>
      <w:r>
        <w:rPr>
          <w:b/>
          <w:sz w:val="19"/>
        </w:rPr>
        <w:t>(2014),</w:t>
      </w:r>
      <w:r>
        <w:rPr>
          <w:b/>
          <w:spacing w:val="-9"/>
          <w:sz w:val="19"/>
        </w:rPr>
        <w:t> </w:t>
      </w:r>
      <w:r>
        <w:rPr>
          <w:sz w:val="19"/>
        </w:rPr>
        <w:t>‘Twin</w:t>
      </w:r>
      <w:r>
        <w:rPr>
          <w:spacing w:val="-9"/>
          <w:sz w:val="19"/>
        </w:rPr>
        <w:t> </w:t>
      </w:r>
      <w:r>
        <w:rPr>
          <w:sz w:val="19"/>
        </w:rPr>
        <w:t>Peaks’,</w:t>
      </w:r>
      <w:r>
        <w:rPr>
          <w:spacing w:val="-10"/>
          <w:sz w:val="19"/>
        </w:rPr>
        <w:t> </w:t>
      </w:r>
      <w:r>
        <w:rPr>
          <w:i/>
          <w:sz w:val="19"/>
        </w:rPr>
        <w:t>speech</w:t>
      </w:r>
      <w:r>
        <w:rPr>
          <w:i/>
          <w:spacing w:val="-9"/>
          <w:sz w:val="19"/>
        </w:rPr>
        <w:t> </w:t>
      </w:r>
      <w:r>
        <w:rPr>
          <w:i/>
          <w:sz w:val="19"/>
        </w:rPr>
        <w:t>at</w:t>
      </w:r>
      <w:r>
        <w:rPr>
          <w:i/>
          <w:spacing w:val="-10"/>
          <w:sz w:val="19"/>
        </w:rPr>
        <w:t> </w:t>
      </w:r>
      <w:r>
        <w:rPr>
          <w:i/>
          <w:sz w:val="19"/>
        </w:rPr>
        <w:t>the</w:t>
      </w:r>
      <w:r>
        <w:rPr>
          <w:i/>
          <w:spacing w:val="-9"/>
          <w:sz w:val="19"/>
        </w:rPr>
        <w:t> </w:t>
      </w:r>
      <w:r>
        <w:rPr>
          <w:i/>
          <w:sz w:val="19"/>
        </w:rPr>
        <w:t>Kenilworth</w:t>
      </w:r>
      <w:r>
        <w:rPr>
          <w:i/>
          <w:spacing w:val="-9"/>
          <w:sz w:val="19"/>
        </w:rPr>
        <w:t> </w:t>
      </w:r>
      <w:r>
        <w:rPr>
          <w:i/>
          <w:sz w:val="19"/>
        </w:rPr>
        <w:t>Chamber</w:t>
      </w:r>
      <w:r>
        <w:rPr>
          <w:i/>
          <w:spacing w:val="-8"/>
          <w:sz w:val="19"/>
        </w:rPr>
        <w:t> </w:t>
      </w:r>
      <w:r>
        <w:rPr>
          <w:i/>
          <w:sz w:val="19"/>
        </w:rPr>
        <w:t>of</w:t>
      </w:r>
      <w:r>
        <w:rPr>
          <w:i/>
          <w:spacing w:val="-8"/>
          <w:sz w:val="19"/>
        </w:rPr>
        <w:t> </w:t>
      </w:r>
      <w:r>
        <w:rPr>
          <w:i/>
          <w:sz w:val="19"/>
        </w:rPr>
        <w:t>Trade</w:t>
      </w:r>
      <w:r>
        <w:rPr>
          <w:i/>
          <w:spacing w:val="-9"/>
          <w:sz w:val="19"/>
        </w:rPr>
        <w:t> </w:t>
      </w:r>
      <w:r>
        <w:rPr>
          <w:i/>
          <w:sz w:val="19"/>
        </w:rPr>
        <w:t>Business</w:t>
      </w:r>
      <w:r>
        <w:rPr>
          <w:i/>
          <w:spacing w:val="-9"/>
          <w:sz w:val="19"/>
        </w:rPr>
        <w:t> </w:t>
      </w:r>
      <w:r>
        <w:rPr>
          <w:i/>
          <w:sz w:val="19"/>
        </w:rPr>
        <w:t>Breakfast,</w:t>
      </w:r>
      <w:r>
        <w:rPr>
          <w:i/>
          <w:spacing w:val="-9"/>
          <w:sz w:val="19"/>
        </w:rPr>
        <w:t> </w:t>
      </w:r>
      <w:r>
        <w:rPr>
          <w:i/>
          <w:sz w:val="19"/>
        </w:rPr>
        <w:t>17 </w:t>
      </w:r>
      <w:r>
        <w:rPr>
          <w:i/>
          <w:sz w:val="19"/>
        </w:rPr>
        <w:t>October 2014</w:t>
      </w:r>
      <w:r>
        <w:rPr>
          <w:sz w:val="19"/>
        </w:rPr>
        <w:t>, available</w:t>
      </w:r>
      <w:r>
        <w:rPr>
          <w:spacing w:val="-2"/>
          <w:sz w:val="19"/>
        </w:rPr>
        <w:t> </w:t>
      </w:r>
      <w:r>
        <w:rPr>
          <w:sz w:val="19"/>
        </w:rPr>
        <w:t>at</w:t>
      </w:r>
    </w:p>
    <w:p>
      <w:pPr>
        <w:pStyle w:val="BodyText"/>
        <w:spacing w:before="3"/>
      </w:pPr>
    </w:p>
    <w:p>
      <w:pPr>
        <w:pStyle w:val="BodyText"/>
        <w:ind w:left="634"/>
      </w:pPr>
      <w:hyperlink r:id="rId26">
        <w:r>
          <w:rPr>
            <w:u w:val="single"/>
          </w:rPr>
          <w:t>http://www.bankofengland.co.uk/publications/Documents/speeches/2014/speech716.pdf</w:t>
        </w:r>
        <w:r>
          <w:rPr/>
          <w:t>.</w:t>
        </w:r>
      </w:hyperlink>
    </w:p>
    <w:p>
      <w:pPr>
        <w:pStyle w:val="BodyText"/>
        <w:spacing w:before="4"/>
        <w:rPr>
          <w:sz w:val="11"/>
        </w:rPr>
      </w:pPr>
    </w:p>
    <w:p>
      <w:pPr>
        <w:spacing w:before="93"/>
        <w:ind w:left="634" w:right="385" w:firstLine="0"/>
        <w:jc w:val="left"/>
        <w:rPr>
          <w:sz w:val="19"/>
        </w:rPr>
      </w:pPr>
      <w:r>
        <w:rPr>
          <w:b/>
          <w:sz w:val="19"/>
        </w:rPr>
        <w:t>Hanson, S.G, Kashyap, Anil and Stein, Jeremy (2010),</w:t>
      </w:r>
      <w:r>
        <w:rPr>
          <w:sz w:val="19"/>
        </w:rPr>
        <w:t>’A Macroprudential Approach to Financial regulation’, </w:t>
      </w:r>
      <w:r>
        <w:rPr>
          <w:i/>
          <w:sz w:val="19"/>
        </w:rPr>
        <w:t>Chicago Booth Research Paper</w:t>
      </w:r>
      <w:r>
        <w:rPr>
          <w:sz w:val="19"/>
        </w:rPr>
        <w:t>, No. 10-29</w:t>
      </w:r>
    </w:p>
    <w:p>
      <w:pPr>
        <w:pStyle w:val="BodyText"/>
        <w:spacing w:before="3"/>
      </w:pPr>
    </w:p>
    <w:p>
      <w:pPr>
        <w:spacing w:before="0"/>
        <w:ind w:left="634" w:right="554" w:firstLine="0"/>
        <w:jc w:val="left"/>
        <w:rPr>
          <w:sz w:val="19"/>
        </w:rPr>
      </w:pPr>
      <w:r>
        <w:rPr>
          <w:b/>
          <w:sz w:val="19"/>
        </w:rPr>
        <w:t>Hills,B and Hoggarth, G (2013), ‘</w:t>
      </w:r>
      <w:r>
        <w:rPr>
          <w:sz w:val="19"/>
        </w:rPr>
        <w:t>Cross border bank credit and global financial stability’, Bank of England Quarterly Bulletin Q2, 2013</w:t>
      </w:r>
    </w:p>
    <w:p>
      <w:pPr>
        <w:pStyle w:val="BodyText"/>
        <w:spacing w:before="3"/>
      </w:pPr>
    </w:p>
    <w:p>
      <w:pPr>
        <w:pStyle w:val="BodyText"/>
        <w:spacing w:line="487" w:lineRule="auto" w:before="1"/>
        <w:ind w:left="634" w:right="3300"/>
      </w:pPr>
      <w:r>
        <w:rPr>
          <w:b/>
        </w:rPr>
        <w:t>IMF(2013), ‘</w:t>
      </w:r>
      <w:r>
        <w:rPr/>
        <w:t>Key Aspects of Macroprudential Policy’, available at </w:t>
      </w:r>
      <w:hyperlink r:id="rId27">
        <w:r>
          <w:rPr>
            <w:color w:val="0000FF"/>
            <w:u w:val="single" w:color="0000FF"/>
          </w:rPr>
          <w:t>http://www.imf.org/external/np/pp/eng/2013/061013b.pdf</w:t>
        </w:r>
      </w:hyperlink>
    </w:p>
    <w:p>
      <w:pPr>
        <w:spacing w:line="216" w:lineRule="exact" w:before="0"/>
        <w:ind w:left="634" w:right="0" w:firstLine="0"/>
        <w:jc w:val="left"/>
        <w:rPr>
          <w:sz w:val="19"/>
        </w:rPr>
      </w:pPr>
      <w:r>
        <w:rPr>
          <w:b/>
          <w:sz w:val="19"/>
        </w:rPr>
        <w:t>Jackson, M O (2010)</w:t>
      </w:r>
      <w:r>
        <w:rPr>
          <w:sz w:val="19"/>
        </w:rPr>
        <w:t>, ‘Social and economic networks’, </w:t>
      </w:r>
      <w:r>
        <w:rPr>
          <w:i/>
          <w:sz w:val="19"/>
        </w:rPr>
        <w:t>Princeton</w:t>
      </w:r>
      <w:r>
        <w:rPr>
          <w:sz w:val="19"/>
        </w:rPr>
        <w:t>.</w:t>
      </w:r>
    </w:p>
    <w:p>
      <w:pPr>
        <w:pStyle w:val="BodyText"/>
        <w:spacing w:before="4"/>
      </w:pPr>
    </w:p>
    <w:p>
      <w:pPr>
        <w:spacing w:before="0"/>
        <w:ind w:left="634" w:right="0" w:firstLine="0"/>
        <w:jc w:val="left"/>
        <w:rPr>
          <w:sz w:val="19"/>
        </w:rPr>
      </w:pPr>
      <w:r>
        <w:rPr>
          <w:b/>
          <w:sz w:val="19"/>
        </w:rPr>
        <w:t>Kurant, M and Thiran, P(2006)</w:t>
      </w:r>
      <w:r>
        <w:rPr>
          <w:sz w:val="19"/>
        </w:rPr>
        <w:t>, ‘Layered Complex Networks’, </w:t>
      </w:r>
      <w:r>
        <w:rPr>
          <w:i/>
          <w:sz w:val="19"/>
        </w:rPr>
        <w:t>Physical Review Letters </w:t>
      </w:r>
      <w:r>
        <w:rPr>
          <w:sz w:val="19"/>
        </w:rPr>
        <w:t>96</w:t>
      </w:r>
    </w:p>
    <w:p>
      <w:pPr>
        <w:pStyle w:val="BodyText"/>
        <w:spacing w:before="6"/>
      </w:pPr>
    </w:p>
    <w:p>
      <w:pPr>
        <w:spacing w:before="0"/>
        <w:ind w:left="634" w:right="291" w:firstLine="0"/>
        <w:jc w:val="left"/>
        <w:rPr>
          <w:sz w:val="19"/>
        </w:rPr>
      </w:pPr>
      <w:r>
        <w:rPr>
          <w:b/>
          <w:sz w:val="19"/>
        </w:rPr>
        <w:t>Ladyman, J, Lambert, J &amp; Wiesner, K (2013), </w:t>
      </w:r>
      <w:r>
        <w:rPr>
          <w:sz w:val="19"/>
        </w:rPr>
        <w:t>‘What is a Complex System?’, </w:t>
      </w:r>
      <w:r>
        <w:rPr>
          <w:i/>
          <w:sz w:val="19"/>
        </w:rPr>
        <w:t>European Journal for </w:t>
      </w:r>
      <w:r>
        <w:rPr>
          <w:i/>
          <w:sz w:val="19"/>
        </w:rPr>
        <w:t>Philosophy of Science</w:t>
      </w:r>
      <w:r>
        <w:rPr>
          <w:sz w:val="19"/>
        </w:rPr>
        <w:t>, vol 3., pp. 33-67</w:t>
      </w:r>
    </w:p>
    <w:p>
      <w:pPr>
        <w:pStyle w:val="BodyText"/>
        <w:spacing w:before="2"/>
      </w:pPr>
    </w:p>
    <w:p>
      <w:pPr>
        <w:spacing w:before="0"/>
        <w:ind w:left="634" w:right="0" w:firstLine="0"/>
        <w:jc w:val="left"/>
        <w:rPr>
          <w:sz w:val="19"/>
        </w:rPr>
      </w:pPr>
      <w:r>
        <w:rPr>
          <w:b/>
          <w:sz w:val="19"/>
        </w:rPr>
        <w:t>Langfield,S, Liu, Z and Ota, T (2014), </w:t>
      </w:r>
      <w:r>
        <w:rPr>
          <w:sz w:val="19"/>
        </w:rPr>
        <w:t>‘Mapping the UK interbank system’</w:t>
      </w:r>
      <w:r>
        <w:rPr>
          <w:i/>
          <w:sz w:val="19"/>
        </w:rPr>
        <w:t>, Bank of England Working </w:t>
      </w:r>
      <w:r>
        <w:rPr>
          <w:i/>
          <w:sz w:val="19"/>
        </w:rPr>
        <w:t>Paper, </w:t>
      </w:r>
      <w:r>
        <w:rPr>
          <w:sz w:val="19"/>
        </w:rPr>
        <w:t>No. 516</w:t>
      </w:r>
    </w:p>
    <w:p>
      <w:pPr>
        <w:spacing w:after="0"/>
        <w:jc w:val="left"/>
        <w:rPr>
          <w:sz w:val="19"/>
        </w:rPr>
        <w:sectPr>
          <w:pgSz w:w="12240" w:h="15840"/>
          <w:pgMar w:header="0" w:footer="974" w:top="1280" w:bottom="1160" w:left="1240" w:right="1660"/>
        </w:sectPr>
      </w:pPr>
    </w:p>
    <w:p>
      <w:pPr>
        <w:spacing w:before="70"/>
        <w:ind w:left="634" w:right="365" w:firstLine="0"/>
        <w:jc w:val="left"/>
        <w:rPr>
          <w:sz w:val="19"/>
        </w:rPr>
      </w:pPr>
      <w:r>
        <w:rPr>
          <w:b/>
          <w:sz w:val="19"/>
        </w:rPr>
        <w:t>Liu, Y, Slotine,J and Barabási, A.L (2011), </w:t>
      </w:r>
      <w:r>
        <w:rPr>
          <w:sz w:val="19"/>
        </w:rPr>
        <w:t>‘Controllability of complex networks’, Nature 473, 167- 173 (2011)</w:t>
      </w:r>
    </w:p>
    <w:p>
      <w:pPr>
        <w:pStyle w:val="BodyText"/>
        <w:spacing w:before="2"/>
      </w:pPr>
    </w:p>
    <w:p>
      <w:pPr>
        <w:spacing w:before="0"/>
        <w:ind w:left="634" w:right="459" w:firstLine="0"/>
        <w:jc w:val="left"/>
        <w:rPr>
          <w:sz w:val="19"/>
        </w:rPr>
      </w:pPr>
      <w:r>
        <w:rPr>
          <w:b/>
          <w:sz w:val="19"/>
        </w:rPr>
        <w:t>Minoiu, C. and Reyes, J.A. (2013), </w:t>
      </w:r>
      <w:r>
        <w:rPr>
          <w:sz w:val="19"/>
        </w:rPr>
        <w:t>‘A network analysis of global banking: 1978–2010’, Journal of Financial Stability 9 (2013) 168– 184</w:t>
      </w:r>
    </w:p>
    <w:p>
      <w:pPr>
        <w:pStyle w:val="BodyText"/>
        <w:spacing w:before="5"/>
      </w:pPr>
    </w:p>
    <w:p>
      <w:pPr>
        <w:spacing w:before="0"/>
        <w:ind w:left="634" w:right="312" w:firstLine="0"/>
        <w:jc w:val="left"/>
        <w:rPr>
          <w:sz w:val="19"/>
        </w:rPr>
      </w:pPr>
      <w:r>
        <w:rPr>
          <w:b/>
          <w:sz w:val="19"/>
        </w:rPr>
        <w:t>Newman, M E J (2005), </w:t>
      </w:r>
      <w:r>
        <w:rPr>
          <w:sz w:val="19"/>
        </w:rPr>
        <w:t>‘Power laws, Pareto distributions and Zip’s law’, </w:t>
      </w:r>
      <w:r>
        <w:rPr>
          <w:i/>
          <w:sz w:val="19"/>
        </w:rPr>
        <w:t>Contemporary Physics</w:t>
      </w:r>
      <w:r>
        <w:rPr>
          <w:sz w:val="19"/>
        </w:rPr>
        <w:t>, 46 (5), pp. 323-51.</w:t>
      </w:r>
    </w:p>
    <w:p>
      <w:pPr>
        <w:pStyle w:val="BodyText"/>
        <w:spacing w:before="2"/>
      </w:pPr>
    </w:p>
    <w:p>
      <w:pPr>
        <w:spacing w:before="0"/>
        <w:ind w:left="634" w:right="0" w:firstLine="0"/>
        <w:jc w:val="left"/>
        <w:rPr>
          <w:sz w:val="19"/>
        </w:rPr>
      </w:pPr>
      <w:r>
        <w:rPr>
          <w:b/>
          <w:sz w:val="19"/>
        </w:rPr>
        <w:t>Newman, M. E. J. (2011)</w:t>
      </w:r>
      <w:r>
        <w:rPr>
          <w:sz w:val="19"/>
        </w:rPr>
        <w:t>, ‘Complex Systems: A Survey’, </w:t>
      </w:r>
      <w:r>
        <w:rPr>
          <w:i/>
          <w:sz w:val="19"/>
        </w:rPr>
        <w:t>Am. J. Phys. </w:t>
      </w:r>
      <w:r>
        <w:rPr>
          <w:sz w:val="19"/>
        </w:rPr>
        <w:t>79, 800-810.</w:t>
      </w:r>
    </w:p>
    <w:p>
      <w:pPr>
        <w:pStyle w:val="BodyText"/>
        <w:spacing w:before="6"/>
      </w:pPr>
    </w:p>
    <w:p>
      <w:pPr>
        <w:pStyle w:val="BodyText"/>
        <w:ind w:left="634"/>
      </w:pPr>
      <w:r>
        <w:rPr>
          <w:b/>
        </w:rPr>
        <w:t>OECD (2013)</w:t>
      </w:r>
      <w:r>
        <w:rPr/>
        <w:t>, ‘Interconnected Economies: Benefiting from Global Value Chains’, OECD</w:t>
      </w:r>
    </w:p>
    <w:p>
      <w:pPr>
        <w:pStyle w:val="BodyText"/>
        <w:spacing w:before="4"/>
      </w:pPr>
    </w:p>
    <w:p>
      <w:pPr>
        <w:spacing w:before="1"/>
        <w:ind w:left="634" w:right="0" w:firstLine="0"/>
        <w:jc w:val="left"/>
        <w:rPr>
          <w:sz w:val="19"/>
        </w:rPr>
      </w:pPr>
      <w:r>
        <w:rPr>
          <w:b/>
          <w:sz w:val="19"/>
        </w:rPr>
        <w:t>Perrow, C (1984)</w:t>
      </w:r>
      <w:r>
        <w:rPr>
          <w:sz w:val="19"/>
        </w:rPr>
        <w:t>, </w:t>
      </w:r>
      <w:r>
        <w:rPr>
          <w:i/>
          <w:sz w:val="19"/>
        </w:rPr>
        <w:t>‘</w:t>
      </w:r>
      <w:r>
        <w:rPr>
          <w:sz w:val="19"/>
        </w:rPr>
        <w:t>Normal Accidents: Living with High-Risk Technologies’, </w:t>
      </w:r>
      <w:r>
        <w:rPr>
          <w:i/>
          <w:sz w:val="19"/>
        </w:rPr>
        <w:t>Basic Books</w:t>
      </w:r>
      <w:r>
        <w:rPr>
          <w:sz w:val="19"/>
        </w:rPr>
        <w:t>, NY.</w:t>
      </w:r>
    </w:p>
    <w:p>
      <w:pPr>
        <w:pStyle w:val="BodyText"/>
        <w:spacing w:before="5"/>
      </w:pPr>
    </w:p>
    <w:p>
      <w:pPr>
        <w:spacing w:before="0"/>
        <w:ind w:left="634" w:right="233" w:firstLine="0"/>
        <w:jc w:val="left"/>
        <w:rPr>
          <w:i/>
          <w:sz w:val="19"/>
        </w:rPr>
      </w:pPr>
      <w:r>
        <w:rPr>
          <w:b/>
          <w:sz w:val="19"/>
        </w:rPr>
        <w:t>Pozsar,</w:t>
      </w:r>
      <w:r>
        <w:rPr>
          <w:b/>
          <w:spacing w:val="-9"/>
          <w:sz w:val="19"/>
        </w:rPr>
        <w:t> </w:t>
      </w:r>
      <w:r>
        <w:rPr>
          <w:b/>
          <w:sz w:val="19"/>
        </w:rPr>
        <w:t>Z,</w:t>
      </w:r>
      <w:r>
        <w:rPr>
          <w:b/>
          <w:spacing w:val="-8"/>
          <w:sz w:val="19"/>
        </w:rPr>
        <w:t> </w:t>
      </w:r>
      <w:r>
        <w:rPr>
          <w:b/>
          <w:sz w:val="19"/>
        </w:rPr>
        <w:t>Adrian,</w:t>
      </w:r>
      <w:r>
        <w:rPr>
          <w:b/>
          <w:spacing w:val="-9"/>
          <w:sz w:val="19"/>
        </w:rPr>
        <w:t> </w:t>
      </w:r>
      <w:r>
        <w:rPr>
          <w:b/>
          <w:sz w:val="19"/>
        </w:rPr>
        <w:t>T,</w:t>
      </w:r>
      <w:r>
        <w:rPr>
          <w:b/>
          <w:spacing w:val="-9"/>
          <w:sz w:val="19"/>
        </w:rPr>
        <w:t> </w:t>
      </w:r>
      <w:r>
        <w:rPr>
          <w:b/>
          <w:sz w:val="19"/>
        </w:rPr>
        <w:t>Ashcraft,</w:t>
      </w:r>
      <w:r>
        <w:rPr>
          <w:b/>
          <w:spacing w:val="-9"/>
          <w:sz w:val="19"/>
        </w:rPr>
        <w:t> </w:t>
      </w:r>
      <w:r>
        <w:rPr>
          <w:b/>
          <w:sz w:val="19"/>
        </w:rPr>
        <w:t>A</w:t>
      </w:r>
      <w:r>
        <w:rPr>
          <w:b/>
          <w:spacing w:val="-9"/>
          <w:sz w:val="19"/>
        </w:rPr>
        <w:t> </w:t>
      </w:r>
      <w:r>
        <w:rPr>
          <w:b/>
          <w:sz w:val="19"/>
        </w:rPr>
        <w:t>and</w:t>
      </w:r>
      <w:r>
        <w:rPr>
          <w:b/>
          <w:spacing w:val="-9"/>
          <w:sz w:val="19"/>
        </w:rPr>
        <w:t> </w:t>
      </w:r>
      <w:r>
        <w:rPr>
          <w:b/>
          <w:sz w:val="19"/>
        </w:rPr>
        <w:t>Boesky,</w:t>
      </w:r>
      <w:r>
        <w:rPr>
          <w:b/>
          <w:spacing w:val="-9"/>
          <w:sz w:val="19"/>
        </w:rPr>
        <w:t> </w:t>
      </w:r>
      <w:r>
        <w:rPr>
          <w:b/>
          <w:sz w:val="19"/>
        </w:rPr>
        <w:t>H</w:t>
      </w:r>
      <w:r>
        <w:rPr>
          <w:b/>
          <w:spacing w:val="-9"/>
          <w:sz w:val="19"/>
        </w:rPr>
        <w:t> </w:t>
      </w:r>
      <w:r>
        <w:rPr>
          <w:b/>
          <w:sz w:val="19"/>
        </w:rPr>
        <w:t>(2010),</w:t>
      </w:r>
      <w:r>
        <w:rPr>
          <w:b/>
          <w:spacing w:val="-12"/>
          <w:sz w:val="19"/>
        </w:rPr>
        <w:t> </w:t>
      </w:r>
      <w:r>
        <w:rPr>
          <w:sz w:val="19"/>
        </w:rPr>
        <w:t>‘Shadow</w:t>
      </w:r>
      <w:r>
        <w:rPr>
          <w:spacing w:val="-10"/>
          <w:sz w:val="19"/>
        </w:rPr>
        <w:t> </w:t>
      </w:r>
      <w:r>
        <w:rPr>
          <w:sz w:val="19"/>
        </w:rPr>
        <w:t>Banking’,</w:t>
      </w:r>
      <w:r>
        <w:rPr>
          <w:spacing w:val="-7"/>
          <w:sz w:val="19"/>
        </w:rPr>
        <w:t> </w:t>
      </w:r>
      <w:r>
        <w:rPr>
          <w:i/>
          <w:sz w:val="19"/>
        </w:rPr>
        <w:t>Federal</w:t>
      </w:r>
      <w:r>
        <w:rPr>
          <w:i/>
          <w:spacing w:val="-8"/>
          <w:sz w:val="19"/>
        </w:rPr>
        <w:t> </w:t>
      </w:r>
      <w:r>
        <w:rPr>
          <w:i/>
          <w:sz w:val="19"/>
        </w:rPr>
        <w:t>Reserve</w:t>
      </w:r>
      <w:r>
        <w:rPr>
          <w:i/>
          <w:spacing w:val="-10"/>
          <w:sz w:val="19"/>
        </w:rPr>
        <w:t> </w:t>
      </w:r>
      <w:r>
        <w:rPr>
          <w:i/>
          <w:sz w:val="19"/>
        </w:rPr>
        <w:t>Bank </w:t>
      </w:r>
      <w:r>
        <w:rPr>
          <w:i/>
          <w:sz w:val="19"/>
        </w:rPr>
        <w:t>of New York Staff Reports, No.</w:t>
      </w:r>
      <w:r>
        <w:rPr>
          <w:i/>
          <w:spacing w:val="-2"/>
          <w:sz w:val="19"/>
        </w:rPr>
        <w:t> </w:t>
      </w:r>
      <w:r>
        <w:rPr>
          <w:i/>
          <w:sz w:val="19"/>
        </w:rPr>
        <w:t>458</w:t>
      </w:r>
    </w:p>
    <w:p>
      <w:pPr>
        <w:pStyle w:val="BodyText"/>
        <w:spacing w:before="2"/>
        <w:rPr>
          <w:i/>
        </w:rPr>
      </w:pPr>
    </w:p>
    <w:p>
      <w:pPr>
        <w:spacing w:before="1"/>
        <w:ind w:left="634" w:right="205" w:firstLine="0"/>
        <w:jc w:val="left"/>
        <w:rPr>
          <w:i/>
          <w:sz w:val="19"/>
        </w:rPr>
      </w:pPr>
      <w:r>
        <w:rPr>
          <w:b/>
          <w:sz w:val="19"/>
        </w:rPr>
        <w:t>Roger,S and Vlcek,J (2011), ‘</w:t>
      </w:r>
      <w:r>
        <w:rPr>
          <w:sz w:val="19"/>
        </w:rPr>
        <w:t>Macrofinancial Modelling at Central Banks: Recent Developments and Future Directions’, </w:t>
      </w:r>
      <w:r>
        <w:rPr>
          <w:i/>
          <w:sz w:val="19"/>
        </w:rPr>
        <w:t>IMF Working Paper 12/21</w:t>
      </w:r>
    </w:p>
    <w:p>
      <w:pPr>
        <w:pStyle w:val="BodyText"/>
        <w:spacing w:before="3"/>
        <w:rPr>
          <w:i/>
        </w:rPr>
      </w:pPr>
    </w:p>
    <w:p>
      <w:pPr>
        <w:spacing w:before="0"/>
        <w:ind w:left="634" w:right="259" w:firstLine="0"/>
        <w:jc w:val="left"/>
        <w:rPr>
          <w:sz w:val="19"/>
        </w:rPr>
      </w:pPr>
      <w:r>
        <w:rPr>
          <w:b/>
          <w:sz w:val="19"/>
        </w:rPr>
        <w:t>Shakir,T and Tong, M (2014), </w:t>
      </w:r>
      <w:r>
        <w:rPr>
          <w:sz w:val="19"/>
        </w:rPr>
        <w:t>‘The interaction of the FPC and the MPC’, </w:t>
      </w:r>
      <w:r>
        <w:rPr>
          <w:i/>
          <w:sz w:val="19"/>
        </w:rPr>
        <w:t>Bank of England Quarterly </w:t>
      </w:r>
      <w:r>
        <w:rPr>
          <w:i/>
          <w:sz w:val="19"/>
        </w:rPr>
        <w:t>Bulletin Q4, </w:t>
      </w:r>
      <w:r>
        <w:rPr>
          <w:sz w:val="19"/>
        </w:rPr>
        <w:t>available at </w:t>
      </w:r>
      <w:hyperlink r:id="rId28">
        <w:r>
          <w:rPr>
            <w:color w:val="0000FF"/>
            <w:sz w:val="19"/>
            <w:u w:val="single" w:color="0000FF"/>
          </w:rPr>
          <w:t>http://www.bankofengland.co.uk/publications/Documents/quarterlybulletin/2014/qb14q403.pdf</w:t>
        </w:r>
      </w:hyperlink>
    </w:p>
    <w:p>
      <w:pPr>
        <w:pStyle w:val="BodyText"/>
        <w:rPr>
          <w:sz w:val="11"/>
        </w:rPr>
      </w:pPr>
    </w:p>
    <w:p>
      <w:pPr>
        <w:spacing w:before="93"/>
        <w:ind w:left="634" w:right="797" w:firstLine="0"/>
        <w:jc w:val="left"/>
        <w:rPr>
          <w:sz w:val="19"/>
        </w:rPr>
      </w:pPr>
      <w:r>
        <w:rPr>
          <w:b/>
          <w:sz w:val="19"/>
        </w:rPr>
        <w:t>Simon,H (1962), ‘</w:t>
      </w:r>
      <w:r>
        <w:rPr>
          <w:sz w:val="19"/>
        </w:rPr>
        <w:t>The Architecture of Complexity’, </w:t>
      </w:r>
      <w:r>
        <w:rPr>
          <w:i/>
          <w:sz w:val="19"/>
        </w:rPr>
        <w:t>Proceedings of the American Philosophical </w:t>
      </w:r>
      <w:r>
        <w:rPr>
          <w:i/>
          <w:sz w:val="19"/>
        </w:rPr>
        <w:t>Society</w:t>
      </w:r>
      <w:r>
        <w:rPr>
          <w:sz w:val="19"/>
        </w:rPr>
        <w:t>, Vol. 106, No. 6., pp. 467-482.</w:t>
      </w:r>
    </w:p>
    <w:p>
      <w:pPr>
        <w:pStyle w:val="BodyText"/>
        <w:spacing w:before="3"/>
      </w:pPr>
    </w:p>
    <w:p>
      <w:pPr>
        <w:pStyle w:val="BodyText"/>
        <w:ind w:left="634" w:right="1182"/>
      </w:pPr>
      <w:r>
        <w:rPr>
          <w:b/>
        </w:rPr>
        <w:t>Simplicity consulting (2012), </w:t>
      </w:r>
      <w:r>
        <w:rPr/>
        <w:t>‘True Cost of complexity in the banking sector’ available at </w:t>
      </w:r>
      <w:hyperlink r:id="rId29">
        <w:r>
          <w:rPr>
            <w:u w:val="single"/>
          </w:rPr>
          <w:t>http://www.simplicity-consulting.com/wp-</w:t>
        </w:r>
      </w:hyperlink>
      <w:r>
        <w:rPr/>
        <w:t> </w:t>
      </w:r>
      <w:r>
        <w:rPr>
          <w:u w:val="single"/>
        </w:rPr>
        <w:t>content/files_mf/1340875856BankingTrueCostofComplexity2012.pdf</w:t>
      </w:r>
    </w:p>
    <w:p>
      <w:pPr>
        <w:pStyle w:val="BodyText"/>
        <w:spacing w:before="2"/>
        <w:rPr>
          <w:sz w:val="11"/>
        </w:rPr>
      </w:pPr>
    </w:p>
    <w:p>
      <w:pPr>
        <w:spacing w:line="237" w:lineRule="auto" w:before="94"/>
        <w:ind w:left="634" w:right="860" w:firstLine="0"/>
        <w:jc w:val="left"/>
        <w:rPr>
          <w:sz w:val="19"/>
        </w:rPr>
      </w:pPr>
      <w:r>
        <w:rPr>
          <w:b/>
          <w:sz w:val="19"/>
        </w:rPr>
        <w:t>Smets, F (2013), </w:t>
      </w:r>
      <w:r>
        <w:rPr>
          <w:sz w:val="19"/>
        </w:rPr>
        <w:t>‘Financial Stability and Monetary Policy: How Closely Interlinked?’ </w:t>
      </w:r>
      <w:r>
        <w:rPr>
          <w:i/>
          <w:sz w:val="19"/>
        </w:rPr>
        <w:t>Sveriges </w:t>
      </w:r>
      <w:r>
        <w:rPr>
          <w:i/>
          <w:sz w:val="19"/>
        </w:rPr>
        <w:t>Riksbank Economic Review</w:t>
      </w:r>
      <w:r>
        <w:rPr>
          <w:sz w:val="19"/>
        </w:rPr>
        <w:t>.</w:t>
      </w:r>
    </w:p>
    <w:p>
      <w:pPr>
        <w:spacing w:after="0" w:line="237" w:lineRule="auto"/>
        <w:jc w:val="left"/>
        <w:rPr>
          <w:sz w:val="19"/>
        </w:rPr>
        <w:sectPr>
          <w:pgSz w:w="12240" w:h="15840"/>
          <w:pgMar w:header="0" w:footer="974" w:top="1280" w:bottom="1160" w:left="1240" w:right="1660"/>
        </w:sectPr>
      </w:pPr>
    </w:p>
    <w:p>
      <w:pPr>
        <w:pStyle w:val="Heading1"/>
        <w:spacing w:before="121"/>
        <w:ind w:left="635"/>
      </w:pPr>
      <w:r>
        <w:rPr/>
        <w:t>Chart 1: Joint Distributions of Simulated System of Systems</w:t>
      </w:r>
      <w:r>
        <w:rPr>
          <w:vertAlign w:val="superscript"/>
        </w:rPr>
        <w:t>(a)</w:t>
      </w:r>
    </w:p>
    <w:tbl>
      <w:tblPr>
        <w:tblW w:w="0" w:type="auto"/>
        <w:jc w:val="left"/>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48"/>
        <w:gridCol w:w="4348"/>
      </w:tblGrid>
      <w:tr>
        <w:trPr>
          <w:trHeight w:val="3519" w:hRule="atLeast"/>
        </w:trPr>
        <w:tc>
          <w:tcPr>
            <w:tcW w:w="4348" w:type="dxa"/>
          </w:tcPr>
          <w:p>
            <w:pPr>
              <w:pStyle w:val="TableParagraph"/>
              <w:spacing w:before="65"/>
              <w:ind w:left="101"/>
              <w:rPr>
                <w:sz w:val="22"/>
              </w:rPr>
            </w:pPr>
            <w:r>
              <w:rPr>
                <w:sz w:val="22"/>
              </w:rPr>
              <w:t>Chart 1a</w:t>
            </w:r>
          </w:p>
          <w:p>
            <w:pPr>
              <w:pStyle w:val="TableParagraph"/>
              <w:ind w:left="469"/>
              <w:rPr>
                <w:sz w:val="20"/>
              </w:rPr>
            </w:pPr>
            <w:r>
              <w:rPr>
                <w:sz w:val="20"/>
              </w:rPr>
              <w:drawing>
                <wp:inline distT="0" distB="0" distL="0" distR="0">
                  <wp:extent cx="2157318" cy="2033587"/>
                  <wp:effectExtent l="0" t="0" r="0" b="0"/>
                  <wp:docPr id="1" name="image2.jpeg"/>
                  <wp:cNvGraphicFramePr>
                    <a:graphicFrameLocks noChangeAspect="1"/>
                  </wp:cNvGraphicFramePr>
                  <a:graphic>
                    <a:graphicData uri="http://schemas.openxmlformats.org/drawingml/2006/picture">
                      <pic:pic>
                        <pic:nvPicPr>
                          <pic:cNvPr id="2" name="image2.jpeg"/>
                          <pic:cNvPicPr/>
                        </pic:nvPicPr>
                        <pic:blipFill>
                          <a:blip r:embed="rId30" cstate="print"/>
                          <a:stretch>
                            <a:fillRect/>
                          </a:stretch>
                        </pic:blipFill>
                        <pic:spPr>
                          <a:xfrm>
                            <a:off x="0" y="0"/>
                            <a:ext cx="2157318" cy="2033587"/>
                          </a:xfrm>
                          <a:prstGeom prst="rect">
                            <a:avLst/>
                          </a:prstGeom>
                        </pic:spPr>
                      </pic:pic>
                    </a:graphicData>
                  </a:graphic>
                </wp:inline>
              </w:drawing>
            </w:r>
            <w:r>
              <w:rPr>
                <w:sz w:val="20"/>
              </w:rPr>
            </w:r>
          </w:p>
        </w:tc>
        <w:tc>
          <w:tcPr>
            <w:tcW w:w="4348" w:type="dxa"/>
          </w:tcPr>
          <w:p>
            <w:pPr>
              <w:pStyle w:val="TableParagraph"/>
              <w:spacing w:before="65"/>
              <w:ind w:left="101"/>
              <w:rPr>
                <w:sz w:val="22"/>
              </w:rPr>
            </w:pPr>
            <w:r>
              <w:rPr>
                <w:sz w:val="22"/>
              </w:rPr>
              <w:t>Chart 1b</w:t>
            </w:r>
          </w:p>
          <w:p>
            <w:pPr>
              <w:pStyle w:val="TableParagraph"/>
              <w:ind w:left="463"/>
              <w:rPr>
                <w:sz w:val="20"/>
              </w:rPr>
            </w:pPr>
            <w:r>
              <w:rPr>
                <w:sz w:val="20"/>
              </w:rPr>
              <w:drawing>
                <wp:inline distT="0" distB="0" distL="0" distR="0">
                  <wp:extent cx="2161872" cy="2033587"/>
                  <wp:effectExtent l="0" t="0" r="0" b="0"/>
                  <wp:docPr id="3" name="image3.jpeg"/>
                  <wp:cNvGraphicFramePr>
                    <a:graphicFrameLocks noChangeAspect="1"/>
                  </wp:cNvGraphicFramePr>
                  <a:graphic>
                    <a:graphicData uri="http://schemas.openxmlformats.org/drawingml/2006/picture">
                      <pic:pic>
                        <pic:nvPicPr>
                          <pic:cNvPr id="4" name="image3.jpeg"/>
                          <pic:cNvPicPr/>
                        </pic:nvPicPr>
                        <pic:blipFill>
                          <a:blip r:embed="rId31" cstate="print"/>
                          <a:stretch>
                            <a:fillRect/>
                          </a:stretch>
                        </pic:blipFill>
                        <pic:spPr>
                          <a:xfrm>
                            <a:off x="0" y="0"/>
                            <a:ext cx="2161872" cy="2033587"/>
                          </a:xfrm>
                          <a:prstGeom prst="rect">
                            <a:avLst/>
                          </a:prstGeom>
                        </pic:spPr>
                      </pic:pic>
                    </a:graphicData>
                  </a:graphic>
                </wp:inline>
              </w:drawing>
            </w:r>
            <w:r>
              <w:rPr>
                <w:sz w:val="20"/>
              </w:rPr>
            </w:r>
          </w:p>
        </w:tc>
      </w:tr>
      <w:tr>
        <w:trPr>
          <w:trHeight w:val="3517" w:hRule="atLeast"/>
        </w:trPr>
        <w:tc>
          <w:tcPr>
            <w:tcW w:w="4348" w:type="dxa"/>
          </w:tcPr>
          <w:p>
            <w:pPr>
              <w:pStyle w:val="TableParagraph"/>
              <w:spacing w:before="63"/>
              <w:ind w:left="101"/>
              <w:rPr>
                <w:sz w:val="22"/>
              </w:rPr>
            </w:pPr>
            <w:r>
              <w:rPr>
                <w:sz w:val="22"/>
              </w:rPr>
              <w:t>Chart 1c</w:t>
            </w:r>
          </w:p>
          <w:p>
            <w:pPr>
              <w:pStyle w:val="TableParagraph"/>
              <w:ind w:left="469"/>
              <w:rPr>
                <w:sz w:val="20"/>
              </w:rPr>
            </w:pPr>
            <w:r>
              <w:rPr>
                <w:sz w:val="20"/>
              </w:rPr>
              <w:drawing>
                <wp:inline distT="0" distB="0" distL="0" distR="0">
                  <wp:extent cx="2158123" cy="2033587"/>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32" cstate="print"/>
                          <a:stretch>
                            <a:fillRect/>
                          </a:stretch>
                        </pic:blipFill>
                        <pic:spPr>
                          <a:xfrm>
                            <a:off x="0" y="0"/>
                            <a:ext cx="2158123" cy="2033587"/>
                          </a:xfrm>
                          <a:prstGeom prst="rect">
                            <a:avLst/>
                          </a:prstGeom>
                        </pic:spPr>
                      </pic:pic>
                    </a:graphicData>
                  </a:graphic>
                </wp:inline>
              </w:drawing>
            </w:r>
            <w:r>
              <w:rPr>
                <w:sz w:val="20"/>
              </w:rPr>
            </w:r>
          </w:p>
        </w:tc>
        <w:tc>
          <w:tcPr>
            <w:tcW w:w="4348" w:type="dxa"/>
          </w:tcPr>
          <w:p>
            <w:pPr>
              <w:pStyle w:val="TableParagraph"/>
              <w:spacing w:before="63"/>
              <w:ind w:left="101"/>
              <w:rPr>
                <w:sz w:val="22"/>
              </w:rPr>
            </w:pPr>
            <w:r>
              <w:rPr>
                <w:sz w:val="22"/>
              </w:rPr>
              <w:t>Chart 1d</w:t>
            </w:r>
          </w:p>
          <w:p>
            <w:pPr>
              <w:pStyle w:val="TableParagraph"/>
              <w:ind w:left="456"/>
              <w:rPr>
                <w:sz w:val="20"/>
              </w:rPr>
            </w:pPr>
            <w:r>
              <w:rPr>
                <w:sz w:val="20"/>
              </w:rPr>
              <w:drawing>
                <wp:inline distT="0" distB="0" distL="0" distR="0">
                  <wp:extent cx="2163439" cy="2033587"/>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33" cstate="print"/>
                          <a:stretch>
                            <a:fillRect/>
                          </a:stretch>
                        </pic:blipFill>
                        <pic:spPr>
                          <a:xfrm>
                            <a:off x="0" y="0"/>
                            <a:ext cx="2163439" cy="2033587"/>
                          </a:xfrm>
                          <a:prstGeom prst="rect">
                            <a:avLst/>
                          </a:prstGeom>
                        </pic:spPr>
                      </pic:pic>
                    </a:graphicData>
                  </a:graphic>
                </wp:inline>
              </w:drawing>
            </w:r>
            <w:r>
              <w:rPr>
                <w:sz w:val="20"/>
              </w:rPr>
            </w:r>
          </w:p>
        </w:tc>
      </w:tr>
      <w:tr>
        <w:trPr>
          <w:trHeight w:val="3517" w:hRule="atLeast"/>
        </w:trPr>
        <w:tc>
          <w:tcPr>
            <w:tcW w:w="4348" w:type="dxa"/>
          </w:tcPr>
          <w:p>
            <w:pPr>
              <w:pStyle w:val="TableParagraph"/>
              <w:spacing w:before="62"/>
              <w:ind w:left="101"/>
              <w:rPr>
                <w:sz w:val="22"/>
              </w:rPr>
            </w:pPr>
            <w:r>
              <w:rPr>
                <w:sz w:val="22"/>
              </w:rPr>
              <w:t>Chart 1e</w:t>
            </w:r>
          </w:p>
          <w:p>
            <w:pPr>
              <w:pStyle w:val="TableParagraph"/>
              <w:ind w:left="469"/>
              <w:rPr>
                <w:sz w:val="20"/>
              </w:rPr>
            </w:pPr>
            <w:r>
              <w:rPr>
                <w:sz w:val="20"/>
              </w:rPr>
              <w:drawing>
                <wp:inline distT="0" distB="0" distL="0" distR="0">
                  <wp:extent cx="2153567" cy="2033587"/>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34" cstate="print"/>
                          <a:stretch>
                            <a:fillRect/>
                          </a:stretch>
                        </pic:blipFill>
                        <pic:spPr>
                          <a:xfrm>
                            <a:off x="0" y="0"/>
                            <a:ext cx="2153567" cy="2033587"/>
                          </a:xfrm>
                          <a:prstGeom prst="rect">
                            <a:avLst/>
                          </a:prstGeom>
                        </pic:spPr>
                      </pic:pic>
                    </a:graphicData>
                  </a:graphic>
                </wp:inline>
              </w:drawing>
            </w:r>
            <w:r>
              <w:rPr>
                <w:sz w:val="20"/>
              </w:rPr>
            </w:r>
          </w:p>
        </w:tc>
        <w:tc>
          <w:tcPr>
            <w:tcW w:w="4348" w:type="dxa"/>
          </w:tcPr>
          <w:p>
            <w:pPr>
              <w:pStyle w:val="TableParagraph"/>
              <w:spacing w:before="62"/>
              <w:ind w:left="101"/>
              <w:rPr>
                <w:sz w:val="22"/>
              </w:rPr>
            </w:pPr>
            <w:r>
              <w:rPr>
                <w:sz w:val="22"/>
              </w:rPr>
              <w:t>Chart 1f</w:t>
            </w:r>
          </w:p>
          <w:p>
            <w:pPr>
              <w:pStyle w:val="TableParagraph"/>
              <w:rPr>
                <w:b/>
                <w:sz w:val="24"/>
              </w:rPr>
            </w:pPr>
          </w:p>
          <w:p>
            <w:pPr>
              <w:pStyle w:val="TableParagraph"/>
              <w:rPr>
                <w:b/>
                <w:sz w:val="24"/>
              </w:rPr>
            </w:pPr>
          </w:p>
          <w:p>
            <w:pPr>
              <w:pStyle w:val="TableParagraph"/>
              <w:rPr>
                <w:b/>
                <w:sz w:val="24"/>
              </w:rPr>
            </w:pPr>
          </w:p>
          <w:p>
            <w:pPr>
              <w:pStyle w:val="TableParagraph"/>
              <w:spacing w:before="5"/>
              <w:rPr>
                <w:b/>
                <w:sz w:val="27"/>
              </w:rPr>
            </w:pPr>
          </w:p>
          <w:p>
            <w:pPr>
              <w:pStyle w:val="TableParagraph"/>
              <w:ind w:left="2512"/>
              <w:rPr>
                <w:sz w:val="13"/>
              </w:rPr>
            </w:pPr>
            <w:r>
              <w:rPr>
                <w:color w:val="548ED4"/>
                <w:sz w:val="13"/>
              </w:rPr>
              <w:t>Conditional</w:t>
            </w:r>
          </w:p>
          <w:p>
            <w:pPr>
              <w:pStyle w:val="TableParagraph"/>
              <w:rPr>
                <w:b/>
                <w:sz w:val="14"/>
              </w:rPr>
            </w:pPr>
          </w:p>
          <w:p>
            <w:pPr>
              <w:pStyle w:val="TableParagraph"/>
              <w:rPr>
                <w:b/>
                <w:sz w:val="14"/>
              </w:rPr>
            </w:pPr>
          </w:p>
          <w:p>
            <w:pPr>
              <w:pStyle w:val="TableParagraph"/>
              <w:rPr>
                <w:b/>
                <w:sz w:val="14"/>
              </w:rPr>
            </w:pPr>
          </w:p>
          <w:p>
            <w:pPr>
              <w:pStyle w:val="TableParagraph"/>
              <w:spacing w:before="2"/>
              <w:rPr>
                <w:b/>
                <w:sz w:val="16"/>
              </w:rPr>
            </w:pPr>
          </w:p>
          <w:p>
            <w:pPr>
              <w:pStyle w:val="TableParagraph"/>
              <w:ind w:left="2851"/>
              <w:rPr>
                <w:sz w:val="13"/>
              </w:rPr>
            </w:pPr>
            <w:r>
              <w:rPr>
                <w:color w:val="FF0000"/>
                <w:sz w:val="13"/>
              </w:rPr>
              <w:t>Unconditional</w:t>
            </w:r>
          </w:p>
        </w:tc>
      </w:tr>
    </w:tbl>
    <w:p>
      <w:pPr>
        <w:pStyle w:val="ListParagraph"/>
        <w:numPr>
          <w:ilvl w:val="0"/>
          <w:numId w:val="3"/>
        </w:numPr>
        <w:tabs>
          <w:tab w:pos="838" w:val="left" w:leader="none"/>
        </w:tabs>
        <w:spacing w:line="240" w:lineRule="auto" w:before="0" w:after="0"/>
        <w:ind w:left="837" w:right="377" w:hanging="335"/>
        <w:jc w:val="left"/>
        <w:rPr>
          <w:sz w:val="15"/>
        </w:rPr>
      </w:pPr>
      <w:r>
        <w:rPr/>
        <w:drawing>
          <wp:anchor distT="0" distB="0" distL="0" distR="0" allowOverlap="1" layoutInCell="1" locked="0" behindDoc="1" simplePos="0" relativeHeight="248432640">
            <wp:simplePos x="0" y="0"/>
            <wp:positionH relativeFrom="page">
              <wp:posOffset>4181855</wp:posOffset>
            </wp:positionH>
            <wp:positionV relativeFrom="paragraph">
              <wp:posOffset>-2041970</wp:posOffset>
            </wp:positionV>
            <wp:extent cx="2162680" cy="2033587"/>
            <wp:effectExtent l="0" t="0" r="0" b="0"/>
            <wp:wrapNone/>
            <wp:docPr id="11" name="image7.jpeg"/>
            <wp:cNvGraphicFramePr>
              <a:graphicFrameLocks noChangeAspect="1"/>
            </wp:cNvGraphicFramePr>
            <a:graphic>
              <a:graphicData uri="http://schemas.openxmlformats.org/drawingml/2006/picture">
                <pic:pic>
                  <pic:nvPicPr>
                    <pic:cNvPr id="12" name="image7.jpeg"/>
                    <pic:cNvPicPr/>
                  </pic:nvPicPr>
                  <pic:blipFill>
                    <a:blip r:embed="rId35" cstate="print"/>
                    <a:stretch>
                      <a:fillRect/>
                    </a:stretch>
                  </pic:blipFill>
                  <pic:spPr>
                    <a:xfrm>
                      <a:off x="0" y="0"/>
                      <a:ext cx="2162680" cy="2033587"/>
                    </a:xfrm>
                    <a:prstGeom prst="rect">
                      <a:avLst/>
                    </a:prstGeom>
                  </pic:spPr>
                </pic:pic>
              </a:graphicData>
            </a:graphic>
          </wp:anchor>
        </w:drawing>
      </w:r>
      <w:r>
        <w:rPr>
          <w:sz w:val="15"/>
        </w:rPr>
        <w:t>Charts 1a-1f show a set of joint distributions produced by simulating one million random draws from individual distributions for a range of different input assumptions. These assumptions are described in Table</w:t>
      </w:r>
      <w:r>
        <w:rPr>
          <w:spacing w:val="-11"/>
          <w:sz w:val="15"/>
        </w:rPr>
        <w:t> </w:t>
      </w:r>
      <w:r>
        <w:rPr>
          <w:sz w:val="15"/>
        </w:rPr>
        <w:t>1.</w:t>
      </w:r>
    </w:p>
    <w:p>
      <w:pPr>
        <w:pStyle w:val="ListParagraph"/>
        <w:numPr>
          <w:ilvl w:val="0"/>
          <w:numId w:val="3"/>
        </w:numPr>
        <w:tabs>
          <w:tab w:pos="838" w:val="left" w:leader="none"/>
        </w:tabs>
        <w:spacing w:line="240" w:lineRule="auto" w:before="2" w:after="0"/>
        <w:ind w:left="837" w:right="293" w:hanging="335"/>
        <w:jc w:val="left"/>
        <w:rPr>
          <w:sz w:val="15"/>
        </w:rPr>
      </w:pPr>
      <w:r>
        <w:rPr>
          <w:sz w:val="15"/>
        </w:rPr>
        <w:t>The lines in Charts 1a-1e are isoquants where the combination of the </w:t>
      </w:r>
      <w:r>
        <w:rPr>
          <w:i/>
          <w:sz w:val="15"/>
        </w:rPr>
        <w:t>x </w:t>
      </w:r>
      <w:r>
        <w:rPr>
          <w:sz w:val="15"/>
        </w:rPr>
        <w:t>and </w:t>
      </w:r>
      <w:r>
        <w:rPr>
          <w:i/>
          <w:sz w:val="15"/>
        </w:rPr>
        <w:t>y </w:t>
      </w:r>
      <w:r>
        <w:rPr>
          <w:sz w:val="15"/>
        </w:rPr>
        <w:t>variables have the same observed frequency. They are analogous to the contour lines on relief maps or isobars on a weather map. Each successive isoquant moving towards the centre describes a higher observed frequency. They are based on simulations with a million</w:t>
      </w:r>
      <w:r>
        <w:rPr>
          <w:spacing w:val="-17"/>
          <w:sz w:val="15"/>
        </w:rPr>
        <w:t> </w:t>
      </w:r>
      <w:r>
        <w:rPr>
          <w:sz w:val="15"/>
        </w:rPr>
        <w:t>replications.</w:t>
      </w:r>
    </w:p>
    <w:p>
      <w:pPr>
        <w:pStyle w:val="ListParagraph"/>
        <w:numPr>
          <w:ilvl w:val="0"/>
          <w:numId w:val="3"/>
        </w:numPr>
        <w:tabs>
          <w:tab w:pos="838" w:val="left" w:leader="none"/>
        </w:tabs>
        <w:spacing w:line="240" w:lineRule="auto" w:before="0" w:after="0"/>
        <w:ind w:left="837" w:right="276" w:hanging="335"/>
        <w:jc w:val="left"/>
        <w:rPr>
          <w:sz w:val="15"/>
        </w:rPr>
      </w:pPr>
      <w:r>
        <w:rPr>
          <w:sz w:val="15"/>
        </w:rPr>
        <w:t>Chart 1f shows unconditional and conditional distributions consistent with one of the layers in Chart 1c. The latter conditions the distribution on outcomes lying in the lower half of the distribution of the other</w:t>
      </w:r>
      <w:r>
        <w:rPr>
          <w:spacing w:val="-9"/>
          <w:sz w:val="15"/>
        </w:rPr>
        <w:t> </w:t>
      </w:r>
      <w:r>
        <w:rPr>
          <w:sz w:val="15"/>
        </w:rPr>
        <w:t>layer.</w:t>
      </w:r>
    </w:p>
    <w:p>
      <w:pPr>
        <w:spacing w:after="0" w:line="240" w:lineRule="auto"/>
        <w:jc w:val="left"/>
        <w:rPr>
          <w:sz w:val="15"/>
        </w:rPr>
        <w:sectPr>
          <w:pgSz w:w="12240" w:h="15840"/>
          <w:pgMar w:header="0" w:footer="974" w:top="1300" w:bottom="1160" w:left="1240" w:right="1660"/>
        </w:sectPr>
      </w:pPr>
    </w:p>
    <w:p>
      <w:pPr>
        <w:pStyle w:val="BodyText"/>
        <w:rPr>
          <w:sz w:val="20"/>
        </w:rPr>
      </w:pPr>
    </w:p>
    <w:p>
      <w:pPr>
        <w:pStyle w:val="BodyText"/>
        <w:rPr>
          <w:sz w:val="20"/>
        </w:rPr>
      </w:pPr>
    </w:p>
    <w:p>
      <w:pPr>
        <w:pStyle w:val="BodyText"/>
        <w:spacing w:before="9"/>
        <w:rPr>
          <w:sz w:val="17"/>
        </w:rPr>
      </w:pPr>
    </w:p>
    <w:p>
      <w:pPr>
        <w:spacing w:before="134" w:after="2"/>
        <w:ind w:left="234" w:right="0" w:firstLine="0"/>
        <w:jc w:val="left"/>
        <w:rPr>
          <w:sz w:val="22"/>
        </w:rPr>
      </w:pPr>
      <w:r>
        <w:rPr>
          <w:b/>
          <w:sz w:val="22"/>
        </w:rPr>
        <w:t>Table 1: Case studies of Complex System of Systems</w:t>
      </w:r>
      <w:r>
        <w:rPr>
          <w:sz w:val="22"/>
          <w:vertAlign w:val="superscript"/>
        </w:rPr>
        <w:t>(a)</w:t>
      </w:r>
      <w:r>
        <w:rPr>
          <w:sz w:val="22"/>
          <w:vertAlign w:val="baseline"/>
        </w:rPr>
        <w:t> </w:t>
      </w:r>
      <w:r>
        <w:rPr>
          <w:sz w:val="22"/>
          <w:vertAlign w:val="superscript"/>
        </w:rPr>
        <w:t>(b)</w:t>
      </w:r>
      <w:r>
        <w:rPr>
          <w:sz w:val="22"/>
          <w:vertAlign w:val="baseline"/>
        </w:rPr>
        <w:t> </w:t>
      </w:r>
      <w:r>
        <w:rPr>
          <w:sz w:val="22"/>
          <w:vertAlign w:val="superscript"/>
        </w:rPr>
        <w:t>(c)</w:t>
      </w:r>
      <w:r>
        <w:rPr>
          <w:sz w:val="22"/>
          <w:vertAlign w:val="baseline"/>
        </w:rPr>
        <w:t> </w:t>
      </w:r>
      <w:r>
        <w:rPr>
          <w:sz w:val="22"/>
          <w:vertAlign w:val="superscript"/>
        </w:rPr>
        <w:t>(d)</w:t>
      </w:r>
      <w:r>
        <w:rPr>
          <w:sz w:val="22"/>
          <w:vertAlign w:val="baseline"/>
        </w:rPr>
        <w:t> </w:t>
      </w:r>
      <w:r>
        <w:rPr>
          <w:sz w:val="22"/>
          <w:vertAlign w:val="superscript"/>
        </w:rPr>
        <w:t>(e)</w:t>
      </w:r>
    </w:p>
    <w:tbl>
      <w:tblPr>
        <w:tblW w:w="0" w:type="auto"/>
        <w:jc w:val="left"/>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89"/>
        <w:gridCol w:w="1587"/>
        <w:gridCol w:w="2805"/>
        <w:gridCol w:w="2198"/>
        <w:gridCol w:w="1888"/>
        <w:gridCol w:w="2270"/>
        <w:gridCol w:w="1380"/>
      </w:tblGrid>
      <w:tr>
        <w:trPr>
          <w:trHeight w:val="1211" w:hRule="atLeast"/>
        </w:trPr>
        <w:tc>
          <w:tcPr>
            <w:tcW w:w="1589" w:type="dxa"/>
          </w:tcPr>
          <w:p>
            <w:pPr>
              <w:pStyle w:val="TableParagraph"/>
              <w:rPr>
                <w:sz w:val="20"/>
              </w:rPr>
            </w:pPr>
          </w:p>
          <w:p>
            <w:pPr>
              <w:pStyle w:val="TableParagraph"/>
              <w:spacing w:before="5"/>
              <w:rPr>
                <w:sz w:val="27"/>
              </w:rPr>
            </w:pPr>
          </w:p>
          <w:p>
            <w:pPr>
              <w:pStyle w:val="TableParagraph"/>
              <w:ind w:left="544" w:right="529"/>
              <w:jc w:val="center"/>
              <w:rPr>
                <w:b/>
                <w:sz w:val="19"/>
              </w:rPr>
            </w:pPr>
            <w:r>
              <w:rPr>
                <w:b/>
                <w:sz w:val="19"/>
              </w:rPr>
              <w:t>Case</w:t>
            </w:r>
          </w:p>
        </w:tc>
        <w:tc>
          <w:tcPr>
            <w:tcW w:w="1587" w:type="dxa"/>
          </w:tcPr>
          <w:p>
            <w:pPr>
              <w:pStyle w:val="TableParagraph"/>
              <w:rPr>
                <w:sz w:val="20"/>
              </w:rPr>
            </w:pPr>
          </w:p>
          <w:p>
            <w:pPr>
              <w:pStyle w:val="TableParagraph"/>
              <w:spacing w:before="5"/>
              <w:rPr>
                <w:sz w:val="27"/>
              </w:rPr>
            </w:pPr>
          </w:p>
          <w:p>
            <w:pPr>
              <w:pStyle w:val="TableParagraph"/>
              <w:ind w:left="200" w:right="185"/>
              <w:jc w:val="center"/>
              <w:rPr>
                <w:b/>
                <w:sz w:val="19"/>
              </w:rPr>
            </w:pPr>
            <w:r>
              <w:rPr>
                <w:b/>
                <w:sz w:val="19"/>
              </w:rPr>
              <w:t>No. of layers</w:t>
            </w:r>
          </w:p>
        </w:tc>
        <w:tc>
          <w:tcPr>
            <w:tcW w:w="2805" w:type="dxa"/>
          </w:tcPr>
          <w:p>
            <w:pPr>
              <w:pStyle w:val="TableParagraph"/>
              <w:rPr>
                <w:sz w:val="20"/>
              </w:rPr>
            </w:pPr>
          </w:p>
          <w:p>
            <w:pPr>
              <w:pStyle w:val="TableParagraph"/>
              <w:spacing w:before="5"/>
              <w:rPr>
                <w:sz w:val="27"/>
              </w:rPr>
            </w:pPr>
          </w:p>
          <w:p>
            <w:pPr>
              <w:pStyle w:val="TableParagraph"/>
              <w:ind w:left="1046" w:right="1033"/>
              <w:jc w:val="center"/>
              <w:rPr>
                <w:b/>
                <w:sz w:val="19"/>
              </w:rPr>
            </w:pPr>
            <w:r>
              <w:rPr>
                <w:b/>
                <w:sz w:val="19"/>
              </w:rPr>
              <w:t>Layer 1</w:t>
            </w:r>
          </w:p>
        </w:tc>
        <w:tc>
          <w:tcPr>
            <w:tcW w:w="2198" w:type="dxa"/>
          </w:tcPr>
          <w:p>
            <w:pPr>
              <w:pStyle w:val="TableParagraph"/>
              <w:rPr>
                <w:sz w:val="20"/>
              </w:rPr>
            </w:pPr>
          </w:p>
          <w:p>
            <w:pPr>
              <w:pStyle w:val="TableParagraph"/>
              <w:spacing w:before="5"/>
              <w:rPr>
                <w:sz w:val="27"/>
              </w:rPr>
            </w:pPr>
          </w:p>
          <w:p>
            <w:pPr>
              <w:pStyle w:val="TableParagraph"/>
              <w:ind w:left="743" w:right="728"/>
              <w:jc w:val="center"/>
              <w:rPr>
                <w:b/>
                <w:sz w:val="19"/>
              </w:rPr>
            </w:pPr>
            <w:r>
              <w:rPr>
                <w:b/>
                <w:sz w:val="19"/>
              </w:rPr>
              <w:t>Layer 2</w:t>
            </w:r>
          </w:p>
        </w:tc>
        <w:tc>
          <w:tcPr>
            <w:tcW w:w="1888" w:type="dxa"/>
          </w:tcPr>
          <w:p>
            <w:pPr>
              <w:pStyle w:val="TableParagraph"/>
              <w:rPr>
                <w:sz w:val="20"/>
              </w:rPr>
            </w:pPr>
          </w:p>
          <w:p>
            <w:pPr>
              <w:pStyle w:val="TableParagraph"/>
              <w:spacing w:before="5"/>
              <w:rPr>
                <w:sz w:val="27"/>
              </w:rPr>
            </w:pPr>
          </w:p>
          <w:p>
            <w:pPr>
              <w:pStyle w:val="TableParagraph"/>
              <w:ind w:left="587" w:right="574"/>
              <w:jc w:val="center"/>
              <w:rPr>
                <w:b/>
                <w:sz w:val="19"/>
              </w:rPr>
            </w:pPr>
            <w:r>
              <w:rPr>
                <w:b/>
                <w:sz w:val="19"/>
              </w:rPr>
              <w:t>Layer 3</w:t>
            </w:r>
          </w:p>
        </w:tc>
        <w:tc>
          <w:tcPr>
            <w:tcW w:w="2270" w:type="dxa"/>
          </w:tcPr>
          <w:p>
            <w:pPr>
              <w:pStyle w:val="TableParagraph"/>
              <w:rPr>
                <w:sz w:val="20"/>
              </w:rPr>
            </w:pPr>
          </w:p>
          <w:p>
            <w:pPr>
              <w:pStyle w:val="TableParagraph"/>
              <w:spacing w:before="5"/>
              <w:rPr>
                <w:sz w:val="27"/>
              </w:rPr>
            </w:pPr>
          </w:p>
          <w:p>
            <w:pPr>
              <w:pStyle w:val="TableParagraph"/>
              <w:ind w:left="441" w:right="427"/>
              <w:jc w:val="center"/>
              <w:rPr>
                <w:b/>
                <w:sz w:val="19"/>
              </w:rPr>
            </w:pPr>
            <w:r>
              <w:rPr>
                <w:b/>
                <w:sz w:val="19"/>
              </w:rPr>
              <w:t>Type of copula</w:t>
            </w:r>
          </w:p>
        </w:tc>
        <w:tc>
          <w:tcPr>
            <w:tcW w:w="1380" w:type="dxa"/>
          </w:tcPr>
          <w:p>
            <w:pPr>
              <w:pStyle w:val="TableParagraph"/>
              <w:rPr>
                <w:sz w:val="20"/>
              </w:rPr>
            </w:pPr>
          </w:p>
          <w:p>
            <w:pPr>
              <w:pStyle w:val="TableParagraph"/>
              <w:spacing w:before="5"/>
              <w:rPr>
                <w:sz w:val="27"/>
              </w:rPr>
            </w:pPr>
          </w:p>
          <w:p>
            <w:pPr>
              <w:pStyle w:val="TableParagraph"/>
              <w:ind w:left="159" w:right="147"/>
              <w:jc w:val="center"/>
              <w:rPr>
                <w:b/>
                <w:sz w:val="19"/>
              </w:rPr>
            </w:pPr>
            <w:r>
              <w:rPr>
                <w:b/>
                <w:sz w:val="19"/>
              </w:rPr>
              <w:t>Correlation</w:t>
            </w:r>
          </w:p>
        </w:tc>
      </w:tr>
      <w:tr>
        <w:trPr>
          <w:trHeight w:val="601" w:hRule="atLeast"/>
        </w:trPr>
        <w:tc>
          <w:tcPr>
            <w:tcW w:w="1589" w:type="dxa"/>
          </w:tcPr>
          <w:p>
            <w:pPr>
              <w:pStyle w:val="TableParagraph"/>
              <w:rPr>
                <w:sz w:val="20"/>
              </w:rPr>
            </w:pPr>
          </w:p>
          <w:p>
            <w:pPr>
              <w:pStyle w:val="TableParagraph"/>
              <w:spacing w:line="198" w:lineRule="exact" w:before="153"/>
              <w:ind w:left="15"/>
              <w:jc w:val="center"/>
              <w:rPr>
                <w:sz w:val="19"/>
              </w:rPr>
            </w:pPr>
            <w:r>
              <w:rPr>
                <w:w w:val="99"/>
                <w:sz w:val="19"/>
              </w:rPr>
              <w:t>1</w:t>
            </w:r>
          </w:p>
        </w:tc>
        <w:tc>
          <w:tcPr>
            <w:tcW w:w="1587" w:type="dxa"/>
          </w:tcPr>
          <w:p>
            <w:pPr>
              <w:pStyle w:val="TableParagraph"/>
              <w:rPr>
                <w:sz w:val="20"/>
              </w:rPr>
            </w:pPr>
          </w:p>
          <w:p>
            <w:pPr>
              <w:pStyle w:val="TableParagraph"/>
              <w:spacing w:line="198" w:lineRule="exact" w:before="153"/>
              <w:ind w:left="17"/>
              <w:jc w:val="center"/>
              <w:rPr>
                <w:sz w:val="19"/>
              </w:rPr>
            </w:pPr>
            <w:r>
              <w:rPr>
                <w:w w:val="99"/>
                <w:sz w:val="19"/>
              </w:rPr>
              <w:t>2</w:t>
            </w:r>
          </w:p>
        </w:tc>
        <w:tc>
          <w:tcPr>
            <w:tcW w:w="2805" w:type="dxa"/>
          </w:tcPr>
          <w:p>
            <w:pPr>
              <w:pStyle w:val="TableParagraph"/>
              <w:rPr>
                <w:sz w:val="20"/>
              </w:rPr>
            </w:pPr>
          </w:p>
          <w:p>
            <w:pPr>
              <w:pStyle w:val="TableParagraph"/>
              <w:spacing w:line="198" w:lineRule="exact" w:before="153"/>
              <w:ind w:left="1046" w:right="1033"/>
              <w:jc w:val="center"/>
              <w:rPr>
                <w:sz w:val="19"/>
              </w:rPr>
            </w:pPr>
            <w:r>
              <w:rPr>
                <w:sz w:val="19"/>
              </w:rPr>
              <w:t>Normal</w:t>
            </w:r>
          </w:p>
        </w:tc>
        <w:tc>
          <w:tcPr>
            <w:tcW w:w="2198" w:type="dxa"/>
          </w:tcPr>
          <w:p>
            <w:pPr>
              <w:pStyle w:val="TableParagraph"/>
              <w:rPr>
                <w:sz w:val="20"/>
              </w:rPr>
            </w:pPr>
          </w:p>
          <w:p>
            <w:pPr>
              <w:pStyle w:val="TableParagraph"/>
              <w:spacing w:line="198" w:lineRule="exact" w:before="153"/>
              <w:ind w:left="740" w:right="728"/>
              <w:jc w:val="center"/>
              <w:rPr>
                <w:sz w:val="19"/>
              </w:rPr>
            </w:pPr>
            <w:r>
              <w:rPr>
                <w:sz w:val="19"/>
              </w:rPr>
              <w:t>Normal</w:t>
            </w:r>
          </w:p>
        </w:tc>
        <w:tc>
          <w:tcPr>
            <w:tcW w:w="1888" w:type="dxa"/>
          </w:tcPr>
          <w:p>
            <w:pPr>
              <w:pStyle w:val="TableParagraph"/>
              <w:rPr>
                <w:rFonts w:ascii="Times New Roman"/>
                <w:sz w:val="14"/>
              </w:rPr>
            </w:pPr>
          </w:p>
        </w:tc>
        <w:tc>
          <w:tcPr>
            <w:tcW w:w="2270" w:type="dxa"/>
          </w:tcPr>
          <w:p>
            <w:pPr>
              <w:pStyle w:val="TableParagraph"/>
              <w:rPr>
                <w:sz w:val="20"/>
              </w:rPr>
            </w:pPr>
          </w:p>
          <w:p>
            <w:pPr>
              <w:pStyle w:val="TableParagraph"/>
              <w:spacing w:line="198" w:lineRule="exact" w:before="153"/>
              <w:ind w:left="439" w:right="427"/>
              <w:jc w:val="center"/>
              <w:rPr>
                <w:sz w:val="19"/>
              </w:rPr>
            </w:pPr>
            <w:r>
              <w:rPr>
                <w:sz w:val="19"/>
              </w:rPr>
              <w:t>Gaussian</w:t>
            </w:r>
          </w:p>
        </w:tc>
        <w:tc>
          <w:tcPr>
            <w:tcW w:w="1380" w:type="dxa"/>
          </w:tcPr>
          <w:p>
            <w:pPr>
              <w:pStyle w:val="TableParagraph"/>
              <w:rPr>
                <w:sz w:val="20"/>
              </w:rPr>
            </w:pPr>
          </w:p>
          <w:p>
            <w:pPr>
              <w:pStyle w:val="TableParagraph"/>
              <w:spacing w:line="198" w:lineRule="exact" w:before="153"/>
              <w:ind w:left="155" w:right="147"/>
              <w:jc w:val="center"/>
              <w:rPr>
                <w:sz w:val="19"/>
              </w:rPr>
            </w:pPr>
            <w:r>
              <w:rPr>
                <w:sz w:val="19"/>
              </w:rPr>
              <w:t>0.3</w:t>
            </w:r>
          </w:p>
        </w:tc>
      </w:tr>
      <w:tr>
        <w:trPr>
          <w:trHeight w:val="603" w:hRule="atLeast"/>
        </w:trPr>
        <w:tc>
          <w:tcPr>
            <w:tcW w:w="1589" w:type="dxa"/>
          </w:tcPr>
          <w:p>
            <w:pPr>
              <w:pStyle w:val="TableParagraph"/>
              <w:rPr>
                <w:sz w:val="20"/>
              </w:rPr>
            </w:pPr>
          </w:p>
          <w:p>
            <w:pPr>
              <w:pStyle w:val="TableParagraph"/>
              <w:spacing w:line="198" w:lineRule="exact" w:before="156"/>
              <w:ind w:left="15"/>
              <w:jc w:val="center"/>
              <w:rPr>
                <w:sz w:val="19"/>
              </w:rPr>
            </w:pPr>
            <w:r>
              <w:rPr>
                <w:w w:val="99"/>
                <w:sz w:val="19"/>
              </w:rPr>
              <w:t>2</w:t>
            </w:r>
          </w:p>
        </w:tc>
        <w:tc>
          <w:tcPr>
            <w:tcW w:w="1587" w:type="dxa"/>
          </w:tcPr>
          <w:p>
            <w:pPr>
              <w:pStyle w:val="TableParagraph"/>
              <w:rPr>
                <w:sz w:val="20"/>
              </w:rPr>
            </w:pPr>
          </w:p>
          <w:p>
            <w:pPr>
              <w:pStyle w:val="TableParagraph"/>
              <w:spacing w:line="198" w:lineRule="exact" w:before="156"/>
              <w:ind w:left="17"/>
              <w:jc w:val="center"/>
              <w:rPr>
                <w:sz w:val="19"/>
              </w:rPr>
            </w:pPr>
            <w:r>
              <w:rPr>
                <w:w w:val="99"/>
                <w:sz w:val="19"/>
              </w:rPr>
              <w:t>2</w:t>
            </w:r>
          </w:p>
        </w:tc>
        <w:tc>
          <w:tcPr>
            <w:tcW w:w="2805" w:type="dxa"/>
          </w:tcPr>
          <w:p>
            <w:pPr>
              <w:pStyle w:val="TableParagraph"/>
              <w:rPr>
                <w:sz w:val="20"/>
              </w:rPr>
            </w:pPr>
          </w:p>
          <w:p>
            <w:pPr>
              <w:pStyle w:val="TableParagraph"/>
              <w:spacing w:line="198" w:lineRule="exact" w:before="156"/>
              <w:ind w:left="1046" w:right="1033"/>
              <w:jc w:val="center"/>
              <w:rPr>
                <w:sz w:val="19"/>
              </w:rPr>
            </w:pPr>
            <w:r>
              <w:rPr>
                <w:sz w:val="19"/>
              </w:rPr>
              <w:t>Normal</w:t>
            </w:r>
          </w:p>
        </w:tc>
        <w:tc>
          <w:tcPr>
            <w:tcW w:w="2198" w:type="dxa"/>
          </w:tcPr>
          <w:p>
            <w:pPr>
              <w:pStyle w:val="TableParagraph"/>
              <w:rPr>
                <w:sz w:val="20"/>
              </w:rPr>
            </w:pPr>
          </w:p>
          <w:p>
            <w:pPr>
              <w:pStyle w:val="TableParagraph"/>
              <w:spacing w:line="198" w:lineRule="exact" w:before="156"/>
              <w:ind w:left="740" w:right="728"/>
              <w:jc w:val="center"/>
              <w:rPr>
                <w:sz w:val="19"/>
              </w:rPr>
            </w:pPr>
            <w:r>
              <w:rPr>
                <w:sz w:val="19"/>
              </w:rPr>
              <w:t>Normal</w:t>
            </w:r>
          </w:p>
        </w:tc>
        <w:tc>
          <w:tcPr>
            <w:tcW w:w="1888" w:type="dxa"/>
          </w:tcPr>
          <w:p>
            <w:pPr>
              <w:pStyle w:val="TableParagraph"/>
              <w:rPr>
                <w:rFonts w:ascii="Times New Roman"/>
                <w:sz w:val="14"/>
              </w:rPr>
            </w:pPr>
          </w:p>
        </w:tc>
        <w:tc>
          <w:tcPr>
            <w:tcW w:w="2270" w:type="dxa"/>
          </w:tcPr>
          <w:p>
            <w:pPr>
              <w:pStyle w:val="TableParagraph"/>
              <w:rPr>
                <w:sz w:val="20"/>
              </w:rPr>
            </w:pPr>
          </w:p>
          <w:p>
            <w:pPr>
              <w:pStyle w:val="TableParagraph"/>
              <w:spacing w:line="198" w:lineRule="exact" w:before="156"/>
              <w:ind w:left="438" w:right="427"/>
              <w:jc w:val="center"/>
              <w:rPr>
                <w:sz w:val="19"/>
              </w:rPr>
            </w:pPr>
            <w:r>
              <w:rPr>
                <w:sz w:val="19"/>
              </w:rPr>
              <w:t>Gaussian</w:t>
            </w:r>
          </w:p>
        </w:tc>
        <w:tc>
          <w:tcPr>
            <w:tcW w:w="1380" w:type="dxa"/>
          </w:tcPr>
          <w:p>
            <w:pPr>
              <w:pStyle w:val="TableParagraph"/>
              <w:rPr>
                <w:sz w:val="20"/>
              </w:rPr>
            </w:pPr>
          </w:p>
          <w:p>
            <w:pPr>
              <w:pStyle w:val="TableParagraph"/>
              <w:spacing w:line="198" w:lineRule="exact" w:before="156"/>
              <w:ind w:left="155" w:right="147"/>
              <w:jc w:val="center"/>
              <w:rPr>
                <w:sz w:val="19"/>
              </w:rPr>
            </w:pPr>
            <w:r>
              <w:rPr>
                <w:sz w:val="19"/>
              </w:rPr>
              <w:t>0.8</w:t>
            </w:r>
          </w:p>
        </w:tc>
      </w:tr>
      <w:tr>
        <w:trPr>
          <w:trHeight w:val="647" w:hRule="atLeast"/>
        </w:trPr>
        <w:tc>
          <w:tcPr>
            <w:tcW w:w="1589" w:type="dxa"/>
          </w:tcPr>
          <w:p>
            <w:pPr>
              <w:pStyle w:val="TableParagraph"/>
              <w:rPr>
                <w:sz w:val="20"/>
              </w:rPr>
            </w:pPr>
          </w:p>
          <w:p>
            <w:pPr>
              <w:pStyle w:val="TableParagraph"/>
              <w:spacing w:before="2"/>
              <w:rPr>
                <w:sz w:val="17"/>
              </w:rPr>
            </w:pPr>
          </w:p>
          <w:p>
            <w:pPr>
              <w:pStyle w:val="TableParagraph"/>
              <w:spacing w:line="199" w:lineRule="exact"/>
              <w:ind w:left="15"/>
              <w:jc w:val="center"/>
              <w:rPr>
                <w:sz w:val="19"/>
              </w:rPr>
            </w:pPr>
            <w:r>
              <w:rPr>
                <w:w w:val="99"/>
                <w:sz w:val="19"/>
              </w:rPr>
              <w:t>3</w:t>
            </w:r>
          </w:p>
        </w:tc>
        <w:tc>
          <w:tcPr>
            <w:tcW w:w="1587" w:type="dxa"/>
          </w:tcPr>
          <w:p>
            <w:pPr>
              <w:pStyle w:val="TableParagraph"/>
              <w:rPr>
                <w:sz w:val="20"/>
              </w:rPr>
            </w:pPr>
          </w:p>
          <w:p>
            <w:pPr>
              <w:pStyle w:val="TableParagraph"/>
              <w:spacing w:before="2"/>
              <w:rPr>
                <w:sz w:val="17"/>
              </w:rPr>
            </w:pPr>
          </w:p>
          <w:p>
            <w:pPr>
              <w:pStyle w:val="TableParagraph"/>
              <w:spacing w:line="199" w:lineRule="exact"/>
              <w:ind w:left="17"/>
              <w:jc w:val="center"/>
              <w:rPr>
                <w:sz w:val="19"/>
              </w:rPr>
            </w:pPr>
            <w:r>
              <w:rPr>
                <w:w w:val="99"/>
                <w:sz w:val="19"/>
              </w:rPr>
              <w:t>2</w:t>
            </w:r>
          </w:p>
        </w:tc>
        <w:tc>
          <w:tcPr>
            <w:tcW w:w="2805" w:type="dxa"/>
          </w:tcPr>
          <w:p>
            <w:pPr>
              <w:pStyle w:val="TableParagraph"/>
              <w:rPr>
                <w:sz w:val="20"/>
              </w:rPr>
            </w:pPr>
          </w:p>
          <w:p>
            <w:pPr>
              <w:pStyle w:val="TableParagraph"/>
              <w:spacing w:before="2"/>
              <w:rPr>
                <w:sz w:val="17"/>
              </w:rPr>
            </w:pPr>
          </w:p>
          <w:p>
            <w:pPr>
              <w:pStyle w:val="TableParagraph"/>
              <w:spacing w:line="199" w:lineRule="exact"/>
              <w:ind w:left="1046" w:right="1033"/>
              <w:jc w:val="center"/>
              <w:rPr>
                <w:sz w:val="19"/>
              </w:rPr>
            </w:pPr>
            <w:r>
              <w:rPr>
                <w:sz w:val="19"/>
              </w:rPr>
              <w:t>Normal</w:t>
            </w:r>
          </w:p>
        </w:tc>
        <w:tc>
          <w:tcPr>
            <w:tcW w:w="2198" w:type="dxa"/>
          </w:tcPr>
          <w:p>
            <w:pPr>
              <w:pStyle w:val="TableParagraph"/>
              <w:rPr>
                <w:sz w:val="20"/>
              </w:rPr>
            </w:pPr>
          </w:p>
          <w:p>
            <w:pPr>
              <w:pStyle w:val="TableParagraph"/>
              <w:spacing w:before="2"/>
              <w:rPr>
                <w:sz w:val="17"/>
              </w:rPr>
            </w:pPr>
          </w:p>
          <w:p>
            <w:pPr>
              <w:pStyle w:val="TableParagraph"/>
              <w:spacing w:line="199" w:lineRule="exact"/>
              <w:ind w:left="15"/>
              <w:jc w:val="center"/>
              <w:rPr>
                <w:sz w:val="19"/>
              </w:rPr>
            </w:pPr>
            <w:r>
              <w:rPr>
                <w:w w:val="99"/>
                <w:sz w:val="19"/>
              </w:rPr>
              <w:t>t</w:t>
            </w:r>
          </w:p>
        </w:tc>
        <w:tc>
          <w:tcPr>
            <w:tcW w:w="1888" w:type="dxa"/>
          </w:tcPr>
          <w:p>
            <w:pPr>
              <w:pStyle w:val="TableParagraph"/>
              <w:rPr>
                <w:rFonts w:ascii="Times New Roman"/>
                <w:sz w:val="14"/>
              </w:rPr>
            </w:pPr>
          </w:p>
        </w:tc>
        <w:tc>
          <w:tcPr>
            <w:tcW w:w="2270" w:type="dxa"/>
          </w:tcPr>
          <w:p>
            <w:pPr>
              <w:pStyle w:val="TableParagraph"/>
              <w:rPr>
                <w:sz w:val="20"/>
              </w:rPr>
            </w:pPr>
          </w:p>
          <w:p>
            <w:pPr>
              <w:pStyle w:val="TableParagraph"/>
              <w:spacing w:before="2"/>
              <w:rPr>
                <w:sz w:val="17"/>
              </w:rPr>
            </w:pPr>
          </w:p>
          <w:p>
            <w:pPr>
              <w:pStyle w:val="TableParagraph"/>
              <w:spacing w:line="199" w:lineRule="exact"/>
              <w:ind w:left="439" w:right="427"/>
              <w:jc w:val="center"/>
              <w:rPr>
                <w:sz w:val="19"/>
              </w:rPr>
            </w:pPr>
            <w:r>
              <w:rPr>
                <w:sz w:val="19"/>
              </w:rPr>
              <w:t>Gaussian</w:t>
            </w:r>
          </w:p>
        </w:tc>
        <w:tc>
          <w:tcPr>
            <w:tcW w:w="1380" w:type="dxa"/>
          </w:tcPr>
          <w:p>
            <w:pPr>
              <w:pStyle w:val="TableParagraph"/>
              <w:rPr>
                <w:sz w:val="20"/>
              </w:rPr>
            </w:pPr>
          </w:p>
          <w:p>
            <w:pPr>
              <w:pStyle w:val="TableParagraph"/>
              <w:spacing w:before="2"/>
              <w:rPr>
                <w:sz w:val="17"/>
              </w:rPr>
            </w:pPr>
          </w:p>
          <w:p>
            <w:pPr>
              <w:pStyle w:val="TableParagraph"/>
              <w:spacing w:line="199" w:lineRule="exact"/>
              <w:ind w:left="155" w:right="147"/>
              <w:jc w:val="center"/>
              <w:rPr>
                <w:sz w:val="19"/>
              </w:rPr>
            </w:pPr>
            <w:r>
              <w:rPr>
                <w:sz w:val="19"/>
              </w:rPr>
              <w:t>0.8</w:t>
            </w:r>
          </w:p>
        </w:tc>
      </w:tr>
      <w:tr>
        <w:trPr>
          <w:trHeight w:val="601" w:hRule="atLeast"/>
        </w:trPr>
        <w:tc>
          <w:tcPr>
            <w:tcW w:w="1589" w:type="dxa"/>
          </w:tcPr>
          <w:p>
            <w:pPr>
              <w:pStyle w:val="TableParagraph"/>
              <w:rPr>
                <w:sz w:val="20"/>
              </w:rPr>
            </w:pPr>
          </w:p>
          <w:p>
            <w:pPr>
              <w:pStyle w:val="TableParagraph"/>
              <w:spacing w:line="198" w:lineRule="exact" w:before="153"/>
              <w:ind w:left="15"/>
              <w:jc w:val="center"/>
              <w:rPr>
                <w:sz w:val="19"/>
              </w:rPr>
            </w:pPr>
            <w:r>
              <w:rPr>
                <w:w w:val="99"/>
                <w:sz w:val="19"/>
              </w:rPr>
              <w:t>4</w:t>
            </w:r>
          </w:p>
        </w:tc>
        <w:tc>
          <w:tcPr>
            <w:tcW w:w="1587" w:type="dxa"/>
          </w:tcPr>
          <w:p>
            <w:pPr>
              <w:pStyle w:val="TableParagraph"/>
              <w:rPr>
                <w:sz w:val="20"/>
              </w:rPr>
            </w:pPr>
          </w:p>
          <w:p>
            <w:pPr>
              <w:pStyle w:val="TableParagraph"/>
              <w:spacing w:line="198" w:lineRule="exact" w:before="153"/>
              <w:ind w:left="17"/>
              <w:jc w:val="center"/>
              <w:rPr>
                <w:sz w:val="19"/>
              </w:rPr>
            </w:pPr>
            <w:r>
              <w:rPr>
                <w:w w:val="99"/>
                <w:sz w:val="19"/>
              </w:rPr>
              <w:t>2</w:t>
            </w:r>
          </w:p>
        </w:tc>
        <w:tc>
          <w:tcPr>
            <w:tcW w:w="2805" w:type="dxa"/>
          </w:tcPr>
          <w:p>
            <w:pPr>
              <w:pStyle w:val="TableParagraph"/>
              <w:rPr>
                <w:sz w:val="20"/>
              </w:rPr>
            </w:pPr>
          </w:p>
          <w:p>
            <w:pPr>
              <w:pStyle w:val="TableParagraph"/>
              <w:spacing w:line="198" w:lineRule="exact" w:before="153"/>
              <w:ind w:left="1046" w:right="1032"/>
              <w:jc w:val="center"/>
              <w:rPr>
                <w:sz w:val="19"/>
              </w:rPr>
            </w:pPr>
            <w:r>
              <w:rPr>
                <w:sz w:val="19"/>
              </w:rPr>
              <w:t>Normal</w:t>
            </w:r>
          </w:p>
        </w:tc>
        <w:tc>
          <w:tcPr>
            <w:tcW w:w="2198" w:type="dxa"/>
          </w:tcPr>
          <w:p>
            <w:pPr>
              <w:pStyle w:val="TableParagraph"/>
              <w:rPr>
                <w:sz w:val="20"/>
              </w:rPr>
            </w:pPr>
          </w:p>
          <w:p>
            <w:pPr>
              <w:pStyle w:val="TableParagraph"/>
              <w:spacing w:line="198" w:lineRule="exact" w:before="153"/>
              <w:ind w:left="741" w:right="728"/>
              <w:jc w:val="center"/>
              <w:rPr>
                <w:sz w:val="19"/>
              </w:rPr>
            </w:pPr>
            <w:r>
              <w:rPr>
                <w:sz w:val="19"/>
              </w:rPr>
              <w:t>Normal</w:t>
            </w:r>
          </w:p>
        </w:tc>
        <w:tc>
          <w:tcPr>
            <w:tcW w:w="1888" w:type="dxa"/>
          </w:tcPr>
          <w:p>
            <w:pPr>
              <w:pStyle w:val="TableParagraph"/>
              <w:rPr>
                <w:rFonts w:ascii="Times New Roman"/>
                <w:sz w:val="14"/>
              </w:rPr>
            </w:pPr>
          </w:p>
        </w:tc>
        <w:tc>
          <w:tcPr>
            <w:tcW w:w="2270" w:type="dxa"/>
          </w:tcPr>
          <w:p>
            <w:pPr>
              <w:pStyle w:val="TableParagraph"/>
              <w:rPr>
                <w:sz w:val="20"/>
              </w:rPr>
            </w:pPr>
          </w:p>
          <w:p>
            <w:pPr>
              <w:pStyle w:val="TableParagraph"/>
              <w:spacing w:line="198" w:lineRule="exact" w:before="153"/>
              <w:ind w:left="437" w:right="427"/>
              <w:jc w:val="center"/>
              <w:rPr>
                <w:sz w:val="19"/>
              </w:rPr>
            </w:pPr>
            <w:r>
              <w:rPr>
                <w:sz w:val="19"/>
              </w:rPr>
              <w:t>Clayton</w:t>
            </w:r>
          </w:p>
        </w:tc>
        <w:tc>
          <w:tcPr>
            <w:tcW w:w="1380" w:type="dxa"/>
          </w:tcPr>
          <w:p>
            <w:pPr>
              <w:pStyle w:val="TableParagraph"/>
              <w:rPr>
                <w:sz w:val="20"/>
              </w:rPr>
            </w:pPr>
          </w:p>
          <w:p>
            <w:pPr>
              <w:pStyle w:val="TableParagraph"/>
              <w:spacing w:line="198" w:lineRule="exact" w:before="153"/>
              <w:ind w:left="154" w:right="147"/>
              <w:jc w:val="center"/>
              <w:rPr>
                <w:sz w:val="19"/>
              </w:rPr>
            </w:pPr>
            <w:r>
              <w:rPr>
                <w:sz w:val="19"/>
              </w:rPr>
              <w:t>0.8</w:t>
            </w:r>
          </w:p>
        </w:tc>
      </w:tr>
      <w:tr>
        <w:trPr>
          <w:trHeight w:val="648" w:hRule="atLeast"/>
        </w:trPr>
        <w:tc>
          <w:tcPr>
            <w:tcW w:w="1589" w:type="dxa"/>
            <w:tcBorders>
              <w:bottom w:val="single" w:sz="4" w:space="0" w:color="000000"/>
            </w:tcBorders>
          </w:tcPr>
          <w:p>
            <w:pPr>
              <w:pStyle w:val="TableParagraph"/>
              <w:rPr>
                <w:sz w:val="20"/>
              </w:rPr>
            </w:pPr>
          </w:p>
          <w:p>
            <w:pPr>
              <w:pStyle w:val="TableParagraph"/>
              <w:spacing w:before="3"/>
              <w:rPr>
                <w:sz w:val="17"/>
              </w:rPr>
            </w:pPr>
          </w:p>
          <w:p>
            <w:pPr>
              <w:pStyle w:val="TableParagraph"/>
              <w:spacing w:line="199" w:lineRule="exact"/>
              <w:ind w:left="15"/>
              <w:jc w:val="center"/>
              <w:rPr>
                <w:sz w:val="19"/>
              </w:rPr>
            </w:pPr>
            <w:r>
              <w:rPr>
                <w:w w:val="99"/>
                <w:sz w:val="19"/>
              </w:rPr>
              <w:t>5</w:t>
            </w:r>
          </w:p>
        </w:tc>
        <w:tc>
          <w:tcPr>
            <w:tcW w:w="1587" w:type="dxa"/>
            <w:tcBorders>
              <w:bottom w:val="single" w:sz="4" w:space="0" w:color="000000"/>
            </w:tcBorders>
          </w:tcPr>
          <w:p>
            <w:pPr>
              <w:pStyle w:val="TableParagraph"/>
              <w:rPr>
                <w:sz w:val="20"/>
              </w:rPr>
            </w:pPr>
          </w:p>
          <w:p>
            <w:pPr>
              <w:pStyle w:val="TableParagraph"/>
              <w:spacing w:before="3"/>
              <w:rPr>
                <w:sz w:val="17"/>
              </w:rPr>
            </w:pPr>
          </w:p>
          <w:p>
            <w:pPr>
              <w:pStyle w:val="TableParagraph"/>
              <w:spacing w:line="199" w:lineRule="exact"/>
              <w:ind w:left="17"/>
              <w:jc w:val="center"/>
              <w:rPr>
                <w:sz w:val="19"/>
              </w:rPr>
            </w:pPr>
            <w:r>
              <w:rPr>
                <w:w w:val="99"/>
                <w:sz w:val="19"/>
              </w:rPr>
              <w:t>3</w:t>
            </w:r>
          </w:p>
        </w:tc>
        <w:tc>
          <w:tcPr>
            <w:tcW w:w="2805" w:type="dxa"/>
            <w:tcBorders>
              <w:bottom w:val="single" w:sz="4" w:space="0" w:color="000000"/>
            </w:tcBorders>
          </w:tcPr>
          <w:p>
            <w:pPr>
              <w:pStyle w:val="TableParagraph"/>
              <w:rPr>
                <w:sz w:val="20"/>
              </w:rPr>
            </w:pPr>
          </w:p>
          <w:p>
            <w:pPr>
              <w:pStyle w:val="TableParagraph"/>
              <w:spacing w:before="3"/>
              <w:rPr>
                <w:sz w:val="17"/>
              </w:rPr>
            </w:pPr>
          </w:p>
          <w:p>
            <w:pPr>
              <w:pStyle w:val="TableParagraph"/>
              <w:spacing w:line="199" w:lineRule="exact"/>
              <w:ind w:left="15"/>
              <w:jc w:val="center"/>
              <w:rPr>
                <w:sz w:val="19"/>
              </w:rPr>
            </w:pPr>
            <w:r>
              <w:rPr>
                <w:w w:val="99"/>
                <w:sz w:val="19"/>
              </w:rPr>
              <w:t>t</w:t>
            </w:r>
          </w:p>
        </w:tc>
        <w:tc>
          <w:tcPr>
            <w:tcW w:w="2198" w:type="dxa"/>
            <w:tcBorders>
              <w:bottom w:val="single" w:sz="4" w:space="0" w:color="000000"/>
            </w:tcBorders>
          </w:tcPr>
          <w:p>
            <w:pPr>
              <w:pStyle w:val="TableParagraph"/>
              <w:rPr>
                <w:sz w:val="20"/>
              </w:rPr>
            </w:pPr>
          </w:p>
          <w:p>
            <w:pPr>
              <w:pStyle w:val="TableParagraph"/>
              <w:spacing w:before="3"/>
              <w:rPr>
                <w:sz w:val="17"/>
              </w:rPr>
            </w:pPr>
          </w:p>
          <w:p>
            <w:pPr>
              <w:pStyle w:val="TableParagraph"/>
              <w:spacing w:line="199" w:lineRule="exact"/>
              <w:ind w:left="16"/>
              <w:jc w:val="center"/>
              <w:rPr>
                <w:sz w:val="19"/>
              </w:rPr>
            </w:pPr>
            <w:r>
              <w:rPr>
                <w:w w:val="99"/>
                <w:sz w:val="19"/>
              </w:rPr>
              <w:t>t</w:t>
            </w:r>
          </w:p>
        </w:tc>
        <w:tc>
          <w:tcPr>
            <w:tcW w:w="1888" w:type="dxa"/>
            <w:tcBorders>
              <w:bottom w:val="single" w:sz="4" w:space="0" w:color="000000"/>
            </w:tcBorders>
          </w:tcPr>
          <w:p>
            <w:pPr>
              <w:pStyle w:val="TableParagraph"/>
              <w:rPr>
                <w:sz w:val="20"/>
              </w:rPr>
            </w:pPr>
          </w:p>
          <w:p>
            <w:pPr>
              <w:pStyle w:val="TableParagraph"/>
              <w:spacing w:before="3"/>
              <w:rPr>
                <w:sz w:val="17"/>
              </w:rPr>
            </w:pPr>
          </w:p>
          <w:p>
            <w:pPr>
              <w:pStyle w:val="TableParagraph"/>
              <w:spacing w:line="199" w:lineRule="exact"/>
              <w:ind w:left="586" w:right="574"/>
              <w:jc w:val="center"/>
              <w:rPr>
                <w:sz w:val="19"/>
              </w:rPr>
            </w:pPr>
            <w:r>
              <w:rPr>
                <w:sz w:val="19"/>
              </w:rPr>
              <w:t>Normal</w:t>
            </w:r>
          </w:p>
        </w:tc>
        <w:tc>
          <w:tcPr>
            <w:tcW w:w="2270" w:type="dxa"/>
            <w:tcBorders>
              <w:bottom w:val="single" w:sz="4" w:space="0" w:color="000000"/>
            </w:tcBorders>
          </w:tcPr>
          <w:p>
            <w:pPr>
              <w:pStyle w:val="TableParagraph"/>
              <w:rPr>
                <w:sz w:val="20"/>
              </w:rPr>
            </w:pPr>
          </w:p>
          <w:p>
            <w:pPr>
              <w:pStyle w:val="TableParagraph"/>
              <w:spacing w:before="3"/>
              <w:rPr>
                <w:sz w:val="17"/>
              </w:rPr>
            </w:pPr>
          </w:p>
          <w:p>
            <w:pPr>
              <w:pStyle w:val="TableParagraph"/>
              <w:spacing w:line="199" w:lineRule="exact"/>
              <w:ind w:left="438" w:right="427"/>
              <w:jc w:val="center"/>
              <w:rPr>
                <w:sz w:val="19"/>
              </w:rPr>
            </w:pPr>
            <w:r>
              <w:rPr>
                <w:sz w:val="19"/>
              </w:rPr>
              <w:t>Vine</w:t>
            </w:r>
          </w:p>
        </w:tc>
        <w:tc>
          <w:tcPr>
            <w:tcW w:w="1380" w:type="dxa"/>
            <w:tcBorders>
              <w:bottom w:val="single" w:sz="4" w:space="0" w:color="000000"/>
            </w:tcBorders>
          </w:tcPr>
          <w:p>
            <w:pPr>
              <w:pStyle w:val="TableParagraph"/>
              <w:rPr>
                <w:sz w:val="20"/>
              </w:rPr>
            </w:pPr>
          </w:p>
          <w:p>
            <w:pPr>
              <w:pStyle w:val="TableParagraph"/>
              <w:spacing w:before="3"/>
              <w:rPr>
                <w:sz w:val="17"/>
              </w:rPr>
            </w:pPr>
          </w:p>
          <w:p>
            <w:pPr>
              <w:pStyle w:val="TableParagraph"/>
              <w:spacing w:line="199" w:lineRule="exact"/>
              <w:ind w:left="155" w:right="147"/>
              <w:jc w:val="center"/>
              <w:rPr>
                <w:sz w:val="19"/>
              </w:rPr>
            </w:pPr>
            <w:r>
              <w:rPr>
                <w:sz w:val="19"/>
              </w:rPr>
              <w:t>0.8</w:t>
            </w:r>
          </w:p>
        </w:tc>
      </w:tr>
    </w:tbl>
    <w:p>
      <w:pPr>
        <w:pStyle w:val="BodyText"/>
        <w:rPr>
          <w:sz w:val="28"/>
        </w:rPr>
      </w:pPr>
    </w:p>
    <w:p>
      <w:pPr>
        <w:pStyle w:val="ListParagraph"/>
        <w:numPr>
          <w:ilvl w:val="0"/>
          <w:numId w:val="4"/>
        </w:numPr>
        <w:tabs>
          <w:tab w:pos="369" w:val="left" w:leader="none"/>
        </w:tabs>
        <w:spacing w:line="240" w:lineRule="auto" w:before="247" w:after="0"/>
        <w:ind w:left="368" w:right="1099" w:hanging="267"/>
        <w:jc w:val="left"/>
        <w:rPr>
          <w:sz w:val="15"/>
        </w:rPr>
      </w:pPr>
      <w:r>
        <w:rPr>
          <w:sz w:val="15"/>
        </w:rPr>
        <w:t>Case 1: the joint distribution is produced by simulating one million random draws from two normally distributed marginal distributions joined together with a Gaussian copula. The correlation between the marginal distributions was</w:t>
      </w:r>
      <w:r>
        <w:rPr>
          <w:spacing w:val="-2"/>
          <w:sz w:val="15"/>
        </w:rPr>
        <w:t> </w:t>
      </w:r>
      <w:r>
        <w:rPr>
          <w:sz w:val="15"/>
        </w:rPr>
        <w:t>0.3</w:t>
      </w:r>
    </w:p>
    <w:p>
      <w:pPr>
        <w:pStyle w:val="ListParagraph"/>
        <w:numPr>
          <w:ilvl w:val="0"/>
          <w:numId w:val="4"/>
        </w:numPr>
        <w:tabs>
          <w:tab w:pos="369" w:val="left" w:leader="none"/>
        </w:tabs>
        <w:spacing w:line="240" w:lineRule="auto" w:before="2" w:after="0"/>
        <w:ind w:left="368" w:right="0" w:hanging="268"/>
        <w:jc w:val="left"/>
        <w:rPr>
          <w:sz w:val="15"/>
        </w:rPr>
      </w:pPr>
      <w:r>
        <w:rPr>
          <w:sz w:val="15"/>
        </w:rPr>
        <w:t>Case 2: the same as Case 1 except the correlation was made stronger at</w:t>
      </w:r>
      <w:r>
        <w:rPr>
          <w:spacing w:val="-5"/>
          <w:sz w:val="15"/>
        </w:rPr>
        <w:t> </w:t>
      </w:r>
      <w:r>
        <w:rPr>
          <w:sz w:val="15"/>
        </w:rPr>
        <w:t>0.8.</w:t>
      </w:r>
    </w:p>
    <w:p>
      <w:pPr>
        <w:pStyle w:val="ListParagraph"/>
        <w:numPr>
          <w:ilvl w:val="0"/>
          <w:numId w:val="4"/>
        </w:numPr>
        <w:tabs>
          <w:tab w:pos="368" w:val="left" w:leader="none"/>
        </w:tabs>
        <w:spacing w:line="240" w:lineRule="auto" w:before="1" w:after="0"/>
        <w:ind w:left="368" w:right="1283" w:hanging="267"/>
        <w:jc w:val="left"/>
        <w:rPr>
          <w:sz w:val="15"/>
        </w:rPr>
      </w:pPr>
      <w:r>
        <w:rPr>
          <w:sz w:val="15"/>
        </w:rPr>
        <w:t>Case 3: the same as Case 2 except that one of the marginal distributions was assumed to be a </w:t>
      </w:r>
      <w:r>
        <w:rPr>
          <w:i/>
          <w:sz w:val="15"/>
        </w:rPr>
        <w:t>t </w:t>
      </w:r>
      <w:r>
        <w:rPr>
          <w:sz w:val="15"/>
        </w:rPr>
        <w:t>distribution (with 5 degrees of freedom) rather than a normal distribution. It therefore had somewhat ‘fatter’ tails, consistent with a wide array of evidence about the distribution of financial</w:t>
      </w:r>
      <w:r>
        <w:rPr>
          <w:spacing w:val="-8"/>
          <w:sz w:val="15"/>
        </w:rPr>
        <w:t> </w:t>
      </w:r>
      <w:r>
        <w:rPr>
          <w:sz w:val="15"/>
        </w:rPr>
        <w:t>variables.</w:t>
      </w:r>
    </w:p>
    <w:p>
      <w:pPr>
        <w:pStyle w:val="ListParagraph"/>
        <w:numPr>
          <w:ilvl w:val="0"/>
          <w:numId w:val="4"/>
        </w:numPr>
        <w:tabs>
          <w:tab w:pos="368" w:val="left" w:leader="none"/>
        </w:tabs>
        <w:spacing w:line="240" w:lineRule="auto" w:before="1" w:after="0"/>
        <w:ind w:left="368" w:right="774" w:hanging="267"/>
        <w:jc w:val="left"/>
        <w:rPr>
          <w:sz w:val="15"/>
        </w:rPr>
      </w:pPr>
      <w:r>
        <w:rPr>
          <w:sz w:val="15"/>
        </w:rPr>
        <w:t>Case 4: this is also the same as Case 2 except that the type of copula function used here is a ‘Clayton’ copula. It models the relationship between the distributions being joined together as being stronger at the lower tail of each distribution. That means that a negative event in one distribution is more likely to be associated with a negative event in the other than is the case with positive events equally far from the</w:t>
      </w:r>
      <w:r>
        <w:rPr>
          <w:spacing w:val="-4"/>
          <w:sz w:val="15"/>
        </w:rPr>
        <w:t> </w:t>
      </w:r>
      <w:r>
        <w:rPr>
          <w:sz w:val="15"/>
        </w:rPr>
        <w:t>mean.</w:t>
      </w:r>
    </w:p>
    <w:p>
      <w:pPr>
        <w:pStyle w:val="ListParagraph"/>
        <w:numPr>
          <w:ilvl w:val="0"/>
          <w:numId w:val="4"/>
        </w:numPr>
        <w:tabs>
          <w:tab w:pos="368" w:val="left" w:leader="none"/>
        </w:tabs>
        <w:spacing w:line="240" w:lineRule="auto" w:before="3" w:after="0"/>
        <w:ind w:left="368" w:right="701" w:hanging="267"/>
        <w:jc w:val="left"/>
        <w:rPr>
          <w:sz w:val="15"/>
        </w:rPr>
      </w:pPr>
      <w:r>
        <w:rPr>
          <w:sz w:val="15"/>
        </w:rPr>
        <w:t>Case 5: here there is a ‘tree’ structure where marginal distributions in the lowest layer are combined together to form joint distributions in the middle layer which are then combined to form a joint distribution in the third layer. The chart shows the contour lines of the joint distribution of the first two layers and is therefore comparable with the other charts. Here we used </w:t>
      </w:r>
      <w:r>
        <w:rPr>
          <w:i/>
          <w:sz w:val="15"/>
        </w:rPr>
        <w:t>t </w:t>
      </w:r>
      <w:r>
        <w:rPr>
          <w:sz w:val="15"/>
        </w:rPr>
        <w:t>distributions for both of the first two layers and an R vine copula which is more appropriate for in this sort of tree-like</w:t>
      </w:r>
      <w:r>
        <w:rPr>
          <w:spacing w:val="-11"/>
          <w:sz w:val="15"/>
        </w:rPr>
        <w:t> </w:t>
      </w:r>
      <w:r>
        <w:rPr>
          <w:sz w:val="15"/>
        </w:rPr>
        <w:t>structure.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7"/>
        </w:rPr>
      </w:pPr>
      <w:r>
        <w:rPr/>
        <w:pict>
          <v:shape style="position:absolute;margin-left:152.639999pt;margin-top:18.198345pt;width:486.85pt;height:.1pt;mso-position-horizontal-relative:page;mso-position-vertical-relative:paragraph;z-index:-251648000;mso-wrap-distance-left:0;mso-wrap-distance-right:0" coordorigin="3053,364" coordsize="9737,0" path="m3053,364l12790,364e" filled="false" stroked="true" strokeweight=".24005pt" strokecolor="#000000">
            <v:path arrowok="t"/>
            <v:stroke dashstyle="solid"/>
            <w10:wrap type="topAndBottom"/>
          </v:shape>
        </w:pict>
      </w:r>
    </w:p>
    <w:p>
      <w:pPr>
        <w:spacing w:line="7" w:lineRule="exact" w:before="0"/>
        <w:ind w:left="0" w:right="2850" w:firstLine="0"/>
        <w:jc w:val="right"/>
        <w:rPr>
          <w:sz w:val="2"/>
        </w:rPr>
      </w:pPr>
      <w:r>
        <w:rPr>
          <w:sz w:val="2"/>
        </w:rPr>
        <w:t>26</w:t>
      </w:r>
    </w:p>
    <w:p>
      <w:pPr>
        <w:pStyle w:val="BodyText"/>
        <w:tabs>
          <w:tab w:pos="11566" w:val="right" w:leader="none"/>
        </w:tabs>
        <w:spacing w:before="176"/>
        <w:ind w:left="2034"/>
      </w:pPr>
      <w:r>
        <w:rPr/>
        <w:t>All</w:t>
      </w:r>
      <w:r>
        <w:rPr>
          <w:spacing w:val="-10"/>
        </w:rPr>
        <w:t> </w:t>
      </w:r>
      <w:r>
        <w:rPr/>
        <w:t>speeches</w:t>
      </w:r>
      <w:r>
        <w:rPr>
          <w:spacing w:val="-9"/>
        </w:rPr>
        <w:t> </w:t>
      </w:r>
      <w:r>
        <w:rPr/>
        <w:t>are</w:t>
      </w:r>
      <w:r>
        <w:rPr>
          <w:spacing w:val="-8"/>
        </w:rPr>
        <w:t> </w:t>
      </w:r>
      <w:r>
        <w:rPr/>
        <w:t>available</w:t>
      </w:r>
      <w:r>
        <w:rPr>
          <w:spacing w:val="-10"/>
        </w:rPr>
        <w:t> </w:t>
      </w:r>
      <w:r>
        <w:rPr/>
        <w:t>online</w:t>
      </w:r>
      <w:r>
        <w:rPr>
          <w:spacing w:val="-9"/>
        </w:rPr>
        <w:t> </w:t>
      </w:r>
      <w:r>
        <w:rPr/>
        <w:t>at</w:t>
      </w:r>
      <w:r>
        <w:rPr>
          <w:spacing w:val="-8"/>
        </w:rPr>
        <w:t> </w:t>
      </w:r>
      <w:hyperlink r:id="rId6">
        <w:r>
          <w:rPr/>
          <w:t>www.bankofengland.co.uk/publications/Pages/speeches/default.aspx</w:t>
        </w:r>
      </w:hyperlink>
      <w:r>
        <w:rPr/>
        <w:tab/>
      </w:r>
      <w:r>
        <w:rPr>
          <w:position w:val="-1"/>
        </w:rPr>
        <w:t>26</w:t>
      </w:r>
    </w:p>
    <w:p>
      <w:pPr>
        <w:spacing w:after="0"/>
        <w:sectPr>
          <w:footerReference w:type="default" r:id="rId36"/>
          <w:pgSz w:w="15840" w:h="12240" w:orient="landscape"/>
          <w:pgMar w:footer="0" w:header="0" w:top="1140" w:bottom="280" w:left="1120" w:right="740"/>
        </w:sectPr>
      </w:pPr>
    </w:p>
    <w:p>
      <w:pPr>
        <w:pStyle w:val="Heading1"/>
        <w:ind w:left="1255"/>
      </w:pPr>
      <w:r>
        <w:rPr/>
        <w:t>Chart 2: The Macro-Financial System of Systems</w:t>
      </w:r>
    </w:p>
    <w:p>
      <w:pPr>
        <w:pStyle w:val="BodyText"/>
        <w:rPr>
          <w:b/>
          <w:sz w:val="20"/>
        </w:rPr>
      </w:pPr>
    </w:p>
    <w:p>
      <w:pPr>
        <w:pStyle w:val="BodyText"/>
        <w:rPr>
          <w:b/>
          <w:sz w:val="20"/>
        </w:rPr>
      </w:pPr>
    </w:p>
    <w:p>
      <w:pPr>
        <w:pStyle w:val="BodyText"/>
        <w:rPr>
          <w:b/>
          <w:sz w:val="20"/>
        </w:rPr>
      </w:pPr>
    </w:p>
    <w:p>
      <w:pPr>
        <w:pStyle w:val="BodyText"/>
        <w:spacing w:before="10"/>
        <w:rPr>
          <w:b/>
          <w:sz w:val="29"/>
        </w:rPr>
      </w:pPr>
      <w:r>
        <w:rPr/>
        <w:drawing>
          <wp:anchor distT="0" distB="0" distL="0" distR="0" allowOverlap="1" layoutInCell="1" locked="0" behindDoc="0" simplePos="0" relativeHeight="11">
            <wp:simplePos x="0" y="0"/>
            <wp:positionH relativeFrom="page">
              <wp:posOffset>459486</wp:posOffset>
            </wp:positionH>
            <wp:positionV relativeFrom="paragraph">
              <wp:posOffset>243128</wp:posOffset>
            </wp:positionV>
            <wp:extent cx="6753085" cy="5648325"/>
            <wp:effectExtent l="0" t="0" r="0" b="0"/>
            <wp:wrapTopAndBottom/>
            <wp:docPr id="13" name="image8.png"/>
            <wp:cNvGraphicFramePr>
              <a:graphicFrameLocks noChangeAspect="1"/>
            </wp:cNvGraphicFramePr>
            <a:graphic>
              <a:graphicData uri="http://schemas.openxmlformats.org/drawingml/2006/picture">
                <pic:pic>
                  <pic:nvPicPr>
                    <pic:cNvPr id="14" name="image8.png"/>
                    <pic:cNvPicPr/>
                  </pic:nvPicPr>
                  <pic:blipFill>
                    <a:blip r:embed="rId38" cstate="print"/>
                    <a:stretch>
                      <a:fillRect/>
                    </a:stretch>
                  </pic:blipFill>
                  <pic:spPr>
                    <a:xfrm>
                      <a:off x="0" y="0"/>
                      <a:ext cx="6753085" cy="5648325"/>
                    </a:xfrm>
                    <a:prstGeom prst="rect">
                      <a:avLst/>
                    </a:prstGeom>
                  </pic:spPr>
                </pic:pic>
              </a:graphicData>
            </a:graphic>
          </wp:anchor>
        </w:drawing>
      </w:r>
    </w:p>
    <w:p>
      <w:pPr>
        <w:spacing w:after="0"/>
        <w:rPr>
          <w:sz w:val="29"/>
        </w:rPr>
        <w:sectPr>
          <w:footerReference w:type="default" r:id="rId37"/>
          <w:pgSz w:w="12240" w:h="15840"/>
          <w:pgMar w:footer="1050" w:header="0" w:top="1340" w:bottom="1240" w:left="620" w:right="0"/>
          <w:pgNumType w:start="27"/>
        </w:sectPr>
      </w:pPr>
    </w:p>
    <w:p>
      <w:pPr>
        <w:spacing w:before="119" w:after="3"/>
        <w:ind w:left="1255" w:right="0" w:firstLine="0"/>
        <w:jc w:val="left"/>
        <w:rPr>
          <w:sz w:val="22"/>
        </w:rPr>
      </w:pPr>
      <w:r>
        <w:rPr>
          <w:b/>
          <w:sz w:val="22"/>
        </w:rPr>
        <w:t>Chart 3: Complexity of Global SIFIs (2006) </w:t>
      </w:r>
      <w:r>
        <w:rPr>
          <w:sz w:val="22"/>
          <w:vertAlign w:val="superscript"/>
        </w:rPr>
        <w:t>(a)</w:t>
      </w:r>
    </w:p>
    <w:tbl>
      <w:tblPr>
        <w:tblW w:w="0" w:type="auto"/>
        <w:jc w:val="left"/>
        <w:tblInd w:w="1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4"/>
        <w:gridCol w:w="4674"/>
      </w:tblGrid>
      <w:tr>
        <w:trPr>
          <w:trHeight w:val="432" w:hRule="atLeast"/>
        </w:trPr>
        <w:tc>
          <w:tcPr>
            <w:tcW w:w="4674" w:type="dxa"/>
          </w:tcPr>
          <w:p>
            <w:pPr>
              <w:pStyle w:val="TableParagraph"/>
              <w:spacing w:line="280" w:lineRule="exact" w:before="132"/>
              <w:ind w:left="101"/>
              <w:rPr>
                <w:sz w:val="26"/>
              </w:rPr>
            </w:pPr>
            <w:r>
              <w:rPr>
                <w:sz w:val="26"/>
              </w:rPr>
              <w:t>Size of Balance Sheet</w:t>
            </w:r>
            <w:r>
              <w:rPr>
                <w:sz w:val="26"/>
                <w:vertAlign w:val="superscript"/>
              </w:rPr>
              <w:t>(b)</w:t>
            </w:r>
          </w:p>
        </w:tc>
        <w:tc>
          <w:tcPr>
            <w:tcW w:w="4674" w:type="dxa"/>
          </w:tcPr>
          <w:p>
            <w:pPr>
              <w:pStyle w:val="TableParagraph"/>
              <w:spacing w:line="280" w:lineRule="exact" w:before="132"/>
              <w:ind w:left="101"/>
              <w:rPr>
                <w:sz w:val="26"/>
              </w:rPr>
            </w:pPr>
            <w:r>
              <w:rPr>
                <w:sz w:val="26"/>
              </w:rPr>
              <w:t>Notional Value of Derivatives</w:t>
            </w:r>
            <w:r>
              <w:rPr>
                <w:sz w:val="26"/>
                <w:vertAlign w:val="superscript"/>
              </w:rPr>
              <w:t>(c)</w:t>
            </w:r>
          </w:p>
        </w:tc>
      </w:tr>
      <w:tr>
        <w:trPr>
          <w:trHeight w:val="5103" w:hRule="atLeast"/>
        </w:trPr>
        <w:tc>
          <w:tcPr>
            <w:tcW w:w="467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6"/>
              <w:rPr>
                <w:sz w:val="10"/>
              </w:rPr>
            </w:pPr>
          </w:p>
          <w:p>
            <w:pPr>
              <w:pStyle w:val="TableParagraph"/>
              <w:ind w:left="431"/>
              <w:rPr>
                <w:sz w:val="20"/>
              </w:rPr>
            </w:pPr>
            <w:r>
              <w:rPr>
                <w:sz w:val="20"/>
              </w:rPr>
              <w:drawing>
                <wp:inline distT="0" distB="0" distL="0" distR="0">
                  <wp:extent cx="2361534" cy="2057400"/>
                  <wp:effectExtent l="0" t="0" r="0" b="0"/>
                  <wp:docPr id="15" name="image9.jpeg"/>
                  <wp:cNvGraphicFramePr>
                    <a:graphicFrameLocks noChangeAspect="1"/>
                  </wp:cNvGraphicFramePr>
                  <a:graphic>
                    <a:graphicData uri="http://schemas.openxmlformats.org/drawingml/2006/picture">
                      <pic:pic>
                        <pic:nvPicPr>
                          <pic:cNvPr id="16" name="image9.jpeg"/>
                          <pic:cNvPicPr/>
                        </pic:nvPicPr>
                        <pic:blipFill>
                          <a:blip r:embed="rId39" cstate="print"/>
                          <a:stretch>
                            <a:fillRect/>
                          </a:stretch>
                        </pic:blipFill>
                        <pic:spPr>
                          <a:xfrm>
                            <a:off x="0" y="0"/>
                            <a:ext cx="2361534" cy="2057400"/>
                          </a:xfrm>
                          <a:prstGeom prst="rect">
                            <a:avLst/>
                          </a:prstGeom>
                        </pic:spPr>
                      </pic:pic>
                    </a:graphicData>
                  </a:graphic>
                </wp:inline>
              </w:drawing>
            </w:r>
            <w:r>
              <w:rPr>
                <w:sz w:val="20"/>
              </w:rPr>
            </w:r>
          </w:p>
        </w:tc>
        <w:tc>
          <w:tcPr>
            <w:tcW w:w="4674"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9"/>
              <w:rPr>
                <w:sz w:val="15"/>
              </w:rPr>
            </w:pPr>
          </w:p>
          <w:p>
            <w:pPr>
              <w:pStyle w:val="TableParagraph"/>
              <w:ind w:left="431"/>
              <w:rPr>
                <w:sz w:val="20"/>
              </w:rPr>
            </w:pPr>
            <w:r>
              <w:rPr>
                <w:sz w:val="20"/>
              </w:rPr>
              <w:drawing>
                <wp:inline distT="0" distB="0" distL="0" distR="0">
                  <wp:extent cx="2285190" cy="2019300"/>
                  <wp:effectExtent l="0" t="0" r="0" b="0"/>
                  <wp:docPr id="17" name="image10.jpeg"/>
                  <wp:cNvGraphicFramePr>
                    <a:graphicFrameLocks noChangeAspect="1"/>
                  </wp:cNvGraphicFramePr>
                  <a:graphic>
                    <a:graphicData uri="http://schemas.openxmlformats.org/drawingml/2006/picture">
                      <pic:pic>
                        <pic:nvPicPr>
                          <pic:cNvPr id="18" name="image10.jpeg"/>
                          <pic:cNvPicPr/>
                        </pic:nvPicPr>
                        <pic:blipFill>
                          <a:blip r:embed="rId40" cstate="print"/>
                          <a:stretch>
                            <a:fillRect/>
                          </a:stretch>
                        </pic:blipFill>
                        <pic:spPr>
                          <a:xfrm>
                            <a:off x="0" y="0"/>
                            <a:ext cx="2285190" cy="2019300"/>
                          </a:xfrm>
                          <a:prstGeom prst="rect">
                            <a:avLst/>
                          </a:prstGeom>
                        </pic:spPr>
                      </pic:pic>
                    </a:graphicData>
                  </a:graphic>
                </wp:inline>
              </w:drawing>
            </w:r>
            <w:r>
              <w:rPr>
                <w:sz w:val="20"/>
              </w:rPr>
            </w:r>
          </w:p>
        </w:tc>
      </w:tr>
      <w:tr>
        <w:trPr>
          <w:trHeight w:val="355" w:hRule="atLeast"/>
        </w:trPr>
        <w:tc>
          <w:tcPr>
            <w:tcW w:w="4674" w:type="dxa"/>
          </w:tcPr>
          <w:p>
            <w:pPr>
              <w:pStyle w:val="TableParagraph"/>
              <w:spacing w:line="280" w:lineRule="exact" w:before="56"/>
              <w:ind w:left="101"/>
              <w:rPr>
                <w:sz w:val="26"/>
              </w:rPr>
            </w:pPr>
            <w:r>
              <w:rPr>
                <w:sz w:val="26"/>
              </w:rPr>
              <w:t>Number of Legal Entities</w:t>
            </w:r>
            <w:r>
              <w:rPr>
                <w:sz w:val="26"/>
                <w:vertAlign w:val="superscript"/>
              </w:rPr>
              <w:t>(d)</w:t>
            </w:r>
          </w:p>
        </w:tc>
        <w:tc>
          <w:tcPr>
            <w:tcW w:w="4674" w:type="dxa"/>
          </w:tcPr>
          <w:p>
            <w:pPr>
              <w:pStyle w:val="TableParagraph"/>
              <w:spacing w:line="280" w:lineRule="exact" w:before="56"/>
              <w:ind w:left="101"/>
              <w:rPr>
                <w:sz w:val="26"/>
              </w:rPr>
            </w:pPr>
            <w:r>
              <w:rPr>
                <w:sz w:val="26"/>
              </w:rPr>
              <w:t>Trading Assets (% of Total Assets) </w:t>
            </w:r>
            <w:r>
              <w:rPr>
                <w:sz w:val="26"/>
                <w:vertAlign w:val="superscript"/>
              </w:rPr>
              <w:t>(e)</w:t>
            </w:r>
          </w:p>
        </w:tc>
      </w:tr>
      <w:tr>
        <w:trPr>
          <w:trHeight w:val="5106" w:hRule="atLeast"/>
        </w:trPr>
        <w:tc>
          <w:tcPr>
            <w:tcW w:w="4674" w:type="dxa"/>
          </w:tcPr>
          <w:p>
            <w:pPr>
              <w:pStyle w:val="TableParagraph"/>
              <w:rPr>
                <w:sz w:val="20"/>
              </w:rPr>
            </w:pPr>
          </w:p>
          <w:p>
            <w:pPr>
              <w:pStyle w:val="TableParagraph"/>
              <w:rPr>
                <w:sz w:val="20"/>
              </w:rPr>
            </w:pPr>
          </w:p>
          <w:p>
            <w:pPr>
              <w:pStyle w:val="TableParagraph"/>
              <w:rPr>
                <w:sz w:val="20"/>
              </w:rPr>
            </w:pPr>
          </w:p>
          <w:p>
            <w:pPr>
              <w:pStyle w:val="TableParagraph"/>
              <w:spacing w:before="2"/>
              <w:rPr>
                <w:sz w:val="20"/>
              </w:rPr>
            </w:pPr>
          </w:p>
          <w:p>
            <w:pPr>
              <w:pStyle w:val="TableParagraph"/>
              <w:ind w:left="371"/>
              <w:rPr>
                <w:sz w:val="20"/>
              </w:rPr>
            </w:pPr>
            <w:r>
              <w:rPr>
                <w:sz w:val="20"/>
              </w:rPr>
              <w:drawing>
                <wp:inline distT="0" distB="0" distL="0" distR="0">
                  <wp:extent cx="2400986" cy="2133600"/>
                  <wp:effectExtent l="0" t="0" r="0" b="0"/>
                  <wp:docPr id="19" name="image11.jpeg"/>
                  <wp:cNvGraphicFramePr>
                    <a:graphicFrameLocks noChangeAspect="1"/>
                  </wp:cNvGraphicFramePr>
                  <a:graphic>
                    <a:graphicData uri="http://schemas.openxmlformats.org/drawingml/2006/picture">
                      <pic:pic>
                        <pic:nvPicPr>
                          <pic:cNvPr id="20" name="image11.jpeg"/>
                          <pic:cNvPicPr/>
                        </pic:nvPicPr>
                        <pic:blipFill>
                          <a:blip r:embed="rId41" cstate="print"/>
                          <a:stretch>
                            <a:fillRect/>
                          </a:stretch>
                        </pic:blipFill>
                        <pic:spPr>
                          <a:xfrm>
                            <a:off x="0" y="0"/>
                            <a:ext cx="2400986" cy="2133600"/>
                          </a:xfrm>
                          <a:prstGeom prst="rect">
                            <a:avLst/>
                          </a:prstGeom>
                        </pic:spPr>
                      </pic:pic>
                    </a:graphicData>
                  </a:graphic>
                </wp:inline>
              </w:drawing>
            </w:r>
            <w:r>
              <w:rPr>
                <w:sz w:val="20"/>
              </w:rPr>
            </w:r>
          </w:p>
        </w:tc>
        <w:tc>
          <w:tcPr>
            <w:tcW w:w="4674" w:type="dxa"/>
          </w:tcPr>
          <w:p>
            <w:pPr>
              <w:pStyle w:val="TableParagraph"/>
              <w:rPr>
                <w:sz w:val="20"/>
              </w:rPr>
            </w:pPr>
          </w:p>
          <w:p>
            <w:pPr>
              <w:pStyle w:val="TableParagraph"/>
              <w:rPr>
                <w:sz w:val="20"/>
              </w:rPr>
            </w:pPr>
          </w:p>
          <w:p>
            <w:pPr>
              <w:pStyle w:val="TableParagraph"/>
              <w:rPr>
                <w:sz w:val="20"/>
              </w:rPr>
            </w:pPr>
          </w:p>
          <w:p>
            <w:pPr>
              <w:pStyle w:val="TableParagraph"/>
              <w:spacing w:before="4"/>
              <w:rPr>
                <w:sz w:val="12"/>
              </w:rPr>
            </w:pPr>
          </w:p>
          <w:p>
            <w:pPr>
              <w:pStyle w:val="TableParagraph"/>
              <w:ind w:left="552"/>
              <w:rPr>
                <w:sz w:val="20"/>
              </w:rPr>
            </w:pPr>
            <w:r>
              <w:rPr>
                <w:sz w:val="20"/>
              </w:rPr>
              <w:drawing>
                <wp:inline distT="0" distB="0" distL="0" distR="0">
                  <wp:extent cx="2210098" cy="2209800"/>
                  <wp:effectExtent l="0" t="0" r="0" b="0"/>
                  <wp:docPr id="21" name="image12.jpeg"/>
                  <wp:cNvGraphicFramePr>
                    <a:graphicFrameLocks noChangeAspect="1"/>
                  </wp:cNvGraphicFramePr>
                  <a:graphic>
                    <a:graphicData uri="http://schemas.openxmlformats.org/drawingml/2006/picture">
                      <pic:pic>
                        <pic:nvPicPr>
                          <pic:cNvPr id="22" name="image12.jpeg"/>
                          <pic:cNvPicPr/>
                        </pic:nvPicPr>
                        <pic:blipFill>
                          <a:blip r:embed="rId42" cstate="print"/>
                          <a:stretch>
                            <a:fillRect/>
                          </a:stretch>
                        </pic:blipFill>
                        <pic:spPr>
                          <a:xfrm>
                            <a:off x="0" y="0"/>
                            <a:ext cx="2210098" cy="2209800"/>
                          </a:xfrm>
                          <a:prstGeom prst="rect">
                            <a:avLst/>
                          </a:prstGeom>
                        </pic:spPr>
                      </pic:pic>
                    </a:graphicData>
                  </a:graphic>
                </wp:inline>
              </w:drawing>
            </w:r>
            <w:r>
              <w:rPr>
                <w:sz w:val="20"/>
              </w:rPr>
            </w:r>
          </w:p>
        </w:tc>
      </w:tr>
    </w:tbl>
    <w:p>
      <w:pPr>
        <w:spacing w:before="92"/>
        <w:ind w:left="1122" w:right="0" w:firstLine="0"/>
        <w:jc w:val="left"/>
        <w:rPr>
          <w:sz w:val="15"/>
        </w:rPr>
      </w:pPr>
      <w:r>
        <w:rPr>
          <w:sz w:val="15"/>
        </w:rPr>
        <w:t>Sources: SNL Financial, FDIC, bank annual reports, staff calculations.</w:t>
      </w:r>
    </w:p>
    <w:p>
      <w:pPr>
        <w:pStyle w:val="ListParagraph"/>
        <w:numPr>
          <w:ilvl w:val="1"/>
          <w:numId w:val="4"/>
        </w:numPr>
        <w:tabs>
          <w:tab w:pos="1389" w:val="left" w:leader="none"/>
        </w:tabs>
        <w:spacing w:line="240" w:lineRule="auto" w:before="0" w:after="0"/>
        <w:ind w:left="1388" w:right="2189" w:hanging="267"/>
        <w:jc w:val="left"/>
        <w:rPr>
          <w:sz w:val="15"/>
        </w:rPr>
      </w:pPr>
      <w:r>
        <w:rPr>
          <w:sz w:val="15"/>
        </w:rPr>
        <w:t>These charts show four different balance sheet metrics for each of the designated SIFIs (as at November 2013 excluding Groupe BPCE). Japanese bank data as at March 2007. Assets as reported except for US banks (IFRS estimates). Derivatives reported in notional terms. Values correspond to width of bubbles, all in</w:t>
      </w:r>
      <w:r>
        <w:rPr>
          <w:spacing w:val="-8"/>
          <w:sz w:val="15"/>
        </w:rPr>
        <w:t> </w:t>
      </w:r>
      <w:r>
        <w:rPr>
          <w:sz w:val="15"/>
        </w:rPr>
        <w:t>USD.</w:t>
      </w:r>
    </w:p>
    <w:p>
      <w:pPr>
        <w:pStyle w:val="ListParagraph"/>
        <w:numPr>
          <w:ilvl w:val="1"/>
          <w:numId w:val="4"/>
        </w:numPr>
        <w:tabs>
          <w:tab w:pos="1431" w:val="left" w:leader="none"/>
        </w:tabs>
        <w:spacing w:line="240" w:lineRule="auto" w:before="2" w:after="0"/>
        <w:ind w:left="1430" w:right="0" w:hanging="309"/>
        <w:jc w:val="left"/>
        <w:rPr>
          <w:sz w:val="15"/>
        </w:rPr>
      </w:pPr>
      <w:r>
        <w:rPr>
          <w:sz w:val="15"/>
        </w:rPr>
        <w:t>This chart shows the size of the balance sheet for each of the designated</w:t>
      </w:r>
      <w:r>
        <w:rPr>
          <w:spacing w:val="-5"/>
          <w:sz w:val="15"/>
        </w:rPr>
        <w:t> </w:t>
      </w:r>
      <w:r>
        <w:rPr>
          <w:sz w:val="15"/>
        </w:rPr>
        <w:t>SIFIs.</w:t>
      </w:r>
    </w:p>
    <w:p>
      <w:pPr>
        <w:pStyle w:val="ListParagraph"/>
        <w:numPr>
          <w:ilvl w:val="1"/>
          <w:numId w:val="4"/>
        </w:numPr>
        <w:tabs>
          <w:tab w:pos="1431" w:val="left" w:leader="none"/>
        </w:tabs>
        <w:spacing w:line="240" w:lineRule="auto" w:before="1" w:after="0"/>
        <w:ind w:left="1430" w:right="0" w:hanging="309"/>
        <w:jc w:val="left"/>
        <w:rPr>
          <w:sz w:val="15"/>
        </w:rPr>
      </w:pPr>
      <w:r>
        <w:rPr>
          <w:sz w:val="15"/>
        </w:rPr>
        <w:t>This chart shows the notional value of the derivatives portfolio of each of the designated</w:t>
      </w:r>
      <w:r>
        <w:rPr>
          <w:spacing w:val="-12"/>
          <w:sz w:val="15"/>
        </w:rPr>
        <w:t> </w:t>
      </w:r>
      <w:r>
        <w:rPr>
          <w:sz w:val="15"/>
        </w:rPr>
        <w:t>SIFIs.</w:t>
      </w:r>
    </w:p>
    <w:p>
      <w:pPr>
        <w:pStyle w:val="ListParagraph"/>
        <w:numPr>
          <w:ilvl w:val="1"/>
          <w:numId w:val="4"/>
        </w:numPr>
        <w:tabs>
          <w:tab w:pos="1389" w:val="left" w:leader="none"/>
        </w:tabs>
        <w:spacing w:line="240" w:lineRule="auto" w:before="1" w:after="0"/>
        <w:ind w:left="1388" w:right="0" w:hanging="267"/>
        <w:jc w:val="left"/>
        <w:rPr>
          <w:sz w:val="15"/>
        </w:rPr>
      </w:pPr>
      <w:r>
        <w:rPr>
          <w:sz w:val="15"/>
        </w:rPr>
        <w:t>This chart shows the number of legal entities within each of the designated</w:t>
      </w:r>
      <w:r>
        <w:rPr>
          <w:spacing w:val="-6"/>
          <w:sz w:val="15"/>
        </w:rPr>
        <w:t> </w:t>
      </w:r>
      <w:r>
        <w:rPr>
          <w:sz w:val="15"/>
        </w:rPr>
        <w:t>SIFIs.</w:t>
      </w:r>
    </w:p>
    <w:p>
      <w:pPr>
        <w:pStyle w:val="ListParagraph"/>
        <w:numPr>
          <w:ilvl w:val="1"/>
          <w:numId w:val="4"/>
        </w:numPr>
        <w:tabs>
          <w:tab w:pos="1431" w:val="left" w:leader="none"/>
        </w:tabs>
        <w:spacing w:line="240" w:lineRule="auto" w:before="0" w:after="0"/>
        <w:ind w:left="1430" w:right="0" w:hanging="309"/>
        <w:jc w:val="left"/>
        <w:rPr>
          <w:sz w:val="15"/>
        </w:rPr>
      </w:pPr>
      <w:r>
        <w:rPr>
          <w:sz w:val="15"/>
        </w:rPr>
        <w:t>This chart shows trading assets as a proportion of overall assets for each of designated</w:t>
      </w:r>
      <w:r>
        <w:rPr>
          <w:spacing w:val="-8"/>
          <w:sz w:val="15"/>
        </w:rPr>
        <w:t> </w:t>
      </w:r>
      <w:r>
        <w:rPr>
          <w:sz w:val="15"/>
        </w:rPr>
        <w:t>SIFIs.</w:t>
      </w:r>
    </w:p>
    <w:p>
      <w:pPr>
        <w:spacing w:after="0" w:line="240" w:lineRule="auto"/>
        <w:jc w:val="left"/>
        <w:rPr>
          <w:sz w:val="15"/>
        </w:rPr>
        <w:sectPr>
          <w:pgSz w:w="12240" w:h="15840"/>
          <w:pgMar w:header="0" w:footer="1050" w:top="1300" w:bottom="1240" w:left="620" w:right="0"/>
        </w:sectPr>
      </w:pPr>
    </w:p>
    <w:p>
      <w:pPr>
        <w:pStyle w:val="Heading1"/>
        <w:spacing w:before="119" w:after="3"/>
        <w:ind w:left="1430"/>
      </w:pPr>
      <w:r>
        <w:rPr/>
        <w:t>Chart 4: Complexity of Global SIFIs (2013)</w:t>
      </w:r>
      <w:r>
        <w:rPr>
          <w:vertAlign w:val="superscript"/>
        </w:rPr>
        <w:t>(a)</w:t>
      </w:r>
    </w:p>
    <w:tbl>
      <w:tblPr>
        <w:tblW w:w="0" w:type="auto"/>
        <w:jc w:val="left"/>
        <w:tblInd w:w="1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4"/>
        <w:gridCol w:w="4674"/>
      </w:tblGrid>
      <w:tr>
        <w:trPr>
          <w:trHeight w:val="531" w:hRule="atLeast"/>
        </w:trPr>
        <w:tc>
          <w:tcPr>
            <w:tcW w:w="4674" w:type="dxa"/>
          </w:tcPr>
          <w:p>
            <w:pPr>
              <w:pStyle w:val="TableParagraph"/>
              <w:spacing w:line="280" w:lineRule="exact" w:before="231"/>
              <w:ind w:left="101"/>
              <w:rPr>
                <w:sz w:val="26"/>
              </w:rPr>
            </w:pPr>
            <w:r>
              <w:rPr>
                <w:sz w:val="26"/>
              </w:rPr>
              <w:t>Size of Balance Sheet</w:t>
            </w:r>
            <w:r>
              <w:rPr>
                <w:sz w:val="26"/>
                <w:vertAlign w:val="superscript"/>
              </w:rPr>
              <w:t>(b)</w:t>
            </w:r>
          </w:p>
        </w:tc>
        <w:tc>
          <w:tcPr>
            <w:tcW w:w="4674" w:type="dxa"/>
          </w:tcPr>
          <w:p>
            <w:pPr>
              <w:pStyle w:val="TableParagraph"/>
              <w:spacing w:line="280" w:lineRule="exact" w:before="231"/>
              <w:ind w:left="101"/>
              <w:rPr>
                <w:sz w:val="26"/>
              </w:rPr>
            </w:pPr>
            <w:r>
              <w:rPr>
                <w:sz w:val="26"/>
              </w:rPr>
              <w:t>Notional Value of Derivatives</w:t>
            </w:r>
            <w:r>
              <w:rPr>
                <w:sz w:val="26"/>
                <w:vertAlign w:val="superscript"/>
              </w:rPr>
              <w:t>(c)</w:t>
            </w:r>
          </w:p>
        </w:tc>
      </w:tr>
      <w:tr>
        <w:trPr>
          <w:trHeight w:val="5103" w:hRule="atLeast"/>
        </w:trPr>
        <w:tc>
          <w:tcPr>
            <w:tcW w:w="4674" w:type="dxa"/>
          </w:tcPr>
          <w:p>
            <w:pPr>
              <w:pStyle w:val="TableParagraph"/>
              <w:rPr>
                <w:b/>
                <w:sz w:val="20"/>
              </w:rPr>
            </w:pPr>
          </w:p>
          <w:p>
            <w:pPr>
              <w:pStyle w:val="TableParagraph"/>
              <w:rPr>
                <w:b/>
                <w:sz w:val="20"/>
              </w:rPr>
            </w:pPr>
          </w:p>
          <w:p>
            <w:pPr>
              <w:pStyle w:val="TableParagraph"/>
              <w:rPr>
                <w:b/>
                <w:sz w:val="20"/>
              </w:rPr>
            </w:pPr>
          </w:p>
          <w:p>
            <w:pPr>
              <w:pStyle w:val="TableParagraph"/>
              <w:spacing w:before="11"/>
              <w:rPr>
                <w:b/>
                <w:sz w:val="19"/>
              </w:rPr>
            </w:pPr>
          </w:p>
          <w:p>
            <w:pPr>
              <w:pStyle w:val="TableParagraph"/>
              <w:ind w:left="311"/>
              <w:rPr>
                <w:sz w:val="20"/>
              </w:rPr>
            </w:pPr>
            <w:r>
              <w:rPr>
                <w:sz w:val="20"/>
              </w:rPr>
              <w:drawing>
                <wp:inline distT="0" distB="0" distL="0" distR="0">
                  <wp:extent cx="2514514" cy="2209800"/>
                  <wp:effectExtent l="0" t="0" r="0" b="0"/>
                  <wp:docPr id="23" name="image13.jpeg"/>
                  <wp:cNvGraphicFramePr>
                    <a:graphicFrameLocks noChangeAspect="1"/>
                  </wp:cNvGraphicFramePr>
                  <a:graphic>
                    <a:graphicData uri="http://schemas.openxmlformats.org/drawingml/2006/picture">
                      <pic:pic>
                        <pic:nvPicPr>
                          <pic:cNvPr id="24" name="image13.jpeg"/>
                          <pic:cNvPicPr/>
                        </pic:nvPicPr>
                        <pic:blipFill>
                          <a:blip r:embed="rId44" cstate="print"/>
                          <a:stretch>
                            <a:fillRect/>
                          </a:stretch>
                        </pic:blipFill>
                        <pic:spPr>
                          <a:xfrm>
                            <a:off x="0" y="0"/>
                            <a:ext cx="2514514" cy="2209800"/>
                          </a:xfrm>
                          <a:prstGeom prst="rect">
                            <a:avLst/>
                          </a:prstGeom>
                        </pic:spPr>
                      </pic:pic>
                    </a:graphicData>
                  </a:graphic>
                </wp:inline>
              </w:drawing>
            </w:r>
            <w:r>
              <w:rPr>
                <w:sz w:val="20"/>
              </w:rPr>
            </w:r>
          </w:p>
        </w:tc>
        <w:tc>
          <w:tcPr>
            <w:tcW w:w="4674" w:type="dxa"/>
          </w:tcPr>
          <w:p>
            <w:pPr>
              <w:pStyle w:val="TableParagraph"/>
              <w:rPr>
                <w:b/>
                <w:sz w:val="20"/>
              </w:rPr>
            </w:pPr>
          </w:p>
          <w:p>
            <w:pPr>
              <w:pStyle w:val="TableParagraph"/>
              <w:rPr>
                <w:b/>
                <w:sz w:val="20"/>
              </w:rPr>
            </w:pPr>
          </w:p>
          <w:p>
            <w:pPr>
              <w:pStyle w:val="TableParagraph"/>
              <w:rPr>
                <w:b/>
                <w:sz w:val="20"/>
              </w:rPr>
            </w:pPr>
          </w:p>
          <w:p>
            <w:pPr>
              <w:pStyle w:val="TableParagraph"/>
              <w:spacing w:before="11"/>
              <w:rPr>
                <w:b/>
                <w:sz w:val="19"/>
              </w:rPr>
            </w:pPr>
          </w:p>
          <w:p>
            <w:pPr>
              <w:pStyle w:val="TableParagraph"/>
              <w:ind w:left="341"/>
              <w:rPr>
                <w:sz w:val="20"/>
              </w:rPr>
            </w:pPr>
            <w:r>
              <w:rPr>
                <w:sz w:val="20"/>
              </w:rPr>
              <w:drawing>
                <wp:inline distT="0" distB="0" distL="0" distR="0">
                  <wp:extent cx="2343070" cy="2133600"/>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45" cstate="print"/>
                          <a:stretch>
                            <a:fillRect/>
                          </a:stretch>
                        </pic:blipFill>
                        <pic:spPr>
                          <a:xfrm>
                            <a:off x="0" y="0"/>
                            <a:ext cx="2343070" cy="2133600"/>
                          </a:xfrm>
                          <a:prstGeom prst="rect">
                            <a:avLst/>
                          </a:prstGeom>
                        </pic:spPr>
                      </pic:pic>
                    </a:graphicData>
                  </a:graphic>
                </wp:inline>
              </w:drawing>
            </w:r>
            <w:r>
              <w:rPr>
                <w:sz w:val="20"/>
              </w:rPr>
            </w:r>
          </w:p>
        </w:tc>
      </w:tr>
      <w:tr>
        <w:trPr>
          <w:trHeight w:val="331" w:hRule="atLeast"/>
        </w:trPr>
        <w:tc>
          <w:tcPr>
            <w:tcW w:w="4674" w:type="dxa"/>
          </w:tcPr>
          <w:p>
            <w:pPr>
              <w:pStyle w:val="TableParagraph"/>
              <w:spacing w:line="281" w:lineRule="exact" w:before="30"/>
              <w:ind w:left="101"/>
              <w:rPr>
                <w:sz w:val="26"/>
              </w:rPr>
            </w:pPr>
            <w:r>
              <w:rPr>
                <w:sz w:val="26"/>
              </w:rPr>
              <w:t>Number of Legal Entities</w:t>
            </w:r>
            <w:r>
              <w:rPr>
                <w:sz w:val="26"/>
                <w:vertAlign w:val="superscript"/>
              </w:rPr>
              <w:t>(d)</w:t>
            </w:r>
          </w:p>
        </w:tc>
        <w:tc>
          <w:tcPr>
            <w:tcW w:w="4674" w:type="dxa"/>
          </w:tcPr>
          <w:p>
            <w:pPr>
              <w:pStyle w:val="TableParagraph"/>
              <w:spacing w:line="281" w:lineRule="exact" w:before="30"/>
              <w:ind w:left="101"/>
              <w:rPr>
                <w:sz w:val="26"/>
              </w:rPr>
            </w:pPr>
            <w:r>
              <w:rPr>
                <w:sz w:val="26"/>
              </w:rPr>
              <w:t>Trading Assets (% of Total Assets) </w:t>
            </w:r>
            <w:r>
              <w:rPr>
                <w:sz w:val="26"/>
                <w:vertAlign w:val="superscript"/>
              </w:rPr>
              <w:t>(e)</w:t>
            </w:r>
          </w:p>
        </w:tc>
      </w:tr>
      <w:tr>
        <w:trPr>
          <w:trHeight w:val="5105" w:hRule="atLeast"/>
        </w:trPr>
        <w:tc>
          <w:tcPr>
            <w:tcW w:w="4674" w:type="dxa"/>
          </w:tcPr>
          <w:p>
            <w:pPr>
              <w:pStyle w:val="TableParagraph"/>
              <w:rPr>
                <w:b/>
                <w:sz w:val="20"/>
              </w:rPr>
            </w:pPr>
          </w:p>
          <w:p>
            <w:pPr>
              <w:pStyle w:val="TableParagraph"/>
              <w:rPr>
                <w:b/>
                <w:sz w:val="20"/>
              </w:rPr>
            </w:pPr>
          </w:p>
          <w:p>
            <w:pPr>
              <w:pStyle w:val="TableParagraph"/>
              <w:rPr>
                <w:b/>
                <w:sz w:val="20"/>
              </w:rPr>
            </w:pPr>
          </w:p>
          <w:p>
            <w:pPr>
              <w:pStyle w:val="TableParagraph"/>
              <w:spacing w:before="1"/>
              <w:rPr>
                <w:b/>
                <w:sz w:val="20"/>
              </w:rPr>
            </w:pPr>
          </w:p>
          <w:p>
            <w:pPr>
              <w:pStyle w:val="TableParagraph"/>
              <w:ind w:left="431"/>
              <w:rPr>
                <w:sz w:val="20"/>
              </w:rPr>
            </w:pPr>
            <w:r>
              <w:rPr>
                <w:sz w:val="20"/>
              </w:rPr>
              <w:drawing>
                <wp:inline distT="0" distB="0" distL="0" distR="0">
                  <wp:extent cx="2361363" cy="2133600"/>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46" cstate="print"/>
                          <a:stretch>
                            <a:fillRect/>
                          </a:stretch>
                        </pic:blipFill>
                        <pic:spPr>
                          <a:xfrm>
                            <a:off x="0" y="0"/>
                            <a:ext cx="2361363" cy="2133600"/>
                          </a:xfrm>
                          <a:prstGeom prst="rect">
                            <a:avLst/>
                          </a:prstGeom>
                        </pic:spPr>
                      </pic:pic>
                    </a:graphicData>
                  </a:graphic>
                </wp:inline>
              </w:drawing>
            </w:r>
            <w:r>
              <w:rPr>
                <w:sz w:val="20"/>
              </w:rPr>
            </w:r>
          </w:p>
        </w:tc>
        <w:tc>
          <w:tcPr>
            <w:tcW w:w="467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6"/>
              <w:rPr>
                <w:b/>
                <w:sz w:val="10"/>
              </w:rPr>
            </w:pPr>
          </w:p>
          <w:p>
            <w:pPr>
              <w:pStyle w:val="TableParagraph"/>
              <w:ind w:left="431"/>
              <w:rPr>
                <w:sz w:val="20"/>
              </w:rPr>
            </w:pPr>
            <w:r>
              <w:rPr>
                <w:sz w:val="20"/>
              </w:rPr>
              <w:drawing>
                <wp:inline distT="0" distB="0" distL="0" distR="0">
                  <wp:extent cx="2285190" cy="2019300"/>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47" cstate="print"/>
                          <a:stretch>
                            <a:fillRect/>
                          </a:stretch>
                        </pic:blipFill>
                        <pic:spPr>
                          <a:xfrm>
                            <a:off x="0" y="0"/>
                            <a:ext cx="2285190" cy="2019300"/>
                          </a:xfrm>
                          <a:prstGeom prst="rect">
                            <a:avLst/>
                          </a:prstGeom>
                        </pic:spPr>
                      </pic:pic>
                    </a:graphicData>
                  </a:graphic>
                </wp:inline>
              </w:drawing>
            </w:r>
            <w:r>
              <w:rPr>
                <w:sz w:val="20"/>
              </w:rPr>
            </w:r>
          </w:p>
        </w:tc>
      </w:tr>
    </w:tbl>
    <w:p>
      <w:pPr>
        <w:pStyle w:val="BodyText"/>
        <w:rPr>
          <w:b/>
          <w:sz w:val="23"/>
        </w:rPr>
      </w:pPr>
    </w:p>
    <w:p>
      <w:pPr>
        <w:spacing w:before="0"/>
        <w:ind w:left="1122" w:right="0" w:firstLine="0"/>
        <w:jc w:val="left"/>
        <w:rPr>
          <w:sz w:val="15"/>
        </w:rPr>
      </w:pPr>
      <w:r>
        <w:rPr>
          <w:sz w:val="15"/>
        </w:rPr>
        <w:t>Sources: SNL Financial, FDIC, bank annual reports, staff calculations.</w:t>
      </w:r>
    </w:p>
    <w:p>
      <w:pPr>
        <w:pStyle w:val="ListParagraph"/>
        <w:numPr>
          <w:ilvl w:val="0"/>
          <w:numId w:val="5"/>
        </w:numPr>
        <w:tabs>
          <w:tab w:pos="1461" w:val="left" w:leader="none"/>
        </w:tabs>
        <w:spacing w:line="240" w:lineRule="auto" w:before="2" w:after="0"/>
        <w:ind w:left="1460" w:right="2117" w:hanging="339"/>
        <w:jc w:val="left"/>
        <w:rPr>
          <w:sz w:val="15"/>
        </w:rPr>
      </w:pPr>
      <w:r>
        <w:rPr>
          <w:sz w:val="15"/>
        </w:rPr>
        <w:t>These charts show four different balance sheet metrics for each of the designated SIFIs (as at November 2013 excluding Groupe BPCE). Japanese bank data as at March 2007. Assets as reported except for US banks (IFRS estimates). Derivatives reported in notional terms. Values correspond to width of bubbles, all in</w:t>
      </w:r>
      <w:r>
        <w:rPr>
          <w:spacing w:val="-2"/>
          <w:sz w:val="15"/>
        </w:rPr>
        <w:t> </w:t>
      </w:r>
      <w:r>
        <w:rPr>
          <w:sz w:val="15"/>
        </w:rPr>
        <w:t>USD.</w:t>
      </w:r>
    </w:p>
    <w:p>
      <w:pPr>
        <w:pStyle w:val="ListParagraph"/>
        <w:numPr>
          <w:ilvl w:val="0"/>
          <w:numId w:val="5"/>
        </w:numPr>
        <w:tabs>
          <w:tab w:pos="1461" w:val="left" w:leader="none"/>
        </w:tabs>
        <w:spacing w:line="240" w:lineRule="auto" w:before="2" w:after="0"/>
        <w:ind w:left="1460" w:right="0" w:hanging="339"/>
        <w:jc w:val="left"/>
        <w:rPr>
          <w:sz w:val="15"/>
        </w:rPr>
      </w:pPr>
      <w:r>
        <w:rPr>
          <w:sz w:val="15"/>
        </w:rPr>
        <w:t>This chart shows the size of the balance sheet for each of the designated</w:t>
      </w:r>
      <w:r>
        <w:rPr>
          <w:spacing w:val="-9"/>
          <w:sz w:val="15"/>
        </w:rPr>
        <w:t> </w:t>
      </w:r>
      <w:r>
        <w:rPr>
          <w:sz w:val="15"/>
        </w:rPr>
        <w:t>SIFIs.</w:t>
      </w:r>
    </w:p>
    <w:p>
      <w:pPr>
        <w:pStyle w:val="ListParagraph"/>
        <w:numPr>
          <w:ilvl w:val="0"/>
          <w:numId w:val="5"/>
        </w:numPr>
        <w:tabs>
          <w:tab w:pos="1461" w:val="left" w:leader="none"/>
        </w:tabs>
        <w:spacing w:line="240" w:lineRule="auto" w:before="0" w:after="0"/>
        <w:ind w:left="1460" w:right="0" w:hanging="339"/>
        <w:jc w:val="left"/>
        <w:rPr>
          <w:sz w:val="15"/>
        </w:rPr>
      </w:pPr>
      <w:r>
        <w:rPr>
          <w:sz w:val="15"/>
        </w:rPr>
        <w:t>This chart shows the notional value of the derivatives portfolio of each of the designated</w:t>
      </w:r>
      <w:r>
        <w:rPr>
          <w:spacing w:val="-7"/>
          <w:sz w:val="15"/>
        </w:rPr>
        <w:t> </w:t>
      </w:r>
      <w:r>
        <w:rPr>
          <w:sz w:val="15"/>
        </w:rPr>
        <w:t>SIFIs.</w:t>
      </w:r>
    </w:p>
    <w:p>
      <w:pPr>
        <w:pStyle w:val="ListParagraph"/>
        <w:numPr>
          <w:ilvl w:val="0"/>
          <w:numId w:val="5"/>
        </w:numPr>
        <w:tabs>
          <w:tab w:pos="1461" w:val="left" w:leader="none"/>
        </w:tabs>
        <w:spacing w:line="240" w:lineRule="auto" w:before="0" w:after="0"/>
        <w:ind w:left="1460" w:right="0" w:hanging="339"/>
        <w:jc w:val="left"/>
        <w:rPr>
          <w:sz w:val="15"/>
        </w:rPr>
      </w:pPr>
      <w:r>
        <w:rPr>
          <w:sz w:val="15"/>
        </w:rPr>
        <w:t>This chart shows the number of legal entities within each of the designated</w:t>
      </w:r>
      <w:r>
        <w:rPr>
          <w:spacing w:val="-6"/>
          <w:sz w:val="15"/>
        </w:rPr>
        <w:t> </w:t>
      </w:r>
      <w:r>
        <w:rPr>
          <w:sz w:val="15"/>
        </w:rPr>
        <w:t>SIFIs.</w:t>
      </w:r>
    </w:p>
    <w:p>
      <w:pPr>
        <w:pStyle w:val="ListParagraph"/>
        <w:numPr>
          <w:ilvl w:val="0"/>
          <w:numId w:val="5"/>
        </w:numPr>
        <w:tabs>
          <w:tab w:pos="1461" w:val="left" w:leader="none"/>
        </w:tabs>
        <w:spacing w:line="240" w:lineRule="auto" w:before="1" w:after="0"/>
        <w:ind w:left="1460" w:right="0" w:hanging="339"/>
        <w:jc w:val="left"/>
        <w:rPr>
          <w:sz w:val="15"/>
        </w:rPr>
      </w:pPr>
      <w:r>
        <w:rPr>
          <w:sz w:val="15"/>
        </w:rPr>
        <w:t>This chart shows trading assets as a proportion of overall assets for each of designated</w:t>
      </w:r>
      <w:r>
        <w:rPr>
          <w:spacing w:val="-6"/>
          <w:sz w:val="15"/>
        </w:rPr>
        <w:t> </w:t>
      </w:r>
      <w:r>
        <w:rPr>
          <w:sz w:val="15"/>
        </w:rPr>
        <w:t>SIFIs.</w:t>
      </w:r>
    </w:p>
    <w:p>
      <w:pPr>
        <w:spacing w:after="0" w:line="240" w:lineRule="auto"/>
        <w:jc w:val="left"/>
        <w:rPr>
          <w:sz w:val="15"/>
        </w:rPr>
        <w:sectPr>
          <w:footerReference w:type="default" r:id="rId43"/>
          <w:pgSz w:w="12240" w:h="15840"/>
          <w:pgMar w:footer="1050" w:header="0" w:top="1240" w:bottom="1240" w:left="620" w:right="0"/>
          <w:pgNumType w:start="29"/>
        </w:sectPr>
      </w:pPr>
    </w:p>
    <w:p>
      <w:pPr>
        <w:pStyle w:val="Heading1"/>
        <w:ind w:left="1356"/>
      </w:pPr>
      <w:r>
        <w:rPr/>
        <w:pict>
          <v:group style="position:absolute;margin-left:93.51001pt;margin-top:16.737875pt;width:430.15pt;height:314.25pt;mso-position-horizontal-relative:page;mso-position-vertical-relative:paragraph;z-index:251671552" coordorigin="1870,335" coordsize="8603,6285">
            <v:shape style="position:absolute;left:2486;top:515;width:7803;height:5490" coordorigin="2486,515" coordsize="7803,5490" path="m2487,515l2487,6005m2486,6005l10289,6005e" filled="false" stroked="true" strokeweight=".54001pt" strokecolor="#868686">
              <v:path arrowok="t"/>
              <v:stroke dashstyle="solid"/>
            </v:shape>
            <v:shape style="position:absolute;left:3466;top:1223;width:120;height:119" type="#_x0000_t75" stroked="false">
              <v:imagedata r:id="rId48" o:title=""/>
            </v:shape>
            <v:shape style="position:absolute;left:5026;top:1332;width:119;height:120" type="#_x0000_t75" stroked="false">
              <v:imagedata r:id="rId49" o:title=""/>
            </v:shape>
            <v:shape style="position:absolute;left:4506;top:1441;width:120;height:120" type="#_x0000_t75" stroked="false">
              <v:imagedata r:id="rId50" o:title=""/>
            </v:shape>
            <v:shape style="position:absolute;left:5547;top:1552;width:119;height:119" type="#_x0000_t75" stroked="false">
              <v:imagedata r:id="rId51" o:title=""/>
            </v:shape>
            <v:shape style="position:absolute;left:4766;top:1661;width:120;height:120" type="#_x0000_t75" stroked="false">
              <v:imagedata r:id="rId52" o:title=""/>
            </v:shape>
            <v:shape style="position:absolute;left:9447;top:1771;width:120;height:119" type="#_x0000_t75" stroked="false">
              <v:imagedata r:id="rId53" o:title=""/>
            </v:shape>
            <v:shape style="position:absolute;left:7107;top:1880;width:119;height:120" type="#_x0000_t75" stroked="false">
              <v:imagedata r:id="rId54" o:title=""/>
            </v:shape>
            <v:shape style="position:absolute;left:6067;top:1990;width:120;height:120" type="#_x0000_t75" stroked="false">
              <v:imagedata r:id="rId55" o:title=""/>
            </v:shape>
            <v:shape style="position:absolute;left:2946;top:2100;width:120;height:119" type="#_x0000_t75" stroked="false">
              <v:imagedata r:id="rId56" o:title=""/>
            </v:shape>
            <v:shape style="position:absolute;left:3987;top:2212;width:119;height:119" type="#_x0000_t75" stroked="false">
              <v:imagedata r:id="rId57" o:title=""/>
            </v:shape>
            <v:shape style="position:absolute;left:8926;top:2321;width:120;height:120" type="#_x0000_t75" stroked="false">
              <v:imagedata r:id="rId58" o:title=""/>
            </v:shape>
            <v:shape style="position:absolute;left:7368;top:2430;width:119;height:120" type="#_x0000_t75" stroked="false">
              <v:imagedata r:id="rId59" o:title=""/>
            </v:shape>
            <v:shape style="position:absolute;left:6586;top:2540;width:119;height:119" type="#_x0000_t75" stroked="false">
              <v:imagedata r:id="rId60" o:title=""/>
            </v:shape>
            <v:shape style="position:absolute;left:2685;top:2650;width:120;height:120" type="#_x0000_t75" stroked="false">
              <v:imagedata r:id="rId61" o:title=""/>
            </v:shape>
            <v:shape style="position:absolute;left:2995;top:2760;width:6833;height:2930" type="#_x0000_t75" stroked="false">
              <v:imagedata r:id="rId62" o:title=""/>
            </v:shape>
            <v:shape style="position:absolute;left:1874;top:338;width:8594;height:6276" type="#_x0000_t202" filled="false" stroked="true" strokeweight=".41998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tabs>
                        <w:tab w:pos="7644" w:val="left" w:leader="none"/>
                      </w:tabs>
                      <w:spacing w:before="142"/>
                      <w:ind w:left="719" w:right="0" w:firstLine="0"/>
                      <w:jc w:val="left"/>
                      <w:rPr>
                        <w:rFonts w:ascii="Calibri"/>
                        <w:b/>
                        <w:sz w:val="17"/>
                      </w:rPr>
                    </w:pPr>
                    <w:r>
                      <w:rPr>
                        <w:rFonts w:ascii="Calibri"/>
                        <w:b/>
                        <w:position w:val="2"/>
                        <w:sz w:val="17"/>
                      </w:rPr>
                      <w:t>Simple</w:t>
                      <w:tab/>
                    </w:r>
                    <w:r>
                      <w:rPr>
                        <w:rFonts w:ascii="Calibri"/>
                        <w:b/>
                        <w:sz w:val="17"/>
                      </w:rPr>
                      <w:t>Complex</w:t>
                    </w:r>
                  </w:p>
                </w:txbxContent>
              </v:textbox>
              <v:stroke dashstyle="solid"/>
              <w10:wrap type="none"/>
            </v:shape>
            <w10:wrap type="none"/>
          </v:group>
        </w:pict>
      </w:r>
      <w:r>
        <w:rPr/>
        <w:pict>
          <v:shape style="position:absolute;margin-left:106.345398pt;margin-top:34.519073pt;width:10.6pt;height:65.9pt;mso-position-horizontal-relative:page;mso-position-vertical-relative:paragraph;z-index:251672576" type="#_x0000_t202" filled="false" stroked="false">
            <v:textbox inset="0,0,0,0" style="layout-flow:vertical;mso-layout-flow-alt:bottom-to-top">
              <w:txbxContent>
                <w:p>
                  <w:pPr>
                    <w:spacing w:line="194" w:lineRule="exact" w:before="0"/>
                    <w:ind w:left="20" w:right="0" w:firstLine="0"/>
                    <w:jc w:val="left"/>
                    <w:rPr>
                      <w:rFonts w:ascii="Calibri"/>
                      <w:b/>
                      <w:sz w:val="17"/>
                    </w:rPr>
                  </w:pPr>
                  <w:r>
                    <w:rPr>
                      <w:rFonts w:ascii="Calibri"/>
                      <w:b/>
                      <w:sz w:val="17"/>
                    </w:rPr>
                    <w:t>High performance</w:t>
                  </w:r>
                </w:p>
              </w:txbxContent>
            </v:textbox>
            <w10:wrap type="none"/>
          </v:shape>
        </w:pict>
      </w:r>
      <w:r>
        <w:rPr>
          <w:w w:val="105"/>
        </w:rPr>
        <w:t>Chart 5: Performance and Complexity in Banking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8"/>
        </w:rPr>
      </w:pPr>
    </w:p>
    <w:p>
      <w:pPr>
        <w:spacing w:before="96"/>
        <w:ind w:left="1356" w:right="0" w:firstLine="0"/>
        <w:jc w:val="left"/>
        <w:rPr>
          <w:sz w:val="15"/>
        </w:rPr>
      </w:pPr>
      <w:r>
        <w:rPr/>
        <w:pict>
          <v:shape style="position:absolute;margin-left:108.265503pt;margin-top:-89.171509pt;width:10.6pt;height:64.3500pt;mso-position-horizontal-relative:page;mso-position-vertical-relative:paragraph;z-index:251673600" type="#_x0000_t202" filled="false" stroked="false">
            <v:textbox inset="0,0,0,0" style="layout-flow:vertical;mso-layout-flow-alt:bottom-to-top">
              <w:txbxContent>
                <w:p>
                  <w:pPr>
                    <w:spacing w:line="194" w:lineRule="exact" w:before="0"/>
                    <w:ind w:left="20" w:right="0" w:firstLine="0"/>
                    <w:jc w:val="left"/>
                    <w:rPr>
                      <w:rFonts w:ascii="Calibri"/>
                      <w:b/>
                      <w:sz w:val="17"/>
                    </w:rPr>
                  </w:pPr>
                  <w:r>
                    <w:rPr>
                      <w:rFonts w:ascii="Calibri"/>
                      <w:b/>
                      <w:sz w:val="17"/>
                    </w:rPr>
                    <w:t>Low performance</w:t>
                  </w:r>
                </w:p>
              </w:txbxContent>
            </v:textbox>
            <w10:wrap type="none"/>
          </v:shape>
        </w:pict>
      </w:r>
      <w:r>
        <w:rPr>
          <w:sz w:val="15"/>
        </w:rPr>
        <w:t>Source: True Cost of complexity in the banking sector’, Simplicity Consulting (2012).</w:t>
      </w:r>
    </w:p>
    <w:p>
      <w:pPr>
        <w:spacing w:after="0"/>
        <w:jc w:val="left"/>
        <w:rPr>
          <w:sz w:val="15"/>
        </w:rPr>
        <w:sectPr>
          <w:pgSz w:w="12240" w:h="15840"/>
          <w:pgMar w:header="0" w:footer="1050" w:top="1340" w:bottom="1240" w:left="620" w:right="0"/>
        </w:sectPr>
      </w:pPr>
    </w:p>
    <w:p>
      <w:pPr>
        <w:pStyle w:val="Heading1"/>
        <w:spacing w:before="121"/>
        <w:ind w:left="1254"/>
      </w:pPr>
      <w:r>
        <w:rPr/>
        <w:t>Chart 6: Interbank Exposures Network (2013)</w:t>
      </w:r>
      <w:r>
        <w:rPr>
          <w:vertAlign w:val="superscript"/>
        </w:rPr>
        <w:t>(a)</w:t>
      </w:r>
    </w:p>
    <w:p>
      <w:pPr>
        <w:pStyle w:val="BodyText"/>
        <w:ind w:left="1143"/>
        <w:rPr>
          <w:sz w:val="20"/>
        </w:rPr>
      </w:pPr>
      <w:r>
        <w:rPr>
          <w:sz w:val="20"/>
        </w:rPr>
        <w:pict>
          <v:group style="width:435.2pt;height:266.650pt;mso-position-horizontal-relative:char;mso-position-vertical-relative:line" coordorigin="0,0" coordsize="8704,5333">
            <v:rect style="position:absolute;left:0;top:0;width:9;height:10" filled="true" fillcolor="#000000" stroked="false">
              <v:fill type="solid"/>
            </v:rect>
            <v:line style="position:absolute" from="0,5" to="8704,5" stroked="true" strokeweight=".48004pt" strokecolor="#000000">
              <v:stroke dashstyle="solid"/>
            </v:line>
            <v:line style="position:absolute" from="4,10" to="4,5333" stroked="true" strokeweight=".42pt" strokecolor="#000000">
              <v:stroke dashstyle="solid"/>
            </v:line>
            <v:line style="position:absolute" from="8699,10" to="8699,5333" stroked="true" strokeweight=".41998pt" strokecolor="#000000">
              <v:stroke dashstyle="solid"/>
            </v:line>
            <v:line style="position:absolute" from="0,5328" to="8704,5328" stroked="true" strokeweight=".47998pt" strokecolor="#000000">
              <v:stroke dashstyle="solid"/>
            </v:line>
            <v:shape style="position:absolute;left:105;top:10;width:8459;height:5313" type="#_x0000_t75" stroked="false">
              <v:imagedata r:id="rId63" o:title=""/>
            </v:shape>
          </v:group>
        </w:pict>
      </w:r>
      <w:r>
        <w:rPr>
          <w:sz w:val="20"/>
        </w:rPr>
      </w:r>
    </w:p>
    <w:p>
      <w:pPr>
        <w:spacing w:line="139" w:lineRule="exact" w:before="0"/>
        <w:ind w:left="1254" w:right="0" w:firstLine="0"/>
        <w:jc w:val="left"/>
        <w:rPr>
          <w:sz w:val="15"/>
        </w:rPr>
      </w:pPr>
      <w:r>
        <w:rPr>
          <w:sz w:val="15"/>
        </w:rPr>
        <w:t>Source: Langfield, S., Liu, Z. &amp; Ota, T. (2014)</w:t>
      </w:r>
    </w:p>
    <w:p>
      <w:pPr>
        <w:pStyle w:val="ListParagraph"/>
        <w:numPr>
          <w:ilvl w:val="1"/>
          <w:numId w:val="5"/>
        </w:numPr>
        <w:tabs>
          <w:tab w:pos="1522" w:val="left" w:leader="none"/>
        </w:tabs>
        <w:spacing w:line="240" w:lineRule="auto" w:before="0" w:after="0"/>
        <w:ind w:left="1522" w:right="1931" w:hanging="268"/>
        <w:jc w:val="left"/>
        <w:rPr>
          <w:sz w:val="15"/>
        </w:rPr>
      </w:pPr>
      <w:r>
        <w:rPr>
          <w:sz w:val="15"/>
        </w:rPr>
        <w:t>The exposures network aims to capture the interconnectedness of credit risk, the asset side of bank balance sheets. Each node represents a bank. Arrows point away from the exposed bank in the Exposure Network and away from the lending bank in the Funding Network. Circles’ diameters are proportional to the logarithm of banks’ total interbank exposures in the exposures network and the logarithm of banks’ received interbank funding in the funding network. Orange circles represent selected large UK banks, green circles represent investment banks, blue circles represent overseas banks and red circles represent building societies. The widths of arrows are proportional to the value of the exposures and funding</w:t>
      </w:r>
      <w:r>
        <w:rPr>
          <w:spacing w:val="-18"/>
          <w:sz w:val="15"/>
        </w:rPr>
        <w:t> </w:t>
      </w:r>
      <w:r>
        <w:rPr>
          <w:sz w:val="15"/>
        </w:rPr>
        <w:t>amounts.</w:t>
      </w:r>
    </w:p>
    <w:p>
      <w:pPr>
        <w:pStyle w:val="BodyText"/>
        <w:spacing w:before="1"/>
        <w:rPr>
          <w:sz w:val="17"/>
        </w:rPr>
      </w:pPr>
    </w:p>
    <w:p>
      <w:pPr>
        <w:pStyle w:val="Heading1"/>
        <w:spacing w:before="1"/>
        <w:ind w:left="1254"/>
      </w:pPr>
      <w:r>
        <w:rPr/>
        <w:t>Chart 7: Interbank Funding Network (2013)</w:t>
      </w:r>
      <w:r>
        <w:rPr>
          <w:vertAlign w:val="superscript"/>
        </w:rPr>
        <w:t>(b)</w:t>
      </w:r>
    </w:p>
    <w:p>
      <w:pPr>
        <w:pStyle w:val="BodyText"/>
        <w:ind w:left="1143"/>
        <w:rPr>
          <w:sz w:val="20"/>
        </w:rPr>
      </w:pPr>
      <w:r>
        <w:rPr>
          <w:sz w:val="20"/>
        </w:rPr>
        <w:pict>
          <v:group style="width:435.2pt;height:268.1pt;mso-position-horizontal-relative:char;mso-position-vertical-relative:line" coordorigin="0,0" coordsize="8704,5362">
            <v:line style="position:absolute" from="0,4" to="8704,4" stroked="true" strokeweight=".41998pt" strokecolor="#000000">
              <v:stroke dashstyle="solid"/>
            </v:line>
            <v:line style="position:absolute" from="4,0" to="4,5362" stroked="true" strokeweight=".42pt" strokecolor="#000000">
              <v:stroke dashstyle="solid"/>
            </v:line>
            <v:line style="position:absolute" from="8699,8" to="8699,5362" stroked="true" strokeweight=".41998pt" strokecolor="#000000">
              <v:stroke dashstyle="solid"/>
            </v:line>
            <v:line style="position:absolute" from="0,5357" to="8704,5357" stroked="true" strokeweight=".48001pt" strokecolor="#000000">
              <v:stroke dashstyle="solid"/>
            </v:line>
            <v:shape style="position:absolute;left:105;top:9;width:8492;height:5343" type="#_x0000_t75" stroked="false">
              <v:imagedata r:id="rId64" o:title=""/>
            </v:shape>
          </v:group>
        </w:pict>
      </w:r>
      <w:r>
        <w:rPr>
          <w:sz w:val="20"/>
        </w:rPr>
      </w:r>
    </w:p>
    <w:p>
      <w:pPr>
        <w:spacing w:line="146" w:lineRule="exact" w:before="0"/>
        <w:ind w:left="1254" w:right="0" w:firstLine="0"/>
        <w:jc w:val="left"/>
        <w:rPr>
          <w:sz w:val="15"/>
        </w:rPr>
      </w:pPr>
      <w:r>
        <w:rPr>
          <w:sz w:val="15"/>
        </w:rPr>
        <w:t>Source: Langfield, S., Liu, Z. &amp; Ota, T. (2014)</w:t>
      </w:r>
    </w:p>
    <w:p>
      <w:pPr>
        <w:pStyle w:val="ListParagraph"/>
        <w:numPr>
          <w:ilvl w:val="1"/>
          <w:numId w:val="5"/>
        </w:numPr>
        <w:tabs>
          <w:tab w:pos="1482" w:val="left" w:leader="none"/>
        </w:tabs>
        <w:spacing w:line="240" w:lineRule="auto" w:before="1" w:after="0"/>
        <w:ind w:left="1481" w:right="0" w:hanging="228"/>
        <w:jc w:val="left"/>
        <w:rPr>
          <w:sz w:val="15"/>
        </w:rPr>
      </w:pPr>
      <w:r>
        <w:rPr>
          <w:sz w:val="15"/>
        </w:rPr>
        <w:t>See Chart 6, Note</w:t>
      </w:r>
      <w:r>
        <w:rPr>
          <w:spacing w:val="-1"/>
          <w:sz w:val="15"/>
        </w:rPr>
        <w:t> </w:t>
      </w:r>
      <w:r>
        <w:rPr>
          <w:sz w:val="15"/>
        </w:rPr>
        <w:t>(a)</w:t>
      </w:r>
    </w:p>
    <w:p>
      <w:pPr>
        <w:spacing w:after="0" w:line="240" w:lineRule="auto"/>
        <w:jc w:val="left"/>
        <w:rPr>
          <w:sz w:val="15"/>
        </w:rPr>
        <w:sectPr>
          <w:pgSz w:w="12240" w:h="15840"/>
          <w:pgMar w:header="0" w:footer="1050" w:top="1300" w:bottom="1240" w:left="620" w:right="0"/>
        </w:sectPr>
      </w:pPr>
    </w:p>
    <w:p>
      <w:pPr>
        <w:pStyle w:val="BodyText"/>
        <w:rPr>
          <w:sz w:val="20"/>
        </w:rPr>
      </w:pPr>
      <w:r>
        <w:rPr/>
        <w:pict>
          <v:group style="position:absolute;margin-left:495.299988pt;margin-top:282.059998pt;width:20.7pt;height:12.2pt;mso-position-horizontal-relative:page;mso-position-vertical-relative:page;z-index:251717632" coordorigin="9906,5641" coordsize="414,244">
            <v:shape style="position:absolute;left:9925;top:5641;width:375;height:102" type="#_x0000_t75" stroked="false">
              <v:imagedata r:id="rId66" o:title=""/>
            </v:shape>
            <v:shape style="position:absolute;left:9906;top:5782;width:414;height:102" coordorigin="9906,5783" coordsize="414,102" path="m10008,5827l10008,5783,9906,5833,9991,5876,9991,5827,10008,5827xm10320,5839l10320,5827,9991,5827,9991,5839,10320,5839xm10008,5885l10008,5839,9991,5839,9991,5876,10008,5885xe" filled="true" fillcolor="#92d050" stroked="false">
              <v:path arrowok="t"/>
              <v:fill type="solid"/>
            </v:shape>
            <w10:wrap type="none"/>
          </v:group>
        </w:pict>
      </w:r>
      <w:r>
        <w:rPr/>
        <w:pict>
          <v:group style="position:absolute;margin-left:495.119995pt;margin-top:344.579987pt;width:20.7pt;height:12.25pt;mso-position-horizontal-relative:page;mso-position-vertical-relative:page;z-index:251718656" coordorigin="9902,6892" coordsize="414,245">
            <v:shape style="position:absolute;left:9920;top:6891;width:375;height:102" type="#_x0000_t75" stroked="false">
              <v:imagedata r:id="rId67" o:title=""/>
            </v:shape>
            <v:shape style="position:absolute;left:9902;top:7034;width:414;height:102" coordorigin="9902,7034" coordsize="414,102" path="m10004,7079l10004,7034,9902,7085,9988,7128,9988,7079,10004,7079xm10316,7091l10316,7079,9988,7079,9988,7091,10316,7091xm10004,7136l10004,7091,9988,7091,9988,7128,10004,7136xe" filled="true" fillcolor="#92d05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pStyle w:val="Heading1"/>
        <w:spacing w:before="98"/>
        <w:ind w:left="916"/>
      </w:pPr>
      <w:r>
        <w:rPr>
          <w:w w:val="105"/>
        </w:rPr>
        <w:t>Chart 8: Stylised Map of the Shadow Banking system</w:t>
      </w:r>
    </w:p>
    <w:p>
      <w:pPr>
        <w:tabs>
          <w:tab w:pos="3069" w:val="left" w:leader="none"/>
          <w:tab w:pos="10865" w:val="left" w:leader="none"/>
        </w:tabs>
        <w:spacing w:line="240" w:lineRule="auto"/>
        <w:ind w:left="1422" w:right="0" w:firstLine="0"/>
        <w:rPr>
          <w:sz w:val="20"/>
        </w:rPr>
      </w:pPr>
      <w:r>
        <w:rPr>
          <w:position w:val="3"/>
          <w:sz w:val="20"/>
        </w:rPr>
        <w:pict>
          <v:shape style="width:68.55pt;height:33.3pt;mso-position-horizontal-relative:char;mso-position-vertical-relative:line" type="#_x0000_t202" filled="true" fillcolor="#5f5f5f" stroked="false">
            <w10:anchorlock/>
            <v:textbox inset="0,0,0,0">
              <w:txbxContent>
                <w:p>
                  <w:pPr>
                    <w:pStyle w:val="BodyText"/>
                    <w:spacing w:before="11"/>
                    <w:rPr>
                      <w:b/>
                      <w:sz w:val="20"/>
                    </w:rPr>
                  </w:pPr>
                </w:p>
                <w:p>
                  <w:pPr>
                    <w:spacing w:before="0"/>
                    <w:ind w:left="55" w:right="0" w:firstLine="0"/>
                    <w:jc w:val="left"/>
                    <w:rPr>
                      <w:rFonts w:ascii="Calibri"/>
                      <w:b/>
                      <w:sz w:val="15"/>
                    </w:rPr>
                  </w:pPr>
                  <w:r>
                    <w:rPr>
                      <w:rFonts w:ascii="Calibri"/>
                      <w:b/>
                      <w:color w:val="FFFFFF"/>
                      <w:sz w:val="15"/>
                    </w:rPr>
                    <w:t>Ultimate Borrowers</w:t>
                  </w:r>
                </w:p>
              </w:txbxContent>
            </v:textbox>
            <v:fill type="solid"/>
          </v:shape>
        </w:pict>
      </w:r>
      <w:r>
        <w:rPr>
          <w:position w:val="3"/>
          <w:sz w:val="20"/>
        </w:rPr>
      </w:r>
      <w:r>
        <w:rPr>
          <w:position w:val="3"/>
          <w:sz w:val="20"/>
        </w:rPr>
        <w:tab/>
      </w:r>
      <w:r>
        <w:rPr>
          <w:position w:val="3"/>
          <w:sz w:val="20"/>
        </w:rPr>
        <w:pict>
          <v:shape style="width:376.2pt;height:33.3pt;mso-position-horizontal-relative:char;mso-position-vertical-relative:line" type="#_x0000_t202"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6"/>
                    <w:gridCol w:w="280"/>
                    <w:gridCol w:w="5094"/>
                    <w:gridCol w:w="196"/>
                    <w:gridCol w:w="1070"/>
                  </w:tblGrid>
                  <w:tr>
                    <w:trPr>
                      <w:trHeight w:val="301" w:hRule="atLeast"/>
                    </w:trPr>
                    <w:tc>
                      <w:tcPr>
                        <w:tcW w:w="7526" w:type="dxa"/>
                        <w:gridSpan w:val="5"/>
                        <w:tcBorders>
                          <w:bottom w:val="single" w:sz="24" w:space="0" w:color="FFFFFF"/>
                        </w:tcBorders>
                        <w:shd w:val="clear" w:color="auto" w:fill="5F5F5F"/>
                      </w:tcPr>
                      <w:p>
                        <w:pPr>
                          <w:pStyle w:val="TableParagraph"/>
                          <w:spacing w:before="61"/>
                          <w:ind w:left="3137" w:right="3135"/>
                          <w:jc w:val="center"/>
                          <w:rPr>
                            <w:rFonts w:ascii="Calibri"/>
                            <w:b/>
                            <w:sz w:val="15"/>
                          </w:rPr>
                        </w:pPr>
                        <w:r>
                          <w:rPr>
                            <w:rFonts w:ascii="Calibri"/>
                            <w:b/>
                            <w:color w:val="FFFFFF"/>
                            <w:sz w:val="15"/>
                          </w:rPr>
                          <w:t>SHADOW BANKING</w:t>
                        </w:r>
                      </w:p>
                    </w:tc>
                  </w:tr>
                  <w:tr>
                    <w:trPr>
                      <w:trHeight w:val="304" w:hRule="atLeast"/>
                    </w:trPr>
                    <w:tc>
                      <w:tcPr>
                        <w:tcW w:w="886" w:type="dxa"/>
                        <w:tcBorders>
                          <w:top w:val="single" w:sz="24" w:space="0" w:color="FFFFFF"/>
                        </w:tcBorders>
                        <w:shd w:val="clear" w:color="auto" w:fill="5F5F5F"/>
                      </w:tcPr>
                      <w:p>
                        <w:pPr>
                          <w:pStyle w:val="TableParagraph"/>
                          <w:spacing w:before="57"/>
                          <w:ind w:left="150"/>
                          <w:rPr>
                            <w:rFonts w:ascii="Calibri"/>
                            <w:b/>
                            <w:sz w:val="15"/>
                          </w:rPr>
                        </w:pPr>
                        <w:r>
                          <w:rPr>
                            <w:rFonts w:ascii="Calibri"/>
                            <w:b/>
                            <w:color w:val="FFFFFF"/>
                            <w:sz w:val="15"/>
                          </w:rPr>
                          <w:t>Investors</w:t>
                        </w:r>
                      </w:p>
                    </w:tc>
                    <w:tc>
                      <w:tcPr>
                        <w:tcW w:w="280" w:type="dxa"/>
                        <w:tcBorders>
                          <w:top w:val="single" w:sz="24" w:space="0" w:color="FFFFFF"/>
                        </w:tcBorders>
                      </w:tcPr>
                      <w:p>
                        <w:pPr>
                          <w:pStyle w:val="TableParagraph"/>
                          <w:rPr>
                            <w:rFonts w:ascii="Times New Roman"/>
                            <w:sz w:val="14"/>
                          </w:rPr>
                        </w:pPr>
                      </w:p>
                    </w:tc>
                    <w:tc>
                      <w:tcPr>
                        <w:tcW w:w="5094" w:type="dxa"/>
                        <w:tcBorders>
                          <w:top w:val="single" w:sz="24" w:space="0" w:color="FFFFFF"/>
                        </w:tcBorders>
                        <w:shd w:val="clear" w:color="auto" w:fill="5F5F5F"/>
                      </w:tcPr>
                      <w:p>
                        <w:pPr>
                          <w:pStyle w:val="TableParagraph"/>
                          <w:spacing w:before="57"/>
                          <w:ind w:left="2068" w:right="2069"/>
                          <w:jc w:val="center"/>
                          <w:rPr>
                            <w:rFonts w:ascii="Calibri"/>
                            <w:b/>
                            <w:sz w:val="15"/>
                          </w:rPr>
                        </w:pPr>
                        <w:r>
                          <w:rPr>
                            <w:rFonts w:ascii="Calibri"/>
                            <w:b/>
                            <w:color w:val="FFFFFF"/>
                            <w:sz w:val="15"/>
                          </w:rPr>
                          <w:t>Intermediaries</w:t>
                        </w:r>
                      </w:p>
                    </w:tc>
                    <w:tc>
                      <w:tcPr>
                        <w:tcW w:w="196" w:type="dxa"/>
                        <w:tcBorders>
                          <w:top w:val="single" w:sz="24" w:space="0" w:color="FFFFFF"/>
                        </w:tcBorders>
                      </w:tcPr>
                      <w:p>
                        <w:pPr>
                          <w:pStyle w:val="TableParagraph"/>
                          <w:rPr>
                            <w:rFonts w:ascii="Times New Roman"/>
                            <w:sz w:val="14"/>
                          </w:rPr>
                        </w:pPr>
                      </w:p>
                    </w:tc>
                    <w:tc>
                      <w:tcPr>
                        <w:tcW w:w="1070" w:type="dxa"/>
                        <w:tcBorders>
                          <w:top w:val="single" w:sz="24" w:space="0" w:color="FFFFFF"/>
                        </w:tcBorders>
                        <w:shd w:val="clear" w:color="auto" w:fill="5F5F5F"/>
                      </w:tcPr>
                      <w:p>
                        <w:pPr>
                          <w:pStyle w:val="TableParagraph"/>
                          <w:spacing w:before="57"/>
                          <w:ind w:left="26"/>
                          <w:rPr>
                            <w:rFonts w:ascii="Calibri"/>
                            <w:b/>
                            <w:sz w:val="15"/>
                          </w:rPr>
                        </w:pPr>
                        <w:r>
                          <w:rPr>
                            <w:rFonts w:ascii="Calibri"/>
                            <w:b/>
                            <w:color w:val="FFFFFF"/>
                            <w:sz w:val="15"/>
                          </w:rPr>
                          <w:t>Asset Managers</w:t>
                        </w:r>
                      </w:p>
                    </w:tc>
                  </w:tr>
                </w:tbl>
                <w:p>
                  <w:pPr>
                    <w:pStyle w:val="BodyText"/>
                  </w:pPr>
                </w:p>
              </w:txbxContent>
            </v:textbox>
          </v:shape>
        </w:pict>
      </w:r>
      <w:r>
        <w:rPr>
          <w:position w:val="3"/>
          <w:sz w:val="20"/>
        </w:rPr>
      </w:r>
      <w:r>
        <w:rPr>
          <w:position w:val="3"/>
          <w:sz w:val="20"/>
        </w:rPr>
        <w:tab/>
      </w:r>
      <w:r>
        <w:rPr>
          <w:sz w:val="20"/>
        </w:rPr>
        <w:pict>
          <v:shape style="width:68.5pt;height:33.4pt;mso-position-horizontal-relative:char;mso-position-vertical-relative:line" type="#_x0000_t202" filled="true" fillcolor="#5f5f5f" stroked="false">
            <w10:anchorlock/>
            <v:textbox inset="0,0,0,0">
              <w:txbxContent>
                <w:p>
                  <w:pPr>
                    <w:pStyle w:val="BodyText"/>
                    <w:rPr>
                      <w:b/>
                      <w:sz w:val="14"/>
                    </w:rPr>
                  </w:pPr>
                </w:p>
                <w:p>
                  <w:pPr>
                    <w:spacing w:before="81"/>
                    <w:ind w:left="181" w:right="0" w:firstLine="0"/>
                    <w:jc w:val="left"/>
                    <w:rPr>
                      <w:rFonts w:ascii="Calibri"/>
                      <w:b/>
                      <w:sz w:val="15"/>
                    </w:rPr>
                  </w:pPr>
                  <w:r>
                    <w:rPr>
                      <w:rFonts w:ascii="Calibri"/>
                      <w:b/>
                      <w:color w:val="FFFFFF"/>
                      <w:sz w:val="15"/>
                    </w:rPr>
                    <w:t>Ultimate Savers</w:t>
                  </w:r>
                </w:p>
              </w:txbxContent>
            </v:textbox>
            <v:fill type="solid"/>
          </v:shape>
        </w:pict>
      </w:r>
      <w:r>
        <w:rPr>
          <w:sz w:val="20"/>
        </w:rPr>
      </w:r>
    </w:p>
    <w:p>
      <w:pPr>
        <w:tabs>
          <w:tab w:pos="8451" w:val="left" w:leader="none"/>
        </w:tabs>
        <w:spacing w:line="203" w:lineRule="exact" w:before="178"/>
        <w:ind w:left="4506" w:right="0" w:firstLine="0"/>
        <w:jc w:val="left"/>
        <w:rPr>
          <w:rFonts w:ascii="Calibri" w:hAnsi="Calibri"/>
          <w:b/>
          <w:sz w:val="15"/>
        </w:rPr>
      </w:pPr>
      <w:r>
        <w:rPr>
          <w:rFonts w:ascii="Calibri" w:hAnsi="Calibri"/>
          <w:b/>
          <w:color w:val="C00000"/>
          <w:position w:val="-3"/>
          <w:sz w:val="15"/>
        </w:rPr>
        <w:t>TRANCHING</w:t>
        <w:tab/>
      </w:r>
      <w:r>
        <w:rPr>
          <w:rFonts w:ascii="Calibri" w:hAnsi="Calibri"/>
          <w:b/>
          <w:color w:val="C00000"/>
          <w:sz w:val="15"/>
        </w:rPr>
        <w:t>SHORT‐TERM</w:t>
      </w:r>
    </w:p>
    <w:p>
      <w:pPr>
        <w:spacing w:line="163" w:lineRule="exact" w:before="0"/>
        <w:ind w:left="8575" w:right="0" w:firstLine="0"/>
        <w:jc w:val="left"/>
        <w:rPr>
          <w:rFonts w:ascii="Calibri"/>
          <w:b/>
          <w:sz w:val="15"/>
        </w:rPr>
      </w:pPr>
      <w:r>
        <w:rPr/>
        <w:pict>
          <v:rect style="position:absolute;margin-left:117.690002pt;margin-top:11.914785pt;width:15.45pt;height:138.480pt;mso-position-horizontal-relative:page;mso-position-vertical-relative:paragraph;z-index:251679744" filled="true" fillcolor="#953735" stroked="false">
            <v:fill type="solid"/>
            <w10:wrap type="none"/>
          </v:rect>
        </w:pict>
      </w:r>
      <w:r>
        <w:rPr/>
        <w:pict>
          <v:group style="position:absolute;margin-left:147.539993pt;margin-top:10.294785pt;width:240.1pt;height:294.4pt;mso-position-horizontal-relative:page;mso-position-vertical-relative:paragraph;z-index:251693056" coordorigin="2951,206" coordsize="4802,5888">
            <v:rect style="position:absolute;left:2956;top:238;width:809;height:5849" filled="true" fillcolor="#ccecff" stroked="false">
              <v:fill type="solid"/>
            </v:rect>
            <v:shape style="position:absolute;left:2950;top:232;width:821;height:5861" coordorigin="2951,232" coordsize="821,5861" path="m3772,6091l3772,235,3769,232,2954,232,2951,235,2951,6091,2954,6093,2957,6093,2957,244,2963,238,2963,244,3760,244,3760,238,3766,244,3766,6093,3769,6093,3772,6091xm2963,244l2963,238,2957,244,2963,244xm2963,6081l2963,244,2957,244,2957,6081,2963,6081xm3766,6081l2957,6081,2963,6087,2963,6093,3760,6093,3760,6087,3766,6081xm2963,6093l2963,6087,2957,6081,2957,6093,2963,6093xm3766,244l3760,238,3760,244,3766,244xm3766,6081l3766,244,3760,244,3760,6081,3766,6081xm3766,6093l3766,6081,3760,6087,3760,6093,3766,6093xe" filled="true" fillcolor="#000000" stroked="false">
              <v:path arrowok="t"/>
              <v:fill type="solid"/>
            </v:shape>
            <v:rect style="position:absolute;left:4309;top:211;width:890;height:2618" filled="true" fillcolor="#ccecff" stroked="false">
              <v:fill type="solid"/>
            </v:rect>
            <v:shape style="position:absolute;left:4302;top:205;width:903;height:2630" coordorigin="4302,206" coordsize="903,2630" path="m5204,2831l5204,208,5202,206,4306,206,4302,208,4302,2831,4306,2835,4309,2835,4309,218,4315,212,4315,218,5192,218,5192,212,5198,218,5198,2835,5202,2835,5204,2831xm4315,218l4315,212,4309,218,4315,218xm4315,2822l4315,218,4309,218,4309,2822,4315,2822xm5198,2822l4309,2822,4315,2829,4315,2835,5192,2835,5192,2829,5198,2822xm4315,2835l4315,2829,4309,2822,4309,2835,4315,2835xm5198,218l5192,212,5192,218,5198,218xm5198,2822l5198,218,5192,218,5192,2822,5198,2822xm5198,2835l5198,2822,5192,2829,5192,2835,5198,2835xe" filled="true" fillcolor="#000000" stroked="false">
              <v:path arrowok="t"/>
              <v:fill type="solid"/>
            </v:shape>
            <v:rect style="position:absolute;left:5703;top:238;width:890;height:2144" filled="true" fillcolor="#ccecff" stroked="false">
              <v:fill type="solid"/>
            </v:rect>
            <v:shape style="position:absolute;left:5696;top:232;width:903;height:2156" coordorigin="5696,232" coordsize="903,2156" path="m6599,2385l6599,235,6596,232,5700,232,5696,235,5696,2385,5700,2387,5704,2387,5704,244,5710,238,5710,244,6587,244,6587,238,6593,244,6593,2387,6596,2387,6599,2385xm5710,244l5710,238,5704,244,5710,244xm5710,2375l5710,244,5704,244,5704,2375,5710,2375xm6593,2375l5704,2375,5710,2381,5710,2387,6587,2387,6587,2381,6593,2375xm5710,2387l5710,2381,5704,2375,5704,2387,5710,2387xm6593,244l6587,238,6587,244,6593,244xm6593,2375l6593,244,6587,244,6587,2375,6593,2375xm6593,2387l6593,2375,6587,2381,6587,2387,6593,2387xe" filled="true" fillcolor="#000000" stroked="false">
              <v:path arrowok="t"/>
              <v:fill type="solid"/>
            </v:shape>
            <v:shape style="position:absolute;left:5272;top:1048;width:375;height:102" type="#_x0000_t75" stroked="false">
              <v:imagedata r:id="rId68" o:title=""/>
            </v:shape>
            <v:shape style="position:absolute;left:3826;top:1362;width:414;height:102" coordorigin="3827,1363" coordsize="414,102" path="m3929,1408l3929,1363,3827,1414,3912,1456,3912,1408,3929,1408xm4241,1420l4241,1408,3912,1408,3912,1420,4241,1420xm3929,1465l3929,1420,3912,1420,3912,1456,3929,1465xe" filled="true" fillcolor="#92d050" stroked="false">
              <v:path arrowok="t"/>
              <v:fill type="solid"/>
            </v:shape>
            <v:rect style="position:absolute;left:4309;top:3389;width:890;height:2698" filled="true" fillcolor="#ccecff" stroked="false">
              <v:fill type="solid"/>
            </v:rect>
            <v:shape style="position:absolute;left:4302;top:3383;width:903;height:2710" coordorigin="4302,3383" coordsize="903,2710" path="m5204,6091l5204,3387,5202,3383,4306,3383,4302,3387,4302,6091,4306,6093,4309,6093,4309,3397,4315,3389,4315,3397,5192,3397,5192,3389,5198,3397,5198,6093,5202,6093,5204,6091xm4315,3397l4315,3389,4309,3397,4315,3397xm4315,6081l4315,3397,4309,3397,4309,6081,4315,6081xm5198,6081l4309,6081,4315,6087,4315,6093,5192,6093,5192,6087,5198,6081xm4315,6093l4315,6087,4309,6081,4309,6093,4315,6093xm5198,3397l5192,3389,5192,3397,5198,3397xm5198,6081l5198,3397,5192,3397,5192,6081,5198,6081xm5198,6093l5198,6081,5192,6087,5192,6093,5198,6093xe" filled="true" fillcolor="#000000" stroked="false">
              <v:path arrowok="t"/>
              <v:fill type="solid"/>
            </v:shape>
            <v:shape style="position:absolute;left:3830;top:1191;width:1840;height:3461" coordorigin="3830,1191" coordsize="1840,3461" path="m4244,4594l3934,4594,3934,4550,3830,4600,3916,4643,3934,4652,3934,4606,4244,4606,4244,4594m5670,1237l5358,1237,5358,1191,5256,1243,5341,1285,5358,1293,5358,1249,5670,1249,5670,1237e" filled="true" fillcolor="#92d050" stroked="false">
              <v:path arrowok="t"/>
              <v:fill type="solid"/>
            </v:shape>
            <v:shape style="position:absolute;left:5272;top:4445;width:2402;height:102" coordorigin="5273,4445" coordsize="2402,102" path="m7589,4502l7589,4490,5273,4489,5273,4501,7589,4502xm7674,4496l7572,4445,7572,4490,7589,4490,7589,4539,7674,4496xm7589,4539l7589,4502,7572,4502,7572,4547,7589,4539xe" filled="true" fillcolor="#7030a0" stroked="false">
              <v:path arrowok="t"/>
              <v:fill type="solid"/>
            </v:shape>
            <v:shape style="position:absolute;left:5272;top:4549;width:2402;height:102" coordorigin="5273,4550" coordsize="2402,102" path="m5375,4594l5375,4550,5273,4600,5357,4643,5357,4594,5375,4594xm7674,4606l7674,4594,5357,4594,5357,4606,7674,4606xm5375,4652l5375,4606,5357,4606,5357,4643,5375,4652xe" filled="true" fillcolor="#92d050" stroked="false">
              <v:path arrowok="t"/>
              <v:fill type="solid"/>
            </v:shape>
            <v:shape style="position:absolute;left:6628;top:286;width:1082;height:587" type="#_x0000_t202" filled="false" stroked="false">
              <v:textbox inset="0,0,0,0">
                <w:txbxContent>
                  <w:p>
                    <w:pPr>
                      <w:spacing w:line="155" w:lineRule="exact" w:before="0"/>
                      <w:ind w:left="368" w:right="427" w:firstLine="0"/>
                      <w:jc w:val="center"/>
                      <w:rPr>
                        <w:rFonts w:ascii="Calibri"/>
                        <w:b/>
                        <w:sz w:val="15"/>
                      </w:rPr>
                    </w:pPr>
                    <w:r>
                      <w:rPr>
                        <w:rFonts w:ascii="Calibri"/>
                        <w:b/>
                        <w:sz w:val="15"/>
                      </w:rPr>
                      <w:t>ABS</w:t>
                    </w:r>
                  </w:p>
                  <w:p>
                    <w:pPr>
                      <w:spacing w:line="240" w:lineRule="auto" w:before="5"/>
                      <w:rPr>
                        <w:rFonts w:ascii="Calibri"/>
                        <w:b/>
                        <w:sz w:val="20"/>
                      </w:rPr>
                    </w:pPr>
                  </w:p>
                  <w:p>
                    <w:pPr>
                      <w:spacing w:line="181" w:lineRule="exact" w:before="1"/>
                      <w:ind w:left="-1" w:right="18" w:firstLine="0"/>
                      <w:jc w:val="center"/>
                      <w:rPr>
                        <w:rFonts w:ascii="Calibri" w:hAnsi="Calibri"/>
                        <w:b/>
                        <w:sz w:val="15"/>
                      </w:rPr>
                    </w:pPr>
                    <w:r>
                      <w:rPr>
                        <w:rFonts w:ascii="Calibri" w:hAnsi="Calibri"/>
                        <w:b/>
                        <w:sz w:val="15"/>
                      </w:rPr>
                      <w:t>Cash</w:t>
                    </w:r>
                    <w:r>
                      <w:rPr>
                        <w:rFonts w:ascii="Calibri" w:hAnsi="Calibri"/>
                        <w:b/>
                        <w:spacing w:val="12"/>
                        <w:sz w:val="15"/>
                      </w:rPr>
                      <w:t> </w:t>
                    </w:r>
                    <w:r>
                      <w:rPr>
                        <w:rFonts w:ascii="Calibri" w:hAnsi="Calibri"/>
                        <w:b/>
                        <w:sz w:val="15"/>
                      </w:rPr>
                      <w:t>(long‐term)</w:t>
                    </w:r>
                  </w:p>
                </w:txbxContent>
              </v:textbox>
              <w10:wrap type="none"/>
            </v:shape>
            <v:shape style="position:absolute;left:5263;top:883;width:387;height:587" type="#_x0000_t202" filled="false" stroked="false">
              <v:textbox inset="0,0,0,0">
                <w:txbxContent>
                  <w:p>
                    <w:pPr>
                      <w:spacing w:line="155" w:lineRule="exact" w:before="0"/>
                      <w:ind w:left="0" w:right="0" w:firstLine="0"/>
                      <w:jc w:val="left"/>
                      <w:rPr>
                        <w:rFonts w:ascii="Calibri"/>
                        <w:b/>
                        <w:sz w:val="15"/>
                      </w:rPr>
                    </w:pPr>
                    <w:r>
                      <w:rPr>
                        <w:rFonts w:ascii="Calibri"/>
                        <w:b/>
                        <w:sz w:val="15"/>
                      </w:rPr>
                      <w:t>Loans</w:t>
                    </w:r>
                  </w:p>
                  <w:p>
                    <w:pPr>
                      <w:spacing w:line="240" w:lineRule="auto" w:before="5"/>
                      <w:rPr>
                        <w:rFonts w:ascii="Calibri"/>
                        <w:b/>
                        <w:sz w:val="20"/>
                      </w:rPr>
                    </w:pPr>
                  </w:p>
                  <w:p>
                    <w:pPr>
                      <w:spacing w:line="181" w:lineRule="exact" w:before="1"/>
                      <w:ind w:left="55" w:right="0" w:firstLine="0"/>
                      <w:jc w:val="left"/>
                      <w:rPr>
                        <w:rFonts w:ascii="Calibri"/>
                        <w:b/>
                        <w:sz w:val="15"/>
                      </w:rPr>
                    </w:pPr>
                    <w:r>
                      <w:rPr>
                        <w:rFonts w:ascii="Calibri"/>
                        <w:b/>
                        <w:sz w:val="15"/>
                      </w:rPr>
                      <w:t>Cash</w:t>
                    </w:r>
                  </w:p>
                </w:txbxContent>
              </v:textbox>
              <w10:wrap type="none"/>
            </v:shape>
            <v:shape style="position:absolute;left:3889;top:1486;width:321;height:154" type="#_x0000_t202" filled="false" stroked="false">
              <v:textbox inset="0,0,0,0">
                <w:txbxContent>
                  <w:p>
                    <w:pPr>
                      <w:spacing w:line="153" w:lineRule="exact" w:before="0"/>
                      <w:ind w:left="0" w:right="0" w:firstLine="0"/>
                      <w:jc w:val="left"/>
                      <w:rPr>
                        <w:rFonts w:ascii="Calibri"/>
                        <w:b/>
                        <w:sz w:val="15"/>
                      </w:rPr>
                    </w:pPr>
                    <w:r>
                      <w:rPr>
                        <w:rFonts w:ascii="Calibri"/>
                        <w:b/>
                        <w:sz w:val="15"/>
                      </w:rPr>
                      <w:t>Cash</w:t>
                    </w:r>
                  </w:p>
                </w:txbxContent>
              </v:textbox>
              <w10:wrap type="none"/>
            </v:shape>
            <v:shape style="position:absolute;left:6670;top:1737;width:1082;height:587" type="#_x0000_t202" filled="false" stroked="false">
              <v:textbox inset="0,0,0,0">
                <w:txbxContent>
                  <w:p>
                    <w:pPr>
                      <w:spacing w:line="155" w:lineRule="exact" w:before="0"/>
                      <w:ind w:left="368" w:right="427" w:firstLine="0"/>
                      <w:jc w:val="center"/>
                      <w:rPr>
                        <w:rFonts w:ascii="Calibri"/>
                        <w:b/>
                        <w:sz w:val="15"/>
                      </w:rPr>
                    </w:pPr>
                    <w:r>
                      <w:rPr>
                        <w:rFonts w:ascii="Calibri"/>
                        <w:b/>
                        <w:sz w:val="15"/>
                      </w:rPr>
                      <w:t>ABS</w:t>
                    </w:r>
                  </w:p>
                  <w:p>
                    <w:pPr>
                      <w:spacing w:line="240" w:lineRule="auto" w:before="5"/>
                      <w:rPr>
                        <w:rFonts w:ascii="Calibri"/>
                        <w:b/>
                        <w:sz w:val="20"/>
                      </w:rPr>
                    </w:pPr>
                  </w:p>
                  <w:p>
                    <w:pPr>
                      <w:spacing w:line="181" w:lineRule="exact" w:before="1"/>
                      <w:ind w:left="-1" w:right="18" w:firstLine="0"/>
                      <w:jc w:val="center"/>
                      <w:rPr>
                        <w:rFonts w:ascii="Calibri" w:hAnsi="Calibri"/>
                        <w:b/>
                        <w:sz w:val="15"/>
                      </w:rPr>
                    </w:pPr>
                    <w:r>
                      <w:rPr>
                        <w:rFonts w:ascii="Calibri" w:hAnsi="Calibri"/>
                        <w:b/>
                        <w:sz w:val="15"/>
                      </w:rPr>
                      <w:t>Cash</w:t>
                    </w:r>
                    <w:r>
                      <w:rPr>
                        <w:rFonts w:ascii="Calibri" w:hAnsi="Calibri"/>
                        <w:b/>
                        <w:spacing w:val="4"/>
                        <w:sz w:val="15"/>
                      </w:rPr>
                      <w:t> </w:t>
                    </w:r>
                    <w:r>
                      <w:rPr>
                        <w:rFonts w:ascii="Calibri" w:hAnsi="Calibri"/>
                        <w:b/>
                        <w:sz w:val="15"/>
                      </w:rPr>
                      <w:t>(long‐term)</w:t>
                    </w:r>
                  </w:p>
                </w:txbxContent>
              </v:textbox>
              <w10:wrap type="none"/>
            </v:shape>
            <v:shape style="position:absolute;left:5851;top:3897;width:1257;height:548" type="#_x0000_t202" filled="false" stroked="false">
              <v:textbox inset="0,0,0,0">
                <w:txbxContent>
                  <w:p>
                    <w:pPr>
                      <w:spacing w:line="155" w:lineRule="exact" w:before="0"/>
                      <w:ind w:left="-1" w:right="18" w:firstLine="0"/>
                      <w:jc w:val="center"/>
                      <w:rPr>
                        <w:rFonts w:ascii="Calibri"/>
                        <w:b/>
                        <w:sz w:val="15"/>
                      </w:rPr>
                    </w:pPr>
                    <w:r>
                      <w:rPr>
                        <w:rFonts w:ascii="Calibri"/>
                        <w:b/>
                        <w:color w:val="C00000"/>
                        <w:sz w:val="15"/>
                      </w:rPr>
                      <w:t>PRIME</w:t>
                    </w:r>
                    <w:r>
                      <w:rPr>
                        <w:rFonts w:ascii="Calibri"/>
                        <w:b/>
                        <w:color w:val="C00000"/>
                        <w:spacing w:val="26"/>
                        <w:sz w:val="15"/>
                      </w:rPr>
                      <w:t> </w:t>
                    </w:r>
                    <w:r>
                      <w:rPr>
                        <w:rFonts w:ascii="Calibri"/>
                        <w:b/>
                        <w:color w:val="C00000"/>
                        <w:spacing w:val="-3"/>
                        <w:sz w:val="15"/>
                      </w:rPr>
                      <w:t>BROKERAGE</w:t>
                    </w:r>
                  </w:p>
                  <w:p>
                    <w:pPr>
                      <w:spacing w:line="240" w:lineRule="auto" w:before="4"/>
                      <w:rPr>
                        <w:rFonts w:ascii="Calibri"/>
                        <w:b/>
                        <w:sz w:val="17"/>
                      </w:rPr>
                    </w:pPr>
                  </w:p>
                  <w:p>
                    <w:pPr>
                      <w:spacing w:line="181" w:lineRule="exact" w:before="0"/>
                      <w:ind w:left="1" w:right="18" w:firstLine="0"/>
                      <w:jc w:val="center"/>
                      <w:rPr>
                        <w:rFonts w:ascii="Calibri"/>
                        <w:b/>
                        <w:sz w:val="15"/>
                      </w:rPr>
                    </w:pPr>
                    <w:r>
                      <w:rPr>
                        <w:rFonts w:ascii="Calibri"/>
                        <w:b/>
                        <w:sz w:val="15"/>
                      </w:rPr>
                      <w:t>Collateral</w:t>
                    </w:r>
                  </w:p>
                </w:txbxContent>
              </v:textbox>
              <w10:wrap type="none"/>
            </v:shape>
            <v:shape style="position:absolute;left:3894;top:4673;width:321;height:154" type="#_x0000_t202" filled="false" stroked="false">
              <v:textbox inset="0,0,0,0">
                <w:txbxContent>
                  <w:p>
                    <w:pPr>
                      <w:spacing w:line="153" w:lineRule="exact" w:before="0"/>
                      <w:ind w:left="0" w:right="0" w:firstLine="0"/>
                      <w:jc w:val="left"/>
                      <w:rPr>
                        <w:rFonts w:ascii="Calibri"/>
                        <w:b/>
                        <w:sz w:val="15"/>
                      </w:rPr>
                    </w:pPr>
                    <w:r>
                      <w:rPr>
                        <w:rFonts w:ascii="Calibri"/>
                        <w:b/>
                        <w:sz w:val="15"/>
                      </w:rPr>
                      <w:t>Cash</w:t>
                    </w:r>
                  </w:p>
                </w:txbxContent>
              </v:textbox>
              <w10:wrap type="none"/>
            </v:shape>
            <v:shape style="position:absolute;left:6327;top:4705;width:321;height:154" type="#_x0000_t202" filled="false" stroked="false">
              <v:textbox inset="0,0,0,0">
                <w:txbxContent>
                  <w:p>
                    <w:pPr>
                      <w:spacing w:line="153" w:lineRule="exact" w:before="0"/>
                      <w:ind w:left="0" w:right="0" w:firstLine="0"/>
                      <w:jc w:val="left"/>
                      <w:rPr>
                        <w:rFonts w:ascii="Calibri"/>
                        <w:b/>
                        <w:sz w:val="15"/>
                      </w:rPr>
                    </w:pPr>
                    <w:r>
                      <w:rPr>
                        <w:rFonts w:ascii="Calibri"/>
                        <w:b/>
                        <w:sz w:val="15"/>
                      </w:rPr>
                      <w:t>Cash</w:t>
                    </w:r>
                  </w:p>
                </w:txbxContent>
              </v:textbox>
              <w10:wrap type="none"/>
            </v:shape>
            <v:shape style="position:absolute;left:4309;top:3389;width:890;height:2698"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5"/>
                      <w:rPr>
                        <w:sz w:val="15"/>
                      </w:rPr>
                    </w:pPr>
                  </w:p>
                  <w:p>
                    <w:pPr>
                      <w:spacing w:before="0"/>
                      <w:ind w:left="95" w:right="94" w:firstLine="1"/>
                      <w:jc w:val="center"/>
                      <w:rPr>
                        <w:rFonts w:ascii="Calibri"/>
                        <w:sz w:val="15"/>
                      </w:rPr>
                    </w:pPr>
                    <w:r>
                      <w:rPr>
                        <w:rFonts w:ascii="Calibri"/>
                        <w:b/>
                        <w:sz w:val="15"/>
                      </w:rPr>
                      <w:t>Leveraged investors </w:t>
                    </w:r>
                    <w:r>
                      <w:rPr>
                        <w:rFonts w:ascii="Calibri"/>
                        <w:sz w:val="15"/>
                      </w:rPr>
                      <w:t>(hedge funds, etc.)</w:t>
                    </w:r>
                  </w:p>
                </w:txbxContent>
              </v:textbox>
              <w10:wrap type="none"/>
            </v:shape>
            <v:shape style="position:absolute;left:5703;top:238;width:890;height:2144"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4"/>
                      <w:rPr>
                        <w:sz w:val="13"/>
                      </w:rPr>
                    </w:pPr>
                  </w:p>
                  <w:p>
                    <w:pPr>
                      <w:spacing w:before="0"/>
                      <w:ind w:left="72" w:right="68" w:firstLine="0"/>
                      <w:jc w:val="center"/>
                      <w:rPr>
                        <w:rFonts w:ascii="Calibri" w:hAnsi="Calibri"/>
                        <w:sz w:val="15"/>
                      </w:rPr>
                    </w:pPr>
                    <w:r>
                      <w:rPr>
                        <w:rFonts w:ascii="Calibri" w:hAnsi="Calibri"/>
                        <w:b/>
                        <w:sz w:val="15"/>
                      </w:rPr>
                      <w:t>SPVs </w:t>
                    </w:r>
                    <w:r>
                      <w:rPr>
                        <w:rFonts w:ascii="Calibri" w:hAnsi="Calibri"/>
                        <w:sz w:val="15"/>
                      </w:rPr>
                      <w:t>(credit risk trans‐ formation)</w:t>
                    </w:r>
                  </w:p>
                </w:txbxContent>
              </v:textbox>
              <w10:wrap type="none"/>
            </v:shape>
            <v:shape style="position:absolute;left:4309;top:211;width:890;height:2618"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before="124"/>
                      <w:ind w:left="97" w:right="94" w:firstLine="69"/>
                      <w:jc w:val="both"/>
                      <w:rPr>
                        <w:rFonts w:ascii="Calibri"/>
                        <w:sz w:val="15"/>
                      </w:rPr>
                    </w:pPr>
                    <w:r>
                      <w:rPr>
                        <w:rFonts w:ascii="Calibri"/>
                        <w:b/>
                        <w:sz w:val="17"/>
                      </w:rPr>
                      <w:t>Lenders </w:t>
                    </w:r>
                    <w:r>
                      <w:rPr>
                        <w:rFonts w:ascii="Calibri"/>
                        <w:sz w:val="15"/>
                      </w:rPr>
                      <w:t>with loans that can be securitised</w:t>
                    </w:r>
                  </w:p>
                </w:txbxContent>
              </v:textbox>
              <w10:wrap type="none"/>
            </v:shape>
            <v:shape style="position:absolute;left:2956;top:238;width:809;height:5849"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5"/>
                      <w:rPr>
                        <w:sz w:val="14"/>
                      </w:rPr>
                    </w:pPr>
                  </w:p>
                  <w:p>
                    <w:pPr>
                      <w:spacing w:before="0"/>
                      <w:ind w:left="82" w:right="72" w:firstLine="52"/>
                      <w:jc w:val="left"/>
                      <w:rPr>
                        <w:rFonts w:ascii="Calibri"/>
                        <w:sz w:val="15"/>
                      </w:rPr>
                    </w:pPr>
                    <w:r>
                      <w:rPr>
                        <w:rFonts w:ascii="Calibri"/>
                        <w:sz w:val="15"/>
                      </w:rPr>
                      <w:t>Ultimate borrowers</w:t>
                    </w:r>
                  </w:p>
                </w:txbxContent>
              </v:textbox>
              <w10:wrap type="none"/>
            </v:shape>
            <w10:wrap type="none"/>
          </v:group>
        </w:pict>
      </w:r>
      <w:r>
        <w:rPr/>
        <w:pict>
          <v:group style="position:absolute;margin-left:386.940002pt;margin-top:9.574785pt;width:237.25pt;height:294.5pt;mso-position-horizontal-relative:page;mso-position-vertical-relative:paragraph;z-index:251707392" coordorigin="7739,191" coordsize="4745,5890">
            <v:rect style="position:absolute;left:7744;top:246;width:1758;height:700" filled="true" fillcolor="#ccecff" stroked="false">
              <v:fill type="solid"/>
            </v:rect>
            <v:shape style="position:absolute;left:7738;top:240;width:1770;height:712" coordorigin="7739,241" coordsize="1770,712" path="m9509,950l9509,243,9505,241,7741,241,7739,243,7739,950,7741,952,7745,952,7745,253,7751,247,7751,253,9496,253,9496,247,9503,253,9503,952,9505,952,9509,950xm7751,253l7751,247,7745,253,7751,253xm7751,940l7751,253,7745,253,7745,940,7751,940xm9503,940l7745,940,7751,946,7751,952,9496,952,9496,946,9503,940xm7751,952l7751,946,7745,940,7745,952,7751,952xm9503,253l9496,247,9496,253,9503,253xm9503,940l9503,253,9496,253,9496,940,9503,940xm9503,952l9503,940,9496,946,9496,952,9503,952xe" filled="true" fillcolor="#000000" stroked="false">
              <v:path arrowok="t"/>
              <v:fill type="solid"/>
            </v:shape>
            <v:rect style="position:absolute;left:7765;top:1749;width:1758;height:4325" filled="true" fillcolor="#ccecff" stroked="false">
              <v:fill type="solid"/>
            </v:rect>
            <v:shape style="position:absolute;left:7759;top:1743;width:1770;height:4338" coordorigin="7759,1743" coordsize="1770,4338" path="m9529,6077l9529,1745,9526,1743,7762,1743,7759,1745,7759,6077,7762,6081,7765,6081,7765,1755,7771,1749,7771,1755,9516,1755,9516,1749,9523,1755,9523,6081,9526,6081,9529,6077xm7771,1755l7771,1749,7765,1755,7771,1755xm7771,6068l7771,1755,7765,1755,7765,6068,7771,6068xm9523,6068l7765,6068,7771,6074,7771,6081,9516,6081,9516,6074,9523,6068xm7771,6081l7771,6074,7765,6068,7765,6081,7771,6081xm9523,1755l9516,1749,9516,1755,9523,1755xm9523,6068l9523,1755,9516,1755,9516,6068,9523,6068xm9523,6081l9523,6068,9516,6074,9516,6081,9523,6081xe" filled="true" fillcolor="#000000" stroked="false">
              <v:path arrowok="t"/>
              <v:fill type="solid"/>
            </v:shape>
            <v:rect style="position:absolute;left:7887;top:1924;width:1517;height:702" filled="true" fillcolor="#99ccff" stroked="false">
              <v:fill type="solid"/>
            </v:rect>
            <v:shape style="position:absolute;left:7881;top:1918;width:1529;height:714" coordorigin="7882,1918" coordsize="1529,714" path="m9410,2630l9410,1921,9408,1918,7884,1918,7882,1921,7882,2630,7884,2632,7888,2632,7888,1930,7894,1924,7894,1930,9398,1930,9398,1924,9404,1930,9404,2632,9408,2632,9410,2630xm7894,1930l7894,1924,7888,1930,7894,1930xm7894,2620l7894,1930,7888,1930,7888,2620,7894,2620xm9404,2620l7888,2620,7894,2626,7894,2632,9398,2632,9398,2626,9404,2620xm7894,2632l7894,2626,7888,2620,7888,2632,7894,2632xm9404,1930l9398,1924,9398,1930,9404,1930xm9404,2620l9404,1930,9398,1930,9398,2620,9404,2620xm9404,2632l9404,2620,9398,2626,9398,2632,9404,2632xe" filled="true" fillcolor="#000000" stroked="false">
              <v:path arrowok="t"/>
              <v:fill type="solid"/>
            </v:shape>
            <v:rect style="position:absolute;left:7887;top:2832;width:1517;height:2414" filled="true" fillcolor="#99ccff" stroked="false">
              <v:fill type="solid"/>
            </v:rect>
            <v:shape style="position:absolute;left:7881;top:973;width:1538;height:4278" coordorigin="7882,974" coordsize="1538,4278" path="m9233,1696l9206,1696,9206,1803,9233,1803,9233,1696m9233,1510l9206,1510,9206,1617,9233,1617,9233,1510m9233,1325l9206,1325,9206,1431,9233,1431,9233,1325m9233,1139l9206,1139,9206,1245,9233,1245,9233,1139m9270,1076l9220,974,9168,1076,9206,1076,9233,1076,9270,1076m9410,2829l9408,2827,9398,2827,9398,2839,9398,5240,7894,5240,7894,2839,9398,2839,9398,2827,7884,2827,7882,2829,7882,5249,7884,5252,7888,5252,7894,5252,9398,5252,9404,5252,9408,5252,9410,5249,9410,2829m9419,1697l9392,1697,9392,1803,9419,1803,9419,1697m9419,1511l9392,1511,9392,1617,9419,1617,9419,1511m9419,1325l9392,1325,9392,1431,9419,1431,9419,1325m9419,1244l9392,1244,9392,1246,9419,1246,9419,1244e" filled="true" fillcolor="#000000" stroked="false">
              <v:path arrowok="t"/>
              <v:fill type="solid"/>
            </v:shape>
            <v:rect style="position:absolute;left:10773;top:197;width:1060;height:3992" filled="true" fillcolor="#ccecff" stroked="false">
              <v:fill type="solid"/>
            </v:rect>
            <v:shape style="position:absolute;left:10767;top:191;width:1072;height:4004" coordorigin="10768,191" coordsize="1072,4004" path="m11839,4191l11839,194,11837,191,10771,191,10768,194,10768,4191,10771,4195,10774,4195,10774,203,10781,197,10781,203,11827,203,11827,197,11833,203,11833,4195,11837,4195,11839,4191xm10781,203l10781,197,10774,203,10781,203xm10781,4181l10781,203,10774,203,10774,4181,10781,4181xm11833,4181l10774,4181,10781,4189,10781,4195,11827,4195,11827,4189,11833,4181xm10781,4195l10781,4189,10774,4181,10774,4195,10781,4195xm11833,203l11827,197,11827,203,11833,203xm11833,4181l11833,203,11827,203,11827,4181,11833,4181xm11833,4195l11833,4181,11827,4189,11827,4195,11833,4195xe" filled="true" fillcolor="#000000" stroked="false">
              <v:path arrowok="t"/>
              <v:fill type="solid"/>
            </v:shape>
            <v:shape style="position:absolute;left:11868;top:1417;width:616;height:102" coordorigin="11868,1418" coordsize="616,102" path="m11970,1463l11970,1418,11868,1469,11953,1512,11953,1463,11970,1463xm12484,1475l12484,1463,11953,1463,11953,1475,12484,1475xm11970,1520l11970,1475,11953,1475,11953,1512,11970,1520xe" filled="true" fillcolor="#92d050" stroked="false">
              <v:path arrowok="t"/>
              <v:fill type="solid"/>
            </v:shape>
            <v:shape style="position:absolute;left:9405;top:1174;width:1358;height:102" coordorigin="9406,1174" coordsize="1358,102" path="m9511,1238l9511,1211,9406,1211,9406,1238,9511,1238xm9697,1238l9697,1211,9592,1211,9592,1238,9697,1238xm9883,1238l9883,1211,9776,1211,9776,1238,9883,1238xm10069,1238l10069,1211,9962,1211,9962,1238,10069,1238xm10254,1238l10254,1211,10148,1211,10148,1238,10254,1238xm10440,1238l10440,1211,10334,1211,10334,1238,10440,1238xm10626,1238l10626,1211,10520,1211,10520,1238,10626,1238xm10763,1225l10661,1174,10661,1276,10763,1225xe" filled="true" fillcolor="#000000" stroked="false">
              <v:path arrowok="t"/>
              <v:fill type="solid"/>
            </v:shape>
            <v:shape style="position:absolute;left:9577;top:286;width:1142;height:587" type="#_x0000_t202" filled="false" stroked="false">
              <v:textbox inset="0,0,0,0">
                <w:txbxContent>
                  <w:p>
                    <w:pPr>
                      <w:spacing w:line="155" w:lineRule="exact" w:before="0"/>
                      <w:ind w:left="0" w:right="61" w:firstLine="0"/>
                      <w:jc w:val="center"/>
                      <w:rPr>
                        <w:rFonts w:ascii="Calibri"/>
                        <w:b/>
                        <w:sz w:val="15"/>
                      </w:rPr>
                    </w:pPr>
                    <w:r>
                      <w:rPr>
                        <w:rFonts w:ascii="Calibri"/>
                        <w:b/>
                        <w:sz w:val="15"/>
                      </w:rPr>
                      <w:t>ABCP</w:t>
                    </w:r>
                  </w:p>
                  <w:p>
                    <w:pPr>
                      <w:spacing w:line="240" w:lineRule="auto" w:before="5"/>
                      <w:rPr>
                        <w:rFonts w:ascii="Calibri"/>
                        <w:b/>
                        <w:sz w:val="20"/>
                      </w:rPr>
                    </w:pPr>
                  </w:p>
                  <w:p>
                    <w:pPr>
                      <w:spacing w:line="181" w:lineRule="exact" w:before="1"/>
                      <w:ind w:left="0" w:right="18" w:firstLine="0"/>
                      <w:jc w:val="center"/>
                      <w:rPr>
                        <w:rFonts w:ascii="Calibri" w:hAnsi="Calibri"/>
                        <w:b/>
                        <w:sz w:val="15"/>
                      </w:rPr>
                    </w:pPr>
                    <w:r>
                      <w:rPr>
                        <w:rFonts w:ascii="Calibri" w:hAnsi="Calibri"/>
                        <w:b/>
                        <w:sz w:val="15"/>
                      </w:rPr>
                      <w:t>Cash (short‐term)</w:t>
                    </w:r>
                  </w:p>
                </w:txbxContent>
              </v:textbox>
              <w10:wrap type="none"/>
            </v:shape>
            <v:shape style="position:absolute;left:8233;top:1484;width:885;height:154" type="#_x0000_t202" filled="false" stroked="false">
              <v:textbox inset="0,0,0,0">
                <w:txbxContent>
                  <w:p>
                    <w:pPr>
                      <w:spacing w:line="153" w:lineRule="exact" w:before="0"/>
                      <w:ind w:left="0" w:right="0" w:firstLine="0"/>
                      <w:jc w:val="left"/>
                      <w:rPr>
                        <w:rFonts w:ascii="Calibri"/>
                        <w:b/>
                        <w:sz w:val="15"/>
                      </w:rPr>
                    </w:pPr>
                    <w:r>
                      <w:rPr>
                        <w:rFonts w:ascii="Calibri"/>
                        <w:b/>
                        <w:color w:val="C00000"/>
                        <w:sz w:val="15"/>
                      </w:rPr>
                      <w:t>Liquidity puts</w:t>
                    </w:r>
                  </w:p>
                </w:txbxContent>
              </v:textbox>
              <w10:wrap type="none"/>
            </v:shape>
            <v:shape style="position:absolute;left:12068;top:1526;width:321;height:154" type="#_x0000_t202" filled="false" stroked="false">
              <v:textbox inset="0,0,0,0">
                <w:txbxContent>
                  <w:p>
                    <w:pPr>
                      <w:spacing w:line="153" w:lineRule="exact" w:before="0"/>
                      <w:ind w:left="0" w:right="0" w:firstLine="0"/>
                      <w:jc w:val="left"/>
                      <w:rPr>
                        <w:rFonts w:ascii="Calibri"/>
                        <w:b/>
                        <w:sz w:val="15"/>
                      </w:rPr>
                    </w:pPr>
                    <w:r>
                      <w:rPr>
                        <w:rFonts w:ascii="Calibri"/>
                        <w:b/>
                        <w:sz w:val="15"/>
                      </w:rPr>
                      <w:t>Cash</w:t>
                    </w:r>
                  </w:p>
                </w:txbxContent>
              </v:textbox>
              <w10:wrap type="none"/>
            </v:shape>
            <v:shape style="position:absolute;left:9598;top:1737;width:1141;height:1027" type="#_x0000_t202" filled="false" stroked="false">
              <v:textbox inset="0,0,0,0">
                <w:txbxContent>
                  <w:p>
                    <w:pPr>
                      <w:spacing w:line="155" w:lineRule="exact" w:before="0"/>
                      <w:ind w:left="0" w:right="38" w:firstLine="0"/>
                      <w:jc w:val="center"/>
                      <w:rPr>
                        <w:rFonts w:ascii="Calibri" w:hAnsi="Calibri"/>
                        <w:b/>
                        <w:sz w:val="15"/>
                      </w:rPr>
                    </w:pPr>
                    <w:r>
                      <w:rPr>
                        <w:rFonts w:ascii="Calibri" w:hAnsi="Calibri"/>
                        <w:b/>
                        <w:color w:val="C00000"/>
                        <w:sz w:val="15"/>
                      </w:rPr>
                      <w:t>SHORT‐TERM</w:t>
                    </w:r>
                  </w:p>
                  <w:p>
                    <w:pPr>
                      <w:spacing w:before="1"/>
                      <w:ind w:left="0" w:right="38" w:firstLine="0"/>
                      <w:jc w:val="center"/>
                      <w:rPr>
                        <w:rFonts w:ascii="Calibri"/>
                        <w:b/>
                        <w:sz w:val="15"/>
                      </w:rPr>
                    </w:pPr>
                    <w:r>
                      <w:rPr>
                        <w:rFonts w:ascii="Calibri"/>
                        <w:b/>
                        <w:color w:val="C00000"/>
                        <w:sz w:val="15"/>
                      </w:rPr>
                      <w:t>(REPO) FUNDING</w:t>
                    </w:r>
                  </w:p>
                  <w:p>
                    <w:pPr>
                      <w:spacing w:before="73"/>
                      <w:ind w:left="0" w:right="1" w:firstLine="0"/>
                      <w:jc w:val="center"/>
                      <w:rPr>
                        <w:rFonts w:ascii="Calibri"/>
                        <w:b/>
                        <w:sz w:val="15"/>
                      </w:rPr>
                    </w:pPr>
                    <w:r>
                      <w:rPr>
                        <w:rFonts w:ascii="Calibri"/>
                        <w:b/>
                        <w:sz w:val="15"/>
                      </w:rPr>
                      <w:t>ABS Collateral</w:t>
                    </w:r>
                  </w:p>
                  <w:p>
                    <w:pPr>
                      <w:spacing w:line="240" w:lineRule="auto" w:before="6"/>
                      <w:rPr>
                        <w:rFonts w:ascii="Calibri"/>
                        <w:b/>
                        <w:sz w:val="20"/>
                      </w:rPr>
                    </w:pPr>
                  </w:p>
                  <w:p>
                    <w:pPr>
                      <w:spacing w:line="181" w:lineRule="exact" w:before="0"/>
                      <w:ind w:left="0" w:right="18" w:firstLine="0"/>
                      <w:jc w:val="center"/>
                      <w:rPr>
                        <w:rFonts w:ascii="Calibri" w:hAnsi="Calibri"/>
                        <w:b/>
                        <w:sz w:val="15"/>
                      </w:rPr>
                    </w:pPr>
                    <w:r>
                      <w:rPr>
                        <w:rFonts w:ascii="Calibri" w:hAnsi="Calibri"/>
                        <w:b/>
                        <w:sz w:val="15"/>
                      </w:rPr>
                      <w:t>Cash (short‐term)</w:t>
                    </w:r>
                  </w:p>
                </w:txbxContent>
              </v:textbox>
              <w10:wrap type="none"/>
            </v:shape>
            <v:shape style="position:absolute;left:9586;top:3171;width:1146;height:844" type="#_x0000_t202" filled="false" stroked="false">
              <v:textbox inset="0,0,0,0">
                <w:txbxContent>
                  <w:p>
                    <w:pPr>
                      <w:spacing w:line="155" w:lineRule="exact" w:before="0"/>
                      <w:ind w:left="0" w:right="18" w:firstLine="0"/>
                      <w:jc w:val="center"/>
                      <w:rPr>
                        <w:rFonts w:ascii="Calibri"/>
                        <w:b/>
                        <w:sz w:val="15"/>
                      </w:rPr>
                    </w:pPr>
                    <w:r>
                      <w:rPr>
                        <w:rFonts w:ascii="Calibri"/>
                        <w:b/>
                        <w:color w:val="C00000"/>
                        <w:sz w:val="15"/>
                      </w:rPr>
                      <w:t>DEALER FUNDING</w:t>
                    </w:r>
                  </w:p>
                  <w:p>
                    <w:pPr>
                      <w:spacing w:before="73"/>
                      <w:ind w:left="28" w:right="18" w:firstLine="0"/>
                      <w:jc w:val="center"/>
                      <w:rPr>
                        <w:rFonts w:ascii="Calibri"/>
                        <w:b/>
                        <w:sz w:val="15"/>
                      </w:rPr>
                    </w:pPr>
                    <w:r>
                      <w:rPr>
                        <w:rFonts w:ascii="Calibri"/>
                        <w:b/>
                        <w:sz w:val="15"/>
                      </w:rPr>
                      <w:t>Collateral</w:t>
                    </w:r>
                  </w:p>
                  <w:p>
                    <w:pPr>
                      <w:spacing w:line="240" w:lineRule="auto" w:before="6"/>
                      <w:rPr>
                        <w:rFonts w:ascii="Calibri"/>
                        <w:b/>
                        <w:sz w:val="20"/>
                      </w:rPr>
                    </w:pPr>
                  </w:p>
                  <w:p>
                    <w:pPr>
                      <w:spacing w:line="181" w:lineRule="exact" w:before="0"/>
                      <w:ind w:left="0" w:right="5" w:firstLine="0"/>
                      <w:jc w:val="center"/>
                      <w:rPr>
                        <w:rFonts w:ascii="Calibri"/>
                        <w:b/>
                        <w:sz w:val="15"/>
                      </w:rPr>
                    </w:pPr>
                    <w:r>
                      <w:rPr>
                        <w:rFonts w:ascii="Calibri"/>
                        <w:b/>
                        <w:sz w:val="15"/>
                      </w:rPr>
                      <w:t>Cash</w:t>
                    </w:r>
                  </w:p>
                </w:txbxContent>
              </v:textbox>
              <w10:wrap type="none"/>
            </v:shape>
            <v:shape style="position:absolute;left:9800;top:4825;width:740;height:337" type="#_x0000_t202" filled="false" stroked="false">
              <v:textbox inset="0,0,0,0">
                <w:txbxContent>
                  <w:p>
                    <w:pPr>
                      <w:spacing w:line="155" w:lineRule="exact" w:before="0"/>
                      <w:ind w:left="0" w:right="0" w:firstLine="0"/>
                      <w:jc w:val="left"/>
                      <w:rPr>
                        <w:rFonts w:ascii="Calibri"/>
                        <w:b/>
                        <w:sz w:val="15"/>
                      </w:rPr>
                    </w:pPr>
                    <w:r>
                      <w:rPr>
                        <w:rFonts w:ascii="Calibri"/>
                        <w:b/>
                        <w:color w:val="C00000"/>
                        <w:sz w:val="15"/>
                      </w:rPr>
                      <w:t>SECURITIES</w:t>
                    </w:r>
                  </w:p>
                  <w:p>
                    <w:pPr>
                      <w:spacing w:line="181" w:lineRule="exact" w:before="0"/>
                      <w:ind w:left="71" w:right="0" w:firstLine="0"/>
                      <w:jc w:val="left"/>
                      <w:rPr>
                        <w:rFonts w:ascii="Calibri"/>
                        <w:b/>
                        <w:sz w:val="15"/>
                      </w:rPr>
                    </w:pPr>
                    <w:r>
                      <w:rPr>
                        <w:rFonts w:ascii="Calibri"/>
                        <w:b/>
                        <w:color w:val="C00000"/>
                        <w:sz w:val="15"/>
                      </w:rPr>
                      <w:t>LENDING</w:t>
                    </w:r>
                  </w:p>
                </w:txbxContent>
              </v:textbox>
              <w10:wrap type="none"/>
            </v:shape>
            <v:shape style="position:absolute;left:7909;top:5429;width:1491;height:521" type="#_x0000_t202" filled="false" stroked="false">
              <v:textbox inset="0,0,0,0">
                <w:txbxContent>
                  <w:p>
                    <w:pPr>
                      <w:spacing w:line="155" w:lineRule="exact" w:before="0"/>
                      <w:ind w:left="0" w:right="0" w:firstLine="0"/>
                      <w:jc w:val="left"/>
                      <w:rPr>
                        <w:rFonts w:ascii="Calibri"/>
                        <w:b/>
                        <w:sz w:val="15"/>
                      </w:rPr>
                    </w:pPr>
                    <w:r>
                      <w:rPr>
                        <w:rFonts w:ascii="Calibri"/>
                        <w:b/>
                        <w:sz w:val="15"/>
                      </w:rPr>
                      <w:t>Systemically Important</w:t>
                    </w:r>
                  </w:p>
                  <w:p>
                    <w:pPr>
                      <w:spacing w:before="0"/>
                      <w:ind w:left="547" w:right="0" w:hanging="474"/>
                      <w:jc w:val="left"/>
                      <w:rPr>
                        <w:rFonts w:ascii="Calibri"/>
                        <w:b/>
                        <w:sz w:val="15"/>
                      </w:rPr>
                    </w:pPr>
                    <w:r>
                      <w:rPr>
                        <w:rFonts w:ascii="Calibri"/>
                        <w:b/>
                        <w:sz w:val="15"/>
                      </w:rPr>
                      <w:t>Financial Institutions (SIFIs)</w:t>
                    </w:r>
                  </w:p>
                </w:txbxContent>
              </v:textbox>
              <w10:wrap type="none"/>
            </v:shape>
            <v:shape style="position:absolute;left:9678;top:5337;width:998;height:154" type="#_x0000_t202" filled="false" stroked="false">
              <v:textbox inset="0,0,0,0">
                <w:txbxContent>
                  <w:p>
                    <w:pPr>
                      <w:spacing w:line="153" w:lineRule="exact" w:before="0"/>
                      <w:ind w:left="0" w:right="0" w:firstLine="0"/>
                      <w:jc w:val="left"/>
                      <w:rPr>
                        <w:rFonts w:ascii="Calibri"/>
                        <w:b/>
                        <w:sz w:val="15"/>
                      </w:rPr>
                    </w:pPr>
                    <w:r>
                      <w:rPr>
                        <w:rFonts w:ascii="Calibri"/>
                        <w:b/>
                        <w:sz w:val="15"/>
                      </w:rPr>
                      <w:t>Cash/Collateral</w:t>
                    </w:r>
                  </w:p>
                </w:txbxContent>
              </v:textbox>
              <w10:wrap type="none"/>
            </v:shape>
            <v:shape style="position:absolute;left:9850;top:5769;width:632;height:154" type="#_x0000_t202" filled="false" stroked="false">
              <v:textbox inset="0,0,0,0">
                <w:txbxContent>
                  <w:p>
                    <w:pPr>
                      <w:spacing w:line="153" w:lineRule="exact" w:before="0"/>
                      <w:ind w:left="0" w:right="0" w:firstLine="0"/>
                      <w:jc w:val="left"/>
                      <w:rPr>
                        <w:rFonts w:ascii="Calibri"/>
                        <w:b/>
                        <w:sz w:val="15"/>
                      </w:rPr>
                    </w:pPr>
                    <w:r>
                      <w:rPr>
                        <w:rFonts w:ascii="Calibri"/>
                        <w:b/>
                        <w:sz w:val="15"/>
                      </w:rPr>
                      <w:t>Collateral</w:t>
                    </w:r>
                  </w:p>
                </w:txbxContent>
              </v:textbox>
              <w10:wrap type="none"/>
            </v:shape>
            <v:shape style="position:absolute;left:7887;top:2832;width:1517;height:2414"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3"/>
                      </w:rPr>
                    </w:pPr>
                  </w:p>
                  <w:p>
                    <w:pPr>
                      <w:spacing w:before="0"/>
                      <w:ind w:left="554" w:right="552" w:firstLine="0"/>
                      <w:jc w:val="center"/>
                      <w:rPr>
                        <w:rFonts w:ascii="Calibri"/>
                        <w:b/>
                        <w:sz w:val="15"/>
                      </w:rPr>
                    </w:pPr>
                    <w:r>
                      <w:rPr>
                        <w:rFonts w:ascii="Calibri"/>
                        <w:b/>
                        <w:sz w:val="15"/>
                      </w:rPr>
                      <w:t>Banks</w:t>
                    </w:r>
                  </w:p>
                </w:txbxContent>
              </v:textbox>
              <w10:wrap type="none"/>
            </v:shape>
            <v:shape style="position:absolute;left:7887;top:1924;width:1517;height:702" type="#_x0000_t202" filled="false" stroked="false">
              <v:textbox inset="0,0,0,0">
                <w:txbxContent>
                  <w:p>
                    <w:pPr>
                      <w:spacing w:line="240" w:lineRule="auto" w:before="0"/>
                      <w:rPr>
                        <w:sz w:val="14"/>
                      </w:rPr>
                    </w:pPr>
                  </w:p>
                  <w:p>
                    <w:pPr>
                      <w:spacing w:before="99"/>
                      <w:ind w:left="554" w:right="552" w:firstLine="0"/>
                      <w:jc w:val="center"/>
                      <w:rPr>
                        <w:rFonts w:ascii="Calibri"/>
                        <w:b/>
                        <w:sz w:val="15"/>
                      </w:rPr>
                    </w:pPr>
                    <w:r>
                      <w:rPr>
                        <w:rFonts w:ascii="Calibri"/>
                        <w:b/>
                        <w:sz w:val="15"/>
                      </w:rPr>
                      <w:t>Banks</w:t>
                    </w:r>
                  </w:p>
                </w:txbxContent>
              </v:textbox>
              <w10:wrap type="none"/>
            </v:shape>
            <v:shape style="position:absolute;left:7744;top:246;width:1758;height:700" type="#_x0000_t202" filled="false" stroked="false">
              <v:textbox inset="0,0,0,0">
                <w:txbxContent>
                  <w:p>
                    <w:pPr>
                      <w:spacing w:line="240" w:lineRule="auto" w:before="7"/>
                      <w:rPr>
                        <w:sz w:val="13"/>
                      </w:rPr>
                    </w:pPr>
                  </w:p>
                  <w:p>
                    <w:pPr>
                      <w:spacing w:line="182" w:lineRule="exact" w:before="0"/>
                      <w:ind w:left="68" w:right="68" w:firstLine="0"/>
                      <w:jc w:val="center"/>
                      <w:rPr>
                        <w:rFonts w:ascii="Calibri"/>
                        <w:b/>
                        <w:sz w:val="15"/>
                      </w:rPr>
                    </w:pPr>
                    <w:r>
                      <w:rPr>
                        <w:rFonts w:ascii="Calibri"/>
                        <w:b/>
                        <w:sz w:val="15"/>
                      </w:rPr>
                      <w:t>SPVs</w:t>
                    </w:r>
                  </w:p>
                  <w:p>
                    <w:pPr>
                      <w:spacing w:line="206" w:lineRule="exact" w:before="0"/>
                      <w:ind w:left="70" w:right="68" w:firstLine="0"/>
                      <w:jc w:val="center"/>
                      <w:rPr>
                        <w:rFonts w:ascii="Calibri"/>
                        <w:sz w:val="17"/>
                      </w:rPr>
                    </w:pPr>
                    <w:r>
                      <w:rPr>
                        <w:rFonts w:ascii="Calibri"/>
                        <w:sz w:val="15"/>
                      </w:rPr>
                      <w:t>(maturity transformation</w:t>
                    </w:r>
                    <w:r>
                      <w:rPr>
                        <w:rFonts w:ascii="Calibri"/>
                        <w:sz w:val="17"/>
                      </w:rPr>
                      <w:t>)</w:t>
                    </w:r>
                  </w:p>
                </w:txbxContent>
              </v:textbox>
              <w10:wrap type="none"/>
            </v:shape>
            <v:shape style="position:absolute;left:10773;top:197;width:1060;height:3992"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
                      <w:rPr>
                        <w:sz w:val="17"/>
                      </w:rPr>
                    </w:pPr>
                  </w:p>
                  <w:p>
                    <w:pPr>
                      <w:spacing w:before="0"/>
                      <w:ind w:left="91" w:right="86" w:firstLine="216"/>
                      <w:jc w:val="left"/>
                      <w:rPr>
                        <w:rFonts w:ascii="Calibri"/>
                        <w:b/>
                        <w:sz w:val="15"/>
                      </w:rPr>
                    </w:pPr>
                    <w:r>
                      <w:rPr>
                        <w:rFonts w:ascii="Calibri"/>
                        <w:b/>
                        <w:sz w:val="15"/>
                      </w:rPr>
                      <w:t>Money Market Funds</w:t>
                    </w:r>
                  </w:p>
                </w:txbxContent>
              </v:textbox>
              <w10:wrap type="none"/>
            </v:shape>
            <w10:wrap type="none"/>
          </v:group>
        </w:pict>
      </w:r>
      <w:r>
        <w:rPr/>
        <w:pict>
          <v:group style="position:absolute;margin-left:627.719971pt;margin-top:10.294785pt;width:46.15pt;height:199.45pt;mso-position-horizontal-relative:page;mso-position-vertical-relative:paragraph;z-index:251709440" coordorigin="12554,206" coordsize="923,3989">
            <v:rect style="position:absolute;left:12560;top:211;width:911;height:3977" filled="true" fillcolor="#ccecff" stroked="false">
              <v:fill type="solid"/>
            </v:rect>
            <v:shape style="position:absolute;left:12554;top:205;width:923;height:3989" coordorigin="12554,206" coordsize="923,3989" path="m13477,4191l13477,208,13475,206,12557,206,12554,208,12554,4191,12557,4195,12560,4195,12560,218,12566,212,12566,218,13465,218,13465,212,13471,218,13471,4195,13475,4195,13477,4191xm12566,218l12566,212,12560,218,12566,218xm12566,4181l12566,218,12560,218,12560,4181,12566,4181xm13471,4181l12560,4181,12566,4189,12566,4195,13465,4195,13465,4189,13471,4181xm12566,4195l12566,4189,12560,4181,12560,4195,12566,4195xm13471,218l13465,212,13465,218,13471,218xm13471,4181l13471,218,13465,218,13465,4181,13471,4181xm13471,4195l13471,4181,13465,4189,13465,4195,13471,4195xe" filled="true" fillcolor="#000000" stroked="false">
              <v:path arrowok="t"/>
              <v:fill type="solid"/>
            </v:shape>
            <v:shape style="position:absolute;left:12560;top:211;width:911;height:3977"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1"/>
                      <w:rPr>
                        <w:sz w:val="14"/>
                      </w:rPr>
                    </w:pPr>
                  </w:p>
                  <w:p>
                    <w:pPr>
                      <w:spacing w:before="0"/>
                      <w:ind w:left="115" w:right="110" w:firstLine="0"/>
                      <w:jc w:val="center"/>
                      <w:rPr>
                        <w:rFonts w:ascii="Calibri" w:hAnsi="Calibri"/>
                        <w:sz w:val="15"/>
                      </w:rPr>
                    </w:pPr>
                    <w:r>
                      <w:rPr>
                        <w:rFonts w:ascii="Calibri" w:hAnsi="Calibri"/>
                        <w:sz w:val="15"/>
                      </w:rPr>
                      <w:t>Short‐term household and corp. savings</w:t>
                    </w:r>
                  </w:p>
                </w:txbxContent>
              </v:textbox>
              <w10:wrap type="none"/>
            </v:shape>
            <w10:wrap type="none"/>
          </v:group>
        </w:pict>
      </w:r>
      <w:r>
        <w:rPr/>
        <w:pict>
          <v:group style="position:absolute;margin-left:345.899994pt;margin-top:22.714785pt;width:20.7pt;height:12.2pt;mso-position-horizontal-relative:page;mso-position-vertical-relative:paragraph;z-index:251714560" coordorigin="6918,454" coordsize="414,244">
            <v:shape style="position:absolute;left:6936;top:454;width:375;height:102" type="#_x0000_t75" stroked="false">
              <v:imagedata r:id="rId69" o:title=""/>
            </v:shape>
            <v:shape style="position:absolute;left:6918;top:595;width:414;height:102" coordorigin="6918,596" coordsize="414,102" path="m7020,640l7020,596,6918,646,7003,689,7003,640,7020,640xm7332,652l7332,640,7003,640,7003,652,7332,652xm7020,698l7020,652,7003,652,7003,689,7020,698xe" filled="true" fillcolor="#92d050" stroked="false">
              <v:path arrowok="t"/>
              <v:fill type="solid"/>
            </v:shape>
            <w10:wrap type="none"/>
          </v:group>
        </w:pict>
      </w:r>
      <w:r>
        <w:rPr/>
        <w:pict>
          <v:group style="position:absolute;margin-left:348.059998pt;margin-top:95.194786pt;width:20.65pt;height:12.25pt;mso-position-horizontal-relative:page;mso-position-vertical-relative:paragraph;z-index:251715584" coordorigin="6961,1904" coordsize="413,245">
            <v:shape style="position:absolute;left:6976;top:1903;width:375;height:102" type="#_x0000_t75" stroked="false">
              <v:imagedata r:id="rId70" o:title=""/>
            </v:shape>
            <v:shape style="position:absolute;left:6961;top:2046;width:413;height:102" coordorigin="6961,2047" coordsize="413,102" path="m7063,2091l7063,2047,6961,2098,7045,2140,7045,2091,7063,2091xm7374,2104l7374,2091,7045,2091,7045,2104,7374,2104xm7063,2149l7063,2104,7045,2104,7045,2140,7063,2149xe" filled="true" fillcolor="#92d050" stroked="false">
              <v:path arrowok="t"/>
              <v:fill type="solid"/>
            </v:shape>
            <w10:wrap type="none"/>
          </v:group>
        </w:pict>
      </w:r>
      <w:r>
        <w:rPr/>
        <w:pict>
          <v:group style="position:absolute;margin-left:494.820007pt;margin-top:22.714785pt;width:20.7pt;height:12.2pt;mso-position-horizontal-relative:page;mso-position-vertical-relative:paragraph;z-index:251716608" coordorigin="9896,454" coordsize="414,244">
            <v:shape style="position:absolute;left:9914;top:454;width:375;height:102" type="#_x0000_t75" stroked="false">
              <v:imagedata r:id="rId69" o:title=""/>
            </v:shape>
            <v:shape style="position:absolute;left:9896;top:595;width:414;height:102" coordorigin="9896,596" coordsize="414,102" path="m9998,640l9998,596,9896,646,9982,689,9982,640,9998,640xm10310,652l10310,640,9982,640,9982,652,10310,652xm9998,698l9998,652,9982,652,9982,689,9998,698xe" filled="true" fillcolor="#92d050" stroked="false">
              <v:path arrowok="t"/>
              <v:fill type="solid"/>
            </v:shape>
            <w10:wrap type="none"/>
          </v:group>
        </w:pict>
      </w:r>
      <w:r>
        <w:rPr/>
        <w:pict>
          <v:shape style="position:absolute;margin-left:121.238449pt;margin-top:59.103195pt;width:9.7pt;height:44.3pt;mso-position-horizontal-relative:page;mso-position-vertical-relative:paragraph;z-index:251721728" type="#_x0000_t202" filled="false" stroked="false">
            <v:textbox inset="0,0,0,0" style="layout-flow:vertical;mso-layout-flow-alt:bottom-to-top">
              <w:txbxContent>
                <w:p>
                  <w:pPr>
                    <w:spacing w:line="175" w:lineRule="exact" w:before="0"/>
                    <w:ind w:left="20" w:right="0" w:firstLine="0"/>
                    <w:jc w:val="left"/>
                    <w:rPr>
                      <w:rFonts w:ascii="Calibri"/>
                      <w:sz w:val="15"/>
                    </w:rPr>
                  </w:pPr>
                  <w:r>
                    <w:rPr>
                      <w:rFonts w:ascii="Calibri"/>
                      <w:color w:val="FFFFFF"/>
                      <w:sz w:val="15"/>
                    </w:rPr>
                    <w:t>Securitization</w:t>
                  </w:r>
                </w:p>
              </w:txbxContent>
            </v:textbox>
            <w10:wrap type="none"/>
          </v:shape>
        </w:pict>
      </w:r>
      <w:r>
        <w:rPr>
          <w:rFonts w:ascii="Calibri"/>
          <w:b/>
          <w:color w:val="C00000"/>
          <w:sz w:val="15"/>
        </w:rPr>
        <w:t>FUNDING</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
        <w:rPr>
          <w:rFonts w:ascii="Calibri"/>
          <w:b/>
          <w:sz w:val="20"/>
        </w:rPr>
      </w:pPr>
    </w:p>
    <w:p>
      <w:pPr>
        <w:spacing w:before="1"/>
        <w:ind w:left="114" w:right="0" w:firstLine="0"/>
        <w:jc w:val="left"/>
        <w:rPr>
          <w:sz w:val="15"/>
        </w:rPr>
      </w:pPr>
      <w:r>
        <w:rPr/>
        <w:pict>
          <v:rect style="position:absolute;margin-left:117.690002pt;margin-top:-137.755005pt;width:15.45pt;height:128.76pt;mso-position-horizontal-relative:page;mso-position-vertical-relative:paragraph;z-index:251680768" filled="true" fillcolor="#7030a0" stroked="false">
            <v:fill type="solid"/>
            <w10:wrap type="none"/>
          </v:rect>
        </w:pict>
      </w:r>
      <w:r>
        <w:rPr/>
        <w:pict>
          <v:group style="position:absolute;margin-left:538.380005pt;margin-top:-93.415009pt;width:135.7pt;height:83.5pt;mso-position-horizontal-relative:page;mso-position-vertical-relative:paragraph;z-index:251713536" coordorigin="10768,-1868" coordsize="2714,1670">
            <v:rect style="position:absolute;left:10773;top:-1863;width:1060;height:1658" filled="true" fillcolor="#ccecff" stroked="false">
              <v:fill type="solid"/>
            </v:rect>
            <v:shape style="position:absolute;left:10767;top:-1869;width:1072;height:1670" coordorigin="10768,-1868" coordsize="1072,1670" path="m11839,-202l11839,-1866,11837,-1868,10771,-1868,10768,-1866,10768,-202,10771,-199,10774,-199,10774,-1856,10781,-1862,10781,-1856,11827,-1856,11827,-1862,11833,-1856,11833,-199,11837,-199,11839,-202xm10781,-1856l10781,-1862,10774,-1856,10781,-1856xm10781,-211l10781,-1856,10774,-1856,10774,-211,10781,-211xm11833,-211l10774,-211,10781,-205,10781,-199,11827,-199,11827,-205,11833,-211xm10781,-199l10781,-205,10774,-211,10774,-199,10781,-199xm11833,-1856l11827,-1862,11827,-1856,11833,-1856xm11833,-211l11833,-1856,11827,-1856,11827,-211,11833,-211xm11833,-199l11833,-211,11827,-205,11827,-199,11833,-199xe" filled="true" fillcolor="#000000" stroked="false">
              <v:path arrowok="t"/>
              <v:fill type="solid"/>
            </v:shape>
            <v:rect style="position:absolute;left:12562;top:-1863;width:912;height:1649" filled="true" fillcolor="#ccecff" stroked="false">
              <v:fill type="solid"/>
            </v:rect>
            <v:shape style="position:absolute;left:12556;top:-1869;width:924;height:1662" coordorigin="12557,-1868" coordsize="924,1662" path="m13481,-210l13481,-1866,13478,-1868,12559,-1868,12557,-1866,12557,-210,12559,-206,12563,-206,12563,-1856,12569,-1862,12569,-1856,13469,-1856,13469,-1862,13475,-1856,13475,-206,13478,-206,13481,-210xm12569,-1856l12569,-1862,12563,-1856,12569,-1856xm12569,-220l12569,-1856,12563,-1856,12563,-220,12569,-220xm13475,-220l12563,-220,12569,-214,12569,-206,13469,-206,13469,-214,13475,-220xm12569,-206l12569,-214,12563,-220,12563,-206,12569,-206xm13475,-1856l13469,-1862,13469,-1856,13475,-1856xm13475,-220l13475,-1856,13469,-1856,13469,-220,13475,-220xm13475,-206l13475,-220,13469,-214,13469,-206,13475,-206xe" filled="true" fillcolor="#000000" stroked="false">
              <v:path arrowok="t"/>
              <v:fill type="solid"/>
            </v:shape>
            <v:shape style="position:absolute;left:11907;top:-1210;width:616;height:102" coordorigin="11908,-1210" coordsize="616,102" path="m12010,-1164l12010,-1210,11908,-1158,11993,-1116,11993,-1164,12010,-1164xm12523,-1152l12523,-1164,11993,-1164,11993,-1152,12523,-1152xm12010,-1108l12010,-1152,11993,-1152,11993,-1116,12010,-1108xe" filled="true" fillcolor="#92d050" stroked="false">
              <v:path arrowok="t"/>
              <v:fill type="solid"/>
            </v:shape>
            <v:shape style="position:absolute;left:12105;top:-1102;width:321;height:154" type="#_x0000_t202" filled="false" stroked="false">
              <v:textbox inset="0,0,0,0">
                <w:txbxContent>
                  <w:p>
                    <w:pPr>
                      <w:spacing w:line="153" w:lineRule="exact" w:before="0"/>
                      <w:ind w:left="0" w:right="0" w:firstLine="0"/>
                      <w:jc w:val="left"/>
                      <w:rPr>
                        <w:rFonts w:ascii="Calibri"/>
                        <w:b/>
                        <w:sz w:val="15"/>
                      </w:rPr>
                    </w:pPr>
                    <w:r>
                      <w:rPr>
                        <w:rFonts w:ascii="Calibri"/>
                        <w:b/>
                        <w:sz w:val="15"/>
                      </w:rPr>
                      <w:t>Cash</w:t>
                    </w:r>
                  </w:p>
                </w:txbxContent>
              </v:textbox>
              <w10:wrap type="none"/>
            </v:shape>
            <v:shape style="position:absolute;left:12562;top:-1863;width:912;height:1649" type="#_x0000_t202" filled="false" stroked="false">
              <v:textbox inset="0,0,0,0">
                <w:txbxContent>
                  <w:p>
                    <w:pPr>
                      <w:spacing w:line="240" w:lineRule="auto" w:before="0"/>
                      <w:rPr>
                        <w:sz w:val="14"/>
                      </w:rPr>
                    </w:pPr>
                  </w:p>
                  <w:p>
                    <w:pPr>
                      <w:spacing w:line="240" w:lineRule="auto" w:before="0"/>
                      <w:rPr>
                        <w:sz w:val="14"/>
                      </w:rPr>
                    </w:pPr>
                  </w:p>
                  <w:p>
                    <w:pPr>
                      <w:spacing w:line="240" w:lineRule="auto" w:before="9"/>
                      <w:rPr>
                        <w:sz w:val="11"/>
                      </w:rPr>
                    </w:pPr>
                  </w:p>
                  <w:p>
                    <w:pPr>
                      <w:spacing w:before="1"/>
                      <w:ind w:left="133" w:right="125" w:hanging="1"/>
                      <w:jc w:val="center"/>
                      <w:rPr>
                        <w:rFonts w:ascii="Calibri" w:hAnsi="Calibri"/>
                        <w:sz w:val="15"/>
                      </w:rPr>
                    </w:pPr>
                    <w:r>
                      <w:rPr>
                        <w:rFonts w:ascii="Calibri" w:hAnsi="Calibri"/>
                        <w:sz w:val="15"/>
                      </w:rPr>
                      <w:t>Long‐term household and corp. savings</w:t>
                    </w:r>
                  </w:p>
                </w:txbxContent>
              </v:textbox>
              <w10:wrap type="none"/>
            </v:shape>
            <v:shape style="position:absolute;left:10773;top:-1863;width:1060;height:1658" type="#_x0000_t202" filled="false" stroked="false">
              <v:textbox inset="0,0,0,0">
                <w:txbxContent>
                  <w:p>
                    <w:pPr>
                      <w:spacing w:line="240" w:lineRule="auto" w:before="3"/>
                      <w:rPr>
                        <w:sz w:val="16"/>
                      </w:rPr>
                    </w:pPr>
                  </w:p>
                  <w:p>
                    <w:pPr>
                      <w:spacing w:before="0"/>
                      <w:ind w:left="72" w:right="70" w:firstLine="0"/>
                      <w:jc w:val="center"/>
                      <w:rPr>
                        <w:rFonts w:ascii="Calibri"/>
                        <w:b/>
                        <w:sz w:val="15"/>
                      </w:rPr>
                    </w:pPr>
                    <w:r>
                      <w:rPr>
                        <w:rFonts w:ascii="Calibri"/>
                        <w:b/>
                        <w:sz w:val="15"/>
                      </w:rPr>
                      <w:t>Custodians</w:t>
                    </w:r>
                  </w:p>
                  <w:p>
                    <w:pPr>
                      <w:spacing w:line="240" w:lineRule="auto" w:before="1"/>
                      <w:rPr>
                        <w:rFonts w:ascii="Calibri"/>
                        <w:b/>
                        <w:sz w:val="15"/>
                      </w:rPr>
                    </w:pPr>
                  </w:p>
                  <w:p>
                    <w:pPr>
                      <w:spacing w:before="0"/>
                      <w:ind w:left="74" w:right="67" w:firstLine="0"/>
                      <w:jc w:val="center"/>
                      <w:rPr>
                        <w:rFonts w:ascii="Calibri"/>
                        <w:sz w:val="15"/>
                      </w:rPr>
                    </w:pPr>
                    <w:r>
                      <w:rPr>
                        <w:rFonts w:ascii="Calibri"/>
                        <w:sz w:val="15"/>
                      </w:rPr>
                      <w:t>(for pensions, insurers, official):</w:t>
                    </w:r>
                  </w:p>
                  <w:p>
                    <w:pPr>
                      <w:spacing w:line="240" w:lineRule="auto" w:before="2"/>
                      <w:rPr>
                        <w:rFonts w:ascii="Calibri"/>
                        <w:sz w:val="15"/>
                      </w:rPr>
                    </w:pPr>
                  </w:p>
                  <w:p>
                    <w:pPr>
                      <w:spacing w:before="0"/>
                      <w:ind w:left="74" w:right="70" w:firstLine="0"/>
                      <w:jc w:val="center"/>
                      <w:rPr>
                        <w:rFonts w:ascii="Calibri" w:hAnsi="Calibri"/>
                        <w:b/>
                        <w:sz w:val="15"/>
                      </w:rPr>
                    </w:pPr>
                    <w:r>
                      <w:rPr>
                        <w:rFonts w:ascii="Calibri" w:hAnsi="Calibri"/>
                        <w:b/>
                        <w:sz w:val="15"/>
                      </w:rPr>
                      <w:t>“Real Money”</w:t>
                    </w:r>
                  </w:p>
                </w:txbxContent>
              </v:textbox>
              <w10:wrap type="none"/>
            </v:shape>
            <w10:wrap type="none"/>
          </v:group>
        </w:pict>
      </w:r>
      <w:r>
        <w:rPr/>
        <w:pict>
          <v:group style="position:absolute;margin-left:495.119995pt;margin-top:-38.215012pt;width:20.7pt;height:12.25pt;mso-position-horizontal-relative:page;mso-position-vertical-relative:paragraph;z-index:251719680" coordorigin="9902,-764" coordsize="414,245">
            <v:shape style="position:absolute;left:9920;top:-765;width:375;height:102" type="#_x0000_t75" stroked="false">
              <v:imagedata r:id="rId71" o:title=""/>
            </v:shape>
            <v:shape style="position:absolute;left:9902;top:-622;width:414;height:102" coordorigin="9902,-622" coordsize="414,102" path="m10004,-576l10004,-622,9902,-570,9988,-528,9988,-576,10004,-576xm10316,-564l10316,-576,9988,-576,9988,-564,10316,-564xm10004,-520l10004,-564,9988,-564,9988,-528,10004,-520xe" filled="true" fillcolor="#92d050" stroked="false">
              <v:path arrowok="t"/>
              <v:fill type="solid"/>
            </v:shape>
            <w10:wrap type="none"/>
          </v:group>
        </w:pict>
      </w:r>
      <w:r>
        <w:rPr/>
        <w:pict>
          <v:shape style="position:absolute;margin-left:121.238449pt;margin-top:-113.204781pt;width:9.7pt;height:79.850pt;mso-position-horizontal-relative:page;mso-position-vertical-relative:paragraph;z-index:251720704" type="#_x0000_t202" filled="false" stroked="false">
            <v:textbox inset="0,0,0,0" style="layout-flow:vertical;mso-layout-flow-alt:bottom-to-top">
              <w:txbxContent>
                <w:p>
                  <w:pPr>
                    <w:spacing w:line="175" w:lineRule="exact" w:before="0"/>
                    <w:ind w:left="20" w:right="0" w:firstLine="0"/>
                    <w:jc w:val="left"/>
                    <w:rPr>
                      <w:rFonts w:ascii="Calibri"/>
                      <w:sz w:val="15"/>
                    </w:rPr>
                  </w:pPr>
                  <w:r>
                    <w:rPr>
                      <w:rFonts w:ascii="Calibri"/>
                      <w:color w:val="FFFFFF"/>
                      <w:sz w:val="15"/>
                    </w:rPr>
                    <w:t>Collateral intermediation</w:t>
                  </w:r>
                </w:p>
              </w:txbxContent>
            </v:textbox>
            <w10:wrap type="none"/>
          </v:shape>
        </w:pict>
      </w:r>
      <w:r>
        <w:rPr>
          <w:sz w:val="15"/>
        </w:rPr>
        <w:t>Source: Claessens </w:t>
      </w:r>
      <w:r>
        <w:rPr>
          <w:i/>
          <w:sz w:val="15"/>
        </w:rPr>
        <w:t>et al </w:t>
      </w:r>
      <w:r>
        <w:rPr>
          <w:sz w:val="15"/>
        </w:rPr>
        <w:t>(2012), available here: </w:t>
      </w:r>
      <w:r>
        <w:rPr>
          <w:color w:val="0000FF"/>
          <w:sz w:val="15"/>
          <w:u w:val="single" w:color="0000FF"/>
        </w:rPr>
        <w:t>https://</w:t>
      </w:r>
      <w:hyperlink r:id="rId20">
        <w:r>
          <w:rPr>
            <w:color w:val="0000FF"/>
            <w:sz w:val="15"/>
            <w:u w:val="single" w:color="0000FF"/>
          </w:rPr>
          <w:t>www.imf.org/external/pubs/ft/sdn/2012/sdn1212.pdf</w:t>
        </w:r>
        <w:r>
          <w:rPr>
            <w:sz w:val="15"/>
          </w:rPr>
          <w:t>. </w:t>
        </w:r>
      </w:hyperlink>
      <w:r>
        <w:rPr>
          <w:sz w:val="15"/>
        </w:rPr>
        <w:t>Notes: This stylised map illustrates the interactions within the shadow banking sector as well as the interactions of the shadow banking sector with the banking sector.</w:t>
      </w:r>
    </w:p>
    <w:p>
      <w:pPr>
        <w:pStyle w:val="BodyText"/>
        <w:rPr>
          <w:sz w:val="20"/>
        </w:rPr>
      </w:pPr>
    </w:p>
    <w:p>
      <w:pPr>
        <w:pStyle w:val="BodyText"/>
        <w:spacing w:before="3"/>
        <w:rPr>
          <w:sz w:val="18"/>
        </w:rPr>
      </w:pPr>
      <w:r>
        <w:rPr/>
        <w:pict>
          <v:shape style="position:absolute;margin-left:152.639999pt;margin-top:12.601267pt;width:486.85pt;height:.1pt;mso-position-horizontal-relative:page;mso-position-vertical-relative:paragraph;z-index:-251637760;mso-wrap-distance-left:0;mso-wrap-distance-right:0" coordorigin="3053,252" coordsize="9737,0" path="m3053,252l12790,252e" filled="false" stroked="true" strokeweight=".23999pt" strokecolor="#000000">
            <v:path arrowok="t"/>
            <v:stroke dashstyle="solid"/>
            <w10:wrap type="topAndBottom"/>
          </v:shape>
        </w:pict>
      </w:r>
    </w:p>
    <w:p>
      <w:pPr>
        <w:spacing w:line="7" w:lineRule="exact" w:before="0"/>
        <w:ind w:left="0" w:right="2190" w:firstLine="0"/>
        <w:jc w:val="right"/>
        <w:rPr>
          <w:sz w:val="2"/>
        </w:rPr>
      </w:pPr>
      <w:r>
        <w:rPr>
          <w:sz w:val="2"/>
        </w:rPr>
        <w:t>32</w:t>
      </w:r>
    </w:p>
    <w:p>
      <w:pPr>
        <w:pStyle w:val="BodyText"/>
        <w:tabs>
          <w:tab w:pos="11446" w:val="right" w:leader="none"/>
        </w:tabs>
        <w:spacing w:before="176"/>
        <w:ind w:left="1914"/>
      </w:pPr>
      <w:r>
        <w:rPr/>
        <w:t>All</w:t>
      </w:r>
      <w:r>
        <w:rPr>
          <w:spacing w:val="-10"/>
        </w:rPr>
        <w:t> </w:t>
      </w:r>
      <w:r>
        <w:rPr/>
        <w:t>speeches</w:t>
      </w:r>
      <w:r>
        <w:rPr>
          <w:spacing w:val="-9"/>
        </w:rPr>
        <w:t> </w:t>
      </w:r>
      <w:r>
        <w:rPr/>
        <w:t>are</w:t>
      </w:r>
      <w:r>
        <w:rPr>
          <w:spacing w:val="-8"/>
        </w:rPr>
        <w:t> </w:t>
      </w:r>
      <w:r>
        <w:rPr/>
        <w:t>available</w:t>
      </w:r>
      <w:r>
        <w:rPr>
          <w:spacing w:val="-10"/>
        </w:rPr>
        <w:t> </w:t>
      </w:r>
      <w:r>
        <w:rPr/>
        <w:t>online</w:t>
      </w:r>
      <w:r>
        <w:rPr>
          <w:spacing w:val="-9"/>
        </w:rPr>
        <w:t> </w:t>
      </w:r>
      <w:r>
        <w:rPr/>
        <w:t>at</w:t>
      </w:r>
      <w:r>
        <w:rPr>
          <w:spacing w:val="-8"/>
        </w:rPr>
        <w:t> </w:t>
      </w:r>
      <w:hyperlink r:id="rId6">
        <w:r>
          <w:rPr/>
          <w:t>www.bankofengland.co.uk/publications/Pages/speeches/default.aspx</w:t>
        </w:r>
      </w:hyperlink>
      <w:r>
        <w:rPr/>
        <w:tab/>
      </w:r>
      <w:r>
        <w:rPr>
          <w:position w:val="-1"/>
        </w:rPr>
        <w:t>32</w:t>
      </w:r>
    </w:p>
    <w:p>
      <w:pPr>
        <w:spacing w:after="0"/>
        <w:sectPr>
          <w:footerReference w:type="default" r:id="rId65"/>
          <w:pgSz w:w="15840" w:h="12240" w:orient="landscape"/>
          <w:pgMar w:footer="0" w:header="0" w:top="0" w:bottom="280" w:left="1240" w:right="1400"/>
        </w:sectPr>
      </w:pPr>
    </w:p>
    <w:p>
      <w:pPr>
        <w:pStyle w:val="Heading1"/>
        <w:spacing w:before="86"/>
      </w:pPr>
      <w:r>
        <w:rPr>
          <w:w w:val="105"/>
        </w:rPr>
        <w:t>Chart</w:t>
      </w:r>
      <w:r>
        <w:rPr>
          <w:spacing w:val="-19"/>
          <w:w w:val="105"/>
        </w:rPr>
        <w:t> </w:t>
      </w:r>
      <w:r>
        <w:rPr>
          <w:w w:val="105"/>
        </w:rPr>
        <w:t>9A:</w:t>
      </w:r>
      <w:r>
        <w:rPr>
          <w:spacing w:val="-19"/>
          <w:w w:val="105"/>
        </w:rPr>
        <w:t> </w:t>
      </w:r>
      <w:r>
        <w:rPr>
          <w:w w:val="105"/>
        </w:rPr>
        <w:t>Flow</w:t>
      </w:r>
      <w:r>
        <w:rPr>
          <w:spacing w:val="-17"/>
          <w:w w:val="105"/>
        </w:rPr>
        <w:t> </w:t>
      </w:r>
      <w:r>
        <w:rPr>
          <w:w w:val="105"/>
        </w:rPr>
        <w:t>of</w:t>
      </w:r>
      <w:r>
        <w:rPr>
          <w:spacing w:val="-19"/>
          <w:w w:val="105"/>
        </w:rPr>
        <w:t> </w:t>
      </w:r>
      <w:r>
        <w:rPr>
          <w:w w:val="105"/>
        </w:rPr>
        <w:t>Funds,</w:t>
      </w:r>
      <w:r>
        <w:rPr>
          <w:spacing w:val="-19"/>
          <w:w w:val="105"/>
        </w:rPr>
        <w:t> </w:t>
      </w:r>
      <w:r>
        <w:rPr>
          <w:w w:val="105"/>
        </w:rPr>
        <w:t>United</w:t>
      </w:r>
      <w:r>
        <w:rPr>
          <w:spacing w:val="-18"/>
          <w:w w:val="105"/>
        </w:rPr>
        <w:t> </w:t>
      </w:r>
      <w:r>
        <w:rPr>
          <w:w w:val="105"/>
        </w:rPr>
        <w:t>Kingdom</w:t>
      </w:r>
      <w:r>
        <w:rPr>
          <w:spacing w:val="-19"/>
          <w:w w:val="105"/>
        </w:rPr>
        <w:t> </w:t>
      </w:r>
      <w:r>
        <w:rPr>
          <w:w w:val="105"/>
        </w:rPr>
        <w:t>(1978)</w:t>
      </w:r>
    </w:p>
    <w:p>
      <w:pPr>
        <w:pStyle w:val="BodyText"/>
        <w:ind w:left="235"/>
        <w:rPr>
          <w:sz w:val="20"/>
        </w:rPr>
      </w:pPr>
      <w:r>
        <w:rPr>
          <w:sz w:val="20"/>
        </w:rPr>
        <w:pict>
          <v:group style="width:469pt;height:263.9pt;mso-position-horizontal-relative:char;mso-position-vertical-relative:line" coordorigin="0,0" coordsize="9380,5278">
            <v:line style="position:absolute" from="0,4" to="9379,4" stroked="true" strokeweight=".42004pt" strokecolor="#000000">
              <v:stroke dashstyle="solid"/>
            </v:line>
            <v:line style="position:absolute" from="4,0" to="4,5042" stroked="true" strokeweight=".42pt" strokecolor="#000000">
              <v:stroke dashstyle="solid"/>
            </v:line>
            <v:line style="position:absolute" from="9375,8" to="9375,5033" stroked="true" strokeweight=".41998pt" strokecolor="#000000">
              <v:stroke dashstyle="solid"/>
            </v:line>
            <v:line style="position:absolute" from="0,5038" to="9379,5038" stroked="true" strokeweight=".48001pt" strokecolor="#000000">
              <v:stroke dashstyle="solid"/>
            </v:line>
            <v:rect style="position:absolute;left:5290;top:1599;width:2420;height:1961" filled="true" fillcolor="#e4deeb" stroked="false">
              <v:fill type="solid"/>
            </v:rect>
            <v:rect style="position:absolute;left:5290;top:1599;width:2420;height:1961" filled="false" stroked="true" strokeweight=".099pt" strokecolor="#000000">
              <v:stroke dashstyle="solid"/>
            </v:rect>
            <v:rect style="position:absolute;left:1201;top:84;width:6976;height:1127" filled="true" fillcolor="#fce4d1" stroked="false">
              <v:fill type="solid"/>
            </v:rect>
            <v:rect style="position:absolute;left:1201;top:84;width:6976;height:1127" filled="false" stroked="true" strokeweight=".099pt" strokecolor="#000000">
              <v:stroke dashstyle="solid"/>
            </v:rect>
            <v:rect style="position:absolute;left:1201;top:3957;width:6976;height:1058" filled="true" fillcolor="#fce4d1" stroked="false">
              <v:fill type="solid"/>
            </v:rect>
            <v:rect style="position:absolute;left:1201;top:3957;width:6976;height:1058" filled="false" stroked="true" strokeweight=".099pt" strokecolor="#000000">
              <v:stroke dashstyle="solid"/>
            </v:rect>
            <v:rect style="position:absolute;left:3291;top:84;width:1004;height:602" filled="true" fillcolor="#ffffff" stroked="false">
              <v:fill type="solid"/>
            </v:rect>
            <v:rect style="position:absolute;left:3291;top:84;width:1004;height:602" filled="false" stroked="true" strokeweight=".099pt" strokecolor="#000000">
              <v:stroke dashstyle="solid"/>
            </v:rect>
            <v:shape style="position:absolute;left:3675;top:220;width:239;height:447" type="#_x0000_t75" stroked="false">
              <v:imagedata r:id="rId73" o:title=""/>
            </v:shape>
            <v:shape style="position:absolute;left:3562;top:342;width:461;height:440" type="#_x0000_t75" stroked="false">
              <v:imagedata r:id="rId74" o:title=""/>
            </v:shape>
            <v:shape style="position:absolute;left:3643;top:460;width:298;height:440" type="#_x0000_t75" stroked="false">
              <v:imagedata r:id="rId75" o:title=""/>
            </v:shape>
            <v:shape style="position:absolute;left:1549;top:147;width:48;height:440" type="#_x0000_t75" stroked="false">
              <v:imagedata r:id="rId76" o:title=""/>
            </v:shape>
            <v:shape style="position:absolute;left:1470;top:268;width:221;height:440" type="#_x0000_t75" stroked="false">
              <v:imagedata r:id="rId77" o:title=""/>
            </v:shape>
            <v:shape style="position:absolute;left:1423;top:387;width:298;height:440" type="#_x0000_t75" stroked="false">
              <v:imagedata r:id="rId78" o:title=""/>
            </v:shape>
            <v:rect style="position:absolute;left:4533;top:2487;width:311;height:186" filled="false" stroked="true" strokeweight=".099pt" strokecolor="#000000">
              <v:stroke dashstyle="solid"/>
            </v:rect>
            <v:shape style="position:absolute;left:4618;top:2536;width:136;height:447" type="#_x0000_t75" stroked="false">
              <v:imagedata r:id="rId79" o:title=""/>
            </v:shape>
            <v:rect style="position:absolute;left:1676;top:1605;width:2549;height:1949" filled="true" fillcolor="#e3eff9" stroked="false">
              <v:fill type="solid"/>
            </v:rect>
            <v:rect style="position:absolute;left:1676;top:1605;width:2549;height:1949" filled="false" stroked="true" strokeweight=".099pt" strokecolor="#000000">
              <v:stroke dashstyle="solid"/>
            </v:rect>
            <v:shape style="position:absolute;left:1610;top:4585;width:48;height:440" type="#_x0000_t75" stroked="false">
              <v:imagedata r:id="rId76" o:title=""/>
            </v:shape>
            <v:shape style="position:absolute;left:1531;top:4705;width:221;height:440" type="#_x0000_t75" stroked="false">
              <v:imagedata r:id="rId77" o:title=""/>
            </v:shape>
            <v:shape style="position:absolute;left:1437;top:4825;width:404;height:440" type="#_x0000_t75" stroked="false">
              <v:imagedata r:id="rId80" o:title=""/>
            </v:shape>
            <v:rect style="position:absolute;left:3315;top:2905;width:617;height:395" filled="true" fillcolor="#ffffff" stroked="false">
              <v:fill type="solid"/>
            </v:rect>
            <v:rect style="position:absolute;left:3315;top:2905;width:617;height:395" filled="false" stroked="true" strokeweight=".099pt" strokecolor="#000000">
              <v:stroke dashstyle="solid"/>
            </v:rect>
            <v:shape style="position:absolute;left:3542;top:2966;width:162;height:375" type="#_x0000_t75" stroked="false">
              <v:imagedata r:id="rId81" o:title=""/>
            </v:shape>
            <v:shape style="position:absolute;left:3414;top:3067;width:423;height:468" type="#_x0000_t75" stroked="false">
              <v:imagedata r:id="rId82" o:title=""/>
            </v:shape>
            <v:shape style="position:absolute;left:3464;top:3166;width:317;height:368" type="#_x0000_t75" stroked="false">
              <v:imagedata r:id="rId83" o:title=""/>
            </v:shape>
            <v:rect style="position:absolute;left:2950;top:1844;width:1058;height:634" filled="true" fillcolor="#ffffff" stroked="false">
              <v:fill type="solid"/>
            </v:rect>
            <v:rect style="position:absolute;left:2950;top:1844;width:1058;height:634" filled="false" stroked="true" strokeweight=".099pt" strokecolor="#000000">
              <v:stroke dashstyle="solid"/>
            </v:rect>
            <v:shape style="position:absolute;left:3381;top:2058;width:191;height:447" type="#_x0000_t75" stroked="false">
              <v:imagedata r:id="rId84" o:title=""/>
            </v:shape>
            <v:shape style="position:absolute;left:3166;top:2178;width:634;height:281" type="#_x0000_t75" stroked="false">
              <v:imagedata r:id="rId85" o:title=""/>
            </v:shape>
            <v:rect style="position:absolute;left:1958;top:2894;width:652;height:430" filled="true" fillcolor="#ffffff" stroked="false">
              <v:fill type="solid"/>
            </v:rect>
            <v:rect style="position:absolute;left:1958;top:2894;width:652;height:430" filled="false" stroked="true" strokeweight=".099pt" strokecolor="#000000">
              <v:stroke dashstyle="solid"/>
            </v:rect>
            <v:shape style="position:absolute;left:2203;top:2923;width:162;height:375" type="#_x0000_t75" stroked="false">
              <v:imagedata r:id="rId86" o:title=""/>
            </v:shape>
            <v:shape style="position:absolute;left:1992;top:3022;width:596;height:561" type="#_x0000_t75" stroked="false">
              <v:imagedata r:id="rId87" o:title=""/>
            </v:shape>
            <v:shape style="position:absolute;left:2071;top:3122;width:136;height:368" type="#_x0000_t75" stroked="false">
              <v:imagedata r:id="rId88" o:title=""/>
            </v:shape>
            <v:shape style="position:absolute;left:2239;top:3121;width:288;height:375" type="#_x0000_t75" stroked="false">
              <v:imagedata r:id="rId89" o:title=""/>
            </v:shape>
            <v:shape style="position:absolute;left:2162;top:3222;width:246;height:461" type="#_x0000_t75" stroked="false">
              <v:imagedata r:id="rId90" o:title=""/>
            </v:shape>
            <v:shape style="position:absolute;left:4159;top:3252;width:191;height:395" type="#_x0000_t75" stroked="false">
              <v:imagedata r:id="rId91" o:title=""/>
            </v:shape>
            <v:rect style="position:absolute;left:1882;top:1887;width:728;height:426" filled="true" fillcolor="#ffffff" stroked="false">
              <v:fill type="solid"/>
            </v:rect>
            <v:rect style="position:absolute;left:1882;top:1887;width:728;height:426" filled="false" stroked="true" strokeweight=".099pt" strokecolor="#000000">
              <v:stroke dashstyle="solid"/>
            </v:rect>
            <v:shape style="position:absolute;left:2164;top:2014;width:162;height:375" type="#_x0000_t75" stroked="false">
              <v:imagedata r:id="rId92" o:title=""/>
            </v:shape>
            <v:shape style="position:absolute;left:1968;top:2113;width:557;height:476" type="#_x0000_t75" stroked="false">
              <v:imagedata r:id="rId93" o:title=""/>
            </v:shape>
            <v:rect style="position:absolute;left:5664;top:2884;width:689;height:413" filled="true" fillcolor="#ffffff" stroked="false">
              <v:fill type="solid"/>
            </v:rect>
            <v:rect style="position:absolute;left:5664;top:2884;width:689;height:413" filled="false" stroked="true" strokeweight=".099pt" strokecolor="#000000">
              <v:stroke dashstyle="solid"/>
            </v:rect>
            <v:shape style="position:absolute;left:5926;top:2954;width:162;height:375" type="#_x0000_t75" stroked="false">
              <v:imagedata r:id="rId94" o:title=""/>
            </v:shape>
            <v:shape style="position:absolute;left:5833;top:3055;width:356;height:368" type="#_x0000_t75" stroked="false">
              <v:imagedata r:id="rId95" o:title=""/>
            </v:shape>
            <v:shape style="position:absolute;left:5802;top:3153;width:413;height:468" type="#_x0000_t75" stroked="false">
              <v:imagedata r:id="rId96" o:title=""/>
            </v:shape>
            <v:rect style="position:absolute;left:5709;top:1982;width:598;height:359" filled="true" fillcolor="#ffffff" stroked="false">
              <v:fill type="solid"/>
            </v:rect>
            <v:rect style="position:absolute;left:5709;top:1982;width:598;height:359" filled="false" stroked="true" strokeweight=".099pt" strokecolor="#000000">
              <v:stroke dashstyle="solid"/>
            </v:rect>
            <v:shape style="position:absolute;left:5932;top:2074;width:156;height:375" type="#_x0000_t75" stroked="false">
              <v:imagedata r:id="rId97" o:title=""/>
            </v:shape>
            <v:shape style="position:absolute;left:5738;top:2175;width:548;height:368" type="#_x0000_t75" stroked="false">
              <v:imagedata r:id="rId98" o:title=""/>
            </v:shape>
            <v:shape style="position:absolute;left:7092;top:2102;width:197;height:397" type="#_x0000_t75" stroked="false">
              <v:imagedata r:id="rId99" o:title=""/>
            </v:shape>
            <v:rect style="position:absolute;left:7060;top:2980;width:258;height:155" filled="true" fillcolor="#ffffff" stroked="false">
              <v:fill type="solid"/>
            </v:rect>
            <v:rect style="position:absolute;left:7060;top:2980;width:258;height:155" filled="false" stroked="true" strokeweight=".099pt" strokecolor="#000000">
              <v:stroke dashstyle="solid"/>
            </v:rect>
            <v:shape style="position:absolute;left:7130;top:3021;width:118;height:375" type="#_x0000_t75" stroked="false">
              <v:imagedata r:id="rId100" o:title=""/>
            </v:shape>
            <v:rect style="position:absolute;left:5710;top:84;width:668;height:400" filled="true" fillcolor="#ffffff" stroked="false">
              <v:fill type="solid"/>
            </v:rect>
            <v:rect style="position:absolute;left:5710;top:84;width:668;height:400" filled="false" stroked="true" strokeweight=".099pt" strokecolor="#000000">
              <v:stroke dashstyle="solid"/>
            </v:rect>
            <v:shape style="position:absolute;left:5948;top:120;width:189;height:447" type="#_x0000_t75" stroked="false">
              <v:imagedata r:id="rId101" o:title=""/>
            </v:shape>
            <v:shape style="position:absolute;left:5827;top:240;width:442;height:562" type="#_x0000_t75" stroked="false">
              <v:imagedata r:id="rId102" o:title=""/>
            </v:shape>
            <v:shape style="position:absolute;left:5894;top:360;width:298;height:440" type="#_x0000_t75" stroked="false">
              <v:imagedata r:id="rId75" o:title=""/>
            </v:shape>
            <v:shape style="position:absolute;left:7840;top:153;width:48;height:440" type="#_x0000_t75" stroked="false">
              <v:imagedata r:id="rId76" o:title=""/>
            </v:shape>
            <v:shape style="position:absolute;left:7594;top:273;width:548;height:447" type="#_x0000_t75" stroked="false">
              <v:imagedata r:id="rId103" o:title=""/>
            </v:shape>
            <v:shape style="position:absolute;left:7714;top:393;width:298;height:440" type="#_x0000_t75" stroked="false">
              <v:imagedata r:id="rId78" o:title=""/>
            </v:shape>
            <v:rect style="position:absolute;left:3260;top:4482;width:886;height:533" filled="true" fillcolor="#ffffff" stroked="false">
              <v:fill type="solid"/>
            </v:rect>
            <v:rect style="position:absolute;left:3260;top:4482;width:886;height:533" filled="false" stroked="true" strokeweight=".099pt" strokecolor="#000000">
              <v:stroke dashstyle="solid"/>
            </v:rect>
            <v:shape style="position:absolute;left:3608;top:4585;width:189;height:447" type="#_x0000_t75" stroked="false">
              <v:imagedata r:id="rId104" o:title=""/>
            </v:shape>
            <v:shape style="position:absolute;left:3486;top:4704;width:442;height:562" type="#_x0000_t75" stroked="false">
              <v:imagedata r:id="rId105" o:title=""/>
            </v:shape>
            <v:shape style="position:absolute;left:3506;top:4825;width:404;height:440" type="#_x0000_t75" stroked="false">
              <v:imagedata r:id="rId106" o:title=""/>
            </v:shape>
            <v:rect style="position:absolute;left:5451;top:4642;width:620;height:372" filled="true" fillcolor="#ffffff" stroked="false">
              <v:fill type="solid"/>
            </v:rect>
            <v:rect style="position:absolute;left:5451;top:4642;width:620;height:372" filled="false" stroked="true" strokeweight=".099pt" strokecolor="#000000">
              <v:stroke dashstyle="solid"/>
            </v:rect>
            <v:shape style="position:absolute;left:5679;top:4692;width:162;height:375" type="#_x0000_t75" stroked="false">
              <v:imagedata r:id="rId107" o:title=""/>
            </v:shape>
            <v:shape style="position:absolute;left:5536;top:4791;width:452;height:375" type="#_x0000_t75" stroked="false">
              <v:imagedata r:id="rId108" o:title=""/>
            </v:shape>
            <v:shape style="position:absolute;left:5598;top:4892;width:336;height:368" type="#_x0000_t75" stroked="false">
              <v:imagedata r:id="rId109" o:title=""/>
            </v:shape>
            <v:rect style="position:absolute;left:7621;top:4678;width:556;height:336" filled="true" fillcolor="#ffffff" stroked="false">
              <v:fill type="solid"/>
            </v:rect>
            <v:rect style="position:absolute;left:7621;top:4678;width:556;height:336" filled="false" stroked="true" strokeweight=".099pt" strokecolor="#000000">
              <v:stroke dashstyle="solid"/>
            </v:rect>
            <v:shape style="position:absolute;left:7819;top:4710;width:160;height:375" type="#_x0000_t75" stroked="false">
              <v:imagedata r:id="rId110" o:title=""/>
            </v:shape>
            <v:shape style="position:absolute;left:7707;top:4810;width:384;height:368" type="#_x0000_t75" stroked="false">
              <v:imagedata r:id="rId111" o:title=""/>
            </v:shape>
            <v:shape style="position:absolute;left:7735;top:4910;width:336;height:368" type="#_x0000_t75" stroked="false">
              <v:imagedata r:id="rId112" o:title=""/>
            </v:shape>
            <v:shape style="position:absolute;left:4555;top:2238;width:279;height:375" type="#_x0000_t75" stroked="false">
              <v:imagedata r:id="rId113" o:title=""/>
            </v:shape>
            <v:shape style="position:absolute;left:4543;top:2338;width:298;height:468" type="#_x0000_t75" stroked="false">
              <v:imagedata r:id="rId114" o:title=""/>
            </v:shape>
            <v:shape style="position:absolute;left:7120;top:1984;width:144;height:368" type="#_x0000_t75" stroked="false">
              <v:imagedata r:id="rId115" o:title=""/>
            </v:shape>
            <v:shape style="position:absolute;left:7106;top:2738;width:120;height:360" type="#_x0000_t75" stroked="false">
              <v:imagedata r:id="rId116" o:title=""/>
            </v:shape>
            <v:shape style="position:absolute;left:7053;top:2838;width:231;height:368" type="#_x0000_t75" stroked="false">
              <v:imagedata r:id="rId117" o:title=""/>
            </v:shape>
            <v:shape style="position:absolute;left:4395;top:3224;width:284;height:62" type="#_x0000_t75" stroked="false">
              <v:imagedata r:id="rId118" o:title=""/>
            </v:shape>
            <v:shape style="position:absolute;left:4402;top:3324;width:270;height:62" type="#_x0000_t75" stroked="false">
              <v:imagedata r:id="rId119" o:title=""/>
            </v:shape>
          </v:group>
        </w:pict>
      </w:r>
      <w:r>
        <w:rPr>
          <w:sz w:val="20"/>
        </w:rPr>
      </w:r>
    </w:p>
    <w:p>
      <w:pPr>
        <w:spacing w:line="199" w:lineRule="exact" w:before="0"/>
        <w:ind w:left="346" w:right="0" w:firstLine="0"/>
        <w:jc w:val="left"/>
        <w:rPr>
          <w:b/>
          <w:sz w:val="22"/>
        </w:rPr>
      </w:pPr>
      <w:r>
        <w:rPr>
          <w:b/>
          <w:w w:val="105"/>
          <w:sz w:val="22"/>
        </w:rPr>
        <w:t>Chart</w:t>
      </w:r>
      <w:r>
        <w:rPr>
          <w:b/>
          <w:spacing w:val="-19"/>
          <w:w w:val="105"/>
          <w:sz w:val="22"/>
        </w:rPr>
        <w:t> </w:t>
      </w:r>
      <w:r>
        <w:rPr>
          <w:b/>
          <w:w w:val="105"/>
          <w:sz w:val="22"/>
        </w:rPr>
        <w:t>9B:</w:t>
      </w:r>
      <w:r>
        <w:rPr>
          <w:b/>
          <w:spacing w:val="-19"/>
          <w:w w:val="105"/>
          <w:sz w:val="22"/>
        </w:rPr>
        <w:t> </w:t>
      </w:r>
      <w:r>
        <w:rPr>
          <w:b/>
          <w:w w:val="105"/>
          <w:sz w:val="22"/>
        </w:rPr>
        <w:t>Flow</w:t>
      </w:r>
      <w:r>
        <w:rPr>
          <w:b/>
          <w:spacing w:val="-17"/>
          <w:w w:val="105"/>
          <w:sz w:val="22"/>
        </w:rPr>
        <w:t> </w:t>
      </w:r>
      <w:r>
        <w:rPr>
          <w:b/>
          <w:w w:val="105"/>
          <w:sz w:val="22"/>
        </w:rPr>
        <w:t>of</w:t>
      </w:r>
      <w:r>
        <w:rPr>
          <w:b/>
          <w:spacing w:val="-19"/>
          <w:w w:val="105"/>
          <w:sz w:val="22"/>
        </w:rPr>
        <w:t> </w:t>
      </w:r>
      <w:r>
        <w:rPr>
          <w:b/>
          <w:w w:val="105"/>
          <w:sz w:val="22"/>
        </w:rPr>
        <w:t>Funds,</w:t>
      </w:r>
      <w:r>
        <w:rPr>
          <w:b/>
          <w:spacing w:val="-19"/>
          <w:w w:val="105"/>
          <w:sz w:val="22"/>
        </w:rPr>
        <w:t> </w:t>
      </w:r>
      <w:r>
        <w:rPr>
          <w:b/>
          <w:w w:val="105"/>
          <w:sz w:val="22"/>
        </w:rPr>
        <w:t>United</w:t>
      </w:r>
      <w:r>
        <w:rPr>
          <w:b/>
          <w:spacing w:val="-18"/>
          <w:w w:val="105"/>
          <w:sz w:val="22"/>
        </w:rPr>
        <w:t> </w:t>
      </w:r>
      <w:r>
        <w:rPr>
          <w:b/>
          <w:w w:val="105"/>
          <w:sz w:val="22"/>
        </w:rPr>
        <w:t>Kingdom</w:t>
      </w:r>
      <w:r>
        <w:rPr>
          <w:b/>
          <w:spacing w:val="-19"/>
          <w:w w:val="105"/>
          <w:sz w:val="22"/>
        </w:rPr>
        <w:t> </w:t>
      </w:r>
      <w:r>
        <w:rPr>
          <w:b/>
          <w:w w:val="105"/>
          <w:sz w:val="22"/>
        </w:rPr>
        <w:t>(2011)</w:t>
      </w:r>
    </w:p>
    <w:p>
      <w:pPr>
        <w:pStyle w:val="BodyText"/>
        <w:ind w:left="235"/>
        <w:rPr>
          <w:sz w:val="20"/>
        </w:rPr>
      </w:pPr>
      <w:r>
        <w:rPr>
          <w:sz w:val="20"/>
        </w:rPr>
        <w:pict>
          <v:group style="width:469pt;height:252pt;mso-position-horizontal-relative:char;mso-position-vertical-relative:line" coordorigin="0,0" coordsize="9380,5040">
            <v:line style="position:absolute" from="0,4" to="9379,4" stroked="true" strokeweight=".41998pt" strokecolor="#000000">
              <v:stroke dashstyle="solid"/>
            </v:line>
            <v:line style="position:absolute" from="4,0" to="4,4948" stroked="true" strokeweight=".42pt" strokecolor="#000000">
              <v:stroke dashstyle="solid"/>
            </v:line>
            <v:line style="position:absolute" from="9375,8" to="9375,4948" stroked="true" strokeweight=".41998pt" strokecolor="#000000">
              <v:stroke dashstyle="solid"/>
            </v:line>
            <v:rect style="position:absolute;left:0;top:4947;width:9;height:10" filled="true" fillcolor="#000000" stroked="false">
              <v:fill type="solid"/>
            </v:rect>
            <v:line style="position:absolute" from="0,4952" to="9379,4952" stroked="true" strokeweight=".48pt" strokecolor="#000000">
              <v:stroke dashstyle="solid"/>
            </v:line>
            <v:rect style="position:absolute;left:1215;top:3996;width:6948;height:936" filled="true" fillcolor="#fce4d1" stroked="false">
              <v:fill type="solid"/>
            </v:rect>
            <v:rect style="position:absolute;left:1215;top:3996;width:6948;height:936" filled="false" stroked="true" strokeweight=".099pt" strokecolor="#000000">
              <v:stroke dashstyle="solid"/>
            </v:rect>
            <v:rect style="position:absolute;left:1215;top:20;width:6948;height:936" filled="true" fillcolor="#fce4d1" stroked="false">
              <v:fill type="solid"/>
            </v:rect>
            <v:rect style="position:absolute;left:1215;top:20;width:6948;height:936" filled="false" stroked="true" strokeweight=".099pt" strokecolor="#000000">
              <v:stroke dashstyle="solid"/>
            </v:rect>
            <v:rect style="position:absolute;left:3806;top:20;width:2082;height:819" filled="true" fillcolor="#ffffff" stroked="false">
              <v:fill type="solid"/>
            </v:rect>
            <v:rect style="position:absolute;left:3806;top:20;width:2082;height:819" filled="false" stroked="true" strokeweight=".099pt" strokecolor="#000000">
              <v:stroke dashstyle="solid"/>
            </v:rect>
            <v:shape style="position:absolute;left:4723;top:266;width:246;height:447" type="#_x0000_t75" stroked="false">
              <v:imagedata r:id="rId120" o:title=""/>
            </v:shape>
            <v:shape style="position:absolute;left:4618;top:386;width:461;height:440" type="#_x0000_t75" stroked="false">
              <v:imagedata r:id="rId121" o:title=""/>
            </v:shape>
            <v:shape style="position:absolute;left:4699;top:505;width:298;height:440" type="#_x0000_t75" stroked="false">
              <v:imagedata r:id="rId122" o:title=""/>
            </v:shape>
            <v:rect style="position:absolute;left:1215;top:20;width:2194;height:819" filled="true" fillcolor="#ffffff" stroked="false">
              <v:fill type="solid"/>
            </v:rect>
            <v:rect style="position:absolute;left:1215;top:20;width:2194;height:819" filled="false" stroked="true" strokeweight=".099pt" strokecolor="#000000">
              <v:stroke dashstyle="solid"/>
            </v:rect>
            <v:shape style="position:absolute;left:2187;top:266;width:246;height:447" type="#_x0000_t75" stroked="false">
              <v:imagedata r:id="rId123" o:title=""/>
            </v:shape>
            <v:shape style="position:absolute;left:2210;top:386;width:221;height:440" type="#_x0000_t75" stroked="false">
              <v:imagedata r:id="rId124" o:title=""/>
            </v:shape>
            <v:shape style="position:absolute;left:2163;top:505;width:298;height:440" type="#_x0000_t75" stroked="false">
              <v:imagedata r:id="rId122" o:title=""/>
            </v:shape>
            <v:rect style="position:absolute;left:1508;top:1516;width:2738;height:2046" filled="true" fillcolor="#e3eff9" stroked="false">
              <v:fill type="solid"/>
            </v:rect>
            <v:rect style="position:absolute;left:1508;top:1516;width:2738;height:2046" filled="false" stroked="true" strokeweight=".099pt" strokecolor="#000000">
              <v:stroke dashstyle="solid"/>
            </v:rect>
            <v:rect style="position:absolute;left:1218;top:4112;width:2940;height:820" filled="true" fillcolor="#ffffff" stroked="false">
              <v:fill type="solid"/>
            </v:rect>
            <v:rect style="position:absolute;left:1218;top:4112;width:2940;height:820" filled="false" stroked="true" strokeweight=".099pt" strokecolor="#000000">
              <v:stroke dashstyle="solid"/>
            </v:rect>
            <v:shape style="position:absolute;left:2565;top:4359;width:244;height:447" type="#_x0000_t75" stroked="false">
              <v:imagedata r:id="rId125" o:title=""/>
            </v:shape>
            <v:shape style="position:absolute;left:2586;top:4479;width:221;height:440" type="#_x0000_t75" stroked="false">
              <v:imagedata r:id="rId126" o:title=""/>
            </v:shape>
            <v:shape style="position:absolute;left:2492;top:4598;width:404;height:440" type="#_x0000_t75" stroked="false">
              <v:imagedata r:id="rId127" o:title=""/>
            </v:shape>
            <v:rect style="position:absolute;left:5440;top:4112;width:1826;height:820" filled="true" fillcolor="#ffffff" stroked="false">
              <v:fill type="solid"/>
            </v:rect>
            <v:rect style="position:absolute;left:5440;top:4112;width:1826;height:820" filled="false" stroked="true" strokeweight=".099pt" strokecolor="#000000">
              <v:stroke dashstyle="solid"/>
            </v:rect>
            <v:shape style="position:absolute;left:6228;top:4359;width:246;height:447" type="#_x0000_t75" stroked="false">
              <v:imagedata r:id="rId128" o:title=""/>
            </v:shape>
            <v:shape style="position:absolute;left:6136;top:4478;width:432;height:562" type="#_x0000_t75" stroked="false">
              <v:imagedata r:id="rId129" o:title=""/>
            </v:shape>
            <v:shape style="position:absolute;left:6157;top:4598;width:404;height:440" type="#_x0000_t75" stroked="false">
              <v:imagedata r:id="rId127" o:title=""/>
            </v:shape>
            <v:rect style="position:absolute;left:3648;top:2605;width:347;height:842" filled="true" fillcolor="#ffffff" stroked="false">
              <v:fill type="solid"/>
            </v:rect>
            <v:rect style="position:absolute;left:3648;top:2605;width:347;height:842" filled="false" stroked="true" strokeweight=".099pt" strokecolor="#000000">
              <v:stroke dashstyle="solid"/>
            </v:rect>
            <v:shape style="position:absolute;left:3733;top:2821;width:179;height:411" type="#_x0000_t75" stroked="false">
              <v:imagedata r:id="rId130" o:title=""/>
            </v:shape>
            <v:shape style="position:absolute;left:3727;top:2931;width:202;height:404" type="#_x0000_t75" stroked="false">
              <v:imagedata r:id="rId131" o:title=""/>
            </v:shape>
            <v:shape style="position:absolute;left:3756;top:3040;width:131;height:396" type="#_x0000_t75" stroked="false">
              <v:imagedata r:id="rId132" o:title=""/>
            </v:shape>
            <v:shape style="position:absolute;left:3702;top:3150;width:250;height:404" type="#_x0000_t75" stroked="false">
              <v:imagedata r:id="rId133" o:title=""/>
            </v:shape>
            <v:rect style="position:absolute;left:5181;top:1516;width:2726;height:2046" filled="true" fillcolor="#e4deeb" stroked="false">
              <v:fill type="solid"/>
            </v:rect>
            <v:rect style="position:absolute;left:5181;top:1516;width:2726;height:2046" filled="false" stroked="true" strokeweight=".099pt" strokecolor="#000000">
              <v:stroke dashstyle="solid"/>
            </v:rect>
            <v:rect style="position:absolute;left:6240;top:20;width:1058;height:819" filled="true" fillcolor="#ffffff" stroked="false">
              <v:fill type="solid"/>
            </v:rect>
            <v:rect style="position:absolute;left:6240;top:20;width:1058;height:819" filled="false" stroked="true" strokeweight=".099pt" strokecolor="#000000">
              <v:stroke dashstyle="solid"/>
            </v:rect>
            <v:shape style="position:absolute;left:6652;top:266;width:237;height:447" type="#_x0000_t75" stroked="false">
              <v:imagedata r:id="rId134" o:title=""/>
            </v:shape>
            <v:shape style="position:absolute;left:6553;top:385;width:432;height:562" type="#_x0000_t75" stroked="false">
              <v:imagedata r:id="rId135" o:title=""/>
            </v:shape>
            <v:shape style="position:absolute;left:6619;top:505;width:298;height:440" type="#_x0000_t75" stroked="false">
              <v:imagedata r:id="rId75" o:title=""/>
            </v:shape>
            <v:rect style="position:absolute;left:7903;top:20;width:261;height:819" filled="true" fillcolor="#ffffff" stroked="false">
              <v:fill type="solid"/>
            </v:rect>
            <v:rect style="position:absolute;left:7903;top:20;width:261;height:819" filled="false" stroked="true" strokeweight=".099pt" strokecolor="#000000">
              <v:stroke dashstyle="solid"/>
            </v:rect>
            <v:shape style="position:absolute;left:7960;top:307;width:142;height:339" type="#_x0000_t75" stroked="false">
              <v:imagedata r:id="rId136" o:title=""/>
            </v:shape>
            <v:shape style="position:absolute;left:7958;top:396;width:149;height:339" type="#_x0000_t75" stroked="false">
              <v:imagedata r:id="rId137" o:title=""/>
            </v:shape>
            <v:shape style="position:absolute;left:7921;top:487;width:221;height:332" type="#_x0000_t75" stroked="false">
              <v:imagedata r:id="rId138" o:title=""/>
            </v:shape>
            <v:rect style="position:absolute;left:7568;top:4112;width:586;height:820" filled="true" fillcolor="#ffffff" stroked="false">
              <v:fill type="solid"/>
            </v:rect>
            <v:rect style="position:absolute;left:7568;top:4112;width:586;height:820" filled="false" stroked="true" strokeweight=".099pt" strokecolor="#000000">
              <v:stroke dashstyle="solid"/>
            </v:rect>
            <v:shape style="position:absolute;left:7764;top:4359;width:191;height:447" type="#_x0000_t75" stroked="false">
              <v:imagedata r:id="rId139" o:title=""/>
            </v:shape>
            <v:shape style="position:absolute;left:7593;top:4478;width:548;height:447" type="#_x0000_t75" stroked="false">
              <v:imagedata r:id="rId140" o:title=""/>
            </v:shape>
            <v:shape style="position:absolute;left:7665;top:4598;width:404;height:440" type="#_x0000_t75" stroked="false">
              <v:imagedata r:id="rId127" o:title=""/>
            </v:shape>
            <v:rect style="position:absolute;left:4323;top:4112;width:731;height:820" filled="true" fillcolor="#ffffff" stroked="false">
              <v:fill type="solid"/>
            </v:rect>
            <v:rect style="position:absolute;left:4323;top:4112;width:731;height:820" filled="false" stroked="true" strokeweight=".099pt" strokecolor="#000000">
              <v:stroke dashstyle="solid"/>
            </v:rect>
            <v:shape style="position:absolute;left:4594;top:4359;width:188;height:447" type="#_x0000_t75" stroked="false">
              <v:imagedata r:id="rId141" o:title=""/>
            </v:shape>
            <v:shape style="position:absolute;left:4460;top:4479;width:461;height:440" type="#_x0000_t75" stroked="false">
              <v:imagedata r:id="rId142" o:title=""/>
            </v:shape>
            <v:shape style="position:absolute;left:4494;top:4598;width:404;height:440" type="#_x0000_t75" stroked="false">
              <v:imagedata r:id="rId143" o:title=""/>
            </v:shape>
            <v:rect style="position:absolute;left:1627;top:1629;width:2457;height:842" filled="true" fillcolor="#ffffff" stroked="false">
              <v:fill type="solid"/>
            </v:rect>
            <v:rect style="position:absolute;left:1627;top:1629;width:2457;height:842" filled="false" stroked="true" strokeweight=".099pt" strokecolor="#000000">
              <v:stroke dashstyle="solid"/>
            </v:rect>
            <v:shape style="position:absolute;left:2739;top:1946;width:237;height:447" type="#_x0000_t75" stroked="false">
              <v:imagedata r:id="rId144" o:title=""/>
            </v:shape>
            <v:shape style="position:absolute;left:2422;top:2066;width:874;height:224" type="#_x0000_t75" stroked="false">
              <v:imagedata r:id="rId145" o:title=""/>
            </v:shape>
            <v:rect style="position:absolute;left:1626;top:2605;width:912;height:842" filled="true" fillcolor="#ffffff" stroked="false">
              <v:fill type="solid"/>
            </v:rect>
            <v:rect style="position:absolute;left:1626;top:2605;width:912;height:842" filled="false" stroked="true" strokeweight=".099pt" strokecolor="#000000">
              <v:stroke dashstyle="solid"/>
            </v:rect>
            <v:shape style="position:absolute;left:1984;top:2863;width:191;height:447" type="#_x0000_t75" stroked="false">
              <v:imagedata r:id="rId146" o:title=""/>
            </v:shape>
            <v:shape style="position:absolute;left:1801;top:2983;width:576;height:440" type="#_x0000_t75" stroked="false">
              <v:imagedata r:id="rId147" o:title=""/>
            </v:shape>
            <v:shape style="position:absolute;left:1952;top:3102;width:269;height:440" type="#_x0000_t75" stroked="false">
              <v:imagedata r:id="rId148" o:title=""/>
            </v:shape>
            <v:rect style="position:absolute;left:2652;top:2605;width:552;height:842" filled="true" fillcolor="#ffffff" stroked="false">
              <v:fill type="solid"/>
            </v:rect>
            <v:rect style="position:absolute;left:2652;top:2605;width:552;height:842" filled="false" stroked="true" strokeweight=".099pt" strokecolor="#000000">
              <v:stroke dashstyle="solid"/>
            </v:rect>
            <v:shape style="position:absolute;left:2833;top:2863;width:189;height:447" type="#_x0000_t75" stroked="false">
              <v:imagedata r:id="rId149" o:title=""/>
            </v:shape>
            <v:shape style="position:absolute;left:2728;top:2982;width:413;height:447" type="#_x0000_t75" stroked="false">
              <v:imagedata r:id="rId150" o:title=""/>
            </v:shape>
            <v:shape style="position:absolute;left:2798;top:3102;width:269;height:440" type="#_x0000_t75" stroked="false">
              <v:imagedata r:id="rId151" o:title=""/>
            </v:shape>
            <v:rect style="position:absolute;left:4117;top:2605;width:280;height:842" filled="true" fillcolor="#ffffff" stroked="false">
              <v:fill type="solid"/>
            </v:rect>
            <v:rect style="position:absolute;left:4117;top:2605;width:280;height:842" filled="false" stroked="true" strokeweight=".099pt" strokecolor="#000000">
              <v:stroke dashstyle="solid"/>
            </v:rect>
            <v:shape style="position:absolute;left:4192;top:2956;width:132;height:288" type="#_x0000_t75" stroked="false">
              <v:imagedata r:id="rId152" o:title=""/>
            </v:shape>
            <v:shape style="position:absolute;left:4177;top:3034;width:164;height:303" type="#_x0000_t75" stroked="false">
              <v:imagedata r:id="rId153" o:title=""/>
            </v:shape>
            <v:line style="position:absolute" from="4244,1634" to="4244,2476" stroked="true" strokeweight="4.68pt" strokecolor="#ffffff">
              <v:stroke dashstyle="solid"/>
            </v:line>
            <v:rect style="position:absolute;left:4197;top:1634;width:94;height:842" filled="false" stroked="true" strokeweight=".099pt" strokecolor="#000000">
              <v:stroke dashstyle="solid"/>
            </v:rect>
            <v:rect style="position:absolute;left:4573;top:1622;width:375;height:848" filled="false" stroked="true" strokeweight=".099pt" strokecolor="#000000">
              <v:stroke dashstyle="solid"/>
            </v:rect>
            <v:shape style="position:absolute;left:4680;top:1910;width:161;height:375" type="#_x0000_t75" stroked="false">
              <v:imagedata r:id="rId154" o:title=""/>
            </v:shape>
            <v:shape style="position:absolute;left:4627;top:2008;width:279;height:375" type="#_x0000_t75" stroked="false">
              <v:imagedata r:id="rId155" o:title=""/>
            </v:shape>
            <v:shape style="position:absolute;left:4615;top:2109;width:298;height:468" type="#_x0000_t75" stroked="false">
              <v:imagedata r:id="rId156" o:title=""/>
            </v:shape>
            <v:rect style="position:absolute;left:4647;top:2605;width:225;height:839" filled="false" stroked="true" strokeweight=".099pt" strokecolor="#000000">
              <v:stroke dashstyle="solid"/>
            </v:rect>
            <v:shape style="position:absolute;left:4700;top:2955;width:128;height:288" type="#_x0000_t75" stroked="false">
              <v:imagedata r:id="rId157" o:title=""/>
            </v:shape>
            <v:shape style="position:absolute;left:4676;top:3033;width:173;height:303" type="#_x0000_t75" stroked="false">
              <v:imagedata r:id="rId158" o:title=""/>
            </v:shape>
            <v:rect style="position:absolute;left:6244;top:2605;width:693;height:842" filled="true" fillcolor="#ffffff" stroked="false">
              <v:fill type="solid"/>
            </v:rect>
            <v:rect style="position:absolute;left:6244;top:2605;width:693;height:842" filled="false" stroked="true" strokeweight=".099pt" strokecolor="#000000">
              <v:stroke dashstyle="solid"/>
            </v:rect>
            <v:shape style="position:absolute;left:6502;top:2876;width:180;height:411" type="#_x0000_t75" stroked="false">
              <v:imagedata r:id="rId159" o:title=""/>
            </v:shape>
            <v:shape style="position:absolute;left:6327;top:2986;width:528;height:404" type="#_x0000_t75" stroked="false">
              <v:imagedata r:id="rId160" o:title=""/>
            </v:shape>
            <v:shape style="position:absolute;left:6481;top:3093;width:221;height:411" type="#_x0000_t75" stroked="false">
              <v:imagedata r:id="rId161" o:title=""/>
            </v:shape>
            <v:line style="position:absolute" from="6142,2593" to="6142,3434" stroked="true" strokeweight="3.78pt" strokecolor="#ffffff">
              <v:stroke dashstyle="solid"/>
            </v:line>
            <v:rect style="position:absolute;left:6104;top:2593;width:76;height:842" filled="false" stroked="true" strokeweight=".099pt" strokecolor="#000000">
              <v:stroke dashstyle="solid"/>
            </v:rect>
            <v:line style="position:absolute" from="7031,2605" to="7031,3446" stroked="true" strokeweight="2.82pt" strokecolor="#ffffff">
              <v:stroke dashstyle="solid"/>
            </v:line>
            <v:rect style="position:absolute;left:7003;top:2605;width:57;height:842" filled="false" stroked="true" strokeweight=".099pt" strokecolor="#000000">
              <v:stroke dashstyle="solid"/>
            </v:rect>
            <v:line style="position:absolute" from="7737,2605" to="7737,3446" stroked="true" strokeweight="2.82pt" strokecolor="#ffffff">
              <v:stroke dashstyle="solid"/>
            </v:line>
            <v:rect style="position:absolute;left:7708;top:2605;width:57;height:842" filled="false" stroked="true" strokeweight=".099pt" strokecolor="#000000">
              <v:stroke dashstyle="solid"/>
            </v:rect>
            <v:shape style="position:absolute;left:6080;top:3658;width:129;height:411" type="#_x0000_t75" stroked="false">
              <v:imagedata r:id="rId162" o:title=""/>
            </v:shape>
            <v:shape style="position:absolute;left:5950;top:3768;width:394;height:404" type="#_x0000_t75" stroked="false">
              <v:imagedata r:id="rId163" o:title=""/>
            </v:shape>
            <v:shape style="position:absolute;left:6961;top:3658;width:129;height:411" type="#_x0000_t75" stroked="false">
              <v:imagedata r:id="rId162" o:title=""/>
            </v:shape>
            <v:shape style="position:absolute;left:6921;top:3768;width:212;height:404" type="#_x0000_t75" stroked="false">
              <v:imagedata r:id="rId164" o:title=""/>
            </v:shape>
            <v:shape style="position:absolute;left:7693;top:3658;width:129;height:411" type="#_x0000_t75" stroked="false">
              <v:imagedata r:id="rId162" o:title=""/>
            </v:shape>
            <v:shape style="position:absolute;left:7402;top:3768;width:711;height:202" type="#_x0000_t75" stroked="false">
              <v:imagedata r:id="rId165" o:title=""/>
            </v:shape>
            <v:shape style="position:absolute;left:4182;top:1220;width:129;height:411" type="#_x0000_t75" stroked="false">
              <v:imagedata r:id="rId162" o:title=""/>
            </v:shape>
            <v:shape style="position:absolute;left:3847;top:1329;width:797;height:260" type="#_x0000_t75" stroked="false">
              <v:imagedata r:id="rId166" o:title=""/>
            </v:shape>
            <v:rect style="position:absolute;left:5298;top:2604;width:728;height:842" filled="true" fillcolor="#ffffff" stroked="false">
              <v:fill type="solid"/>
            </v:rect>
            <v:rect style="position:absolute;left:5298;top:2604;width:728;height:842" filled="false" stroked="true" strokeweight=".099pt" strokecolor="#000000">
              <v:stroke dashstyle="solid"/>
            </v:rect>
            <v:shape style="position:absolute;left:5566;top:2920;width:188;height:447" type="#_x0000_t75" stroked="false">
              <v:imagedata r:id="rId167" o:title=""/>
            </v:shape>
            <v:shape style="position:absolute;left:5372;top:3040;width:586;height:281" type="#_x0000_t75" stroked="false">
              <v:imagedata r:id="rId168" o:title=""/>
            </v:shape>
            <v:rect style="position:absolute;left:7138;top:2605;width:524;height:842" filled="true" fillcolor="#ffffff" stroked="false">
              <v:fill type="solid"/>
            </v:rect>
            <v:rect style="position:absolute;left:7138;top:2605;width:524;height:842" filled="false" stroked="true" strokeweight=".099pt" strokecolor="#000000">
              <v:stroke dashstyle="solid"/>
            </v:rect>
            <v:shape style="position:absolute;left:7302;top:2863;width:192;height:447" type="#_x0000_t75" stroked="false">
              <v:imagedata r:id="rId169" o:title=""/>
            </v:shape>
            <v:shape style="position:absolute;left:7186;top:2982;width:432;height:447" type="#_x0000_t75" stroked="false">
              <v:imagedata r:id="rId170" o:title=""/>
            </v:shape>
            <v:shape style="position:absolute;left:7275;top:3102;width:250;height:440" type="#_x0000_t75" stroked="false">
              <v:imagedata r:id="rId171" o:title=""/>
            </v:shape>
            <v:rect style="position:absolute;left:5232;top:1624;width:1331;height:843" filled="true" fillcolor="#ffffff" stroked="false">
              <v:fill type="solid"/>
            </v:rect>
            <v:rect style="position:absolute;left:5232;top:1624;width:1331;height:843" filled="false" stroked="true" strokeweight=".099pt" strokecolor="#000000">
              <v:stroke dashstyle="solid"/>
            </v:rect>
            <v:shape style="position:absolute;left:5803;top:1942;width:188;height:447" type="#_x0000_t75" stroked="false">
              <v:imagedata r:id="rId172" o:title=""/>
            </v:shape>
            <v:shape style="position:absolute;left:5575;top:2062;width:653;height:224" type="#_x0000_t75" stroked="false">
              <v:imagedata r:id="rId173" o:title=""/>
            </v:shape>
            <v:rect style="position:absolute;left:6608;top:1634;width:1220;height:842" filled="true" fillcolor="#ffffff" stroked="false">
              <v:fill type="solid"/>
            </v:rect>
            <v:rect style="position:absolute;left:6608;top:1634;width:1220;height:842" filled="false" stroked="true" strokeweight=".099pt" strokecolor="#000000">
              <v:stroke dashstyle="solid"/>
            </v:rect>
            <v:shape style="position:absolute;left:7123;top:1951;width:189;height:447" type="#_x0000_t75" stroked="false">
              <v:imagedata r:id="rId174" o:title=""/>
            </v:shape>
            <v:shape style="position:absolute;left:6744;top:2070;width:960;height:281" type="#_x0000_t75" stroked="false">
              <v:imagedata r:id="rId175" o:title=""/>
            </v:shape>
            <v:rect style="position:absolute;left:3320;top:2605;width:212;height:842" filled="true" fillcolor="#ffffff" stroked="false">
              <v:fill type="solid"/>
            </v:rect>
            <v:rect style="position:absolute;left:3320;top:2605;width:212;height:842" filled="false" stroked="true" strokeweight=".099pt" strokecolor="#000000">
              <v:stroke dashstyle="solid"/>
            </v:rect>
            <v:shape style="position:absolute;left:3344;top:3664;width:173;height:411" type="#_x0000_t75" stroked="false">
              <v:imagedata r:id="rId176" o:title=""/>
            </v:shape>
            <v:shape style="position:absolute;left:3067;top:3772;width:730;height:209" type="#_x0000_t75" stroked="false">
              <v:imagedata r:id="rId177" o:title=""/>
            </v:shape>
          </v:group>
        </w:pict>
      </w:r>
      <w:r>
        <w:rPr>
          <w:sz w:val="20"/>
        </w:rPr>
      </w:r>
    </w:p>
    <w:p>
      <w:pPr>
        <w:spacing w:line="157" w:lineRule="exact" w:before="0"/>
        <w:ind w:left="297" w:right="0" w:firstLine="0"/>
        <w:jc w:val="left"/>
        <w:rPr>
          <w:sz w:val="15"/>
        </w:rPr>
      </w:pPr>
      <w:r>
        <w:rPr>
          <w:sz w:val="15"/>
        </w:rPr>
        <w:t>Source (1978): The Committee to Review the Functioning of Financial Institutions Report, June 1980. Source (2011): ONS, IMA, FCA,</w:t>
      </w:r>
    </w:p>
    <w:p>
      <w:pPr>
        <w:spacing w:before="0"/>
        <w:ind w:left="346" w:right="1451" w:firstLine="0"/>
        <w:jc w:val="left"/>
        <w:rPr>
          <w:sz w:val="15"/>
        </w:rPr>
      </w:pPr>
      <w:r>
        <w:rPr/>
        <w:pict>
          <v:shape style="position:absolute;margin-left:521.159912pt;margin-top:47.986542pt;width:1.1pt;height:1.1pt;mso-position-horizontal-relative:page;mso-position-vertical-relative:paragraph;z-index:251725824" type="#_x0000_t202" filled="false" stroked="false">
            <v:textbox inset="0,0,0,0">
              <w:txbxContent>
                <w:p>
                  <w:pPr>
                    <w:spacing w:line="21" w:lineRule="exact" w:before="0"/>
                    <w:ind w:left="0" w:right="0" w:firstLine="0"/>
                    <w:jc w:val="left"/>
                    <w:rPr>
                      <w:sz w:val="2"/>
                    </w:rPr>
                  </w:pPr>
                  <w:r>
                    <w:rPr>
                      <w:w w:val="95"/>
                      <w:sz w:val="2"/>
                    </w:rPr>
                    <w:t>33</w:t>
                  </w:r>
                </w:p>
              </w:txbxContent>
            </v:textbox>
            <w10:wrap type="none"/>
          </v:shape>
        </w:pict>
      </w:r>
      <w:r>
        <w:rPr>
          <w:sz w:val="15"/>
        </w:rPr>
        <w:t>BVCA, Financial statements, Regulatory Returns, Bank calculations. Notes: Balance sheets are sized net of derivatives and intrabank exposures and expressed as a percentage of GDP. The figure is illustrative in the sense that definitive data do not exist: data have been compiled from a range of sources to build the picture. This figure will be updated in a forthcoming QB article.</w:t>
      </w:r>
    </w:p>
    <w:p>
      <w:pPr>
        <w:pStyle w:val="BodyText"/>
        <w:rPr>
          <w:sz w:val="20"/>
        </w:rPr>
      </w:pPr>
    </w:p>
    <w:p>
      <w:pPr>
        <w:pStyle w:val="BodyText"/>
        <w:spacing w:before="6"/>
        <w:rPr>
          <w:sz w:val="14"/>
        </w:rPr>
      </w:pPr>
      <w:r>
        <w:rPr/>
        <w:pict>
          <v:shape style="position:absolute;margin-left:62.639999pt;margin-top:10.478927pt;width:486.8pt;height:.1pt;mso-position-horizontal-relative:page;mso-position-vertical-relative:paragraph;z-index:-251591680;mso-wrap-distance-left:0;mso-wrap-distance-right:0" coordorigin="1253,210" coordsize="9736,0" path="m1253,210l10988,210e" filled="false" stroked="true" strokeweight=".23999pt" strokecolor="#000000">
            <v:path arrowok="t"/>
            <v:stroke dashstyle="solid"/>
            <w10:wrap type="topAndBottom"/>
          </v:shape>
        </w:pict>
      </w:r>
    </w:p>
    <w:p>
      <w:pPr>
        <w:pStyle w:val="BodyText"/>
        <w:spacing w:line="186" w:lineRule="exact"/>
        <w:ind w:left="113"/>
      </w:pPr>
      <w:r>
        <w:rPr/>
        <w:t>All speeches are available online at </w:t>
      </w:r>
      <w:hyperlink r:id="rId6">
        <w:r>
          <w:rPr/>
          <w:t>www.bankofengland.co.uk/publications/Pages/speeches/default.aspx</w:t>
        </w:r>
      </w:hyperlink>
    </w:p>
    <w:p>
      <w:pPr>
        <w:spacing w:after="0" w:line="186" w:lineRule="exact"/>
        <w:sectPr>
          <w:footerReference w:type="default" r:id="rId72"/>
          <w:pgSz w:w="12240" w:h="15840"/>
          <w:pgMar w:footer="0" w:header="0" w:top="1320" w:bottom="280" w:left="1240" w:right="0"/>
        </w:sectPr>
      </w:pPr>
    </w:p>
    <w:p>
      <w:pPr>
        <w:pStyle w:val="Heading1"/>
      </w:pPr>
      <w:r>
        <w:rPr>
          <w:w w:val="105"/>
        </w:rPr>
        <w:t>Chart 10: The Growth in Global Trade and Finance</w:t>
      </w:r>
    </w:p>
    <w:p>
      <w:pPr>
        <w:pStyle w:val="BodyText"/>
        <w:rPr>
          <w:b/>
          <w:sz w:val="24"/>
        </w:rPr>
      </w:pPr>
      <w:r>
        <w:rPr/>
        <w:pict>
          <v:group style="position:absolute;margin-left:74.040001pt;margin-top:16.021093pt;width:464.05pt;height:233.8pt;mso-position-horizontal-relative:page;mso-position-vertical-relative:paragraph;z-index:-251573248;mso-wrap-distance-left:0;mso-wrap-distance-right:0" coordorigin="1481,320" coordsize="9281,4676">
            <v:line style="position:absolute" from="1481,325" to="10762,325" stroked="true" strokeweight=".47998pt" strokecolor="#000000">
              <v:stroke dashstyle="solid"/>
            </v:line>
            <v:line style="position:absolute" from="1485,320" to="1485,4996" stroked="true" strokeweight=".42pt" strokecolor="#000000">
              <v:stroke dashstyle="solid"/>
            </v:line>
            <v:line style="position:absolute" from="10757,330" to="10757,4987" stroked="true" strokeweight=".41998pt" strokecolor="#000000">
              <v:stroke dashstyle="solid"/>
            </v:line>
            <v:line style="position:absolute" from="1481,4991" to="10762,4991" stroked="true" strokeweight=".42001pt" strokecolor="#000000">
              <v:stroke dashstyle="solid"/>
            </v:line>
            <v:rect style="position:absolute;left:3926;top:3434;width:190;height:936" filled="true" fillcolor="#a31a7e" stroked="false">
              <v:fill type="solid"/>
            </v:rect>
            <v:rect style="position:absolute;left:4524;top:3276;width:190;height:1095" filled="true" fillcolor="#a31a7e" stroked="false">
              <v:fill type="solid"/>
            </v:rect>
            <v:rect style="position:absolute;left:5128;top:3355;width:184;height:1016" filled="true" fillcolor="#a31a7e" stroked="false">
              <v:fill type="solid"/>
            </v:rect>
            <v:rect style="position:absolute;left:5727;top:3813;width:183;height:557" filled="true" fillcolor="#a31a7e" stroked="false">
              <v:fill type="solid"/>
            </v:rect>
            <v:rect style="position:absolute;left:6322;top:4011;width:185;height:359" filled="true" fillcolor="#a31a7e" stroked="false">
              <v:fill type="solid"/>
            </v:rect>
            <v:rect style="position:absolute;left:6921;top:3454;width:185;height:916" filled="true" fillcolor="#a31a7e" stroked="false">
              <v:fill type="solid"/>
            </v:rect>
            <v:rect style="position:absolute;left:7519;top:3176;width:183;height:1194" filled="true" fillcolor="#a31a7e" stroked="false">
              <v:fill type="solid"/>
            </v:rect>
            <v:rect style="position:absolute;left:8116;top:1286;width:184;height:3084" filled="true" fillcolor="#a31a7e" stroked="false">
              <v:fill type="solid"/>
            </v:rect>
            <v:rect style="position:absolute;left:3757;top:3655;width:176;height:716" filled="true" fillcolor="#165788" stroked="false">
              <v:fill type="solid"/>
            </v:rect>
            <v:rect style="position:absolute;left:4354;top:3357;width:177;height:1013" filled="true" fillcolor="#165788" stroked="false">
              <v:fill type="solid"/>
            </v:rect>
            <v:rect style="position:absolute;left:4953;top:3127;width:176;height:1244" filled="true" fillcolor="#165788" stroked="false">
              <v:fill type="solid"/>
            </v:rect>
            <v:rect style="position:absolute;left:5551;top:3073;width:177;height:1298" filled="true" fillcolor="#165788" stroked="false">
              <v:fill type="solid"/>
            </v:rect>
            <v:rect style="position:absolute;left:6148;top:3181;width:174;height:1190" filled="true" fillcolor="#165788" stroked="false">
              <v:fill type="solid"/>
            </v:rect>
            <v:rect style="position:absolute;left:6745;top:2206;width:177;height:2164" filled="true" fillcolor="#165788" stroked="false">
              <v:fill type="solid"/>
            </v:rect>
            <v:rect style="position:absolute;left:7342;top:2571;width:177;height:1799" filled="true" fillcolor="#165788" stroked="false">
              <v:fill type="solid"/>
            </v:rect>
            <v:rect style="position:absolute;left:7941;top:1096;width:176;height:3274" filled="true" fillcolor="#165788" stroked="false">
              <v:fill type="solid"/>
            </v:rect>
            <v:line style="position:absolute" from="3723,785" to="3723,4370" stroked="true" strokeweight=".66pt" strokecolor="#868686">
              <v:stroke dashstyle="solid"/>
            </v:line>
            <v:rect style="position:absolute;left:3678;top:4363;width:46;height:15" filled="true" fillcolor="#868686" stroked="false">
              <v:fill type="solid"/>
            </v:rect>
            <v:rect style="position:absolute;left:3678;top:3645;width:46;height:15" filled="true" fillcolor="#868686" stroked="false">
              <v:fill type="solid"/>
            </v:rect>
            <v:rect style="position:absolute;left:3678;top:2930;width:46;height:15" filled="true" fillcolor="#868686" stroked="false">
              <v:fill type="solid"/>
            </v:rect>
            <v:rect style="position:absolute;left:3678;top:2212;width:46;height:15" filled="true" fillcolor="#868686" stroked="false">
              <v:fill type="solid"/>
            </v:rect>
            <v:rect style="position:absolute;left:3678;top:1496;width:46;height:14" filled="true" fillcolor="#868686" stroked="false">
              <v:fill type="solid"/>
            </v:rect>
            <v:rect style="position:absolute;left:3678;top:778;width:46;height:14" filled="true" fillcolor="#868686" stroked="false">
              <v:fill type="solid"/>
            </v:rect>
            <v:line style="position:absolute" from="8503,785" to="8503,4370" stroked="true" strokeweight=".23999pt" strokecolor="#000000">
              <v:stroke dashstyle="solid"/>
            </v:line>
            <v:rect style="position:absolute;left:8503;top:4368;width:46;height:5" filled="true" fillcolor="#000000" stroked="false">
              <v:fill type="solid"/>
            </v:rect>
            <v:rect style="position:absolute;left:8503;top:3970;width:46;height:5" filled="true" fillcolor="#000000" stroked="false">
              <v:fill type="solid"/>
            </v:rect>
            <v:rect style="position:absolute;left:8503;top:3571;width:46;height:5" filled="true" fillcolor="#000000" stroked="false">
              <v:fill type="solid"/>
            </v:rect>
            <v:rect style="position:absolute;left:8503;top:3174;width:46;height:5" filled="true" fillcolor="#000000" stroked="false">
              <v:fill type="solid"/>
            </v:rect>
            <v:rect style="position:absolute;left:8503;top:2775;width:46;height:4" filled="true" fillcolor="#000000" stroked="false">
              <v:fill type="solid"/>
            </v:rect>
            <v:rect style="position:absolute;left:8503;top:2376;width:46;height:5" filled="true" fillcolor="#000000" stroked="false">
              <v:fill type="solid"/>
            </v:rect>
            <v:rect style="position:absolute;left:8503;top:1978;width:46;height:5" filled="true" fillcolor="#000000" stroked="false">
              <v:fill type="solid"/>
            </v:rect>
            <v:rect style="position:absolute;left:8503;top:1579;width:46;height:5" filled="true" fillcolor="#000000" stroked="false">
              <v:fill type="solid"/>
            </v:rect>
            <v:rect style="position:absolute;left:8503;top:1182;width:46;height:5" filled="true" fillcolor="#000000" stroked="false">
              <v:fill type="solid"/>
            </v:rect>
            <v:rect style="position:absolute;left:8503;top:782;width:46;height:5" filled="true" fillcolor="#000000" stroked="false">
              <v:fill type="solid"/>
            </v:rect>
            <v:line style="position:absolute" from="3724,4370" to="8503,4370" stroked="true" strokeweight=".23999pt" strokecolor="#000000">
              <v:stroke dashstyle="solid"/>
            </v:line>
            <v:rect style="position:absolute;left:3721;top:4324;width:4;height:46" filled="true" fillcolor="#000000" stroked="false">
              <v:fill type="solid"/>
            </v:rect>
            <v:rect style="position:absolute;left:4316;top:4324;width:5;height:46" filled="true" fillcolor="#000000" stroked="false">
              <v:fill type="solid"/>
            </v:rect>
            <v:rect style="position:absolute;left:4915;top:4324;width:4;height:46" filled="true" fillcolor="#000000" stroked="false">
              <v:fill type="solid"/>
            </v:rect>
            <v:rect style="position:absolute;left:5512;top:4324;width:5;height:46" filled="true" fillcolor="#000000" stroked="false">
              <v:fill type="solid"/>
            </v:rect>
            <v:rect style="position:absolute;left:6110;top:4324;width:5;height:46" filled="true" fillcolor="#000000" stroked="false">
              <v:fill type="solid"/>
            </v:rect>
            <v:rect style="position:absolute;left:6709;top:4324;width:5;height:46" filled="true" fillcolor="#000000" stroked="false">
              <v:fill type="solid"/>
            </v:rect>
            <v:rect style="position:absolute;left:7306;top:4324;width:5;height:46" filled="true" fillcolor="#000000" stroked="false">
              <v:fill type="solid"/>
            </v:rect>
            <v:rect style="position:absolute;left:7903;top:4324;width:4;height:46" filled="true" fillcolor="#000000" stroked="false">
              <v:fill type="solid"/>
            </v:rect>
            <v:rect style="position:absolute;left:4492;top:931;width:77;height:76" filled="true" fillcolor="#a31a7e" stroked="false">
              <v:fill type="solid"/>
            </v:rect>
            <v:rect style="position:absolute;left:4492;top:1288;width:77;height:75" filled="true" fillcolor="#165788" stroked="false">
              <v:fill type="solid"/>
            </v:rect>
            <v:shape style="position:absolute;left:3854;top:4462;width:4538;height:169" type="#_x0000_t202" filled="false" stroked="false">
              <v:textbox inset="0,0,0,0">
                <w:txbxContent>
                  <w:p>
                    <w:pPr>
                      <w:tabs>
                        <w:tab w:pos="597" w:val="left" w:leader="none"/>
                        <w:tab w:pos="1194" w:val="left" w:leader="none"/>
                        <w:tab w:pos="1792" w:val="left" w:leader="none"/>
                        <w:tab w:pos="2389" w:val="left" w:leader="none"/>
                        <w:tab w:pos="2987" w:val="left" w:leader="none"/>
                        <w:tab w:pos="3584" w:val="left" w:leader="none"/>
                        <w:tab w:pos="4182" w:val="left" w:leader="none"/>
                      </w:tabs>
                      <w:spacing w:line="169" w:lineRule="exact" w:before="0"/>
                      <w:ind w:left="0" w:right="0" w:firstLine="0"/>
                      <w:jc w:val="left"/>
                      <w:rPr>
                        <w:sz w:val="15"/>
                      </w:rPr>
                    </w:pPr>
                    <w:r>
                      <w:rPr>
                        <w:sz w:val="15"/>
                      </w:rPr>
                      <w:t>1870</w:t>
                      <w:tab/>
                      <w:t>1900</w:t>
                      <w:tab/>
                      <w:t>1914</w:t>
                      <w:tab/>
                      <w:t>1930</w:t>
                      <w:tab/>
                      <w:t>1960</w:t>
                      <w:tab/>
                      <w:t>1985</w:t>
                      <w:tab/>
                      <w:t>1990</w:t>
                      <w:tab/>
                      <w:t>2005</w:t>
                    </w:r>
                  </w:p>
                </w:txbxContent>
              </v:textbox>
              <w10:wrap type="none"/>
            </v:shape>
            <v:shape style="position:absolute;left:8632;top:4282;width:105;height:169" type="#_x0000_t202" filled="false" stroked="false">
              <v:textbox inset="0,0,0,0">
                <w:txbxContent>
                  <w:p>
                    <w:pPr>
                      <w:spacing w:line="169" w:lineRule="exact" w:before="0"/>
                      <w:ind w:left="0" w:right="0" w:firstLine="0"/>
                      <w:jc w:val="left"/>
                      <w:rPr>
                        <w:sz w:val="15"/>
                      </w:rPr>
                    </w:pPr>
                    <w:r>
                      <w:rPr>
                        <w:w w:val="100"/>
                        <w:sz w:val="15"/>
                      </w:rPr>
                      <w:t>0</w:t>
                    </w:r>
                  </w:p>
                </w:txbxContent>
              </v:textbox>
              <w10:wrap type="none"/>
            </v:shape>
            <v:shape style="position:absolute;left:3510;top:4282;width:105;height:169" type="#_x0000_t202" filled="false" stroked="false">
              <v:textbox inset="0,0,0,0">
                <w:txbxContent>
                  <w:p>
                    <w:pPr>
                      <w:spacing w:line="169" w:lineRule="exact" w:before="0"/>
                      <w:ind w:left="0" w:right="0" w:firstLine="0"/>
                      <w:jc w:val="left"/>
                      <w:rPr>
                        <w:sz w:val="15"/>
                      </w:rPr>
                    </w:pPr>
                    <w:r>
                      <w:rPr>
                        <w:w w:val="100"/>
                        <w:sz w:val="15"/>
                      </w:rPr>
                      <w:t>0</w:t>
                    </w:r>
                  </w:p>
                </w:txbxContent>
              </v:textbox>
              <w10:wrap type="none"/>
            </v:shape>
            <v:shape style="position:absolute;left:8632;top:3485;width:188;height:568" type="#_x0000_t202" filled="false" stroked="false">
              <v:textbox inset="0,0,0,0">
                <w:txbxContent>
                  <w:p>
                    <w:pPr>
                      <w:spacing w:line="169" w:lineRule="exact" w:before="0"/>
                      <w:ind w:left="0" w:right="0" w:firstLine="0"/>
                      <w:jc w:val="left"/>
                      <w:rPr>
                        <w:sz w:val="15"/>
                      </w:rPr>
                    </w:pPr>
                    <w:r>
                      <w:rPr>
                        <w:sz w:val="15"/>
                      </w:rPr>
                      <w:t>40</w:t>
                    </w:r>
                  </w:p>
                  <w:p>
                    <w:pPr>
                      <w:spacing w:line="240" w:lineRule="auto" w:before="7"/>
                      <w:rPr>
                        <w:sz w:val="19"/>
                      </w:rPr>
                    </w:pPr>
                  </w:p>
                  <w:p>
                    <w:pPr>
                      <w:spacing w:before="0"/>
                      <w:ind w:left="0" w:right="0" w:firstLine="0"/>
                      <w:jc w:val="left"/>
                      <w:rPr>
                        <w:sz w:val="15"/>
                      </w:rPr>
                    </w:pPr>
                    <w:r>
                      <w:rPr>
                        <w:sz w:val="15"/>
                      </w:rPr>
                      <w:t>20</w:t>
                    </w:r>
                  </w:p>
                </w:txbxContent>
              </v:textbox>
              <w10:wrap type="none"/>
            </v:shape>
            <v:shape style="position:absolute;left:3510;top:3566;width:105;height:169" type="#_x0000_t202" filled="false" stroked="false">
              <v:textbox inset="0,0,0,0">
                <w:txbxContent>
                  <w:p>
                    <w:pPr>
                      <w:spacing w:line="169" w:lineRule="exact" w:before="0"/>
                      <w:ind w:left="0" w:right="0" w:firstLine="0"/>
                      <w:jc w:val="left"/>
                      <w:rPr>
                        <w:sz w:val="15"/>
                      </w:rPr>
                    </w:pPr>
                    <w:r>
                      <w:rPr>
                        <w:w w:val="100"/>
                        <w:sz w:val="15"/>
                      </w:rPr>
                      <w:t>5</w:t>
                    </w:r>
                  </w:p>
                </w:txbxContent>
              </v:textbox>
              <w10:wrap type="none"/>
            </v:shape>
            <v:shape style="position:absolute;left:8632;top:3087;width:188;height:169" type="#_x0000_t202" filled="false" stroked="false">
              <v:textbox inset="0,0,0,0">
                <w:txbxContent>
                  <w:p>
                    <w:pPr>
                      <w:spacing w:line="169" w:lineRule="exact" w:before="0"/>
                      <w:ind w:left="0" w:right="0" w:firstLine="0"/>
                      <w:jc w:val="left"/>
                      <w:rPr>
                        <w:sz w:val="15"/>
                      </w:rPr>
                    </w:pPr>
                    <w:r>
                      <w:rPr>
                        <w:sz w:val="15"/>
                      </w:rPr>
                      <w:t>60</w:t>
                    </w:r>
                  </w:p>
                </w:txbxContent>
              </v:textbox>
              <w10:wrap type="none"/>
            </v:shape>
            <v:shape style="position:absolute;left:3426;top:2848;width:186;height:169" type="#_x0000_t202" filled="false" stroked="false">
              <v:textbox inset="0,0,0,0">
                <w:txbxContent>
                  <w:p>
                    <w:pPr>
                      <w:spacing w:line="169" w:lineRule="exact" w:before="0"/>
                      <w:ind w:left="0" w:right="0" w:firstLine="0"/>
                      <w:jc w:val="left"/>
                      <w:rPr>
                        <w:sz w:val="15"/>
                      </w:rPr>
                    </w:pPr>
                    <w:r>
                      <w:rPr>
                        <w:sz w:val="15"/>
                      </w:rPr>
                      <w:t>10</w:t>
                    </w:r>
                  </w:p>
                </w:txbxContent>
              </v:textbox>
              <w10:wrap type="none"/>
            </v:shape>
            <v:shape style="position:absolute;left:8632;top:2290;width:272;height:568" type="#_x0000_t202" filled="false" stroked="false">
              <v:textbox inset="0,0,0,0">
                <w:txbxContent>
                  <w:p>
                    <w:pPr>
                      <w:spacing w:line="169" w:lineRule="exact" w:before="0"/>
                      <w:ind w:left="0" w:right="0" w:firstLine="0"/>
                      <w:jc w:val="left"/>
                      <w:rPr>
                        <w:sz w:val="15"/>
                      </w:rPr>
                    </w:pPr>
                    <w:r>
                      <w:rPr>
                        <w:sz w:val="15"/>
                      </w:rPr>
                      <w:t>100</w:t>
                    </w:r>
                  </w:p>
                  <w:p>
                    <w:pPr>
                      <w:spacing w:line="240" w:lineRule="auto" w:before="7"/>
                      <w:rPr>
                        <w:sz w:val="19"/>
                      </w:rPr>
                    </w:pPr>
                  </w:p>
                  <w:p>
                    <w:pPr>
                      <w:spacing w:before="0"/>
                      <w:ind w:left="0" w:right="0" w:firstLine="0"/>
                      <w:jc w:val="left"/>
                      <w:rPr>
                        <w:sz w:val="15"/>
                      </w:rPr>
                    </w:pPr>
                    <w:r>
                      <w:rPr>
                        <w:sz w:val="15"/>
                      </w:rPr>
                      <w:t>80</w:t>
                    </w:r>
                  </w:p>
                </w:txbxContent>
              </v:textbox>
              <w10:wrap type="none"/>
            </v:shape>
            <v:shape style="position:absolute;left:3426;top:2131;width:186;height:169" type="#_x0000_t202" filled="false" stroked="false">
              <v:textbox inset="0,0,0,0">
                <w:txbxContent>
                  <w:p>
                    <w:pPr>
                      <w:spacing w:line="169" w:lineRule="exact" w:before="0"/>
                      <w:ind w:left="0" w:right="0" w:firstLine="0"/>
                      <w:jc w:val="left"/>
                      <w:rPr>
                        <w:sz w:val="15"/>
                      </w:rPr>
                    </w:pPr>
                    <w:r>
                      <w:rPr>
                        <w:sz w:val="15"/>
                      </w:rPr>
                      <w:t>15</w:t>
                    </w:r>
                  </w:p>
                </w:txbxContent>
              </v:textbox>
              <w10:wrap type="none"/>
            </v:shape>
            <v:shape style="position:absolute;left:8632;top:1493;width:272;height:568" type="#_x0000_t202" filled="false" stroked="false">
              <v:textbox inset="0,0,0,0">
                <w:txbxContent>
                  <w:p>
                    <w:pPr>
                      <w:spacing w:line="169" w:lineRule="exact" w:before="0"/>
                      <w:ind w:left="0" w:right="0" w:firstLine="0"/>
                      <w:jc w:val="left"/>
                      <w:rPr>
                        <w:sz w:val="15"/>
                      </w:rPr>
                    </w:pPr>
                    <w:r>
                      <w:rPr>
                        <w:sz w:val="15"/>
                      </w:rPr>
                      <w:t>140</w:t>
                    </w:r>
                  </w:p>
                  <w:p>
                    <w:pPr>
                      <w:spacing w:line="240" w:lineRule="auto" w:before="7"/>
                      <w:rPr>
                        <w:sz w:val="19"/>
                      </w:rPr>
                    </w:pPr>
                  </w:p>
                  <w:p>
                    <w:pPr>
                      <w:spacing w:before="0"/>
                      <w:ind w:left="0" w:right="0" w:firstLine="0"/>
                      <w:jc w:val="left"/>
                      <w:rPr>
                        <w:sz w:val="15"/>
                      </w:rPr>
                    </w:pPr>
                    <w:r>
                      <w:rPr>
                        <w:sz w:val="15"/>
                      </w:rPr>
                      <w:t>120</w:t>
                    </w:r>
                  </w:p>
                </w:txbxContent>
              </v:textbox>
              <w10:wrap type="none"/>
            </v:shape>
            <v:shape style="position:absolute;left:3426;top:1414;width:186;height:169" type="#_x0000_t202" filled="false" stroked="false">
              <v:textbox inset="0,0,0,0">
                <w:txbxContent>
                  <w:p>
                    <w:pPr>
                      <w:spacing w:line="169" w:lineRule="exact" w:before="0"/>
                      <w:ind w:left="0" w:right="0" w:firstLine="0"/>
                      <w:jc w:val="left"/>
                      <w:rPr>
                        <w:sz w:val="15"/>
                      </w:rPr>
                    </w:pPr>
                    <w:r>
                      <w:rPr>
                        <w:sz w:val="15"/>
                      </w:rPr>
                      <w:t>20</w:t>
                    </w:r>
                  </w:p>
                </w:txbxContent>
              </v:textbox>
              <w10:wrap type="none"/>
            </v:shape>
            <v:shape style="position:absolute;left:4600;top:1237;width:1442;height:169" type="#_x0000_t202" filled="false" stroked="false">
              <v:textbox inset="0,0,0,0">
                <w:txbxContent>
                  <w:p>
                    <w:pPr>
                      <w:spacing w:line="169" w:lineRule="exact" w:before="0"/>
                      <w:ind w:left="0" w:right="0" w:firstLine="0"/>
                      <w:jc w:val="left"/>
                      <w:rPr>
                        <w:sz w:val="15"/>
                      </w:rPr>
                    </w:pPr>
                    <w:r>
                      <w:rPr>
                        <w:sz w:val="15"/>
                      </w:rPr>
                      <w:t>Trade/GDP (LHS) (a)</w:t>
                    </w:r>
                  </w:p>
                </w:txbxContent>
              </v:textbox>
              <w10:wrap type="none"/>
            </v:shape>
            <v:shape style="position:absolute;left:8632;top:1095;width:272;height:169" type="#_x0000_t202" filled="false" stroked="false">
              <v:textbox inset="0,0,0,0">
                <w:txbxContent>
                  <w:p>
                    <w:pPr>
                      <w:spacing w:line="169" w:lineRule="exact" w:before="0"/>
                      <w:ind w:left="0" w:right="0" w:firstLine="0"/>
                      <w:jc w:val="left"/>
                      <w:rPr>
                        <w:sz w:val="15"/>
                      </w:rPr>
                    </w:pPr>
                    <w:r>
                      <w:rPr>
                        <w:sz w:val="15"/>
                      </w:rPr>
                      <w:t>160</w:t>
                    </w:r>
                  </w:p>
                </w:txbxContent>
              </v:textbox>
              <w10:wrap type="none"/>
            </v:shape>
            <v:shape style="position:absolute;left:4600;top:880;width:2470;height:169" type="#_x0000_t202" filled="false" stroked="false">
              <v:textbox inset="0,0,0,0">
                <w:txbxContent>
                  <w:p>
                    <w:pPr>
                      <w:spacing w:line="169" w:lineRule="exact" w:before="0"/>
                      <w:ind w:left="0" w:right="0" w:firstLine="0"/>
                      <w:jc w:val="left"/>
                      <w:rPr>
                        <w:sz w:val="15"/>
                      </w:rPr>
                    </w:pPr>
                    <w:r>
                      <w:rPr>
                        <w:sz w:val="15"/>
                      </w:rPr>
                      <w:t>External financial assets/GDP (RHS)</w:t>
                    </w:r>
                  </w:p>
                </w:txbxContent>
              </v:textbox>
              <w10:wrap type="none"/>
            </v:shape>
            <v:shape style="position:absolute;left:8324;top:404;width:582;height:462" type="#_x0000_t202" filled="false" stroked="false">
              <v:textbox inset="0,0,0,0">
                <w:txbxContent>
                  <w:p>
                    <w:pPr>
                      <w:spacing w:line="169" w:lineRule="exact" w:before="0"/>
                      <w:ind w:left="0" w:right="0" w:firstLine="0"/>
                      <w:jc w:val="left"/>
                      <w:rPr>
                        <w:sz w:val="15"/>
                      </w:rPr>
                    </w:pPr>
                    <w:r>
                      <w:rPr>
                        <w:sz w:val="15"/>
                      </w:rPr>
                      <w:t>Per</w:t>
                    </w:r>
                    <w:r>
                      <w:rPr>
                        <w:spacing w:val="-2"/>
                        <w:sz w:val="15"/>
                      </w:rPr>
                      <w:t> </w:t>
                    </w:r>
                    <w:r>
                      <w:rPr>
                        <w:sz w:val="15"/>
                      </w:rPr>
                      <w:t>cent</w:t>
                    </w:r>
                  </w:p>
                  <w:p>
                    <w:pPr>
                      <w:spacing w:before="120"/>
                      <w:ind w:left="308" w:right="0" w:firstLine="0"/>
                      <w:jc w:val="left"/>
                      <w:rPr>
                        <w:sz w:val="15"/>
                      </w:rPr>
                    </w:pPr>
                    <w:r>
                      <w:rPr>
                        <w:sz w:val="15"/>
                      </w:rPr>
                      <w:t>180</w:t>
                    </w:r>
                  </w:p>
                </w:txbxContent>
              </v:textbox>
              <w10:wrap type="none"/>
            </v:shape>
            <v:shape style="position:absolute;left:3349;top:404;width:581;height:462" type="#_x0000_t202" filled="false" stroked="false">
              <v:textbox inset="0,0,0,0">
                <w:txbxContent>
                  <w:p>
                    <w:pPr>
                      <w:spacing w:line="169" w:lineRule="exact" w:before="0"/>
                      <w:ind w:left="0" w:right="0" w:firstLine="0"/>
                      <w:jc w:val="left"/>
                      <w:rPr>
                        <w:sz w:val="15"/>
                      </w:rPr>
                    </w:pPr>
                    <w:r>
                      <w:rPr>
                        <w:sz w:val="15"/>
                      </w:rPr>
                      <w:t>Per cent</w:t>
                    </w:r>
                  </w:p>
                  <w:p>
                    <w:pPr>
                      <w:spacing w:before="120"/>
                      <w:ind w:left="76" w:right="0" w:firstLine="0"/>
                      <w:jc w:val="left"/>
                      <w:rPr>
                        <w:sz w:val="15"/>
                      </w:rPr>
                    </w:pPr>
                    <w:r>
                      <w:rPr>
                        <w:sz w:val="15"/>
                      </w:rPr>
                      <w:t>25</w:t>
                    </w:r>
                  </w:p>
                </w:txbxContent>
              </v:textbox>
              <w10:wrap type="none"/>
            </v:shape>
            <w10:wrap type="topAndBottom"/>
          </v:group>
        </w:pict>
      </w:r>
    </w:p>
    <w:p>
      <w:pPr>
        <w:spacing w:line="138" w:lineRule="exact" w:before="0"/>
        <w:ind w:left="346" w:right="0" w:firstLine="0"/>
        <w:jc w:val="left"/>
        <w:rPr>
          <w:sz w:val="15"/>
        </w:rPr>
      </w:pPr>
      <w:r>
        <w:rPr>
          <w:sz w:val="15"/>
        </w:rPr>
        <w:t>Sources: Maddison (1995: pg 227,239), IMF International Financial Statistics, World Bank WDI , National Bureau of Economic</w:t>
      </w:r>
    </w:p>
    <w:p>
      <w:pPr>
        <w:spacing w:before="1"/>
        <w:ind w:left="346" w:right="0" w:firstLine="0"/>
        <w:jc w:val="left"/>
        <w:rPr>
          <w:sz w:val="15"/>
        </w:rPr>
      </w:pPr>
      <w:r>
        <w:rPr>
          <w:sz w:val="15"/>
        </w:rPr>
        <w:t>Research, Mckeown (2004 P 184) and Bank calculations.</w:t>
      </w:r>
    </w:p>
    <w:p>
      <w:pPr>
        <w:spacing w:before="1"/>
        <w:ind w:left="346" w:right="0" w:firstLine="0"/>
        <w:jc w:val="left"/>
        <w:rPr>
          <w:sz w:val="15"/>
        </w:rPr>
      </w:pPr>
      <w:r>
        <w:rPr>
          <w:sz w:val="15"/>
        </w:rPr>
        <w:t>(a) Trade = volume of exports in world prices</w:t>
      </w:r>
    </w:p>
    <w:p>
      <w:pPr>
        <w:spacing w:after="0"/>
        <w:jc w:val="left"/>
        <w:rPr>
          <w:sz w:val="15"/>
        </w:rPr>
        <w:sectPr>
          <w:footerReference w:type="default" r:id="rId178"/>
          <w:pgSz w:w="12240" w:h="15840"/>
          <w:pgMar w:footer="1664" w:header="0" w:top="1340" w:bottom="1860" w:left="1240" w:right="0"/>
          <w:pgNumType w:start="34"/>
        </w:sectPr>
      </w:pPr>
    </w:p>
    <w:p>
      <w:pPr>
        <w:pStyle w:val="Heading1"/>
        <w:spacing w:line="549" w:lineRule="auto" w:before="79"/>
        <w:ind w:right="6770"/>
      </w:pPr>
      <w:r>
        <w:rPr/>
        <w:pict>
          <v:group style="position:absolute;margin-left:74.040001pt;margin-top:45.647842pt;width:464.05pt;height:220.05pt;mso-position-horizontal-relative:page;mso-position-vertical-relative:paragraph;z-index:-254804992" coordorigin="1481,913" coordsize="9281,4401">
            <v:rect style="position:absolute;left:1480;top:912;width:9;height:10" filled="true" fillcolor="#000000" stroked="false">
              <v:fill type="solid"/>
            </v:rect>
            <v:line style="position:absolute" from="1481,918" to="10762,918" stroked="true" strokeweight=".48004pt" strokecolor="#000000">
              <v:stroke dashstyle="solid"/>
            </v:line>
            <v:line style="position:absolute" from="1485,923" to="1485,5313" stroked="true" strokeweight=".42pt" strokecolor="#000000">
              <v:stroke dashstyle="solid"/>
            </v:line>
            <v:shape style="position:absolute;left:1480;top:922;width:9281;height:4387" coordorigin="1481,923" coordsize="9281,4387" path="m10757,923l10757,5305m1481,5309l10762,5309e" filled="false" stroked="true" strokeweight=".41998pt" strokecolor="#000000">
              <v:path arrowok="t"/>
              <v:stroke dashstyle="solid"/>
            </v:shape>
            <v:shape style="position:absolute;left:1873;top:923;width:8493;height:4382" type="#_x0000_t75" stroked="false">
              <v:imagedata r:id="rId179" o:title=""/>
            </v:shape>
            <w10:wrap type="none"/>
          </v:group>
        </w:pict>
      </w:r>
      <w:r>
        <w:rPr>
          <w:w w:val="105"/>
        </w:rPr>
        <w:t>Chart</w:t>
      </w:r>
      <w:r>
        <w:rPr>
          <w:spacing w:val="-26"/>
          <w:w w:val="105"/>
        </w:rPr>
        <w:t> </w:t>
      </w:r>
      <w:r>
        <w:rPr>
          <w:w w:val="105"/>
        </w:rPr>
        <w:t>11:</w:t>
      </w:r>
      <w:r>
        <w:rPr>
          <w:spacing w:val="-26"/>
          <w:w w:val="105"/>
        </w:rPr>
        <w:t> </w:t>
      </w:r>
      <w:r>
        <w:rPr>
          <w:w w:val="105"/>
        </w:rPr>
        <w:t>Global</w:t>
      </w:r>
      <w:r>
        <w:rPr>
          <w:spacing w:val="-25"/>
          <w:w w:val="105"/>
        </w:rPr>
        <w:t> </w:t>
      </w:r>
      <w:r>
        <w:rPr>
          <w:w w:val="105"/>
        </w:rPr>
        <w:t>Trade</w:t>
      </w:r>
      <w:r>
        <w:rPr>
          <w:spacing w:val="-26"/>
          <w:w w:val="105"/>
        </w:rPr>
        <w:t> </w:t>
      </w:r>
      <w:r>
        <w:rPr>
          <w:w w:val="105"/>
        </w:rPr>
        <w:t>interlinkages 1995</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6"/>
        </w:rPr>
      </w:pPr>
    </w:p>
    <w:p>
      <w:pPr>
        <w:spacing w:before="98"/>
        <w:ind w:left="346" w:right="0" w:firstLine="0"/>
        <w:jc w:val="left"/>
        <w:rPr>
          <w:b/>
          <w:sz w:val="22"/>
        </w:rPr>
      </w:pPr>
      <w:r>
        <w:rPr>
          <w:b/>
          <w:w w:val="105"/>
          <w:sz w:val="22"/>
        </w:rPr>
        <w:t>2013</w:t>
      </w:r>
    </w:p>
    <w:p>
      <w:pPr>
        <w:pStyle w:val="BodyText"/>
        <w:ind w:left="235"/>
        <w:rPr>
          <w:sz w:val="20"/>
        </w:rPr>
      </w:pPr>
      <w:r>
        <w:rPr>
          <w:sz w:val="20"/>
        </w:rPr>
        <w:pict>
          <v:group style="width:464.05pt;height:221.6pt;mso-position-horizontal-relative:char;mso-position-vertical-relative:line" coordorigin="0,0" coordsize="9281,4432">
            <v:line style="position:absolute" from="0,4" to="9281,4" stroked="true" strokeweight=".42001pt" strokecolor="#000000">
              <v:stroke dashstyle="solid"/>
            </v:line>
            <v:line style="position:absolute" from="4,0" to="4,4432" stroked="true" strokeweight=".42pt" strokecolor="#000000">
              <v:stroke dashstyle="solid"/>
            </v:line>
            <v:line style="position:absolute" from="0,4427" to="9272,4427" stroked="true" strokeweight=".48001pt" strokecolor="#000000">
              <v:stroke dashstyle="solid"/>
            </v:line>
            <v:line style="position:absolute" from="9277,8" to="9277,4432" stroked="true" strokeweight=".41998pt" strokecolor="#000000">
              <v:stroke dashstyle="solid"/>
            </v:line>
            <v:shape style="position:absolute;left:392;top:9;width:8496;height:4412" type="#_x0000_t75" stroked="false">
              <v:imagedata r:id="rId180" o:title=""/>
            </v:shape>
          </v:group>
        </w:pict>
      </w:r>
      <w:r>
        <w:rPr>
          <w:sz w:val="20"/>
        </w:rPr>
      </w:r>
    </w:p>
    <w:p>
      <w:pPr>
        <w:pStyle w:val="BodyText"/>
        <w:spacing w:before="6"/>
        <w:rPr>
          <w:b/>
          <w:sz w:val="7"/>
        </w:rPr>
      </w:pPr>
      <w:r>
        <w:rPr/>
        <w:pict>
          <v:shape style="position:absolute;margin-left:73.980003pt;margin-top:6.545894pt;width:464.2pt;height:15.4pt;mso-position-horizontal-relative:page;mso-position-vertical-relative:paragraph;z-index:-251571200;mso-wrap-distance-left:0;mso-wrap-distance-right:0" type="#_x0000_t202" filled="true" fillcolor="#d9d9d9" stroked="true" strokeweight=".47998pt" strokecolor="#000000">
            <v:textbox inset="0,0,0,0">
              <w:txbxContent>
                <w:p>
                  <w:pPr>
                    <w:spacing w:before="24"/>
                    <w:ind w:left="102" w:right="0" w:firstLine="0"/>
                    <w:jc w:val="left"/>
                    <w:rPr>
                      <w:sz w:val="22"/>
                    </w:rPr>
                  </w:pPr>
                  <w:r>
                    <w:rPr>
                      <w:b/>
                      <w:color w:val="FF0000"/>
                      <w:w w:val="105"/>
                      <w:sz w:val="22"/>
                    </w:rPr>
                    <w:t>Red</w:t>
                  </w:r>
                  <w:r>
                    <w:rPr>
                      <w:color w:val="FF0000"/>
                      <w:w w:val="105"/>
                      <w:sz w:val="22"/>
                    </w:rPr>
                    <w:t>: </w:t>
                  </w:r>
                  <w:r>
                    <w:rPr>
                      <w:w w:val="105"/>
                      <w:sz w:val="22"/>
                    </w:rPr>
                    <w:t>Americas, </w:t>
                  </w:r>
                  <w:r>
                    <w:rPr>
                      <w:b/>
                      <w:color w:val="FF65FF"/>
                      <w:w w:val="105"/>
                      <w:sz w:val="22"/>
                    </w:rPr>
                    <w:t>Pink</w:t>
                  </w:r>
                  <w:r>
                    <w:rPr>
                      <w:color w:val="FF65FF"/>
                      <w:w w:val="105"/>
                      <w:sz w:val="22"/>
                    </w:rPr>
                    <w:t>: </w:t>
                  </w:r>
                  <w:r>
                    <w:rPr>
                      <w:w w:val="105"/>
                      <w:sz w:val="22"/>
                    </w:rPr>
                    <w:t>Europe, </w:t>
                  </w:r>
                  <w:r>
                    <w:rPr>
                      <w:b/>
                      <w:color w:val="92D050"/>
                      <w:w w:val="105"/>
                      <w:sz w:val="22"/>
                    </w:rPr>
                    <w:t>Green</w:t>
                  </w:r>
                  <w:r>
                    <w:rPr>
                      <w:w w:val="105"/>
                      <w:sz w:val="22"/>
                    </w:rPr>
                    <w:t>: Asia, </w:t>
                  </w:r>
                  <w:r>
                    <w:rPr>
                      <w:b/>
                      <w:color w:val="FFC000"/>
                      <w:w w:val="105"/>
                      <w:sz w:val="22"/>
                    </w:rPr>
                    <w:t>Yellow</w:t>
                  </w:r>
                  <w:r>
                    <w:rPr>
                      <w:w w:val="105"/>
                      <w:sz w:val="22"/>
                    </w:rPr>
                    <w:t>: Africa and </w:t>
                  </w:r>
                  <w:r>
                    <w:rPr>
                      <w:b/>
                      <w:color w:val="33CCFF"/>
                      <w:w w:val="105"/>
                      <w:sz w:val="22"/>
                    </w:rPr>
                    <w:t>Light Blue</w:t>
                  </w:r>
                  <w:r>
                    <w:rPr>
                      <w:w w:val="105"/>
                      <w:sz w:val="22"/>
                    </w:rPr>
                    <w:t>: Oceania</w:t>
                  </w:r>
                </w:p>
              </w:txbxContent>
            </v:textbox>
            <v:fill type="solid"/>
            <v:stroke dashstyle="solid"/>
            <w10:wrap type="topAndBottom"/>
          </v:shape>
        </w:pict>
      </w:r>
    </w:p>
    <w:p>
      <w:pPr>
        <w:spacing w:before="143"/>
        <w:ind w:left="346" w:right="0" w:firstLine="0"/>
        <w:jc w:val="left"/>
        <w:rPr>
          <w:sz w:val="15"/>
        </w:rPr>
      </w:pPr>
      <w:r>
        <w:rPr>
          <w:sz w:val="15"/>
        </w:rPr>
        <w:t>Source: UNCTAD International Trade in Goods &amp; Services</w:t>
      </w:r>
    </w:p>
    <w:p>
      <w:pPr>
        <w:spacing w:before="0"/>
        <w:ind w:left="346" w:right="1451" w:firstLine="0"/>
        <w:jc w:val="left"/>
        <w:rPr>
          <w:sz w:val="15"/>
        </w:rPr>
      </w:pPr>
      <w:r>
        <w:rPr>
          <w:sz w:val="15"/>
        </w:rPr>
        <w:t>Notes: These charts show the top 80% of bilateral goods export flows in respective years. The thickness of each join reflects the relative size of the flow. Node sizes are determined by the relative frequency with which the node is the destination for export flows.</w:t>
      </w:r>
    </w:p>
    <w:p>
      <w:pPr>
        <w:spacing w:after="0"/>
        <w:jc w:val="left"/>
        <w:rPr>
          <w:sz w:val="15"/>
        </w:rPr>
        <w:sectPr>
          <w:pgSz w:w="12240" w:h="15840"/>
          <w:pgMar w:header="0" w:footer="1664" w:top="1280" w:bottom="1860" w:left="1240" w:right="0"/>
        </w:sectPr>
      </w:pPr>
    </w:p>
    <w:p>
      <w:pPr>
        <w:pStyle w:val="Heading1"/>
      </w:pPr>
      <w:r>
        <w:rPr>
          <w:w w:val="105"/>
        </w:rPr>
        <w:t>Chart 12: Correlations between Regional Import Volumes</w:t>
      </w:r>
    </w:p>
    <w:p>
      <w:pPr>
        <w:pStyle w:val="BodyText"/>
        <w:rPr>
          <w:b/>
          <w:sz w:val="24"/>
        </w:rPr>
      </w:pPr>
      <w:r>
        <w:rPr/>
        <w:pict>
          <v:group style="position:absolute;margin-left:74.040001pt;margin-top:16.021093pt;width:464.05pt;height:250.75pt;mso-position-horizontal-relative:page;mso-position-vertical-relative:paragraph;z-index:-251565056;mso-wrap-distance-left:0;mso-wrap-distance-right:0" coordorigin="1481,320" coordsize="9281,5015">
            <v:line style="position:absolute" from="1481,325" to="10762,325" stroked="true" strokeweight=".47998pt" strokecolor="#000000">
              <v:stroke dashstyle="solid"/>
            </v:line>
            <v:line style="position:absolute" from="1485,320" to="1485,5326" stroked="true" strokeweight=".42pt" strokecolor="#000000">
              <v:stroke dashstyle="solid"/>
            </v:line>
            <v:line style="position:absolute" from="10757,330" to="10757,5326" stroked="true" strokeweight=".41998pt" strokecolor="#000000">
              <v:stroke dashstyle="solid"/>
            </v:line>
            <v:rect style="position:absolute;left:1480;top:5325;width:9;height:10" filled="true" fillcolor="#000000" stroked="false">
              <v:fill type="solid"/>
            </v:rect>
            <v:line style="position:absolute" from="1481,5330" to="10762,5330" stroked="true" strokeweight=".47998pt" strokecolor="#000000">
              <v:stroke dashstyle="solid"/>
            </v:line>
            <v:shape style="position:absolute;left:2145;top:550;width:7556;height:4320" type="#_x0000_t75" stroked="false">
              <v:imagedata r:id="rId181" o:title=""/>
            </v:shape>
            <v:line style="position:absolute" from="2146,528" to="2146,4926" stroked="true" strokeweight=".66pt" strokecolor="#868686">
              <v:stroke dashstyle="solid"/>
            </v:line>
            <v:rect style="position:absolute;left:2089;top:4864;width:58;height:12" filled="true" fillcolor="#868686" stroked="false">
              <v:fill type="solid"/>
            </v:rect>
            <v:rect style="position:absolute;left:2089;top:4320;width:58;height:14" filled="true" fillcolor="#868686" stroked="false">
              <v:fill type="solid"/>
            </v:rect>
            <v:rect style="position:absolute;left:2089;top:3778;width:58;height:14" filled="true" fillcolor="#868686" stroked="false">
              <v:fill type="solid"/>
            </v:rect>
            <v:rect style="position:absolute;left:2089;top:3235;width:58;height:12" filled="true" fillcolor="#868686" stroked="false">
              <v:fill type="solid"/>
            </v:rect>
            <v:rect style="position:absolute;left:2089;top:2692;width:58;height:14" filled="true" fillcolor="#868686" stroked="false">
              <v:fill type="solid"/>
            </v:rect>
            <v:rect style="position:absolute;left:2089;top:2149;width:58;height:12" filled="true" fillcolor="#868686" stroked="false">
              <v:fill type="solid"/>
            </v:rect>
            <v:rect style="position:absolute;left:2089;top:1606;width:58;height:14" filled="true" fillcolor="#868686" stroked="false">
              <v:fill type="solid"/>
            </v:rect>
            <v:rect style="position:absolute;left:2089;top:1063;width:58;height:14" filled="true" fillcolor="#868686" stroked="false">
              <v:fill type="solid"/>
            </v:rect>
            <v:rect style="position:absolute;left:2089;top:520;width:58;height:14" filled="true" fillcolor="#868686" stroked="false">
              <v:fill type="solid"/>
            </v:rect>
            <v:line style="position:absolute" from="2147,4871" to="9701,4871" stroked="true" strokeweight=".600010pt" strokecolor="#868686">
              <v:stroke dashstyle="solid"/>
            </v:line>
            <v:rect style="position:absolute;left:2798;top:4870;width:14;height:56" filled="true" fillcolor="#868686" stroked="false">
              <v:fill type="solid"/>
            </v:rect>
            <v:rect style="position:absolute;left:3457;top:4870;width:12;height:56" filled="true" fillcolor="#868686" stroked="false">
              <v:fill type="solid"/>
            </v:rect>
            <v:rect style="position:absolute;left:4117;top:4870;width:14;height:56" filled="true" fillcolor="#868686" stroked="false">
              <v:fill type="solid"/>
            </v:rect>
            <v:rect style="position:absolute;left:4776;top:4870;width:14;height:56" filled="true" fillcolor="#868686" stroked="false">
              <v:fill type="solid"/>
            </v:rect>
            <v:rect style="position:absolute;left:5436;top:4870;width:14;height:56" filled="true" fillcolor="#868686" stroked="false">
              <v:fill type="solid"/>
            </v:rect>
            <v:rect style="position:absolute;left:6094;top:4870;width:14;height:56" filled="true" fillcolor="#868686" stroked="false">
              <v:fill type="solid"/>
            </v:rect>
            <v:rect style="position:absolute;left:6754;top:4870;width:14;height:56" filled="true" fillcolor="#868686" stroked="false">
              <v:fill type="solid"/>
            </v:rect>
            <v:rect style="position:absolute;left:7413;top:4870;width:14;height:56" filled="true" fillcolor="#868686" stroked="false">
              <v:fill type="solid"/>
            </v:rect>
            <v:rect style="position:absolute;left:8072;top:4870;width:14;height:56" filled="true" fillcolor="#868686" stroked="false">
              <v:fill type="solid"/>
            </v:rect>
            <v:rect style="position:absolute;left:8732;top:4870;width:14;height:56" filled="true" fillcolor="#868686" stroked="false">
              <v:fill type="solid"/>
            </v:rect>
            <v:rect style="position:absolute;left:9391;top:4870;width:14;height:56" filled="true" fillcolor="#868686" stroked="false">
              <v:fill type="solid"/>
            </v:rect>
            <v:shape style="position:absolute;left:2144;top:762;width:5516;height:2320" coordorigin="2144,763" coordsize="5516,2320" path="m5212,1970l5205,1989,5230,3063,5230,3083,5267,3083,5274,3063,5231,3063,5258,2983,5259,2983,5264,2900,5243,1983,5225,1983,5212,1970xm5258,2983l5231,3063,5268,3063,5267,3003,5257,3003,5258,2983xm5371,2143l5344,2183,5341,2203,5312,2363,5285,2603,5264,2900,5268,3063,5274,3063,5294,3003,5296,3003,5323,2603,5351,2363,5378,2203,5385,2203,5404,2163,5369,2163,5371,2143xm5259,2983l5258,2983,5257,3003,5259,2983xm5264,2900l5257,3003,5267,3003,5264,2900xm3154,2623l3131,2785,3144,2923,3144,2943,3180,2943,3189,2923,3145,2923,3170,2863,3169,2863,3172,2811,3154,2623xm3172,2811l3169,2863,3170,2863,3145,2923,3182,2923,3172,2811xm3317,1603l3281,1603,3280,1623,3252,1883,3224,2123,3197,2283,3172,2811,3182,2923,3189,2923,3206,2883,3208,2863,3235,2283,3263,2123,3290,1903,3303,1770,3281,1623,3318,1623,3317,1603xm3109,2676l3089,2818,3090,2823,3097,2843,3116,2843,3125,2823,3126,2823,3109,2676xm3596,2663l3593,2663,3572,2723,3583,2763,3611,2843,3648,2843,3649,2823,3611,2823,3615,2726,3596,2663xm3089,2818l3089,2823,3090,2823,3089,2818xm3116,2623l3109,2676,3126,2823,3131,2785,3116,2623xm3615,2726l3611,2823,3648,2823,3620,2743,3615,2726xm3748,1623l3720,1623,3691,1863,3666,2123,3638,2223,3615,2726,3620,2743,3648,2823,3649,2823,3677,2223,3676,2223,3703,2123,3704,2123,3730,1863,3737,1803,3719,1643,3756,1643,3748,1623xm3043,1783l3019,2010,3033,2225,3060,2603,3089,2818,3109,2676,3098,2583,3071,2203,3043,1783xm4054,2783l4037,2783,4045,2803,4054,2783xm3154,2603l3118,2603,3116,2623,3131,2785,3154,2623,3154,2603xm4004,2123l3967,2123,3995,2243,3994,2243,4021,2783,4057,2783,4066,2763,4024,2763,4051,2703,4054,2703,4056,2701,4032,2243,4004,2123xm3538,2143l3499,2143,3527,2743,3528,2743,3535,2763,3562,2763,3565,2743,3528,2723,3556,2643,3558,2643,3560,2637,3538,2143xm4056,2701l4054,2703,4051,2703,4024,2763,4060,2763,4056,2701xm4142,2043l4105,2043,4076,2683,4081,2683,4056,2701,4060,2763,4066,2763,4085,2723,4096,2723,4110,2703,4115,2703,4115,2683,4142,2043xm3560,2637l3558,2643,3556,2643,3528,2723,3565,2743,3563,2689,3556,2663,3562,2663,3560,2637xm3563,2689l3565,2743,3572,2723,3563,2689xm4096,2723l4085,2723,4082,2743,4096,2723xm3575,2623l3566,2623,3560,2637,3563,2689,3572,2723,3593,2663,3596,2663,3590,2643,3583,2643,3575,2623xm3562,2663l3556,2663,3563,2689,3562,2663xm2206,2225l2180,2503,2180,2523,2219,2523,2221,2503,2219,2503,2206,2225xm2191,1903l2190,1903,2165,1983,2161,1983,2157,1991,2180,2503,2206,2225,2191,1903xm2273,2103l2237,2103,2209,2203,2208,2203,2206,2225,2219,2503,2221,2503,2246,2211,2236,2123,2274,2123,2273,2103xm2791,2243l2768,2243,2766,2244,2768,2270,2786,2283,2763,2299,2786,2443,2791,2463,2818,2463,2845,2443,2824,2443,2792,2423,2818,2404,2796,2263,2795,2263,2791,2243xm2930,2423l2899,2423,2873,2443,2849,2443,2876,2463,2903,2463,2930,2423xm2818,2404l2792,2423,2824,2443,2818,2404xm2868,2403l2820,2403,2818,2404,2824,2443,2873,2443,2887,2423,2870,2423,2868,2403xm2898,2407l2873,2443,2899,2423,2897,2423,2898,2407xm2900,2403l2898,2407,2897,2423,2900,2403xm2936,2403l2900,2403,2897,2423,2935,2423,2936,2403xm2956,1843l2929,1843,2922,1863,2898,2407,2900,2403,2936,2403,2956,1962,2951,1943,2923,1863,2959,1863,2956,1843xm2274,2123l2273,2123,2245,2203,2246,2203,2246,2211,2263,2363,2264,2383,2299,2383,2302,2363,2264,2363,2288,2244,2288,2243,2274,2123xm2288,2244l2264,2363,2302,2363,2288,2244xm2351,2183l2323,2183,2296,2223,2292,2223,2288,2243,2288,2244,2302,2363,2329,2243,2326,2243,2353,2203,2350,2203,2360,2195,2351,2183xm3796,2062l3774,2343,3775,2343,3784,2363,3804,2363,3812,2343,3796,2062xm4801,1903l4774,2022,4790,2203,4819,2323,4822,2323,4858,2363,4884,2363,4884,2343,4847,2343,4851,2300,4829,2203,4801,1903xm5082,2250l5066,2343,5069,2363,5102,2363,5104,2343,5082,2250xm3757,1643l3737,1803,3746,1883,3774,2343,3796,2062,3785,1883,3757,1643xm3840,1983l3802,1983,3796,2062,3812,2343,3837,2026,3830,2003,3814,2003,3840,1983xm4851,2300l4847,2343,4879,2343,4865,2323,4856,2323,4852,2303,4852,2303,4851,2300xm4930,1847l4904,1883,4902,1883,4874,2063,4851,2300,4852,2303,4879,2343,4884,2343,4912,2063,4938,1891,4930,1847xm5012,2016l5038,2223,5066,2343,5082,2250,5076,2223,5051,2023,5021,2023,5012,2016xm5130,2183l5094,2183,5082,2250,5104,2343,5120,2258,5095,2203,5127,2203,5130,2183xm4852,2303l4856,2323,4852,2303,4852,2303xm4852,2303l4856,2323,4865,2323,4852,2303xm4852,2303l4852,2303,4852,2303,4852,2303xm2703,1776l2730,2283,2735,2283,2740,2303,2759,2303,2763,2299,2760,2277,2741,2263,2766,2244,2742,1783,2712,1783,2703,1776xm3400,2203l3401,2223,3365,2223,3392,2303,3428,2303,3432,2283,3391,2283,3403,2213,3400,2203xm2760,2277l2763,2299,2786,2283,2768,2283,2760,2277xm2758,2263l2760,2277,2768,2283,2768,2270,2758,2263xm2768,2270l2768,2283,2786,2283,2768,2270xm3403,2213l3391,2283,3428,2283,3403,2213xm3452,2123l3419,2123,3403,2213,3428,2283,3432,2283,3449,2183,3449,2183,3424,2143,3451,2143,3456,2125,3452,2123xm5158,2263l5126,2263,5135,2283,5152,2283,5158,2263xm2766,2244l2741,2263,2760,2277,2758,2263,2767,2263,2766,2244xm2767,2263l2758,2263,2768,2270,2767,2263xm5139,2203l5131,2203,5120,2258,5123,2263,5159,2263,5161,2243,5158,2243,5139,2203xm5127,2203l5095,2203,5120,2258,5123,2243,5122,2243,5127,2203xm5240,1943l5180,1943,5178,1963,5149,2043,5122,2243,5123,2243,5131,2203,5139,2203,5130,2183,5169,2183,5186,2043,5205,1989,5205,1983,5197,1983,5205,1974,5204,1963,5243,1963,5240,1943xm5169,2183l5130,2183,5158,2243,5161,2243,5169,2183xm6386,1709l6413,2223,6413,2243,6473,2243,6487,2223,6451,2223,6427,2203,6445,2203,6450,2200,6427,1783,6390,1783,6394,1763,6394,1761,6386,1709xm2377,2183l2360,2195,2380,2223,2412,2223,2413,2203,2375,2203,2377,2183xm3318,1623l3303,1770,3308,1803,3336,2083,3364,2223,3401,2223,3373,2083,3346,1803,3318,1623xm5385,2203l5378,2203,5376,2223,5385,2203xm6450,2200l6445,2203,6427,2203,6451,2223,6450,2200xm6536,2163l6509,2163,6496,2183,6475,2183,6450,2200,6451,2223,6487,2223,6500,2203,6533,2203,6534,2183,6536,2163xm6521,2203l6500,2203,6492,2223,6521,2203xm2273,2123l2236,2123,2246,2211,2246,2203,2245,2203,2273,2123xm2408,2183l2377,2183,2377,2183,2375,2203,2408,2183xm2417,2163l2381,2163,2408,2183,2375,2203,2413,2203,2417,2163xm2363,2143l2354,2163,2327,2183,2351,2183,2360,2195,2377,2183,2379,2163,2374,2163,2363,2143xm2465,1883l2429,1883,2401,1943,2400,1963,2377,2183,2377,2183,2408,2183,2381,2163,2417,2163,2438,1963,2437,1963,2465,1883xm3451,2143l3424,2143,3449,2183,3449,2183,3453,2163,3445,2163,3451,2143xm3473,2063l3456,2125,3478,2143,3453,2158,3449,2183,3474,2183,3480,2163,3481,2163,3493,2122,3473,2063xm4225,2003l4164,2003,4192,2023,4188,2023,4213,2163,4214,2183,4276,2183,4278,2163,4242,2163,4244,2157,4228,2143,4248,2143,4226,2023,4225,2003xm5119,2163l5102,2163,5095,2183,5126,2183,5119,2163xm6497,2172l6481,2183,6496,2183,6497,2172xm6509,2163l6497,2172,6496,2183,6509,2163xm6586,1683l6550,1683,6521,1883,6497,2172,6509,2163,6536,2163,6559,1883,6577,1768,6576,1763,6578,1763,6578,1762,6550,1703,6592,1703,6586,1683xm3456,2125l3445,2163,3453,2158,3456,2143,3478,2143,3456,2125xm3453,2158l3445,2163,3453,2163,3453,2158xm4244,2157l4242,2163,4246,2158,4244,2157xm4246,2158l4242,2163,4252,2163,4246,2158xm4250,2152l4246,2158,4252,2163,4250,2152xm4287,2143l4256,2143,4250,2152,4252,2163,4278,2163,4287,2143xm4466,2023l4460,2023,4435,2143,4444,2163,4470,2163,4472,2143,4473,2139,4466,2023xm4550,2143l4519,2143,4526,2163,4543,2163,4550,2143xm5462,1683l5424,1683,5396,1944,5369,2163,5406,2163,5434,1943,5460,1703,5452,1703,5462,1683xm4248,2145l4244,2157,4246,2158,4250,2152,4248,2145xm3478,2143l3456,2143,3453,2158,3478,2143xm4248,2143l4228,2143,4244,2157,4248,2145,4248,2143xm4334,1903l4297,1903,4268,2083,4270,2083,4248,2145,4250,2152,4256,2143,4287,2143,4306,2103,4307,2103,4321,2010,4321,2009,4297,1923,4340,1923,4334,1903xm4249,2143l4248,2143,4248,2145,4249,2143xm3514,2063l3510,2063,3493,2122,3500,2143,3536,2143,3514,2063xm3941,2083l3968,2143,3967,2123,4002,2123,3993,2103,3961,2103,3941,2083xm4438,1703l4411,1703,4409,1723,4409,1723,4445,1743,4417,1823,4414,1823,4414,1824,4435,2143,4460,2023,4466,2023,4453,1823,4417,1823,4417,1803,4451,1803,4446,1723,4445,1723,4438,1703xm4473,2139l4472,2143,4474,2143,4473,2139xm4525,2043l4499,2043,4494,2062,4495,2063,4494,2063,4492,2070,4517,2143,4553,2143,4560,2123,4517,2123,4537,2078,4525,2043xm4616,1957l4600,2123,4601,2123,4609,2143,4628,2143,4637,2123,4616,1957xm4487,2003l4480,2003,4468,2023,4466,2023,4473,2139,4492,2070,4489,2063,4494,2063,4494,2062,4468,2043,4519,2043,4492,2023,4487,2003xm3439,2103l3432,2103,3426,2123,3448,2123,3439,2103xm4537,2078l4517,2123,4553,2123,4537,2078xm4572,1903l4544,2063,4537,2078,4553,2123,4560,2123,4580,2063,4582,2063,4588,2028,4572,1903xm4609,1903l4588,2028,4600,2123,4616,1957,4609,1903xm4662,1823l4627,1823,4627,1844,4616,1957,4637,2123,4659,1895,4657,1883,4630,1843,4676,1843,4662,1823xm3509,2043l3475,2043,3473,2063,3493,2122,3510,2063,3514,2063,3509,2043xm3868,1983l3840,1983,3837,2026,3858,2103,3950,2103,3941,2083,3868,2083,3891,2066,3868,1983xm3974,2063l3895,2063,3891,2066,3895,2083,3941,2083,3961,2103,3993,2103,3974,2063xm3891,2066l3868,2083,3895,2083,3891,2066xm5681,1403l5651,1403,5623,1423,5644,1423,5674,1443,5646,1463,5671,1823,5699,2083,5724,2083,5758,2063,5706,2063,5734,2043,5726,2043,5729,1993,5710,1823,5682,1423,5681,1403xm4494,2063l4489,2063,4492,2070,4494,2063xm5729,1993l5726,2043,5734,2043,5706,2063,5737,2063,5729,1993xm5753,1603l5752,1603,5729,1993,5737,2063,5764,2063,5765,2043,5784,1703,5780,1703,5753,1603xm4499,2043l4468,2043,4494,2062,4499,2043xm2960,1865l2956,1962,2978,2043,3016,2043,3018,2023,2977,2023,2988,1928,2987,1923,2960,1865xm4194,1963l4138,1963,4134,1983,4106,2043,4141,2043,4160,2003,4152,2003,4169,1983,4208,1983,4194,1963xm4340,1923l4334,1923,4321,2009,4325,2023,4331,2023,4343,2043,4350,2043,4355,2023,4382,2003,4332,2003,4357,1985,4356,1983,4352,1983,4354,1973,4340,1923xm4763,1907l4744,1989,4744,1991,4746,2003,4763,2003,4736,2023,4718,2023,4746,2043,4772,2043,4774,2023,4774,2022,4763,1907xm4609,1903l4572,1903,4588,2028,4609,1903xm3840,1983l3814,2003,3830,2003,3837,2026,3840,1983xm2988,1928l2977,2023,3014,2023,2988,1928xm3005,1783l2988,1928,3014,2023,3018,2023,3019,2010,3005,1783xm4706,1823l4692,1823,4687,1843,4680,1848,4690,1863,4715,1863,4687,1883,4686,1888,4708,2023,4736,2023,4744,1990,4721,1843,4714,1843,4706,1823xm4744,1990l4736,2023,4763,2003,4746,2003,4744,1990xm4993,2003l4958,2003,4962,2023,4985,2023,5002,2009,4993,2003xm5010,2003l5012,2016,5021,2023,5010,2003xm5011,1963l4993,1963,4989,1966,4996,2003,5010,2003,5021,2023,5051,2023,5048,2003,5047,1983,5039,1983,5011,1963xm4800,1883l4765,1883,4764,1903,4763,1907,4774,2022,4801,1903,4800,1883xm5010,2003l5002,2009,5012,2016,5010,2003xm3035,1763l3014,1763,3006,1783,3005,1783,3019,2010,3043,1783,3035,1763xm4334,1923l4297,1923,4321,2009,4334,1923xm5010,2003l4993,2003,5002,2009,5010,2003xm2153,1905l2144,1923,2144,2003,2150,2003,2157,1991,2153,1905xm4169,1983l4152,2003,4160,2003,4169,1983xm4208,1983l4169,1983,4160,2003,4222,2003,4208,1983xm4357,1985l4332,2003,4362,2003,4357,1985xm4408,1726l4380,1803,4354,1973,4356,1983,4360,1983,4357,1985,4362,2003,4390,2003,4414,1824,4408,1726xm4960,1823l4937,1823,4933,1843,4932,1844,4964,1863,4939,1899,4957,2003,4996,2003,4968,1983,4989,1966,4967,1843,4966,1843,4960,1823xm4989,1966l4968,1983,4996,2003,4989,1966xm6614,1763l6578,1763,6577,1768,6605,1983,6610,2003,6636,2003,6650,1983,6642,1983,6611,1963,6634,1946,6636,1931,6614,1763xm2191,1883l2156,1883,2154,1903,2153,1905,2157,1991,2161,1983,2165,1983,2190,1903,2191,1903,2191,1883xm5210,1968l5205,1974,5205,1989,5212,1970,5210,1968xm3829,1963l3806,1963,3803,1983,3857,1983,3829,1963xm4354,1973l4352,1983,4356,1983,4354,1973xm5205,1974l5197,1983,5205,1983,5205,1974xm5243,1963l5214,1963,5212,1970,5225,1983,5243,1983,5243,1963xm6634,1946l6611,1963,6642,1983,6639,1963,6632,1963,6634,1946xm6672,1943l6638,1943,6637,1946,6642,1983,6650,1983,6664,1963,6670,1963,6672,1943xm5204,1963l5205,1974,5210,1968,5204,1963xm5214,1963l5210,1968,5212,1970,5214,1963xm5214,1963l5204,1963,5210,1968,5214,1963xm6637,1944l6634,1946,6632,1963,6637,1946,6637,1944xm6637,1946l6632,1963,6639,1963,6637,1946xm2959,1863l2923,1863,2951,1943,2956,1962,2960,1865,2959,1863xm6638,1943l6637,1944,6637,1946,6638,1943xm6636,1931l6634,1946,6637,1944,6636,1931xm6746,1363l6715,1363,6688,1583,6660,1683,6636,1931,6637,1944,6638,1943,6672,1943,6697,1683,6725,1583,6726,1583,6751,1383,6740,1383,6750,1368,6746,1363xm4764,1903l4763,1903,4763,1907,4764,1903xm2154,1903l2153,1903,2153,1905,2154,1903xm4324,1883l4306,1883,4298,1903,4332,1903,4324,1883xm4601,1883l4582,1883,4573,1903,4608,1903,4601,1883xm4680,1848l4663,1861,4659,1895,4661,1903,4684,1903,4686,1888,4682,1863,4690,1863,4680,1848xm4938,1892l4937,1903,4939,1899,4938,1892xm4951,1883l4939,1883,4938,1892,4939,1899,4951,1883xm4664,1843l4630,1843,4657,1883,4659,1895,4662,1863,4660,1863,4663,1861,4664,1843xm4939,1883l4938,1891,4938,1892,4939,1883xm4932,1844l4930,1847,4938,1891,4939,1883,4951,1883,4964,1863,4932,1844xm4715,1863l4682,1863,4686,1888,4687,1883,4715,1863xm2484,1583l2455,1583,2428,1883,2466,1883,2491,1613,2489,1603,2472,1603,2486,1590,2484,1583xm2960,1863l2959,1863,2960,1865,2960,1863xm4663,1861l4660,1863,4662,1863,4663,1861xm4676,1843l4664,1843,4663,1861,4680,1848,4676,1843xm4930,1843l4930,1847,4932,1844,4930,1843xm4409,1723l4408,1726,4414,1824,4417,1803,4424,1803,4445,1743,4409,1723xm4424,1803l4417,1803,4417,1823,4424,1803xm3757,1643l3719,1643,3737,1803,3757,1643xm2630,1763l2598,1763,2606,1783,2623,1783,2630,1763xm2702,1763l2703,1776,2712,1783,2702,1763xm2741,1763l2702,1763,2712,1783,2742,1783,2741,1763xm6371,1623l6367,1623,6344,1691,6358,1763,6359,1783,6389,1783,6388,1763,6359,1763,6385,1706,6371,1623xm6394,1761l6394,1763,6390,1783,6427,1783,6426,1763,6395,1763,6394,1761xm2702,1763l2684,1763,2703,1776,2702,1763xm3318,1623l3281,1623,3303,1770,3318,1623xm6578,1763l6576,1763,6577,1768,6578,1763xm2606,1683l2602,1683,2582,1726,2594,1763,2632,1763,2635,1743,2594,1743,2606,1683xm2686,1583l2627,1583,2623,1603,2676,1603,2657,1618,2653,1638,2675,1763,2737,1763,2731,1743,2713,1743,2686,1583xm6385,1706l6359,1763,6388,1763,6386,1709,6385,1706xm6422,1703l6421,1703,6394,1761,6395,1763,6426,1763,6422,1703xm6592,1703l6587,1703,6578,1762,6578,1763,6613,1763,6592,1703xm6587,1703l6550,1703,6578,1762,6587,1703xm6416,1683l6390,1683,6386,1703,6385,1705,6386,1709,6394,1761,6421,1703,6422,1703,6416,1683xm2604,1663l2568,1663,2552,1697,2570,1723,2516,1723,2545,1743,2574,1743,2582,1726,2567,1683,2606,1683,2608,1674,2604,1663xm2608,1674l2594,1743,2632,1743,2608,1674xm2647,1603l2622,1603,2608,1674,2632,1743,2635,1743,2653,1638,2647,1603xm6203,1723l6167,1723,6175,1743,6194,1743,6203,1723xm2602,1683l2567,1683,2582,1726,2602,1683xm4408,1723l4408,1726,4409,1723,4408,1723xm2493,1594l2491,1613,2512,1703,2514,1723,2540,1723,2550,1703,2549,1703,2543,1683,2544,1683,2526,1603,2500,1603,2493,1594xm2552,1697l2540,1723,2570,1723,2552,1697xm5808,1703l5795,1703,5801,1723,5808,1703xm6113,1340l6138,1503,6166,1723,6181,1545,6175,1503,6151,1343,6116,1343,6113,1340xm6181,1545l6166,1723,6203,1703,6181,1545xm6224,1383l6198,1383,6193,1403,6181,1545,6203,1703,6166,1723,6204,1723,6227,1452,6225,1442,6199,1423,6232,1403,6252,1403,6224,1383xm6367,1603l6330,1603,6316,1653,6337,1683,6303,1702,6304,1703,6307,1723,6337,1723,6340,1703,6344,1691,6330,1623,6371,1623,6367,1603xm6385,1705l6385,1706,6386,1709,6385,1705xm6386,1703l6385,1703,6385,1705,6386,1703xm2543,1683l2549,1703,2545,1686,2543,1683xm2545,1686l2549,1703,2550,1703,2552,1697,2545,1686xm5462,1683l5452,1703,5461,1696,5462,1683xm5461,1696l5452,1703,5460,1703,5461,1696xm5786,1583l5759,1583,5753,1603,5780,1703,5784,1703,5785,1683,5784,1683,5786,1681,5790,1606,5789,1603,5786,1583xm5806,1652l5786,1681,5784,1703,5813,1703,5840,1683,5816,1683,5809,1663,5807,1663,5808,1657,5806,1652xm6303,1702l6302,1703,6303,1702,6303,1702xm6316,1653l6303,1702,6303,1702,6337,1683,6316,1653xm6252,1403l6232,1403,6227,1452,6248,1543,6275,1643,6275,1663,6276,1663,6303,1702,6316,1653,6310,1643,6312,1643,6286,1543,6258,1423,6256,1423,6252,1403xm5479,1683l5462,1683,5461,1696,5479,1683xm6367,1623l6330,1623,6344,1691,6367,1623xm2544,1683l2543,1683,2545,1686,2544,1683xm5482,1603l5454,1663,5434,1663,5428,1683,5488,1683,5515,1623,5479,1623,5482,1603xm5786,1681l5784,1683,5785,1683,5786,1681xm5848,1643l5813,1643,5808,1659,5816,1683,5843,1683,5847,1652,5848,1643xm6877,1501l6852,1663,6860,1683,6880,1683,6888,1663,6889,1663,6877,1501xm5790,1606l5786,1681,5806,1652,5790,1606xm5808,1657l5807,1663,5808,1659,5808,1657xm5808,1659l5807,1663,5809,1663,5808,1659xm6862,1303l6823,1303,6856,1323,6828,1343,6833,1343,6827,1356,6851,1663,6852,1663,6877,1501,6862,1303xm6911,1423l6883,1463,6880,1463,6880,1483,6877,1501,6889,1663,6917,1483,6913,1483,6942,1443,6907,1443,6911,1423xm5813,1643l5809,1649,5808,1657,5808,1659,5813,1643xm5809,1649l5806,1652,5808,1657,5809,1649xm5928,1323l5896,1323,5866,1383,5837,1423,5836,1423,5836,1443,5809,1649,5813,1643,5848,1643,5873,1443,5870,1443,5898,1403,5902,1394,5891,1343,5933,1343,5928,1323xm2657,1618l2651,1623,2651,1623,2653,1638,2657,1618xm2659,1603l2647,1603,2651,1623,2651,1623,2659,1603xm2659,1603l2651,1623,2657,1618,2659,1603xm5537,1403l5512,1403,5506,1423,5504,1423,5479,1623,5518,1623,5535,1483,5534,1483,5507,1443,5541,1424,5540,1423,5537,1403xm2676,1603l2659,1603,2657,1618,2676,1603xm2488,1588l2486,1590,2491,1613,2493,1594,2488,1588xm5790,1603l5789,1603,5790,1606,5790,1603xm2486,1590l2472,1603,2489,1603,2486,1590xm2521,1583l2494,1583,2493,1594,2500,1603,2526,1603,2521,1583xm6359,1583l6341,1583,6332,1603,6366,1603,6359,1583xm2494,1583l2488,1588,2493,1594,2494,1583xm2484,1583l2486,1590,2488,1588,2484,1583xm2494,1583l2484,1583,2488,1588,2494,1583xm2513,1563l2459,1563,2456,1583,2519,1583,2513,1563xm2669,1563l2662,1563,2657,1583,2675,1583,2669,1563xm5563,1483l5538,1483,5544,1503,5556,1503,5563,1483xm5606,1443l5594,1443,5576,1470,5593,1503,5624,1503,5634,1483,5590,1483,5607,1445,5606,1443xm5541,1424l5507,1443,5534,1483,5535,1483,5538,1463,5537,1463,5538,1461,5542,1426,5541,1424xm5552,1440l5538,1461,5535,1483,5567,1483,5576,1470,5572,1463,5568,1463,5552,1440xm5607,1445l5590,1483,5624,1483,5607,1445xm5644,1423l5617,1423,5607,1445,5624,1483,5634,1483,5646,1456,5644,1423xm5594,1443l5562,1443,5576,1470,5594,1443xm5538,1461l5537,1463,5538,1463,5538,1461xm5597,1423l5564,1423,5552,1440,5568,1463,5572,1463,5562,1443,5606,1443,5597,1423xm5646,1462l5646,1463,5646,1463,5646,1462xm5933,1343l5927,1343,5902,1394,5918,1463,6006,1463,6010,1443,5956,1443,5938,1423,5951,1423,5933,1343xm5674,1443l5652,1443,5647,1461,5646,1463,5674,1443xm5652,1443l5646,1456,5646,1462,5652,1443xm5542,1426l5538,1461,5552,1440,5542,1426xm5644,1423l5646,1456,5652,1443,5674,1443,5644,1423xm6225,1442l6227,1452,6228,1443,6227,1443,6225,1442xm5951,1423l5938,1423,5956,1443,5951,1423xm5965,1423l5951,1423,5956,1443,5958,1443,5965,1423xm5976,1430l5958,1443,5974,1443,5976,1430xm5986,1423l5976,1430,5974,1443,5986,1423xm6015,1423l5986,1423,5974,1443,6011,1443,6015,1423xm6221,1423l6225,1442,6227,1443,6221,1423xm6230,1423l6221,1423,6227,1443,6228,1443,6230,1423xm6994,1143l6966,1183,6962,1203,6935,1303,6907,1443,6944,1443,6972,1303,7000,1203,6996,1203,7024,1183,7026,1163,6991,1163,6994,1143xm6232,1403l6199,1423,6225,1442,6221,1423,6230,1423,6232,1403xm6031,1303l5999,1303,5976,1430,5986,1423,6015,1423,6029,1358,6005,1323,6030,1323,6040,1309,6031,1303xm5543,1423l5541,1424,5542,1426,5543,1423xm7500,1123l7494,1123,7479,1188,7484,1203,7512,1323,7541,1403,7543,1423,7597,1423,7603,1403,7565,1403,7565,1393,7554,1383,7566,1383,7567,1368,7500,1123xm6753,1369l6752,1372,6774,1403,6808,1403,6816,1383,6769,1383,6753,1369xm7565,1393l7565,1403,7569,1396,7565,1393xm7569,1396l7565,1403,7577,1403,7569,1396xm7573,1391l7569,1396,7577,1403,7573,1391xm7605,1383l7579,1383,7573,1391,7577,1403,7603,1403,7605,1383xm7567,1368l7565,1393,7569,1396,7573,1391,7567,1368xm5927,1343l5891,1343,5902,1394,5927,1343xm7566,1383l7554,1383,7565,1393,7566,1383xm7660,763l7622,763,7621,783,7592,983,7567,1363,7567,1368,7573,1391,7579,1383,7605,1383,7631,983,7658,783,7660,763xm6750,1368l6740,1383,6751,1383,6752,1372,6750,1368xm6752,1372l6751,1383,6760,1383,6752,1372xm6778,1343l6721,1343,6716,1363,6754,1363,6753,1369,6769,1383,6772,1383,6784,1353,6778,1343xm6784,1353l6772,1383,6805,1383,6784,1353xm6857,1283l6830,1283,6803,1323,6797,1323,6784,1353,6805,1383,6816,1383,6827,1356,6823,1303,6862,1303,6857,1283xm6751,1367l6750,1368,6752,1372,6753,1369,6751,1367xm6754,1363l6751,1367,6753,1369,6754,1363xm6746,1363l6750,1368,6751,1367,6746,1363xm6754,1363l6746,1363,6751,1367,6754,1363xm6090,1303l6070,1323,6037,1323,6029,1358,6032,1363,6059,1363,6062,1343,6090,1303xm6037,1323l6005,1323,6029,1358,6037,1323xm6823,1303l6827,1356,6833,1343,6828,1343,6856,1323,6823,1303xm6110,1323l6113,1340,6116,1343,6110,1323xm6148,1323l6110,1323,6116,1343,6151,1343,6148,1323xm6110,1323l6089,1323,6113,1340,6110,1323xm6040,1309l6030,1323,6059,1323,6040,1309xm6114,1283l6058,1283,6040,1309,6059,1323,6070,1323,6090,1303,6142,1303,6114,1283xm6142,1303l6090,1303,6076,1323,6145,1323,6142,1303xm7224,1163l7182,1163,7211,1243,7212,1263,7276,1263,7279,1243,7237,1243,7240,1231,7235,1223,7241,1223,7224,1163xm7312,1103l7303,1103,7294,1155,7321,1263,7355,1263,7356,1243,7318,1243,7330,1129,7328,1123,7325,1123,7312,1103xm7240,1231l7237,1243,7247,1243,7240,1231xm7240,1227l7240,1231,7247,1243,7243,1228,7240,1227xm7243,1228l7247,1243,7264,1243,7243,1228xm7298,1083l7266,1083,7265,1103,7241,1223,7243,1228,7264,1243,7279,1243,7294,1155,7291,1143,7295,1143,7268,1103,7312,1103,7298,1083xm7330,1129l7318,1243,7356,1243,7330,1129xm7384,983l7345,983,7330,1129,7356,1243,7373,1098,7346,1003,7388,1003,7384,983xm7439,1123l7380,1123,7408,1143,7402,1143,7429,1243,7466,1243,7471,1223,7429,1223,7446,1149,7439,1123xm7235,1223l7240,1231,7240,1227,7235,1223xm7241,1223l7240,1227,7243,1228,7241,1223xm7241,1223l7235,1223,7240,1227,7241,1223,7241,1223xm7074,1023l7051,1023,7046,1043,7045,1044,7078,1063,7052,1083,7055,1083,7052,1092,7072,1203,7073,1223,7108,1223,7117,1203,7073,1203,7099,1146,7081,1043,7080,1043,7074,1023xm7446,1149l7429,1223,7466,1223,7446,1149xm7494,1103l7457,1103,7446,1149,7466,1223,7471,1223,7479,1188,7457,1123,7500,1123,7494,1103xm7099,1146l7073,1203,7109,1203,7099,1146xm7140,1143l7100,1143,7099,1146,7109,1203,7117,1203,7135,1163,7128,1163,7148,1148,7140,1143xm7494,1123l7457,1123,7479,1188,7494,1123xm7218,1143l7162,1143,7189,1183,7182,1163,7224,1163,7218,1143xm7043,1045l7021,1063,7019,1063,7019,1083,6991,1163,7027,1163,7052,1092,7043,1045xm7162,1143l7156,1143,7148,1148,7168,1163,7162,1143xm7303,1103l7268,1103,7295,1143,7291,1143,7294,1155,7303,1103xm7156,1143l7140,1143,7148,1148,7156,1143xm7184,1123l7104,1123,7102,1143,7212,1143,7184,1123xm7151,1103l7135,1103,7108,1123,7178,1123,7151,1103xm7388,1003l7384,1003,7373,1098,7374,1103,7375,1123,7433,1123,7419,1103,7411,1103,7405,1083,7407,1083,7388,1003xm7405,1083l7411,1103,7407,1086,7405,1083xm7407,1086l7411,1103,7419,1103,7407,1086xm7483,1083l7466,1083,7459,1103,7492,1103,7483,1083xm7384,1003l7346,1003,7373,1098,7384,1003xm7045,1044l7043,1045,7052,1092,7055,1083,7052,1083,7078,1063,7045,1044xm7407,1083l7405,1083,7407,1086,7407,1083xm7043,1043l7043,1045,7045,1044,7043,1043xm7373,963l7363,963,7355,983,7381,983,7373,963xe" filled="true" fillcolor="#4a7ebb" stroked="false">
              <v:path arrowok="t"/>
              <v:fill type="solid"/>
            </v:shape>
            <v:shape style="position:absolute;left:7618;top:609;width:2094;height:1662" type="#_x0000_t75" stroked="false">
              <v:imagedata r:id="rId182" o:title=""/>
            </v:shape>
            <v:line style="position:absolute" from="2144,3248" to="7646,3248" stroked="true" strokeweight=".1pt" strokecolor="#a6a6a6">
              <v:stroke dashstyle="solid"/>
            </v:line>
            <v:line style="position:absolute" from="2144,3242" to="7649,3242" stroked="true" strokeweight=".5pt" strokecolor="#a6a6a6">
              <v:stroke dashstyle="solid"/>
            </v:line>
            <v:line style="position:absolute" from="2144,3235" to="7647,3235" stroked="true" strokeweight=".2pt" strokecolor="#a6a6a6">
              <v:stroke dashstyle="solid"/>
            </v:line>
            <v:line style="position:absolute" from="7631,3241" to="9709,3241" stroked="true" strokeweight=".84pt" strokecolor="#a6a6a6">
              <v:stroke dashstyle="solid"/>
            </v:line>
            <v:line style="position:absolute" from="8036,4090" to="8377,4090" stroked="true" strokeweight="4.8pt" strokecolor="#b9cde5">
              <v:stroke dashstyle="solid"/>
            </v:line>
            <v:line style="position:absolute" from="9012,4088" to="9391,4088" stroked="true" strokeweight="1.92pt" strokecolor="#4a7ebb">
              <v:stroke dashstyle="solid"/>
            </v:line>
            <v:shape style="position:absolute;left:1704;top:4246;width:7898;height:952" type="#_x0000_t202" filled="false" stroked="false">
              <v:textbox inset="0,0,0,0">
                <w:txbxContent>
                  <w:p>
                    <w:pPr>
                      <w:spacing w:line="178" w:lineRule="exact" w:before="0"/>
                      <w:ind w:left="0" w:right="0" w:firstLine="0"/>
                      <w:jc w:val="left"/>
                      <w:rPr>
                        <w:rFonts w:ascii="Calibri" w:hAnsi="Calibri"/>
                        <w:sz w:val="17"/>
                      </w:rPr>
                    </w:pPr>
                    <w:r>
                      <w:rPr>
                        <w:rFonts w:ascii="Calibri" w:hAnsi="Calibri"/>
                        <w:w w:val="105"/>
                        <w:sz w:val="17"/>
                      </w:rPr>
                      <w:t>‐0.4</w:t>
                    </w:r>
                  </w:p>
                  <w:p>
                    <w:pPr>
                      <w:spacing w:line="240" w:lineRule="auto" w:before="0"/>
                      <w:rPr>
                        <w:rFonts w:ascii="Calibri"/>
                        <w:sz w:val="18"/>
                      </w:rPr>
                    </w:pPr>
                  </w:p>
                  <w:p>
                    <w:pPr>
                      <w:spacing w:before="115"/>
                      <w:ind w:left="0" w:right="0" w:firstLine="0"/>
                      <w:jc w:val="left"/>
                      <w:rPr>
                        <w:rFonts w:ascii="Calibri" w:hAnsi="Calibri"/>
                        <w:sz w:val="17"/>
                      </w:rPr>
                    </w:pPr>
                    <w:r>
                      <w:rPr>
                        <w:rFonts w:ascii="Calibri" w:hAnsi="Calibri"/>
                        <w:w w:val="105"/>
                        <w:sz w:val="17"/>
                      </w:rPr>
                      <w:t>‐0.6</w:t>
                    </w:r>
                  </w:p>
                  <w:p>
                    <w:pPr>
                      <w:tabs>
                        <w:tab w:pos="922" w:val="left" w:leader="none"/>
                        <w:tab w:pos="1582" w:val="left" w:leader="none"/>
                        <w:tab w:pos="2241" w:val="left" w:leader="none"/>
                        <w:tab w:pos="2901" w:val="left" w:leader="none"/>
                        <w:tab w:pos="3560" w:val="left" w:leader="none"/>
                        <w:tab w:pos="4221" w:val="left" w:leader="none"/>
                        <w:tab w:pos="4879" w:val="left" w:leader="none"/>
                        <w:tab w:pos="5538" w:val="left" w:leader="none"/>
                        <w:tab w:pos="6198" w:val="left" w:leader="none"/>
                        <w:tab w:pos="6857" w:val="left" w:leader="none"/>
                        <w:tab w:pos="7518" w:val="left" w:leader="none"/>
                      </w:tabs>
                      <w:spacing w:line="206" w:lineRule="exact" w:before="24"/>
                      <w:ind w:left="263" w:right="0" w:firstLine="0"/>
                      <w:jc w:val="left"/>
                      <w:rPr>
                        <w:rFonts w:ascii="Calibri"/>
                        <w:sz w:val="17"/>
                      </w:rPr>
                    </w:pPr>
                    <w:r>
                      <w:rPr>
                        <w:rFonts w:ascii="Calibri"/>
                        <w:w w:val="105"/>
                        <w:sz w:val="17"/>
                      </w:rPr>
                      <w:t>1992</w:t>
                      <w:tab/>
                      <w:t>1994</w:t>
                      <w:tab/>
                      <w:t>1996</w:t>
                      <w:tab/>
                      <w:t>1998</w:t>
                      <w:tab/>
                      <w:t>2000</w:t>
                      <w:tab/>
                      <w:t>2002</w:t>
                      <w:tab/>
                      <w:t>2004</w:t>
                      <w:tab/>
                      <w:t>2006</w:t>
                      <w:tab/>
                      <w:t>2008</w:t>
                      <w:tab/>
                      <w:t>2010</w:t>
                      <w:tab/>
                      <w:t>2012</w:t>
                      <w:tab/>
                      <w:t>2014</w:t>
                    </w:r>
                  </w:p>
                </w:txbxContent>
              </v:textbox>
              <w10:wrap type="none"/>
            </v:shape>
            <v:shape style="position:absolute;left:9410;top:4007;width:574;height:178" type="#_x0000_t202" filled="false" stroked="false">
              <v:textbox inset="0,0,0,0">
                <w:txbxContent>
                  <w:p>
                    <w:pPr>
                      <w:spacing w:line="177" w:lineRule="exact" w:before="0"/>
                      <w:ind w:left="0" w:right="0" w:firstLine="0"/>
                      <w:jc w:val="left"/>
                      <w:rPr>
                        <w:rFonts w:ascii="Calibri"/>
                        <w:sz w:val="17"/>
                      </w:rPr>
                    </w:pPr>
                    <w:r>
                      <w:rPr>
                        <w:rFonts w:ascii="Calibri"/>
                        <w:w w:val="105"/>
                        <w:sz w:val="17"/>
                      </w:rPr>
                      <w:t>Median</w:t>
                    </w:r>
                  </w:p>
                </w:txbxContent>
              </v:textbox>
              <w10:wrap type="none"/>
            </v:shape>
            <v:shape style="position:absolute;left:8415;top:4007;width:468;height:178" type="#_x0000_t202" filled="false" stroked="false">
              <v:textbox inset="0,0,0,0">
                <w:txbxContent>
                  <w:p>
                    <w:pPr>
                      <w:spacing w:line="177" w:lineRule="exact" w:before="0"/>
                      <w:ind w:left="0" w:right="0" w:firstLine="0"/>
                      <w:jc w:val="left"/>
                      <w:rPr>
                        <w:rFonts w:ascii="Calibri"/>
                        <w:sz w:val="17"/>
                      </w:rPr>
                    </w:pPr>
                    <w:r>
                      <w:rPr>
                        <w:rFonts w:ascii="Calibri"/>
                        <w:w w:val="105"/>
                        <w:sz w:val="17"/>
                      </w:rPr>
                      <w:t>Range</w:t>
                    </w:r>
                  </w:p>
                </w:txbxContent>
              </v:textbox>
              <w10:wrap type="none"/>
            </v:shape>
            <v:shape style="position:absolute;left:1704;top:444;width:300;height:3436" type="#_x0000_t202" filled="false" stroked="false">
              <v:textbox inset="0,0,0,0">
                <w:txbxContent>
                  <w:p>
                    <w:pPr>
                      <w:spacing w:line="178" w:lineRule="exact" w:before="0"/>
                      <w:ind w:left="53" w:right="0" w:firstLine="0"/>
                      <w:jc w:val="left"/>
                      <w:rPr>
                        <w:rFonts w:ascii="Calibri"/>
                        <w:sz w:val="17"/>
                      </w:rPr>
                    </w:pPr>
                    <w:r>
                      <w:rPr>
                        <w:rFonts w:ascii="Calibri"/>
                        <w:w w:val="105"/>
                        <w:sz w:val="17"/>
                      </w:rPr>
                      <w:t>1.0</w:t>
                    </w:r>
                  </w:p>
                  <w:p>
                    <w:pPr>
                      <w:spacing w:line="240" w:lineRule="auto" w:before="0"/>
                      <w:rPr>
                        <w:rFonts w:ascii="Calibri"/>
                        <w:sz w:val="18"/>
                      </w:rPr>
                    </w:pPr>
                  </w:p>
                  <w:p>
                    <w:pPr>
                      <w:spacing w:before="116"/>
                      <w:ind w:left="53" w:right="0" w:firstLine="0"/>
                      <w:jc w:val="left"/>
                      <w:rPr>
                        <w:rFonts w:ascii="Calibri"/>
                        <w:sz w:val="17"/>
                      </w:rPr>
                    </w:pPr>
                    <w:r>
                      <w:rPr>
                        <w:rFonts w:ascii="Calibri"/>
                        <w:w w:val="105"/>
                        <w:sz w:val="17"/>
                      </w:rPr>
                      <w:t>0.8</w:t>
                    </w:r>
                  </w:p>
                  <w:p>
                    <w:pPr>
                      <w:spacing w:line="240" w:lineRule="auto" w:before="0"/>
                      <w:rPr>
                        <w:rFonts w:ascii="Calibri"/>
                        <w:sz w:val="18"/>
                      </w:rPr>
                    </w:pPr>
                  </w:p>
                  <w:p>
                    <w:pPr>
                      <w:spacing w:before="115"/>
                      <w:ind w:left="53" w:right="0" w:firstLine="0"/>
                      <w:jc w:val="left"/>
                      <w:rPr>
                        <w:rFonts w:ascii="Calibri"/>
                        <w:sz w:val="17"/>
                      </w:rPr>
                    </w:pPr>
                    <w:r>
                      <w:rPr>
                        <w:rFonts w:ascii="Calibri"/>
                        <w:w w:val="105"/>
                        <w:sz w:val="17"/>
                      </w:rPr>
                      <w:t>0.6</w:t>
                    </w:r>
                  </w:p>
                  <w:p>
                    <w:pPr>
                      <w:spacing w:line="240" w:lineRule="auto" w:before="0"/>
                      <w:rPr>
                        <w:rFonts w:ascii="Calibri"/>
                        <w:sz w:val="18"/>
                      </w:rPr>
                    </w:pPr>
                  </w:p>
                  <w:p>
                    <w:pPr>
                      <w:spacing w:before="117"/>
                      <w:ind w:left="53" w:right="0" w:firstLine="0"/>
                      <w:jc w:val="left"/>
                      <w:rPr>
                        <w:rFonts w:ascii="Calibri"/>
                        <w:sz w:val="17"/>
                      </w:rPr>
                    </w:pPr>
                    <w:r>
                      <w:rPr>
                        <w:rFonts w:ascii="Calibri"/>
                        <w:w w:val="105"/>
                        <w:sz w:val="17"/>
                      </w:rPr>
                      <w:t>0.4</w:t>
                    </w:r>
                  </w:p>
                  <w:p>
                    <w:pPr>
                      <w:spacing w:line="240" w:lineRule="auto" w:before="0"/>
                      <w:rPr>
                        <w:rFonts w:ascii="Calibri"/>
                        <w:sz w:val="18"/>
                      </w:rPr>
                    </w:pPr>
                  </w:p>
                  <w:p>
                    <w:pPr>
                      <w:spacing w:before="115"/>
                      <w:ind w:left="53" w:right="0" w:firstLine="0"/>
                      <w:jc w:val="left"/>
                      <w:rPr>
                        <w:rFonts w:ascii="Calibri"/>
                        <w:sz w:val="17"/>
                      </w:rPr>
                    </w:pPr>
                    <w:r>
                      <w:rPr>
                        <w:rFonts w:ascii="Calibri"/>
                        <w:w w:val="105"/>
                        <w:sz w:val="17"/>
                      </w:rPr>
                      <w:t>0.2</w:t>
                    </w:r>
                  </w:p>
                  <w:p>
                    <w:pPr>
                      <w:spacing w:line="240" w:lineRule="auto" w:before="0"/>
                      <w:rPr>
                        <w:rFonts w:ascii="Calibri"/>
                        <w:sz w:val="18"/>
                      </w:rPr>
                    </w:pPr>
                  </w:p>
                  <w:p>
                    <w:pPr>
                      <w:spacing w:before="116"/>
                      <w:ind w:left="53" w:right="0" w:firstLine="0"/>
                      <w:jc w:val="left"/>
                      <w:rPr>
                        <w:rFonts w:ascii="Calibri"/>
                        <w:sz w:val="17"/>
                      </w:rPr>
                    </w:pPr>
                    <w:r>
                      <w:rPr>
                        <w:rFonts w:ascii="Calibri"/>
                        <w:w w:val="105"/>
                        <w:sz w:val="17"/>
                      </w:rPr>
                      <w:t>0.0</w:t>
                    </w:r>
                  </w:p>
                  <w:p>
                    <w:pPr>
                      <w:spacing w:line="240" w:lineRule="auto" w:before="0"/>
                      <w:rPr>
                        <w:rFonts w:ascii="Calibri"/>
                        <w:sz w:val="18"/>
                      </w:rPr>
                    </w:pPr>
                  </w:p>
                  <w:p>
                    <w:pPr>
                      <w:spacing w:line="206" w:lineRule="exact" w:before="115"/>
                      <w:ind w:left="0" w:right="0" w:firstLine="0"/>
                      <w:jc w:val="left"/>
                      <w:rPr>
                        <w:rFonts w:ascii="Calibri" w:hAnsi="Calibri"/>
                        <w:sz w:val="17"/>
                      </w:rPr>
                    </w:pPr>
                    <w:r>
                      <w:rPr>
                        <w:rFonts w:ascii="Calibri" w:hAnsi="Calibri"/>
                        <w:w w:val="105"/>
                        <w:sz w:val="17"/>
                      </w:rPr>
                      <w:t>‐0.2</w:t>
                    </w:r>
                  </w:p>
                </w:txbxContent>
              </v:textbox>
              <w10:wrap type="none"/>
            </v:shape>
            <w10:wrap type="topAndBottom"/>
          </v:group>
        </w:pict>
      </w:r>
    </w:p>
    <w:p>
      <w:pPr>
        <w:pStyle w:val="BodyText"/>
        <w:rPr>
          <w:b/>
          <w:sz w:val="17"/>
        </w:rPr>
      </w:pPr>
    </w:p>
    <w:p>
      <w:pPr>
        <w:spacing w:before="95"/>
        <w:ind w:left="346" w:right="0" w:firstLine="0"/>
        <w:jc w:val="left"/>
        <w:rPr>
          <w:sz w:val="15"/>
        </w:rPr>
      </w:pPr>
      <w:r>
        <w:rPr>
          <w:sz w:val="15"/>
        </w:rPr>
        <w:t>Source: CPB World Trade Monitor</w:t>
      </w:r>
    </w:p>
    <w:p>
      <w:pPr>
        <w:spacing w:before="0"/>
        <w:ind w:left="346" w:right="1724" w:firstLine="0"/>
        <w:jc w:val="left"/>
        <w:rPr>
          <w:sz w:val="15"/>
        </w:rPr>
      </w:pPr>
      <w:r>
        <w:rPr>
          <w:sz w:val="15"/>
        </w:rPr>
        <w:t>Note: Goods import growth, rolling 12 month correlation between global &amp; regional imports. The eight regions are: US, Euro Area, Japan, Other advanced economies, Emerging Asia, Central &amp; Eastern Europe, Latin America and Africa &amp; Middle East.</w:t>
      </w:r>
    </w:p>
    <w:p>
      <w:pPr>
        <w:spacing w:after="0"/>
        <w:jc w:val="left"/>
        <w:rPr>
          <w:sz w:val="15"/>
        </w:rPr>
        <w:sectPr>
          <w:pgSz w:w="12240" w:h="15840"/>
          <w:pgMar w:header="0" w:footer="1664" w:top="1340" w:bottom="1860" w:left="1240" w:right="0"/>
        </w:sectPr>
      </w:pPr>
    </w:p>
    <w:p>
      <w:pPr>
        <w:pStyle w:val="Heading1"/>
      </w:pPr>
      <w:r>
        <w:rPr>
          <w:w w:val="105"/>
        </w:rPr>
        <w:t>Chart 13: The Global Banking System</w:t>
      </w:r>
    </w:p>
    <w:p>
      <w:pPr>
        <w:pStyle w:val="Heading2"/>
        <w:spacing w:before="65"/>
        <w:ind w:left="346"/>
      </w:pPr>
      <w:r>
        <w:rPr>
          <w:w w:val="105"/>
        </w:rPr>
        <w:t>1990:</w:t>
      </w:r>
    </w:p>
    <w:p>
      <w:pPr>
        <w:pStyle w:val="BodyText"/>
        <w:ind w:left="235"/>
        <w:rPr>
          <w:sz w:val="20"/>
        </w:rPr>
      </w:pPr>
      <w:r>
        <w:rPr>
          <w:sz w:val="20"/>
        </w:rPr>
        <w:pict>
          <v:group style="width:464.05pt;height:221.35pt;mso-position-horizontal-relative:char;mso-position-vertical-relative:line" coordorigin="0,0" coordsize="9281,4427">
            <v:line style="position:absolute" from="0,5" to="9281,5" stroked="true" strokeweight=".47998pt" strokecolor="#000000">
              <v:stroke dashstyle="solid"/>
            </v:line>
            <v:line style="position:absolute" from="4,0" to="4,4427" stroked="true" strokeweight=".42pt" strokecolor="#000000">
              <v:stroke dashstyle="solid"/>
            </v:line>
            <v:line style="position:absolute" from="9277,10" to="9277,4417" stroked="true" strokeweight=".41998pt" strokecolor="#000000">
              <v:stroke dashstyle="solid"/>
            </v:line>
            <v:line style="position:absolute" from="0,4422" to="9281,4422" stroked="true" strokeweight=".48001pt" strokecolor="#000000">
              <v:stroke dashstyle="solid"/>
            </v:line>
            <v:shape style="position:absolute;left:106;top:9;width:8513;height:4408" type="#_x0000_t75" stroked="false">
              <v:imagedata r:id="rId183" o:title=""/>
            </v:shape>
          </v:group>
        </w:pict>
      </w:r>
      <w:r>
        <w:rPr>
          <w:sz w:val="20"/>
        </w:rPr>
      </w:r>
    </w:p>
    <w:p>
      <w:pPr>
        <w:spacing w:before="28"/>
        <w:ind w:left="346" w:right="0" w:firstLine="0"/>
        <w:jc w:val="left"/>
        <w:rPr>
          <w:sz w:val="22"/>
        </w:rPr>
      </w:pPr>
      <w:r>
        <w:rPr>
          <w:w w:val="105"/>
          <w:sz w:val="22"/>
        </w:rPr>
        <w:t>2007:</w:t>
      </w:r>
    </w:p>
    <w:p>
      <w:pPr>
        <w:pStyle w:val="BodyText"/>
        <w:ind w:left="232"/>
        <w:rPr>
          <w:sz w:val="20"/>
        </w:rPr>
      </w:pPr>
      <w:r>
        <w:rPr>
          <w:sz w:val="20"/>
        </w:rPr>
        <w:pict>
          <v:group style="width:464.5pt;height:254.55pt;mso-position-horizontal-relative:char;mso-position-vertical-relative:line" coordorigin="0,0" coordsize="9290,5091">
            <v:rect style="position:absolute;left:7;top:4772;width:3148;height:311" filled="true" fillcolor="#d9d9d9" stroked="false">
              <v:fill type="solid"/>
            </v:rect>
            <v:shape style="position:absolute;left:0;top:4765;width:3161;height:326" coordorigin="0,4765" coordsize="3161,326" path="m3158,4765l4,4765,0,4769,0,5087,4,5090,3158,5090,3161,5087,3161,5083,14,5083,7,5076,14,5076,14,4780,7,4780,14,4772,3161,4772,3161,4769,3158,4765xm14,5076l7,5076,14,5083,14,5076xm3148,5076l14,5076,14,5083,3148,5083,3148,5076xm3148,4772l3148,5083,3155,5076,3161,5076,3161,4780,3155,4780,3148,4772xm3161,5076l3155,5076,3148,5083,3161,5083,3161,5076xm14,4772l7,4780,14,4780,14,4772xm3148,4772l14,4772,14,4780,3148,4780,3148,4772xm3161,4772l3148,4772,3155,4780,3161,4780,3161,4772xe" filled="true" fillcolor="#000000" stroked="false">
              <v:path arrowok="t"/>
              <v:fill type="solid"/>
            </v:shape>
            <v:line style="position:absolute" from="8,4" to="9289,4" stroked="true" strokeweight=".42001pt" strokecolor="#000000">
              <v:stroke dashstyle="solid"/>
            </v:line>
            <v:line style="position:absolute" from="9285,8" to="9285,4440" stroked="true" strokeweight=".41998pt" strokecolor="#000000">
              <v:stroke dashstyle="solid"/>
            </v:line>
            <v:line style="position:absolute" from="13,0" to="13,4770" stroked="true" strokeweight=".42pt" strokecolor="#000000">
              <v:stroke dashstyle="solid"/>
            </v:line>
            <v:line style="position:absolute" from="9285,4440" to="9285,4760" stroked="true" strokeweight=".41998pt" strokecolor="#000000">
              <v:stroke dashstyle="solid"/>
            </v:line>
            <v:line style="position:absolute" from="8,4765" to="9289,4765" stroked="true" strokeweight=".48001pt" strokecolor="#000000">
              <v:stroke dashstyle="solid"/>
            </v:line>
            <v:shape style="position:absolute;left:115;top:9;width:8513;height:4418" type="#_x0000_t75" stroked="false">
              <v:imagedata r:id="rId184" o:title=""/>
            </v:shape>
            <v:shape style="position:absolute;left:7;top:4772;width:3148;height:311" type="#_x0000_t202" filled="false" stroked="false">
              <v:textbox inset="0,0,0,0">
                <w:txbxContent>
                  <w:p>
                    <w:pPr>
                      <w:spacing w:before="1"/>
                      <w:ind w:left="106" w:right="0" w:firstLine="0"/>
                      <w:jc w:val="left"/>
                      <w:rPr>
                        <w:sz w:val="22"/>
                      </w:rPr>
                    </w:pPr>
                    <w:r>
                      <w:rPr>
                        <w:b/>
                        <w:color w:val="FF65FF"/>
                        <w:w w:val="105"/>
                        <w:sz w:val="22"/>
                      </w:rPr>
                      <w:t>Pink: </w:t>
                    </w:r>
                    <w:r>
                      <w:rPr>
                        <w:w w:val="105"/>
                        <w:sz w:val="22"/>
                      </w:rPr>
                      <w:t>Core, </w:t>
                    </w:r>
                    <w:r>
                      <w:rPr>
                        <w:b/>
                        <w:color w:val="33CCFF"/>
                        <w:w w:val="105"/>
                        <w:sz w:val="22"/>
                      </w:rPr>
                      <w:t>Blue: </w:t>
                    </w:r>
                    <w:r>
                      <w:rPr>
                        <w:w w:val="105"/>
                        <w:sz w:val="22"/>
                      </w:rPr>
                      <w:t>Periphery</w:t>
                    </w:r>
                  </w:p>
                </w:txbxContent>
              </v:textbox>
              <w10:wrap type="none"/>
            </v:shape>
          </v:group>
        </w:pict>
      </w:r>
      <w:r>
        <w:rPr>
          <w:sz w:val="20"/>
        </w:rPr>
      </w:r>
    </w:p>
    <w:p>
      <w:pPr>
        <w:pStyle w:val="BodyText"/>
        <w:spacing w:before="4"/>
        <w:rPr>
          <w:sz w:val="11"/>
        </w:rPr>
      </w:pPr>
    </w:p>
    <w:p>
      <w:pPr>
        <w:spacing w:before="95"/>
        <w:ind w:left="346" w:right="1724" w:firstLine="0"/>
        <w:jc w:val="left"/>
        <w:rPr>
          <w:sz w:val="15"/>
        </w:rPr>
      </w:pPr>
      <w:r>
        <w:rPr>
          <w:sz w:val="15"/>
        </w:rPr>
        <w:t>Source: BIS Data, Bank calculations. Notes: The countries represent nodes, while the links between countries represent the volume of cross-border bank loans. Thicker and darker coloured links indicate larger flows. Core countries are United Kingdom, United States, Canada, Japan, Ireland, France, Netherlands, Germany, Denmark, Sweden, Switzerland, Belgium, Italy, Luxembourg, Austria. This chart has been updated since publication.</w:t>
      </w:r>
    </w:p>
    <w:p>
      <w:pPr>
        <w:spacing w:after="0"/>
        <w:jc w:val="left"/>
        <w:rPr>
          <w:sz w:val="15"/>
        </w:rPr>
        <w:sectPr>
          <w:pgSz w:w="12240" w:h="15840"/>
          <w:pgMar w:header="0" w:footer="1664" w:top="1340" w:bottom="1860" w:left="1240" w:right="0"/>
        </w:sectPr>
      </w:pPr>
    </w:p>
    <w:p>
      <w:pPr>
        <w:pStyle w:val="BodyText"/>
        <w:spacing w:before="4"/>
        <w:rPr>
          <w:sz w:val="12"/>
        </w:rPr>
      </w:pPr>
    </w:p>
    <w:p>
      <w:pPr>
        <w:pStyle w:val="Heading1"/>
        <w:spacing w:before="98" w:after="3"/>
        <w:ind w:left="347"/>
      </w:pPr>
      <w:r>
        <w:rPr/>
        <w:t>Chart 14: Long-run Probability Density Functions</w:t>
      </w: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2"/>
        <w:gridCol w:w="4348"/>
      </w:tblGrid>
      <w:tr>
        <w:trPr>
          <w:trHeight w:val="318" w:hRule="atLeast"/>
        </w:trPr>
        <w:tc>
          <w:tcPr>
            <w:tcW w:w="4522" w:type="dxa"/>
          </w:tcPr>
          <w:p>
            <w:pPr>
              <w:pStyle w:val="TableParagraph"/>
              <w:spacing w:line="235" w:lineRule="exact" w:before="64"/>
              <w:ind w:left="101"/>
              <w:rPr>
                <w:sz w:val="22"/>
              </w:rPr>
            </w:pPr>
            <w:r>
              <w:rPr>
                <w:sz w:val="22"/>
              </w:rPr>
              <w:t>Real GDP growth, 1880-2008</w:t>
            </w:r>
          </w:p>
        </w:tc>
        <w:tc>
          <w:tcPr>
            <w:tcW w:w="4348" w:type="dxa"/>
          </w:tcPr>
          <w:p>
            <w:pPr>
              <w:pStyle w:val="TableParagraph"/>
              <w:spacing w:line="235" w:lineRule="exact" w:before="64"/>
              <w:ind w:left="99"/>
              <w:rPr>
                <w:sz w:val="22"/>
              </w:rPr>
            </w:pPr>
            <w:r>
              <w:rPr>
                <w:sz w:val="22"/>
              </w:rPr>
              <w:t>Real Bank Loan growth, 1880-2008</w:t>
            </w:r>
          </w:p>
        </w:tc>
      </w:tr>
      <w:tr>
        <w:trPr>
          <w:trHeight w:val="5202" w:hRule="atLeast"/>
        </w:trPr>
        <w:tc>
          <w:tcPr>
            <w:tcW w:w="4522" w:type="dxa"/>
          </w:tcPr>
          <w:p>
            <w:pPr>
              <w:pStyle w:val="TableParagraph"/>
              <w:ind w:left="95"/>
              <w:rPr>
                <w:sz w:val="20"/>
              </w:rPr>
            </w:pPr>
            <w:r>
              <w:rPr>
                <w:sz w:val="20"/>
              </w:rPr>
              <w:drawing>
                <wp:inline distT="0" distB="0" distL="0" distR="0">
                  <wp:extent cx="2591119" cy="3300412"/>
                  <wp:effectExtent l="0" t="0" r="0" b="0"/>
                  <wp:docPr id="31" name="image151.jpeg"/>
                  <wp:cNvGraphicFramePr>
                    <a:graphicFrameLocks noChangeAspect="1"/>
                  </wp:cNvGraphicFramePr>
                  <a:graphic>
                    <a:graphicData uri="http://schemas.openxmlformats.org/drawingml/2006/picture">
                      <pic:pic>
                        <pic:nvPicPr>
                          <pic:cNvPr id="32" name="image151.jpeg"/>
                          <pic:cNvPicPr/>
                        </pic:nvPicPr>
                        <pic:blipFill>
                          <a:blip r:embed="rId185" cstate="print"/>
                          <a:stretch>
                            <a:fillRect/>
                          </a:stretch>
                        </pic:blipFill>
                        <pic:spPr>
                          <a:xfrm>
                            <a:off x="0" y="0"/>
                            <a:ext cx="2591119" cy="3300412"/>
                          </a:xfrm>
                          <a:prstGeom prst="rect">
                            <a:avLst/>
                          </a:prstGeom>
                        </pic:spPr>
                      </pic:pic>
                    </a:graphicData>
                  </a:graphic>
                </wp:inline>
              </w:drawing>
            </w:r>
            <w:r>
              <w:rPr>
                <w:sz w:val="20"/>
              </w:rPr>
            </w:r>
          </w:p>
        </w:tc>
        <w:tc>
          <w:tcPr>
            <w:tcW w:w="4348" w:type="dxa"/>
          </w:tcPr>
          <w:p>
            <w:pPr>
              <w:pStyle w:val="TableParagraph"/>
              <w:ind w:left="89"/>
              <w:rPr>
                <w:sz w:val="20"/>
              </w:rPr>
            </w:pPr>
            <w:r>
              <w:rPr>
                <w:sz w:val="20"/>
              </w:rPr>
              <w:drawing>
                <wp:inline distT="0" distB="0" distL="0" distR="0">
                  <wp:extent cx="2605393" cy="3243262"/>
                  <wp:effectExtent l="0" t="0" r="0" b="0"/>
                  <wp:docPr id="33" name="image152.jpeg"/>
                  <wp:cNvGraphicFramePr>
                    <a:graphicFrameLocks noChangeAspect="1"/>
                  </wp:cNvGraphicFramePr>
                  <a:graphic>
                    <a:graphicData uri="http://schemas.openxmlformats.org/drawingml/2006/picture">
                      <pic:pic>
                        <pic:nvPicPr>
                          <pic:cNvPr id="34" name="image152.jpeg"/>
                          <pic:cNvPicPr/>
                        </pic:nvPicPr>
                        <pic:blipFill>
                          <a:blip r:embed="rId186" cstate="print"/>
                          <a:stretch>
                            <a:fillRect/>
                          </a:stretch>
                        </pic:blipFill>
                        <pic:spPr>
                          <a:xfrm>
                            <a:off x="0" y="0"/>
                            <a:ext cx="2605393" cy="3243262"/>
                          </a:xfrm>
                          <a:prstGeom prst="rect">
                            <a:avLst/>
                          </a:prstGeom>
                        </pic:spPr>
                      </pic:pic>
                    </a:graphicData>
                  </a:graphic>
                </wp:inline>
              </w:drawing>
            </w:r>
            <w:r>
              <w:rPr>
                <w:sz w:val="20"/>
              </w:rPr>
            </w:r>
          </w:p>
        </w:tc>
      </w:tr>
      <w:tr>
        <w:trPr>
          <w:trHeight w:val="320" w:hRule="atLeast"/>
        </w:trPr>
        <w:tc>
          <w:tcPr>
            <w:tcW w:w="4522" w:type="dxa"/>
          </w:tcPr>
          <w:p>
            <w:pPr>
              <w:pStyle w:val="TableParagraph"/>
              <w:spacing w:line="235" w:lineRule="exact" w:before="64"/>
              <w:ind w:left="101"/>
              <w:rPr>
                <w:sz w:val="22"/>
              </w:rPr>
            </w:pPr>
            <w:r>
              <w:rPr>
                <w:sz w:val="22"/>
              </w:rPr>
              <w:t>Monthly equity returns, 1693-2012</w:t>
            </w:r>
          </w:p>
        </w:tc>
        <w:tc>
          <w:tcPr>
            <w:tcW w:w="4348" w:type="dxa"/>
          </w:tcPr>
          <w:p>
            <w:pPr>
              <w:pStyle w:val="TableParagraph"/>
              <w:spacing w:line="235" w:lineRule="exact" w:before="64"/>
              <w:ind w:left="100"/>
              <w:rPr>
                <w:sz w:val="22"/>
              </w:rPr>
            </w:pPr>
            <w:r>
              <w:rPr>
                <w:sz w:val="22"/>
              </w:rPr>
              <w:t>Bangkok rice price growth, 1011-2011</w:t>
            </w:r>
          </w:p>
        </w:tc>
      </w:tr>
      <w:tr>
        <w:trPr>
          <w:trHeight w:val="5213" w:hRule="atLeast"/>
        </w:trPr>
        <w:tc>
          <w:tcPr>
            <w:tcW w:w="4522" w:type="dxa"/>
          </w:tcPr>
          <w:p>
            <w:pPr>
              <w:pStyle w:val="TableParagraph"/>
              <w:rPr>
                <w:b/>
                <w:sz w:val="20"/>
              </w:rPr>
            </w:pPr>
          </w:p>
          <w:p>
            <w:pPr>
              <w:pStyle w:val="TableParagraph"/>
              <w:spacing w:before="5"/>
              <w:rPr>
                <w:b/>
                <w:sz w:val="10"/>
              </w:rPr>
            </w:pPr>
          </w:p>
          <w:p>
            <w:pPr>
              <w:pStyle w:val="TableParagraph"/>
              <w:ind w:left="103"/>
              <w:rPr>
                <w:sz w:val="20"/>
              </w:rPr>
            </w:pPr>
            <w:r>
              <w:rPr>
                <w:sz w:val="20"/>
              </w:rPr>
              <w:drawing>
                <wp:inline distT="0" distB="0" distL="0" distR="0">
                  <wp:extent cx="1924059" cy="2947987"/>
                  <wp:effectExtent l="0" t="0" r="0" b="0"/>
                  <wp:docPr id="35" name="image153.jpeg"/>
                  <wp:cNvGraphicFramePr>
                    <a:graphicFrameLocks noChangeAspect="1"/>
                  </wp:cNvGraphicFramePr>
                  <a:graphic>
                    <a:graphicData uri="http://schemas.openxmlformats.org/drawingml/2006/picture">
                      <pic:pic>
                        <pic:nvPicPr>
                          <pic:cNvPr id="36" name="image153.jpeg"/>
                          <pic:cNvPicPr/>
                        </pic:nvPicPr>
                        <pic:blipFill>
                          <a:blip r:embed="rId187" cstate="print"/>
                          <a:stretch>
                            <a:fillRect/>
                          </a:stretch>
                        </pic:blipFill>
                        <pic:spPr>
                          <a:xfrm>
                            <a:off x="0" y="0"/>
                            <a:ext cx="1924059" cy="2947987"/>
                          </a:xfrm>
                          <a:prstGeom prst="rect">
                            <a:avLst/>
                          </a:prstGeom>
                        </pic:spPr>
                      </pic:pic>
                    </a:graphicData>
                  </a:graphic>
                </wp:inline>
              </w:drawing>
            </w:r>
            <w:r>
              <w:rPr>
                <w:sz w:val="20"/>
              </w:rPr>
            </w:r>
          </w:p>
        </w:tc>
        <w:tc>
          <w:tcPr>
            <w:tcW w:w="4348" w:type="dxa"/>
          </w:tcPr>
          <w:p>
            <w:pPr>
              <w:pStyle w:val="TableParagraph"/>
              <w:spacing w:before="2"/>
              <w:rPr>
                <w:b/>
                <w:sz w:val="27"/>
              </w:rPr>
            </w:pPr>
          </w:p>
          <w:p>
            <w:pPr>
              <w:pStyle w:val="TableParagraph"/>
              <w:ind w:left="89"/>
              <w:rPr>
                <w:sz w:val="20"/>
              </w:rPr>
            </w:pPr>
            <w:r>
              <w:rPr>
                <w:sz w:val="20"/>
              </w:rPr>
              <w:drawing>
                <wp:inline distT="0" distB="0" distL="0" distR="0">
                  <wp:extent cx="2395292" cy="3105150"/>
                  <wp:effectExtent l="0" t="0" r="0" b="0"/>
                  <wp:docPr id="37" name="image154.jpeg"/>
                  <wp:cNvGraphicFramePr>
                    <a:graphicFrameLocks noChangeAspect="1"/>
                  </wp:cNvGraphicFramePr>
                  <a:graphic>
                    <a:graphicData uri="http://schemas.openxmlformats.org/drawingml/2006/picture">
                      <pic:pic>
                        <pic:nvPicPr>
                          <pic:cNvPr id="38" name="image154.jpeg"/>
                          <pic:cNvPicPr/>
                        </pic:nvPicPr>
                        <pic:blipFill>
                          <a:blip r:embed="rId188" cstate="print"/>
                          <a:stretch>
                            <a:fillRect/>
                          </a:stretch>
                        </pic:blipFill>
                        <pic:spPr>
                          <a:xfrm>
                            <a:off x="0" y="0"/>
                            <a:ext cx="2395292" cy="3105150"/>
                          </a:xfrm>
                          <a:prstGeom prst="rect">
                            <a:avLst/>
                          </a:prstGeom>
                        </pic:spPr>
                      </pic:pic>
                    </a:graphicData>
                  </a:graphic>
                </wp:inline>
              </w:drawing>
            </w:r>
            <w:r>
              <w:rPr>
                <w:sz w:val="20"/>
              </w:rPr>
            </w:r>
          </w:p>
        </w:tc>
      </w:tr>
    </w:tbl>
    <w:p>
      <w:pPr>
        <w:spacing w:before="146"/>
        <w:ind w:left="347" w:right="0" w:firstLine="0"/>
        <w:jc w:val="left"/>
        <w:rPr>
          <w:sz w:val="15"/>
        </w:rPr>
      </w:pPr>
      <w:r>
        <w:rPr>
          <w:sz w:val="15"/>
        </w:rPr>
        <w:t>Source: Haldane et al(2012)</w:t>
      </w:r>
    </w:p>
    <w:p>
      <w:pPr>
        <w:spacing w:after="0"/>
        <w:jc w:val="left"/>
        <w:rPr>
          <w:sz w:val="15"/>
        </w:rPr>
        <w:sectPr>
          <w:pgSz w:w="12240" w:h="15840"/>
          <w:pgMar w:header="0" w:footer="1664" w:top="1500" w:bottom="1860" w:left="1240" w:right="0"/>
        </w:sectPr>
      </w:pPr>
    </w:p>
    <w:p>
      <w:pPr>
        <w:pStyle w:val="BodyText"/>
        <w:spacing w:before="4"/>
        <w:rPr>
          <w:sz w:val="12"/>
        </w:rPr>
      </w:pPr>
    </w:p>
    <w:p>
      <w:pPr>
        <w:pStyle w:val="Heading1"/>
        <w:spacing w:before="98"/>
      </w:pPr>
      <w:r>
        <w:rPr/>
        <w:pict>
          <v:group style="position:absolute;margin-left:74.040001pt;margin-top:17.617640pt;width:464.05pt;height:296.4pt;mso-position-horizontal-relative:page;mso-position-vertical-relative:paragraph;z-index:-254767104" coordorigin="1481,352" coordsize="9281,5928">
            <v:line style="position:absolute" from="1481,357" to="10762,357" stroked="true" strokeweight=".47998pt" strokecolor="#000000">
              <v:stroke dashstyle="solid"/>
            </v:line>
            <v:line style="position:absolute" from="10757,362" to="10757,5810" stroked="true" strokeweight=".41998pt" strokecolor="#000000">
              <v:stroke dashstyle="solid"/>
            </v:line>
            <v:line style="position:absolute" from="1485,352" to="1485,6280" stroked="true" strokeweight=".42pt" strokecolor="#000000">
              <v:stroke dashstyle="solid"/>
            </v:line>
            <v:line style="position:absolute" from="10757,5810" to="10757,6271" stroked="true" strokeweight=".41998pt" strokecolor="#000000">
              <v:stroke dashstyle="solid"/>
            </v:line>
            <v:line style="position:absolute" from="1481,6276" to="10762,6276" stroked="true" strokeweight=".47998pt" strokecolor="#000000">
              <v:stroke dashstyle="solid"/>
            </v:line>
            <v:rect style="position:absolute;left:2292;top:375;width:7662;height:1032" filled="true" fillcolor="#fce4d1" stroked="false">
              <v:fill type="solid"/>
            </v:rect>
            <v:rect style="position:absolute;left:2292;top:375;width:7662;height:1032" filled="false" stroked="true" strokeweight=".109pt" strokecolor="#000000">
              <v:stroke dashstyle="solid"/>
            </v:rect>
            <v:rect style="position:absolute;left:5150;top:375;width:2296;height:904" filled="true" fillcolor="#ffc000" stroked="false">
              <v:fill type="solid"/>
            </v:rect>
            <v:rect style="position:absolute;left:5150;top:375;width:2296;height:904" filled="false" stroked="true" strokeweight=".109pt" strokecolor="#000000">
              <v:stroke dashstyle="solid"/>
            </v:rect>
            <v:rect style="position:absolute;left:2292;top:375;width:2420;height:904" filled="true" fillcolor="#ffc000" stroked="false">
              <v:fill type="solid"/>
            </v:rect>
            <v:rect style="position:absolute;left:2292;top:375;width:2420;height:904" filled="false" stroked="true" strokeweight=".109pt" strokecolor="#000000">
              <v:stroke dashstyle="solid"/>
            </v:rect>
            <v:rect style="position:absolute;left:2614;top:2026;width:3020;height:2260" filled="true" fillcolor="#e3eff9" stroked="false">
              <v:fill type="solid"/>
            </v:rect>
            <v:rect style="position:absolute;left:2614;top:2026;width:3020;height:2260" filled="false" stroked="true" strokeweight=".109pt" strokecolor="#000000">
              <v:stroke dashstyle="solid"/>
            </v:rect>
            <v:rect style="position:absolute;left:6666;top:2026;width:3006;height:2260" filled="true" fillcolor="#e4deeb" stroked="false">
              <v:fill type="solid"/>
            </v:rect>
            <v:rect style="position:absolute;left:7833;top:375;width:1167;height:904" filled="true" fillcolor="#ffc000" stroked="false">
              <v:fill type="solid"/>
            </v:rect>
            <v:rect style="position:absolute;left:7833;top:375;width:1167;height:904" filled="false" stroked="true" strokeweight=".109pt" strokecolor="#000000">
              <v:stroke dashstyle="solid"/>
            </v:rect>
            <v:rect style="position:absolute;left:9668;top:375;width:286;height:904" filled="true" fillcolor="#b5cb85" stroked="false">
              <v:fill type="solid"/>
            </v:rect>
            <v:rect style="position:absolute;left:9668;top:375;width:286;height:904" filled="false" stroked="true" strokeweight=".109pt" strokecolor="#000000">
              <v:stroke dashstyle="solid"/>
            </v:rect>
            <v:rect style="position:absolute;left:5492;top:3227;width:309;height:929" filled="true" fillcolor="#eb4e3d" stroked="false">
              <v:fill type="solid"/>
            </v:rect>
            <v:rect style="position:absolute;left:5492;top:3227;width:309;height:929" filled="false" stroked="true" strokeweight=".109pt" strokecolor="#000000">
              <v:stroke dashstyle="solid"/>
            </v:rect>
            <v:line style="position:absolute" from="5633,2156" to="5633,3085" stroked="true" strokeweight="5.16pt" strokecolor="#fcb43a">
              <v:stroke dashstyle="solid"/>
            </v:line>
            <v:rect style="position:absolute;left:5581;top:2155;width:104;height:929" filled="false" stroked="true" strokeweight=".109pt" strokecolor="#000000">
              <v:stroke dashstyle="solid"/>
            </v:rect>
            <v:line style="position:absolute" from="7669,3228" to="7669,4156" stroked="true" strokeweight="4.140pt" strokecolor="#eb4e3d">
              <v:stroke dashstyle="solid"/>
            </v:line>
            <v:rect style="position:absolute;left:7627;top:3227;width:83;height:929" filled="false" stroked="true" strokeweight=".109pt" strokecolor="#000000">
              <v:stroke dashstyle="solid"/>
            </v:rect>
            <v:line style="position:absolute" from="8731,3228" to="8731,4156" stroked="true" strokeweight="3.12pt" strokecolor="#eb4e3d">
              <v:stroke dashstyle="solid"/>
            </v:line>
            <v:rect style="position:absolute;left:8700;top:3227;width:63;height:929" filled="false" stroked="true" strokeweight=".109pt" strokecolor="#000000">
              <v:stroke dashstyle="solid"/>
            </v:rect>
            <v:line style="position:absolute" from="9539,3228" to="9539,4156" stroked="true" strokeweight="3.12pt" strokecolor="#ffc000">
              <v:stroke dashstyle="solid"/>
            </v:line>
            <v:rect style="position:absolute;left:9507;top:3227;width:63;height:929" filled="false" stroked="true" strokeweight=".109pt" strokecolor="#000000">
              <v:stroke dashstyle="solid"/>
            </v:rect>
            <v:rect style="position:absolute;left:6724;top:3226;width:802;height:929" filled="true" fillcolor="#eb4e3d" stroked="false">
              <v:fill type="solid"/>
            </v:rect>
            <v:rect style="position:absolute;left:6722;top:2146;width:1395;height:929" filled="true" fillcolor="#ffc000" stroked="false">
              <v:fill type="solid"/>
            </v:rect>
            <v:rect style="position:absolute;left:4614;top:3227;width:232;height:929" filled="true" fillcolor="#b5cb85" stroked="false">
              <v:fill type="solid"/>
            </v:rect>
            <v:rect style="position:absolute;left:4614;top:3227;width:232;height:929" filled="false" stroked="true" strokeweight=".109pt" strokecolor="#000000">
              <v:stroke dashstyle="solid"/>
            </v:rect>
            <v:shape style="position:absolute;left:5187;top:1684;width:910;height:232" type="#_x0000_t202" filled="false" stroked="false">
              <v:textbox inset="0,0,0,0">
                <w:txbxContent>
                  <w:p>
                    <w:pPr>
                      <w:spacing w:line="111" w:lineRule="exact" w:before="0"/>
                      <w:ind w:left="0" w:right="17" w:firstLine="0"/>
                      <w:jc w:val="center"/>
                      <w:rPr>
                        <w:sz w:val="10"/>
                      </w:rPr>
                    </w:pPr>
                    <w:r>
                      <w:rPr>
                        <w:sz w:val="10"/>
                      </w:rPr>
                      <w:t>5%</w:t>
                    </w:r>
                  </w:p>
                  <w:p>
                    <w:pPr>
                      <w:spacing w:before="5"/>
                      <w:ind w:left="0" w:right="18" w:firstLine="0"/>
                      <w:jc w:val="center"/>
                      <w:rPr>
                        <w:sz w:val="10"/>
                      </w:rPr>
                    </w:pPr>
                    <w:r>
                      <w:rPr>
                        <w:sz w:val="10"/>
                      </w:rPr>
                      <w:t>Finance Companies</w:t>
                    </w:r>
                  </w:p>
                </w:txbxContent>
              </v:textbox>
              <w10:wrap type="none"/>
            </v:shape>
            <v:shape style="position:absolute;left:4326;top:4380;width:828;height:233" type="#_x0000_t202" filled="false" stroked="false">
              <v:textbox inset="0,0,0,0">
                <w:txbxContent>
                  <w:p>
                    <w:pPr>
                      <w:spacing w:line="111" w:lineRule="exact" w:before="0"/>
                      <w:ind w:left="0" w:right="19" w:firstLine="0"/>
                      <w:jc w:val="center"/>
                      <w:rPr>
                        <w:sz w:val="10"/>
                      </w:rPr>
                    </w:pPr>
                    <w:r>
                      <w:rPr>
                        <w:sz w:val="10"/>
                      </w:rPr>
                      <w:t>15%</w:t>
                    </w:r>
                  </w:p>
                  <w:p>
                    <w:pPr>
                      <w:spacing w:before="6"/>
                      <w:ind w:left="0" w:right="18" w:firstLine="0"/>
                      <w:jc w:val="center"/>
                      <w:rPr>
                        <w:sz w:val="10"/>
                      </w:rPr>
                    </w:pPr>
                    <w:r>
                      <w:rPr>
                        <w:sz w:val="10"/>
                      </w:rPr>
                      <w:t>RoW Other Banks</w:t>
                    </w:r>
                  </w:p>
                </w:txbxContent>
              </v:textbox>
              <w10:wrap type="none"/>
            </v:shape>
            <v:shape style="position:absolute;left:7459;top:4374;width:459;height:232" type="#_x0000_t202" filled="false" stroked="false">
              <v:textbox inset="0,0,0,0">
                <w:txbxContent>
                  <w:p>
                    <w:pPr>
                      <w:spacing w:line="111" w:lineRule="exact" w:before="0"/>
                      <w:ind w:left="0" w:right="17" w:firstLine="0"/>
                      <w:jc w:val="center"/>
                      <w:rPr>
                        <w:sz w:val="10"/>
                      </w:rPr>
                    </w:pPr>
                    <w:r>
                      <w:rPr>
                        <w:sz w:val="10"/>
                      </w:rPr>
                      <w:t>5%</w:t>
                    </w:r>
                  </w:p>
                  <w:p>
                    <w:pPr>
                      <w:spacing w:before="5"/>
                      <w:ind w:left="0" w:right="18" w:firstLine="0"/>
                      <w:jc w:val="center"/>
                      <w:rPr>
                        <w:sz w:val="10"/>
                      </w:rPr>
                    </w:pPr>
                    <w:r>
                      <w:rPr>
                        <w:sz w:val="10"/>
                      </w:rPr>
                      <w:t>PE Funds</w:t>
                    </w:r>
                  </w:p>
                </w:txbxContent>
              </v:textbox>
              <w10:wrap type="none"/>
            </v:shape>
            <v:shape style="position:absolute;left:8654;top:4374;width:166;height:112" type="#_x0000_t202" filled="false" stroked="false">
              <v:textbox inset="0,0,0,0">
                <w:txbxContent>
                  <w:p>
                    <w:pPr>
                      <w:spacing w:line="111" w:lineRule="exact" w:before="0"/>
                      <w:ind w:left="0" w:right="0" w:firstLine="0"/>
                      <w:jc w:val="left"/>
                      <w:rPr>
                        <w:sz w:val="10"/>
                      </w:rPr>
                    </w:pPr>
                    <w:r>
                      <w:rPr>
                        <w:sz w:val="10"/>
                      </w:rPr>
                      <w:t>5%</w:t>
                    </w:r>
                  </w:p>
                </w:txbxContent>
              </v:textbox>
              <w10:wrap type="none"/>
            </v:shape>
            <v:shape style="position:absolute;left:9488;top:4374;width:166;height:112" type="#_x0000_t202" filled="false" stroked="false">
              <v:textbox inset="0,0,0,0">
                <w:txbxContent>
                  <w:p>
                    <w:pPr>
                      <w:spacing w:line="111" w:lineRule="exact" w:before="0"/>
                      <w:ind w:left="0" w:right="0" w:firstLine="0"/>
                      <w:jc w:val="left"/>
                      <w:rPr>
                        <w:sz w:val="10"/>
                      </w:rPr>
                    </w:pPr>
                    <w:r>
                      <w:rPr>
                        <w:sz w:val="10"/>
                      </w:rPr>
                      <w:t>5%</w:t>
                    </w:r>
                  </w:p>
                </w:txbxContent>
              </v:textbox>
              <w10:wrap type="none"/>
            </v:shape>
            <v:shape style="position:absolute;left:8607;top:4494;width:1371;height:112" type="#_x0000_t202" filled="false" stroked="false">
              <v:textbox inset="0,0,0,0">
                <w:txbxContent>
                  <w:p>
                    <w:pPr>
                      <w:tabs>
                        <w:tab w:pos="555" w:val="left" w:leader="none"/>
                      </w:tabs>
                      <w:spacing w:line="111" w:lineRule="exact" w:before="0"/>
                      <w:ind w:left="0" w:right="0" w:firstLine="0"/>
                      <w:jc w:val="left"/>
                      <w:rPr>
                        <w:sz w:val="10"/>
                      </w:rPr>
                    </w:pPr>
                    <w:r>
                      <w:rPr>
                        <w:sz w:val="10"/>
                      </w:rPr>
                      <w:t>ETFs</w:t>
                      <w:tab/>
                      <w:t>Investment</w:t>
                    </w:r>
                    <w:r>
                      <w:rPr>
                        <w:spacing w:val="-3"/>
                        <w:sz w:val="10"/>
                      </w:rPr>
                      <w:t> </w:t>
                    </w:r>
                    <w:r>
                      <w:rPr>
                        <w:sz w:val="10"/>
                      </w:rPr>
                      <w:t>Trusts</w:t>
                    </w:r>
                  </w:p>
                </w:txbxContent>
              </v:textbox>
              <w10:wrap type="none"/>
            </v:shape>
            <v:shape style="position:absolute;left:3572;top:5814;width:5411;height:231" type="#_x0000_t202" filled="false" stroked="false">
              <v:textbox inset="0,0,0,0">
                <w:txbxContent>
                  <w:p>
                    <w:pPr>
                      <w:spacing w:line="229" w:lineRule="exact" w:before="0"/>
                      <w:ind w:left="0" w:right="0" w:firstLine="0"/>
                      <w:jc w:val="left"/>
                      <w:rPr>
                        <w:sz w:val="20"/>
                      </w:rPr>
                    </w:pPr>
                    <w:r>
                      <w:rPr>
                        <w:b/>
                        <w:color w:val="92D050"/>
                        <w:w w:val="105"/>
                        <w:sz w:val="20"/>
                      </w:rPr>
                      <w:t>Green</w:t>
                    </w:r>
                    <w:r>
                      <w:rPr>
                        <w:w w:val="105"/>
                        <w:sz w:val="20"/>
                      </w:rPr>
                      <w:t>=Available</w:t>
                    </w:r>
                    <w:r>
                      <w:rPr>
                        <w:spacing w:val="-17"/>
                        <w:w w:val="105"/>
                        <w:sz w:val="20"/>
                      </w:rPr>
                      <w:t> </w:t>
                    </w:r>
                    <w:r>
                      <w:rPr>
                        <w:w w:val="105"/>
                        <w:sz w:val="20"/>
                      </w:rPr>
                      <w:t>data,</w:t>
                    </w:r>
                    <w:r>
                      <w:rPr>
                        <w:spacing w:val="-17"/>
                        <w:w w:val="105"/>
                        <w:sz w:val="20"/>
                      </w:rPr>
                      <w:t> </w:t>
                    </w:r>
                    <w:r>
                      <w:rPr>
                        <w:b/>
                        <w:color w:val="FFC000"/>
                        <w:w w:val="105"/>
                        <w:sz w:val="20"/>
                      </w:rPr>
                      <w:t>Amber</w:t>
                    </w:r>
                    <w:r>
                      <w:rPr>
                        <w:w w:val="105"/>
                        <w:sz w:val="20"/>
                      </w:rPr>
                      <w:t>=Limited</w:t>
                    </w:r>
                    <w:r>
                      <w:rPr>
                        <w:spacing w:val="-17"/>
                        <w:w w:val="105"/>
                        <w:sz w:val="20"/>
                      </w:rPr>
                      <w:t> </w:t>
                    </w:r>
                    <w:r>
                      <w:rPr>
                        <w:w w:val="105"/>
                        <w:sz w:val="20"/>
                      </w:rPr>
                      <w:t>data,</w:t>
                    </w:r>
                    <w:r>
                      <w:rPr>
                        <w:spacing w:val="-17"/>
                        <w:w w:val="105"/>
                        <w:sz w:val="20"/>
                      </w:rPr>
                      <w:t> </w:t>
                    </w:r>
                    <w:r>
                      <w:rPr>
                        <w:b/>
                        <w:color w:val="FF0000"/>
                        <w:w w:val="105"/>
                        <w:sz w:val="20"/>
                      </w:rPr>
                      <w:t>Red</w:t>
                    </w:r>
                    <w:r>
                      <w:rPr>
                        <w:w w:val="105"/>
                        <w:sz w:val="20"/>
                      </w:rPr>
                      <w:t>=No</w:t>
                    </w:r>
                    <w:r>
                      <w:rPr>
                        <w:spacing w:val="-16"/>
                        <w:w w:val="105"/>
                        <w:sz w:val="20"/>
                      </w:rPr>
                      <w:t> </w:t>
                    </w:r>
                    <w:r>
                      <w:rPr>
                        <w:w w:val="105"/>
                        <w:sz w:val="20"/>
                      </w:rPr>
                      <w:t>data</w:t>
                    </w:r>
                  </w:p>
                </w:txbxContent>
              </v:textbox>
              <w10:wrap type="none"/>
            </v:shape>
            <v:shape style="position:absolute;left:5634;top:3227;width:167;height:929" type="#_x0000_t202" filled="true" fillcolor="#eb4e3d" stroked="false">
              <v:textbox inset="0,0,0,0">
                <w:txbxContent>
                  <w:p>
                    <w:pPr>
                      <w:spacing w:line="240" w:lineRule="auto" w:before="0"/>
                      <w:rPr>
                        <w:sz w:val="8"/>
                      </w:rPr>
                    </w:pP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3"/>
                      <w:rPr>
                        <w:sz w:val="8"/>
                      </w:rPr>
                    </w:pPr>
                  </w:p>
                  <w:p>
                    <w:pPr>
                      <w:spacing w:before="0"/>
                      <w:ind w:left="17" w:right="0" w:firstLine="0"/>
                      <w:jc w:val="left"/>
                      <w:rPr>
                        <w:sz w:val="7"/>
                      </w:rPr>
                    </w:pPr>
                    <w:r>
                      <w:rPr>
                        <w:w w:val="105"/>
                        <w:sz w:val="7"/>
                      </w:rPr>
                      <w:t>Vs</w:t>
                    </w:r>
                  </w:p>
                </w:txbxContent>
              </v:textbox>
              <v:fill type="solid"/>
              <w10:wrap type="none"/>
            </v:shape>
            <v:shape style="position:absolute;left:5492;top:3227;width:142;height:929" type="#_x0000_t202" filled="true" fillcolor="#eb4e3d" stroked="false">
              <v:textbox inset="0,0,0,0">
                <w:txbxContent>
                  <w:p>
                    <w:pPr>
                      <w:spacing w:line="240" w:lineRule="auto" w:before="0"/>
                      <w:rPr>
                        <w:sz w:val="8"/>
                      </w:rPr>
                    </w:pPr>
                  </w:p>
                  <w:p>
                    <w:pPr>
                      <w:spacing w:line="240" w:lineRule="auto" w:before="0"/>
                      <w:rPr>
                        <w:sz w:val="8"/>
                      </w:rPr>
                    </w:pPr>
                  </w:p>
                  <w:p>
                    <w:pPr>
                      <w:spacing w:line="240" w:lineRule="auto" w:before="0"/>
                      <w:rPr>
                        <w:sz w:val="8"/>
                      </w:rPr>
                    </w:pPr>
                  </w:p>
                  <w:p>
                    <w:pPr>
                      <w:spacing w:line="240" w:lineRule="auto" w:before="7"/>
                      <w:rPr>
                        <w:sz w:val="8"/>
                      </w:rPr>
                    </w:pPr>
                  </w:p>
                  <w:p>
                    <w:pPr>
                      <w:spacing w:line="261" w:lineRule="auto" w:before="1"/>
                      <w:ind w:left="62" w:right="-106" w:firstLine="18"/>
                      <w:jc w:val="left"/>
                      <w:rPr>
                        <w:sz w:val="7"/>
                      </w:rPr>
                    </w:pPr>
                    <w:r>
                      <w:rPr>
                        <w:w w:val="105"/>
                        <w:sz w:val="7"/>
                      </w:rPr>
                      <w:t>20%</w:t>
                    </w:r>
                    <w:r>
                      <w:rPr>
                        <w:w w:val="104"/>
                        <w:sz w:val="7"/>
                      </w:rPr>
                      <w:t> </w:t>
                    </w:r>
                    <w:r>
                      <w:rPr>
                        <w:w w:val="105"/>
                        <w:sz w:val="7"/>
                      </w:rPr>
                      <w:t>SP</w:t>
                    </w:r>
                  </w:p>
                </w:txbxContent>
              </v:textbox>
              <v:fill type="solid"/>
              <w10:wrap type="none"/>
            </v:shape>
            <v:shape style="position:absolute;left:9687;top:678;width:267;height:288" type="#_x0000_t202" filled="false" stroked="false">
              <v:textbox inset="0,0,0,0">
                <w:txbxContent>
                  <w:p>
                    <w:pPr>
                      <w:spacing w:line="91" w:lineRule="exact" w:before="0"/>
                      <w:ind w:left="40" w:right="0" w:firstLine="0"/>
                      <w:jc w:val="left"/>
                      <w:rPr>
                        <w:sz w:val="8"/>
                      </w:rPr>
                    </w:pPr>
                    <w:r>
                      <w:rPr>
                        <w:sz w:val="8"/>
                      </w:rPr>
                      <w:t>25%</w:t>
                    </w:r>
                  </w:p>
                  <w:p>
                    <w:pPr>
                      <w:spacing w:line="256" w:lineRule="auto" w:before="6"/>
                      <w:ind w:left="0" w:right="6" w:firstLine="37"/>
                      <w:jc w:val="left"/>
                      <w:rPr>
                        <w:sz w:val="8"/>
                      </w:rPr>
                    </w:pPr>
                    <w:r>
                      <w:rPr>
                        <w:sz w:val="8"/>
                      </w:rPr>
                      <w:t>Gov. Assets</w:t>
                    </w:r>
                  </w:p>
                </w:txbxContent>
              </v:textbox>
              <w10:wrap type="none"/>
            </v:shape>
            <v:shape style="position:absolute;left:8173;top:629;width:506;height:384" type="#_x0000_t202" filled="false" stroked="false">
              <v:textbox inset="0,0,0,0">
                <w:txbxContent>
                  <w:p>
                    <w:pPr>
                      <w:spacing w:line="122" w:lineRule="exact" w:before="0"/>
                      <w:ind w:left="0" w:right="17" w:firstLine="0"/>
                      <w:jc w:val="center"/>
                      <w:rPr>
                        <w:sz w:val="11"/>
                      </w:rPr>
                    </w:pPr>
                    <w:r>
                      <w:rPr>
                        <w:sz w:val="11"/>
                      </w:rPr>
                      <w:t>110%</w:t>
                    </w:r>
                  </w:p>
                  <w:p>
                    <w:pPr>
                      <w:spacing w:line="247" w:lineRule="auto" w:before="4"/>
                      <w:ind w:left="0" w:right="18" w:firstLine="0"/>
                      <w:jc w:val="center"/>
                      <w:rPr>
                        <w:sz w:val="11"/>
                      </w:rPr>
                    </w:pPr>
                    <w:r>
                      <w:rPr>
                        <w:spacing w:val="-1"/>
                        <w:sz w:val="11"/>
                      </w:rPr>
                      <w:t>Corporate </w:t>
                    </w:r>
                    <w:r>
                      <w:rPr>
                        <w:sz w:val="11"/>
                      </w:rPr>
                      <w:t>Assets</w:t>
                    </w:r>
                  </w:p>
                </w:txbxContent>
              </v:textbox>
              <w10:wrap type="none"/>
            </v:shape>
            <v:shape style="position:absolute;left:6036;top:629;width:543;height:384" type="#_x0000_t202" filled="false" stroked="false">
              <v:textbox inset="0,0,0,0">
                <w:txbxContent>
                  <w:p>
                    <w:pPr>
                      <w:spacing w:line="122" w:lineRule="exact" w:before="0"/>
                      <w:ind w:left="0" w:right="18" w:firstLine="0"/>
                      <w:jc w:val="center"/>
                      <w:rPr>
                        <w:sz w:val="11"/>
                      </w:rPr>
                    </w:pPr>
                    <w:r>
                      <w:rPr>
                        <w:sz w:val="11"/>
                      </w:rPr>
                      <w:t>245%</w:t>
                    </w:r>
                  </w:p>
                  <w:p>
                    <w:pPr>
                      <w:spacing w:line="247" w:lineRule="auto" w:before="4"/>
                      <w:ind w:left="-1" w:right="18" w:firstLine="0"/>
                      <w:jc w:val="center"/>
                      <w:rPr>
                        <w:sz w:val="11"/>
                      </w:rPr>
                    </w:pPr>
                    <w:r>
                      <w:rPr>
                        <w:spacing w:val="-1"/>
                        <w:sz w:val="11"/>
                      </w:rPr>
                      <w:t>Household </w:t>
                    </w:r>
                    <w:r>
                      <w:rPr>
                        <w:sz w:val="11"/>
                      </w:rPr>
                      <w:t>Assets</w:t>
                    </w:r>
                  </w:p>
                </w:txbxContent>
              </v:textbox>
              <w10:wrap type="none"/>
            </v:shape>
            <v:shape style="position:absolute;left:3337;top:629;width:347;height:384" type="#_x0000_t202" filled="false" stroked="false">
              <v:textbox inset="0,0,0,0">
                <w:txbxContent>
                  <w:p>
                    <w:pPr>
                      <w:spacing w:line="122" w:lineRule="exact" w:before="0"/>
                      <w:ind w:left="24" w:right="0" w:firstLine="0"/>
                      <w:jc w:val="left"/>
                      <w:rPr>
                        <w:sz w:val="11"/>
                      </w:rPr>
                    </w:pPr>
                    <w:r>
                      <w:rPr>
                        <w:sz w:val="11"/>
                      </w:rPr>
                      <w:t>250%</w:t>
                    </w:r>
                  </w:p>
                  <w:p>
                    <w:pPr>
                      <w:spacing w:line="247" w:lineRule="auto" w:before="4"/>
                      <w:ind w:left="0" w:right="2" w:firstLine="42"/>
                      <w:jc w:val="left"/>
                      <w:rPr>
                        <w:sz w:val="11"/>
                      </w:rPr>
                    </w:pPr>
                    <w:r>
                      <w:rPr>
                        <w:sz w:val="11"/>
                      </w:rPr>
                      <w:t>RoW </w:t>
                    </w:r>
                    <w:r>
                      <w:rPr>
                        <w:spacing w:val="-1"/>
                        <w:sz w:val="11"/>
                      </w:rPr>
                      <w:t>Assets</w:t>
                    </w:r>
                  </w:p>
                </w:txbxContent>
              </v:textbox>
              <w10:wrap type="none"/>
            </v:shape>
            <v:shape style="position:absolute;left:6078;top:3227;width:248;height:927" type="#_x0000_t202" filled="true" fillcolor="#b5cb85" stroked="true" strokeweight=".109pt" strokecolor="#000000">
              <v:textbox inset="0,0,0,0">
                <w:txbxContent>
                  <w:p>
                    <w:pPr>
                      <w:spacing w:line="240" w:lineRule="auto" w:before="0"/>
                      <w:rPr>
                        <w:sz w:val="8"/>
                      </w:rPr>
                    </w:pPr>
                  </w:p>
                  <w:p>
                    <w:pPr>
                      <w:spacing w:line="240" w:lineRule="auto" w:before="0"/>
                      <w:rPr>
                        <w:sz w:val="8"/>
                      </w:rPr>
                    </w:pPr>
                  </w:p>
                  <w:p>
                    <w:pPr>
                      <w:spacing w:line="240" w:lineRule="auto" w:before="0"/>
                      <w:rPr>
                        <w:sz w:val="8"/>
                      </w:rPr>
                    </w:pPr>
                  </w:p>
                  <w:p>
                    <w:pPr>
                      <w:spacing w:line="240" w:lineRule="auto" w:before="5"/>
                      <w:rPr>
                        <w:sz w:val="8"/>
                      </w:rPr>
                    </w:pPr>
                  </w:p>
                  <w:p>
                    <w:pPr>
                      <w:spacing w:line="261" w:lineRule="auto" w:before="0"/>
                      <w:ind w:left="26" w:right="17" w:firstLine="22"/>
                      <w:jc w:val="left"/>
                      <w:rPr>
                        <w:sz w:val="7"/>
                      </w:rPr>
                    </w:pPr>
                    <w:r>
                      <w:rPr>
                        <w:w w:val="105"/>
                        <w:sz w:val="7"/>
                      </w:rPr>
                      <w:t>15% </w:t>
                    </w:r>
                    <w:r>
                      <w:rPr>
                        <w:sz w:val="7"/>
                      </w:rPr>
                      <w:t>CCPs</w:t>
                    </w:r>
                  </w:p>
                </w:txbxContent>
              </v:textbox>
              <v:fill type="solid"/>
              <v:stroke dashstyle="solid"/>
              <w10:wrap type="none"/>
            </v:shape>
            <v:shape style="position:absolute;left:5995;top:2142;width:413;height:936" type="#_x0000_t202" filled="true" fillcolor="#b5cb85" stroked="true" strokeweight=".109pt" strokecolor="#000000">
              <v:textbox inset="0,0,0,0">
                <w:txbxContent>
                  <w:p>
                    <w:pPr>
                      <w:spacing w:line="240" w:lineRule="auto" w:before="0"/>
                      <w:rPr>
                        <w:sz w:val="10"/>
                      </w:rPr>
                    </w:pPr>
                  </w:p>
                  <w:p>
                    <w:pPr>
                      <w:spacing w:line="240" w:lineRule="auto" w:before="0"/>
                      <w:rPr>
                        <w:sz w:val="10"/>
                      </w:rPr>
                    </w:pPr>
                  </w:p>
                  <w:p>
                    <w:pPr>
                      <w:spacing w:before="69"/>
                      <w:ind w:left="112" w:right="0" w:firstLine="0"/>
                      <w:jc w:val="left"/>
                      <w:rPr>
                        <w:sz w:val="9"/>
                      </w:rPr>
                    </w:pPr>
                    <w:r>
                      <w:rPr>
                        <w:sz w:val="9"/>
                      </w:rPr>
                      <w:t>25%</w:t>
                    </w:r>
                  </w:p>
                  <w:p>
                    <w:pPr>
                      <w:spacing w:line="254" w:lineRule="auto" w:before="6"/>
                      <w:ind w:left="37" w:right="23" w:firstLine="13"/>
                      <w:jc w:val="left"/>
                      <w:rPr>
                        <w:sz w:val="9"/>
                      </w:rPr>
                    </w:pPr>
                    <w:r>
                      <w:rPr>
                        <w:sz w:val="9"/>
                      </w:rPr>
                      <w:t>Bank of England</w:t>
                    </w:r>
                  </w:p>
                </w:txbxContent>
              </v:textbox>
              <v:fill type="solid"/>
              <v:stroke dashstyle="solid"/>
              <w10:wrap type="none"/>
            </v:shape>
            <v:shape style="position:absolute;left:6666;top:2026;width:3006;height:2260" type="#_x0000_t202" filled="false" stroked="true" strokeweight=".109pt" strokecolor="#000000">
              <v:textbox inset="0,0,0,0">
                <w:txbxContent>
                  <w:p>
                    <w:pPr>
                      <w:spacing w:line="240" w:lineRule="auto" w:before="0"/>
                      <w:rPr>
                        <w:sz w:val="12"/>
                      </w:rPr>
                    </w:pPr>
                  </w:p>
                  <w:p>
                    <w:pPr>
                      <w:spacing w:line="240" w:lineRule="auto" w:before="0"/>
                      <w:rPr>
                        <w:sz w:val="12"/>
                      </w:rPr>
                    </w:pPr>
                  </w:p>
                  <w:p>
                    <w:pPr>
                      <w:spacing w:line="240" w:lineRule="auto" w:before="9"/>
                      <w:rPr>
                        <w:sz w:val="14"/>
                      </w:rPr>
                    </w:pPr>
                  </w:p>
                  <w:p>
                    <w:pPr>
                      <w:spacing w:before="0"/>
                      <w:ind w:left="108" w:right="1605" w:firstLine="0"/>
                      <w:jc w:val="center"/>
                      <w:rPr>
                        <w:sz w:val="11"/>
                      </w:rPr>
                    </w:pPr>
                    <w:r>
                      <w:rPr>
                        <w:sz w:val="11"/>
                      </w:rPr>
                      <w:t>80%</w:t>
                    </w:r>
                  </w:p>
                  <w:p>
                    <w:pPr>
                      <w:spacing w:before="6"/>
                      <w:ind w:left="108" w:right="1604" w:firstLine="0"/>
                      <w:jc w:val="center"/>
                      <w:rPr>
                        <w:sz w:val="11"/>
                      </w:rPr>
                    </w:pPr>
                    <w:r>
                      <w:rPr>
                        <w:sz w:val="11"/>
                      </w:rPr>
                      <w:t>Pension Funds</w:t>
                    </w: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5"/>
                      <w:rPr>
                        <w:sz w:val="11"/>
                      </w:rPr>
                    </w:pPr>
                  </w:p>
                  <w:p>
                    <w:pPr>
                      <w:spacing w:before="0"/>
                      <w:ind w:left="108" w:right="2193" w:firstLine="0"/>
                      <w:jc w:val="center"/>
                      <w:rPr>
                        <w:sz w:val="11"/>
                      </w:rPr>
                    </w:pPr>
                    <w:r>
                      <w:rPr>
                        <w:sz w:val="11"/>
                      </w:rPr>
                      <w:t>50%</w:t>
                    </w:r>
                  </w:p>
                  <w:p>
                    <w:pPr>
                      <w:spacing w:before="4"/>
                      <w:ind w:left="108" w:right="2194" w:firstLine="0"/>
                      <w:jc w:val="center"/>
                      <w:rPr>
                        <w:sz w:val="11"/>
                      </w:rPr>
                    </w:pPr>
                    <w:r>
                      <w:rPr>
                        <w:sz w:val="11"/>
                      </w:rPr>
                      <w:t>Hedge Funds</w:t>
                    </w:r>
                  </w:p>
                </w:txbxContent>
              </v:textbox>
              <v:stroke dashstyle="solid"/>
              <w10:wrap type="none"/>
            </v:shape>
            <v:shape style="position:absolute;left:8890;top:3227;width:522;height:929" type="#_x0000_t202" filled="true" fillcolor="#ffc000" stroked="true" strokeweight=".109pt" strokecolor="#000000">
              <v:textbox inset="0,0,0,0">
                <w:txbxContent>
                  <w:p>
                    <w:pPr>
                      <w:spacing w:line="240" w:lineRule="auto" w:before="0"/>
                      <w:rPr>
                        <w:sz w:val="12"/>
                      </w:rPr>
                    </w:pPr>
                  </w:p>
                  <w:p>
                    <w:pPr>
                      <w:spacing w:line="240" w:lineRule="auto" w:before="7"/>
                      <w:rPr>
                        <w:sz w:val="10"/>
                      </w:rPr>
                    </w:pPr>
                  </w:p>
                  <w:p>
                    <w:pPr>
                      <w:spacing w:before="0"/>
                      <w:ind w:left="17" w:right="18" w:firstLine="0"/>
                      <w:jc w:val="center"/>
                      <w:rPr>
                        <w:sz w:val="11"/>
                      </w:rPr>
                    </w:pPr>
                    <w:r>
                      <w:rPr>
                        <w:sz w:val="11"/>
                      </w:rPr>
                      <w:t>40%</w:t>
                    </w:r>
                  </w:p>
                  <w:p>
                    <w:pPr>
                      <w:spacing w:line="247" w:lineRule="auto" w:before="6"/>
                      <w:ind w:left="19" w:right="18" w:firstLine="0"/>
                      <w:jc w:val="center"/>
                      <w:rPr>
                        <w:sz w:val="11"/>
                      </w:rPr>
                    </w:pPr>
                    <w:r>
                      <w:rPr>
                        <w:sz w:val="11"/>
                      </w:rPr>
                      <w:t>OEIC </w:t>
                    </w:r>
                    <w:r>
                      <w:rPr>
                        <w:spacing w:val="-6"/>
                        <w:sz w:val="11"/>
                      </w:rPr>
                      <w:t>and </w:t>
                    </w:r>
                    <w:r>
                      <w:rPr>
                        <w:sz w:val="11"/>
                      </w:rPr>
                      <w:t>AUTs</w:t>
                    </w:r>
                  </w:p>
                </w:txbxContent>
              </v:textbox>
              <v:fill type="solid"/>
              <v:stroke dashstyle="solid"/>
              <w10:wrap type="none"/>
            </v:shape>
            <v:shape style="position:absolute;left:7813;top:3227;width:820;height:929" type="#_x0000_t202" filled="true" fillcolor="#eb4e3d" stroked="true" strokeweight=".109pt" strokecolor="#000000">
              <v:textbox inset="0,0,0,0">
                <w:txbxContent>
                  <w:p>
                    <w:pPr>
                      <w:spacing w:line="240" w:lineRule="auto" w:before="0"/>
                      <w:rPr>
                        <w:sz w:val="10"/>
                      </w:rPr>
                    </w:pPr>
                  </w:p>
                  <w:p>
                    <w:pPr>
                      <w:spacing w:line="240" w:lineRule="auto" w:before="2"/>
                      <w:rPr>
                        <w:sz w:val="14"/>
                      </w:rPr>
                    </w:pPr>
                  </w:p>
                  <w:p>
                    <w:pPr>
                      <w:spacing w:before="0"/>
                      <w:ind w:left="108" w:right="109" w:firstLine="0"/>
                      <w:jc w:val="center"/>
                      <w:rPr>
                        <w:sz w:val="10"/>
                      </w:rPr>
                    </w:pPr>
                    <w:r>
                      <w:rPr>
                        <w:sz w:val="10"/>
                      </w:rPr>
                      <w:t>50%</w:t>
                    </w:r>
                  </w:p>
                  <w:p>
                    <w:pPr>
                      <w:spacing w:line="252" w:lineRule="auto" w:before="5"/>
                      <w:ind w:left="110" w:right="109" w:firstLine="0"/>
                      <w:jc w:val="center"/>
                      <w:rPr>
                        <w:sz w:val="10"/>
                      </w:rPr>
                    </w:pPr>
                    <w:r>
                      <w:rPr>
                        <w:w w:val="95"/>
                        <w:sz w:val="10"/>
                      </w:rPr>
                      <w:t>Unauthorised </w:t>
                    </w:r>
                    <w:r>
                      <w:rPr>
                        <w:sz w:val="10"/>
                      </w:rPr>
                      <w:t>funds</w:t>
                    </w:r>
                  </w:p>
                </w:txbxContent>
              </v:textbox>
              <v:fill type="solid"/>
              <v:stroke dashstyle="solid"/>
              <w10:wrap type="none"/>
            </v:shape>
            <v:shape style="position:absolute;left:8194;top:2151;width:1344;height:929" type="#_x0000_t202" filled="true" fillcolor="#ffc000" stroked="true" strokeweight=".109pt" strokecolor="#000000">
              <v:textbox inset="0,0,0,0">
                <w:txbxContent>
                  <w:p>
                    <w:pPr>
                      <w:spacing w:line="240" w:lineRule="auto" w:before="0"/>
                      <w:rPr>
                        <w:sz w:val="12"/>
                      </w:rPr>
                    </w:pPr>
                  </w:p>
                  <w:p>
                    <w:pPr>
                      <w:spacing w:line="240" w:lineRule="auto" w:before="4"/>
                      <w:rPr>
                        <w:sz w:val="16"/>
                      </w:rPr>
                    </w:pPr>
                  </w:p>
                  <w:p>
                    <w:pPr>
                      <w:spacing w:before="0"/>
                      <w:ind w:left="115" w:right="115" w:firstLine="0"/>
                      <w:jc w:val="center"/>
                      <w:rPr>
                        <w:sz w:val="11"/>
                      </w:rPr>
                    </w:pPr>
                    <w:r>
                      <w:rPr>
                        <w:sz w:val="11"/>
                      </w:rPr>
                      <w:t>80%</w:t>
                    </w:r>
                  </w:p>
                  <w:p>
                    <w:pPr>
                      <w:spacing w:before="5"/>
                      <w:ind w:left="115" w:right="115" w:firstLine="0"/>
                      <w:jc w:val="center"/>
                      <w:rPr>
                        <w:sz w:val="11"/>
                      </w:rPr>
                    </w:pPr>
                    <w:r>
                      <w:rPr>
                        <w:sz w:val="11"/>
                      </w:rPr>
                      <w:t>Insurance Companies</w:t>
                    </w:r>
                  </w:p>
                </w:txbxContent>
              </v:textbox>
              <v:fill type="solid"/>
              <v:stroke dashstyle="solid"/>
              <w10:wrap type="none"/>
            </v:shape>
            <v:shape style="position:absolute;left:4975;top:3227;width:382;height:929" type="#_x0000_t202" filled="true" fillcolor="#b5cb85" stroked="true" strokeweight=".109pt" strokecolor="#000000">
              <v:textbox inset="0,0,0,0">
                <w:txbxContent>
                  <w:p>
                    <w:pPr>
                      <w:spacing w:line="240" w:lineRule="auto" w:before="0"/>
                      <w:rPr>
                        <w:sz w:val="10"/>
                      </w:rPr>
                    </w:pPr>
                  </w:p>
                  <w:p>
                    <w:pPr>
                      <w:spacing w:line="240" w:lineRule="auto" w:before="11"/>
                      <w:rPr>
                        <w:sz w:val="8"/>
                      </w:rPr>
                    </w:pPr>
                  </w:p>
                  <w:p>
                    <w:pPr>
                      <w:spacing w:before="0"/>
                      <w:ind w:left="69" w:right="70" w:firstLine="0"/>
                      <w:jc w:val="center"/>
                      <w:rPr>
                        <w:sz w:val="10"/>
                      </w:rPr>
                    </w:pPr>
                    <w:r>
                      <w:rPr>
                        <w:sz w:val="10"/>
                      </w:rPr>
                      <w:t>30%</w:t>
                    </w:r>
                  </w:p>
                  <w:p>
                    <w:pPr>
                      <w:spacing w:line="252" w:lineRule="auto" w:before="5"/>
                      <w:ind w:left="49" w:right="49" w:hanging="1"/>
                      <w:jc w:val="center"/>
                      <w:rPr>
                        <w:sz w:val="10"/>
                      </w:rPr>
                    </w:pPr>
                    <w:r>
                      <w:rPr>
                        <w:sz w:val="10"/>
                      </w:rPr>
                      <w:t>RoW Inv. </w:t>
                    </w:r>
                    <w:r>
                      <w:rPr>
                        <w:w w:val="95"/>
                        <w:sz w:val="10"/>
                      </w:rPr>
                      <w:t>Banks</w:t>
                    </w:r>
                  </w:p>
                </w:txbxContent>
              </v:textbox>
              <v:fill type="solid"/>
              <v:stroke dashstyle="solid"/>
              <w10:wrap type="none"/>
            </v:shape>
            <v:shape style="position:absolute;left:3876;top:3227;width:609;height:929" type="#_x0000_t202" filled="true" fillcolor="#b5cb85" stroked="true" strokeweight=".109pt" strokecolor="#000000">
              <v:textbox inset="0,0,0,0">
                <w:txbxContent>
                  <w:p>
                    <w:pPr>
                      <w:spacing w:line="240" w:lineRule="auto" w:before="0"/>
                      <w:rPr>
                        <w:sz w:val="12"/>
                      </w:rPr>
                    </w:pPr>
                  </w:p>
                  <w:p>
                    <w:pPr>
                      <w:spacing w:line="240" w:lineRule="auto" w:before="7"/>
                      <w:rPr>
                        <w:sz w:val="10"/>
                      </w:rPr>
                    </w:pPr>
                  </w:p>
                  <w:p>
                    <w:pPr>
                      <w:spacing w:before="0"/>
                      <w:ind w:left="73" w:right="74" w:firstLine="0"/>
                      <w:jc w:val="center"/>
                      <w:rPr>
                        <w:sz w:val="11"/>
                      </w:rPr>
                    </w:pPr>
                    <w:r>
                      <w:rPr>
                        <w:sz w:val="11"/>
                      </w:rPr>
                      <w:t>35%</w:t>
                    </w:r>
                  </w:p>
                  <w:p>
                    <w:pPr>
                      <w:spacing w:line="247" w:lineRule="auto" w:before="6"/>
                      <w:ind w:left="74" w:right="74" w:firstLine="0"/>
                      <w:jc w:val="center"/>
                      <w:rPr>
                        <w:sz w:val="11"/>
                      </w:rPr>
                    </w:pPr>
                    <w:r>
                      <w:rPr>
                        <w:sz w:val="11"/>
                      </w:rPr>
                      <w:t>UK Other Banks</w:t>
                    </w:r>
                  </w:p>
                </w:txbxContent>
              </v:textbox>
              <v:fill type="solid"/>
              <v:stroke dashstyle="solid"/>
              <w10:wrap type="none"/>
            </v:shape>
            <v:shape style="position:absolute;left:2744;top:3227;width:1007;height:929" type="#_x0000_t202" filled="true" fillcolor="#b5cb85" stroked="true" strokeweight=".109pt" strokecolor="#000000">
              <v:textbox inset="0,0,0,0">
                <w:txbxContent>
                  <w:p>
                    <w:pPr>
                      <w:spacing w:line="240" w:lineRule="auto" w:before="0"/>
                      <w:rPr>
                        <w:sz w:val="12"/>
                      </w:rPr>
                    </w:pPr>
                  </w:p>
                  <w:p>
                    <w:pPr>
                      <w:spacing w:line="240" w:lineRule="auto" w:before="7"/>
                      <w:rPr>
                        <w:sz w:val="10"/>
                      </w:rPr>
                    </w:pPr>
                  </w:p>
                  <w:p>
                    <w:pPr>
                      <w:spacing w:before="0"/>
                      <w:ind w:left="160" w:right="161" w:firstLine="0"/>
                      <w:jc w:val="center"/>
                      <w:rPr>
                        <w:sz w:val="11"/>
                      </w:rPr>
                    </w:pPr>
                    <w:r>
                      <w:rPr>
                        <w:sz w:val="11"/>
                      </w:rPr>
                      <w:t>60%</w:t>
                    </w:r>
                  </w:p>
                  <w:p>
                    <w:pPr>
                      <w:spacing w:line="247" w:lineRule="auto" w:before="6"/>
                      <w:ind w:left="161" w:right="161" w:firstLine="0"/>
                      <w:jc w:val="center"/>
                      <w:rPr>
                        <w:sz w:val="11"/>
                      </w:rPr>
                    </w:pPr>
                    <w:r>
                      <w:rPr>
                        <w:sz w:val="11"/>
                      </w:rPr>
                      <w:t>UK Domestic Banks</w:t>
                    </w:r>
                  </w:p>
                </w:txbxContent>
              </v:textbox>
              <v:fill type="solid"/>
              <v:stroke dashstyle="solid"/>
              <w10:wrap type="none"/>
            </v:shape>
            <v:shape style="position:absolute;left:2746;top:2151;width:2662;height:929" type="#_x0000_t202" filled="true" fillcolor="#b5cb85" stroked="true" strokeweight=".109pt" strokecolor="#000000">
              <v:textbox inset="0,0,0,0">
                <w:txbxContent>
                  <w:p>
                    <w:pPr>
                      <w:spacing w:line="240" w:lineRule="auto" w:before="0"/>
                      <w:rPr>
                        <w:sz w:val="12"/>
                      </w:rPr>
                    </w:pPr>
                  </w:p>
                  <w:p>
                    <w:pPr>
                      <w:spacing w:line="240" w:lineRule="auto" w:before="4"/>
                      <w:rPr>
                        <w:sz w:val="16"/>
                      </w:rPr>
                    </w:pPr>
                  </w:p>
                  <w:p>
                    <w:pPr>
                      <w:spacing w:before="0"/>
                      <w:ind w:left="820" w:right="820" w:firstLine="0"/>
                      <w:jc w:val="center"/>
                      <w:rPr>
                        <w:sz w:val="11"/>
                      </w:rPr>
                    </w:pPr>
                    <w:r>
                      <w:rPr>
                        <w:sz w:val="11"/>
                      </w:rPr>
                      <w:t>180%</w:t>
                    </w:r>
                  </w:p>
                  <w:p>
                    <w:pPr>
                      <w:spacing w:before="5"/>
                      <w:ind w:left="820" w:right="820" w:firstLine="0"/>
                      <w:jc w:val="center"/>
                      <w:rPr>
                        <w:sz w:val="11"/>
                      </w:rPr>
                    </w:pPr>
                    <w:r>
                      <w:rPr>
                        <w:sz w:val="11"/>
                      </w:rPr>
                      <w:t>UK Universal Banks</w:t>
                    </w:r>
                  </w:p>
                </w:txbxContent>
              </v:textbox>
              <v:fill type="solid"/>
              <v:stroke dashstyle="solid"/>
              <w10:wrap type="none"/>
            </v:shape>
            <w10:wrap type="none"/>
          </v:group>
        </w:pict>
      </w:r>
      <w:r>
        <w:rPr>
          <w:w w:val="105"/>
        </w:rPr>
        <w:t>Chart 15: Availability of data on the UK financial system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3"/>
        </w:rPr>
      </w:pPr>
    </w:p>
    <w:tbl>
      <w:tblPr>
        <w:tblW w:w="0" w:type="auto"/>
        <w:jc w:val="left"/>
        <w:tblInd w:w="10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243"/>
        <w:gridCol w:w="355"/>
        <w:gridCol w:w="806"/>
        <w:gridCol w:w="283"/>
        <w:gridCol w:w="2013"/>
        <w:gridCol w:w="283"/>
        <w:gridCol w:w="660"/>
      </w:tblGrid>
      <w:tr>
        <w:trPr>
          <w:trHeight w:val="123" w:hRule="atLeast"/>
        </w:trPr>
        <w:tc>
          <w:tcPr>
            <w:tcW w:w="3243" w:type="dxa"/>
            <w:tcBorders>
              <w:right w:val="nil"/>
            </w:tcBorders>
            <w:shd w:val="clear" w:color="auto" w:fill="FCE4D1"/>
          </w:tcPr>
          <w:p>
            <w:pPr>
              <w:pStyle w:val="TableParagraph"/>
              <w:rPr>
                <w:rFonts w:ascii="Times New Roman"/>
                <w:sz w:val="6"/>
              </w:rPr>
            </w:pPr>
          </w:p>
        </w:tc>
        <w:tc>
          <w:tcPr>
            <w:tcW w:w="355" w:type="dxa"/>
            <w:vMerge w:val="restart"/>
            <w:shd w:val="clear" w:color="auto" w:fill="FCE4D1"/>
          </w:tcPr>
          <w:p>
            <w:pPr>
              <w:pStyle w:val="TableParagraph"/>
              <w:rPr>
                <w:rFonts w:ascii="Times New Roman"/>
                <w:sz w:val="14"/>
              </w:rPr>
            </w:pPr>
          </w:p>
        </w:tc>
        <w:tc>
          <w:tcPr>
            <w:tcW w:w="806" w:type="dxa"/>
            <w:tcBorders>
              <w:left w:val="nil"/>
              <w:right w:val="nil"/>
            </w:tcBorders>
            <w:shd w:val="clear" w:color="auto" w:fill="FCE4D1"/>
          </w:tcPr>
          <w:p>
            <w:pPr>
              <w:pStyle w:val="TableParagraph"/>
              <w:rPr>
                <w:rFonts w:ascii="Times New Roman"/>
                <w:sz w:val="6"/>
              </w:rPr>
            </w:pPr>
          </w:p>
        </w:tc>
        <w:tc>
          <w:tcPr>
            <w:tcW w:w="283" w:type="dxa"/>
            <w:vMerge w:val="restart"/>
            <w:shd w:val="clear" w:color="auto" w:fill="FCE4D1"/>
          </w:tcPr>
          <w:p>
            <w:pPr>
              <w:pStyle w:val="TableParagraph"/>
              <w:rPr>
                <w:rFonts w:ascii="Times New Roman"/>
                <w:sz w:val="14"/>
              </w:rPr>
            </w:pPr>
          </w:p>
        </w:tc>
        <w:tc>
          <w:tcPr>
            <w:tcW w:w="2013" w:type="dxa"/>
            <w:tcBorders>
              <w:left w:val="nil"/>
              <w:right w:val="nil"/>
            </w:tcBorders>
            <w:shd w:val="clear" w:color="auto" w:fill="FCE4D1"/>
          </w:tcPr>
          <w:p>
            <w:pPr>
              <w:pStyle w:val="TableParagraph"/>
              <w:rPr>
                <w:rFonts w:ascii="Times New Roman"/>
                <w:sz w:val="6"/>
              </w:rPr>
            </w:pPr>
          </w:p>
        </w:tc>
        <w:tc>
          <w:tcPr>
            <w:tcW w:w="283" w:type="dxa"/>
            <w:vMerge w:val="restart"/>
            <w:shd w:val="clear" w:color="auto" w:fill="FCE4D1"/>
          </w:tcPr>
          <w:p>
            <w:pPr>
              <w:pStyle w:val="TableParagraph"/>
              <w:rPr>
                <w:rFonts w:ascii="Times New Roman"/>
                <w:sz w:val="14"/>
              </w:rPr>
            </w:pPr>
          </w:p>
        </w:tc>
        <w:tc>
          <w:tcPr>
            <w:tcW w:w="660" w:type="dxa"/>
            <w:tcBorders>
              <w:left w:val="nil"/>
            </w:tcBorders>
            <w:shd w:val="clear" w:color="auto" w:fill="FCE4D1"/>
          </w:tcPr>
          <w:p>
            <w:pPr>
              <w:pStyle w:val="TableParagraph"/>
              <w:rPr>
                <w:rFonts w:ascii="Times New Roman"/>
                <w:sz w:val="6"/>
              </w:rPr>
            </w:pPr>
          </w:p>
        </w:tc>
      </w:tr>
      <w:tr>
        <w:trPr>
          <w:trHeight w:val="898" w:hRule="atLeast"/>
        </w:trPr>
        <w:tc>
          <w:tcPr>
            <w:tcW w:w="3243" w:type="dxa"/>
            <w:tcBorders>
              <w:left w:val="single" w:sz="4" w:space="0" w:color="000000"/>
            </w:tcBorders>
            <w:shd w:val="clear" w:color="auto" w:fill="FFC000"/>
          </w:tcPr>
          <w:p>
            <w:pPr>
              <w:pStyle w:val="TableParagraph"/>
              <w:rPr>
                <w:b/>
                <w:sz w:val="12"/>
              </w:rPr>
            </w:pPr>
          </w:p>
          <w:p>
            <w:pPr>
              <w:pStyle w:val="TableParagraph"/>
              <w:spacing w:before="5"/>
              <w:rPr>
                <w:b/>
                <w:sz w:val="9"/>
              </w:rPr>
            </w:pPr>
          </w:p>
          <w:p>
            <w:pPr>
              <w:pStyle w:val="TableParagraph"/>
              <w:ind w:left="1458" w:right="1456"/>
              <w:jc w:val="center"/>
              <w:rPr>
                <w:sz w:val="11"/>
              </w:rPr>
            </w:pPr>
            <w:r>
              <w:rPr>
                <w:sz w:val="11"/>
              </w:rPr>
              <w:t>305%</w:t>
            </w:r>
          </w:p>
          <w:p>
            <w:pPr>
              <w:pStyle w:val="TableParagraph"/>
              <w:spacing w:line="249" w:lineRule="auto" w:before="5"/>
              <w:ind w:left="1395" w:right="1388" w:hanging="1"/>
              <w:jc w:val="center"/>
              <w:rPr>
                <w:sz w:val="11"/>
              </w:rPr>
            </w:pPr>
            <w:r>
              <w:rPr>
                <w:sz w:val="11"/>
              </w:rPr>
              <w:t>RoW Liabilities</w:t>
            </w:r>
          </w:p>
        </w:tc>
        <w:tc>
          <w:tcPr>
            <w:tcW w:w="355" w:type="dxa"/>
            <w:vMerge/>
            <w:tcBorders>
              <w:top w:val="nil"/>
            </w:tcBorders>
            <w:shd w:val="clear" w:color="auto" w:fill="FCE4D1"/>
          </w:tcPr>
          <w:p>
            <w:pPr>
              <w:rPr>
                <w:sz w:val="2"/>
                <w:szCs w:val="2"/>
              </w:rPr>
            </w:pPr>
          </w:p>
        </w:tc>
        <w:tc>
          <w:tcPr>
            <w:tcW w:w="806" w:type="dxa"/>
            <w:shd w:val="clear" w:color="auto" w:fill="FFC000"/>
          </w:tcPr>
          <w:p>
            <w:pPr>
              <w:pStyle w:val="TableParagraph"/>
              <w:rPr>
                <w:b/>
                <w:sz w:val="12"/>
              </w:rPr>
            </w:pPr>
          </w:p>
          <w:p>
            <w:pPr>
              <w:pStyle w:val="TableParagraph"/>
              <w:spacing w:before="5"/>
              <w:rPr>
                <w:b/>
                <w:sz w:val="9"/>
              </w:rPr>
            </w:pPr>
          </w:p>
          <w:p>
            <w:pPr>
              <w:pStyle w:val="TableParagraph"/>
              <w:ind w:left="119" w:right="114"/>
              <w:jc w:val="center"/>
              <w:rPr>
                <w:sz w:val="11"/>
              </w:rPr>
            </w:pPr>
            <w:r>
              <w:rPr>
                <w:sz w:val="11"/>
              </w:rPr>
              <w:t>90%</w:t>
            </w:r>
          </w:p>
          <w:p>
            <w:pPr>
              <w:pStyle w:val="TableParagraph"/>
              <w:spacing w:line="249" w:lineRule="auto" w:before="5"/>
              <w:ind w:left="121" w:right="114"/>
              <w:jc w:val="center"/>
              <w:rPr>
                <w:sz w:val="11"/>
              </w:rPr>
            </w:pPr>
            <w:r>
              <w:rPr>
                <w:sz w:val="11"/>
              </w:rPr>
              <w:t>Household Liabilities</w:t>
            </w:r>
          </w:p>
        </w:tc>
        <w:tc>
          <w:tcPr>
            <w:tcW w:w="283" w:type="dxa"/>
            <w:vMerge/>
            <w:tcBorders>
              <w:top w:val="nil"/>
            </w:tcBorders>
            <w:shd w:val="clear" w:color="auto" w:fill="FCE4D1"/>
          </w:tcPr>
          <w:p>
            <w:pPr>
              <w:rPr>
                <w:sz w:val="2"/>
                <w:szCs w:val="2"/>
              </w:rPr>
            </w:pPr>
          </w:p>
        </w:tc>
        <w:tc>
          <w:tcPr>
            <w:tcW w:w="2013" w:type="dxa"/>
            <w:shd w:val="clear" w:color="auto" w:fill="FFC000"/>
          </w:tcPr>
          <w:p>
            <w:pPr>
              <w:pStyle w:val="TableParagraph"/>
              <w:rPr>
                <w:b/>
                <w:sz w:val="12"/>
              </w:rPr>
            </w:pPr>
          </w:p>
          <w:p>
            <w:pPr>
              <w:pStyle w:val="TableParagraph"/>
              <w:spacing w:before="5"/>
              <w:rPr>
                <w:b/>
                <w:sz w:val="9"/>
              </w:rPr>
            </w:pPr>
          </w:p>
          <w:p>
            <w:pPr>
              <w:pStyle w:val="TableParagraph"/>
              <w:ind w:left="742" w:right="735"/>
              <w:jc w:val="center"/>
              <w:rPr>
                <w:sz w:val="11"/>
              </w:rPr>
            </w:pPr>
            <w:r>
              <w:rPr>
                <w:sz w:val="11"/>
              </w:rPr>
              <w:t>220%</w:t>
            </w:r>
          </w:p>
          <w:p>
            <w:pPr>
              <w:pStyle w:val="TableParagraph"/>
              <w:spacing w:line="249" w:lineRule="auto" w:before="5"/>
              <w:ind w:left="743" w:right="735"/>
              <w:jc w:val="center"/>
              <w:rPr>
                <w:sz w:val="11"/>
              </w:rPr>
            </w:pPr>
            <w:r>
              <w:rPr>
                <w:sz w:val="11"/>
              </w:rPr>
              <w:t>Corporate Liabilities</w:t>
            </w:r>
          </w:p>
        </w:tc>
        <w:tc>
          <w:tcPr>
            <w:tcW w:w="283" w:type="dxa"/>
            <w:vMerge/>
            <w:tcBorders>
              <w:top w:val="nil"/>
            </w:tcBorders>
            <w:shd w:val="clear" w:color="auto" w:fill="FCE4D1"/>
          </w:tcPr>
          <w:p>
            <w:pPr>
              <w:rPr>
                <w:sz w:val="2"/>
                <w:szCs w:val="2"/>
              </w:rPr>
            </w:pPr>
          </w:p>
        </w:tc>
        <w:tc>
          <w:tcPr>
            <w:tcW w:w="660" w:type="dxa"/>
            <w:tcBorders>
              <w:right w:val="double" w:sz="1" w:space="0" w:color="000000"/>
            </w:tcBorders>
          </w:tcPr>
          <w:p>
            <w:pPr>
              <w:pStyle w:val="TableParagraph"/>
              <w:rPr>
                <w:b/>
                <w:sz w:val="12"/>
              </w:rPr>
            </w:pPr>
          </w:p>
          <w:p>
            <w:pPr>
              <w:pStyle w:val="TableParagraph"/>
              <w:spacing w:before="5"/>
              <w:rPr>
                <w:b/>
                <w:sz w:val="9"/>
              </w:rPr>
            </w:pPr>
          </w:p>
          <w:p>
            <w:pPr>
              <w:pStyle w:val="TableParagraph"/>
              <w:ind w:left="10" w:right="10"/>
              <w:jc w:val="center"/>
              <w:rPr>
                <w:sz w:val="11"/>
              </w:rPr>
            </w:pPr>
            <w:r>
              <w:rPr>
                <w:sz w:val="11"/>
              </w:rPr>
              <w:t>65%</w:t>
            </w:r>
          </w:p>
          <w:p>
            <w:pPr>
              <w:pStyle w:val="TableParagraph"/>
              <w:spacing w:line="249" w:lineRule="auto" w:before="5"/>
              <w:ind w:left="10" w:right="11"/>
              <w:jc w:val="center"/>
              <w:rPr>
                <w:sz w:val="11"/>
              </w:rPr>
            </w:pPr>
            <w:r>
              <w:rPr>
                <w:sz w:val="11"/>
              </w:rPr>
              <w:t>Government Liabilities</w:t>
            </w:r>
          </w:p>
        </w:tc>
      </w:tr>
    </w:tbl>
    <w:p>
      <w:pPr>
        <w:pStyle w:val="BodyText"/>
        <w:rPr>
          <w:b/>
          <w:sz w:val="20"/>
        </w:rPr>
      </w:pPr>
    </w:p>
    <w:p>
      <w:pPr>
        <w:pStyle w:val="BodyText"/>
        <w:spacing w:before="9"/>
        <w:rPr>
          <w:b/>
          <w:sz w:val="28"/>
        </w:rPr>
      </w:pPr>
    </w:p>
    <w:p>
      <w:pPr>
        <w:spacing w:before="95"/>
        <w:ind w:left="346" w:right="1451" w:firstLine="0"/>
        <w:jc w:val="left"/>
        <w:rPr>
          <w:sz w:val="15"/>
        </w:rPr>
      </w:pPr>
      <w:r>
        <w:rPr/>
        <w:pict>
          <v:group style="position:absolute;margin-left:114.599998pt;margin-top:-79.714935pt;width:383.1pt;height:51.6pt;mso-position-horizontal-relative:page;mso-position-vertical-relative:paragraph;z-index:-254766080" coordorigin="2292,-1594" coordsize="7662,1032">
            <v:rect style="position:absolute;left:2292;top:-1595;width:7662;height:1032" filled="true" fillcolor="#fce4d1" stroked="false">
              <v:fill type="solid"/>
            </v:rect>
            <v:rect style="position:absolute;left:9278;top:-1466;width:645;height:904" filled="true" fillcolor="#b5cb85" stroked="false">
              <v:fill type="solid"/>
            </v:rect>
            <w10:wrap type="none"/>
          </v:group>
        </w:pict>
      </w:r>
      <w:r>
        <w:rPr>
          <w:sz w:val="15"/>
        </w:rPr>
        <w:t>Source: ONS, IMA, FCA, BVCA, Financial statements, Regulatory Returns, Bank calculations. Notes: Balance sheets are sized net of derivatives and intrabank exposures and expressed as a percentage of GDP. The figure is illustrative in the sense that definitive data do not exist: data have been compiled from a range of sources to build the picture. This figure will be updated in forthcoming months.</w:t>
      </w:r>
    </w:p>
    <w:p>
      <w:pPr>
        <w:pStyle w:val="BodyText"/>
        <w:rPr>
          <w:sz w:val="20"/>
        </w:rPr>
      </w:pPr>
    </w:p>
    <w:p>
      <w:pPr>
        <w:pStyle w:val="BodyText"/>
        <w:rPr>
          <w:sz w:val="20"/>
        </w:rPr>
      </w:pPr>
    </w:p>
    <w:p>
      <w:pPr>
        <w:pStyle w:val="BodyText"/>
        <w:spacing w:before="6"/>
        <w:rPr>
          <w:sz w:val="21"/>
        </w:rPr>
      </w:pPr>
    </w:p>
    <w:p>
      <w:pPr>
        <w:pStyle w:val="Heading1"/>
        <w:spacing w:before="1"/>
      </w:pPr>
      <w:r>
        <w:rPr/>
        <w:pict>
          <v:shape style="position:absolute;margin-left:79.559998pt;margin-top:18.707260pt;width:140.550pt;height:.1pt;mso-position-horizontal-relative:page;mso-position-vertical-relative:paragraph;z-index:-251560960;mso-wrap-distance-left:0;mso-wrap-distance-right:0" coordorigin="1591,374" coordsize="2811,0" path="m1591,374l4402,374e" filled="false" stroked="true" strokeweight=".48001pt" strokecolor="#000080">
            <v:path arrowok="t"/>
            <v:stroke dashstyle="solid"/>
            <w10:wrap type="topAndBottom"/>
          </v:shape>
        </w:pict>
      </w:r>
      <w:r>
        <w:rPr/>
        <w:pict>
          <v:group style="position:absolute;margin-left:74.040009pt;margin-top:12.797284pt;width:464.05pt;height:187.2pt;mso-position-horizontal-relative:page;mso-position-vertical-relative:paragraph;z-index:-254754816" coordorigin="1481,256" coordsize="9281,3744">
            <v:shape style="position:absolute;left:2470;top:1002;width:2624;height:957" coordorigin="2471,1003" coordsize="2624,957" path="m3582,1003l2471,1003,2471,1959,3582,1959,3582,1003m5094,1003l3919,1003,3919,1959,5094,1959,5094,1003e" filled="true" fillcolor="#b7dee8" stroked="false">
              <v:path arrowok="t"/>
              <v:fill type="solid"/>
            </v:shape>
            <v:shape style="position:absolute;left:3577;top:1227;width:357;height:1089" coordorigin="3577,1227" coordsize="357,1089" path="m3918,1275l3910,1271,3910,1271,3910,1276,3910,1280,3907,1280,3893,1280,3900,1276,3907,1276,3910,1276,3910,1271,3839,1230,3836,1227,3834,1229,3832,1233,3832,1236,3834,1237,3891,1271,3582,1271,3582,1280,3893,1280,3834,1314,3832,1315,3832,1319,3833,1321,3834,1322,3836,1323,3839,1322,3910,1280,3918,1275m3934,1531l3919,1446,3918,1440,3846,1497,3845,1499,3845,1502,3846,1503,3847,1506,3851,1506,3852,1505,3904,1463,3577,2312,3586,2316,3913,1465,3924,1532,3925,1535,3928,1536,3932,1536,3934,1533,3934,1531e" filled="true" fillcolor="#000000" stroked="false">
              <v:path arrowok="t"/>
              <v:fill type="solid"/>
            </v:shape>
            <v:shape style="position:absolute;left:2470;top:2678;width:2624;height:947" coordorigin="2471,2678" coordsize="2624,947" path="m3582,2678l2471,2678,2471,3625,3582,3625,3582,2678m5094,2678l3919,2678,3919,3625,5094,3625,5094,2678e" filled="true" fillcolor="#b7dee8" stroked="false">
              <v:path arrowok="t"/>
              <v:fill type="solid"/>
            </v:shape>
            <v:shape style="position:absolute;left:3568;top:2310;width:350;height:698" coordorigin="3569,2311" coordsize="350,698" path="m3918,2960l3910,2955,3839,2913,3836,2912,3834,2913,3832,2918,3832,2921,3834,2922,3893,2955,3572,2955,3572,2965,3893,2965,3834,2999,3832,3000,3832,3003,3833,3005,3834,3007,3836,3008,3839,3007,3910,2965,3918,2960m3918,2805l3918,2801,3911,2714,3911,2711,3908,2709,3904,2709,3901,2712,3901,2714,3907,2782,3576,2311,3569,2316,3899,2786,3839,2759,3836,2757,3834,2759,3832,2763,3833,2766,3835,2767,3918,2805e" filled="true" fillcolor="#000000" stroked="false">
              <v:path arrowok="t"/>
              <v:fill type="solid"/>
            </v:shape>
            <v:rect style="position:absolute;left:5257;top:1002;width:2141;height:957" filled="true" fillcolor="#b7dee8" stroked="false">
              <v:fill type="solid"/>
            </v:rect>
            <v:shape style="position:absolute;left:5074;top:1246;width:183;height:95" coordorigin="5075,1247" coordsize="183,95" path="m5239,1294l5173,1333,5171,1334,5171,1337,5173,1341,5176,1341,5178,1340,5249,1298,5246,1298,5239,1294xm5246,1290l5239,1294,5246,1298,5246,1290xm5249,1290l5246,1290,5246,1298,5249,1298,5249,1298,5249,1290xm5232,1290l5075,1290,5075,1298,5232,1298,5239,1294,5232,1290xm5251,1290l5249,1290,5249,1298,5249,1298,5257,1293,5251,1290xm5176,1247l5173,1247,5171,1251,5171,1254,5173,1255,5239,1294,5246,1290,5251,1290,5178,1248,5176,1247xe" filled="true" fillcolor="#000000" stroked="false">
              <v:path arrowok="t"/>
              <v:fill type="solid"/>
            </v:shape>
            <v:rect style="position:absolute;left:5257;top:2678;width:2141;height:947" filled="true" fillcolor="#b7dee8" stroked="false">
              <v:fill type="solid"/>
            </v:rect>
            <v:shape style="position:absolute;left:5084;top:2912;width:183;height:96" coordorigin="5084,2912" coordsize="183,96" path="m5249,2960l5183,2999,5180,3000,5179,3003,5180,3005,5182,3007,5185,3008,5186,3007,5259,2965,5257,2965,5257,2964,5255,2964,5249,2960xm5240,2955l5084,2955,5084,2965,5240,2965,5249,2960,5240,2955xm5259,2955l5257,2955,5257,2965,5259,2965,5267,2960,5259,2955xm5255,2957l5249,2960,5255,2964,5255,2957xm5257,2957l5255,2957,5255,2964,5257,2964,5257,2957xm5185,2912l5182,2913,5179,2918,5180,2921,5183,2922,5249,2960,5255,2957,5257,2957,5257,2955,5259,2955,5186,2913,5185,2912xe" filled="true" fillcolor="#000000" stroked="false">
              <v:path arrowok="t"/>
              <v:fill type="solid"/>
            </v:shape>
            <v:shape style="position:absolute;left:7561;top:1002;width:593;height:2622" coordorigin="7561,1003" coordsize="593,2622" path="m8154,1003l7561,1003,7561,1950,7561,2132,7561,2496,7561,2678,7561,3625,8154,3625,8154,2678,8154,2496,8154,2132,8154,1950,8154,1003e" filled="true" fillcolor="#e4dfec" stroked="false">
              <v:path arrowok="t"/>
              <v:fill type="solid"/>
            </v:shape>
            <v:line style="position:absolute" from="7570,1002" to="8153,1002" stroked="true" strokeweight=".06pt" strokecolor="#000000">
              <v:stroke dashstyle="solid"/>
            </v:line>
            <v:line style="position:absolute" from="7571,1007" to="8154,1007" stroked="true" strokeweight=".42001pt" strokecolor="#000000">
              <v:stroke dashstyle="solid"/>
            </v:line>
            <v:line style="position:absolute" from="7561,1002" to="7561,3625" stroked="true" strokeweight=".06pt" strokecolor="#000000">
              <v:stroke dashstyle="solid"/>
            </v:line>
            <v:line style="position:absolute" from="7566,1003" to="7566,3625" stroked="true" strokeweight=".48001pt" strokecolor="#000000">
              <v:stroke dashstyle="solid"/>
            </v:line>
            <v:line style="position:absolute" from="7570,3615" to="8153,3615" stroked="true" strokeweight=".06pt" strokecolor="#000000">
              <v:stroke dashstyle="solid"/>
            </v:line>
            <v:line style="position:absolute" from="7571,3621" to="8154,3621" stroked="true" strokeweight=".42pt" strokecolor="#000000">
              <v:stroke dashstyle="solid"/>
            </v:line>
            <v:line style="position:absolute" from="8144,1011" to="8144,3625" stroked="true" strokeweight=".06pt" strokecolor="#000000">
              <v:stroke dashstyle="solid"/>
            </v:line>
            <v:line style="position:absolute" from="8149,1011" to="8149,3625" stroked="true" strokeweight=".48001pt" strokecolor="#000000">
              <v:stroke dashstyle="solid"/>
            </v:line>
            <v:rect style="position:absolute;left:8317;top:1002;width:1175;height:957" filled="true" fillcolor="#b7dee8" stroked="false">
              <v:fill type="solid"/>
            </v:rect>
            <v:shape style="position:absolute;left:7388;top:1200;width:929;height:1770" coordorigin="7388,1201" coordsize="929,1770" path="m7571,2924l7563,2919,7492,2877,7489,2876,7486,2877,7484,2879,7483,2881,7484,2883,7487,2886,7545,2919,7388,2919,7388,2929,7544,2929,7487,2963,7484,2964,7483,2966,7486,2971,7489,2971,7492,2970,7562,2929,7571,2924m8317,1248l8311,1244,8238,1202,8236,1201,8233,1201,8231,1206,8231,1208,8233,1209,8292,1244,8154,1244,8154,1253,8292,1253,8299,1248,8306,1248,8309,1248,8309,1253,8306,1253,8292,1253,8233,1287,8231,1289,8231,1291,8233,1296,8236,1296,8238,1295,8309,1253,8309,1253,8309,1253,8317,1248e" filled="true" fillcolor="#000000" stroked="false">
              <v:path arrowok="t"/>
              <v:fill type="solid"/>
            </v:shape>
            <v:rect style="position:absolute;left:8317;top:2678;width:1175;height:947" filled="true" fillcolor="#b7dee8" stroked="false">
              <v:fill type="solid"/>
            </v:rect>
            <v:shape style="position:absolute;left:2188;top:776;width:7628;height:3054" coordorigin="2188,776" coordsize="7628,3054" path="m4506,2678l4506,2678,4506,2678,4506,2678m4535,2589l4526,2586,4524,2593,4520,2603,4514,2621,4523,2623,4525,2616,4532,2597,4535,2589m4540,2046l4536,2040,4529,2023,4525,2013,4517,2017,4524,2036,4529,2045,4532,2051,4540,2046m4561,2607l4560,2604,4559,2603,4556,2601,4553,2603,4552,2604,4517,2660,4518,2649,4516,2649,4516,2673,4516,2678,4516,2676,4516,2673,4516,2649,4508,2648,4507,2662,4475,2601,4474,2599,4471,2599,4466,2601,4465,2604,4466,2606,4506,2678,4506,2673,4506,2670,4506,2678,4511,2687,4516,2678,4560,2609,4561,2607m4561,2029l4560,2028,4516,1958,4511,1950,4506,1958,4506,1958,4506,1959,4468,2031,4466,2033,4466,2036,4471,2039,4474,2037,4475,2035,4507,1974,4510,1985,4510,1989,4519,1988,4518,1983,4517,1976,4517,1973,4516,1962,4516,1961,4516,1958,4516,1962,4517,1976,4553,2033,4554,2034,4556,2035,4561,2033,4561,2029m4571,2539l4564,2533,4558,2539,4544,2556,4541,2562,4548,2567,4552,2561,4564,2546,4571,2539m4580,2093l4578,2090,4564,2077,4555,2067,4548,2073,4558,2084,4572,2097,4576,2100,4580,2093m4620,2502l4616,2493,4606,2501,4588,2511,4585,2514,4590,2521,4592,2520,4609,2508,4620,2502m4634,2124l4628,2120,4610,2112,4603,2107,4598,2115,4625,2129,4631,2132,4634,2124m4678,2478l4675,2468,4666,2472,4644,2480,4640,2481,4644,2490,4648,2489,4669,2480,4678,2478m4694,2143l4692,2143,4669,2137,4660,2133,4657,2142,4667,2145,4690,2151,4692,2153,4694,2143m4740,2461l4738,2453,4712,2457,4702,2461,4704,2469,4715,2467,4740,2461m4757,2156l4741,2154,4721,2150,4720,2159,4740,2163,4756,2166,4757,2156m4802,2450l4801,2442,4764,2447,4766,2456,4793,2451,4802,2450m4819,2166l4794,2162,4783,2161,4782,2169,4793,2172,4818,2174,4819,2166m4865,2435l4848,2436,4828,2438,4829,2447,4849,2444,4865,2443,4865,2435m4883,2172l4882,2172,4852,2168,4847,2168,4846,2178,4850,2178,4880,2180,4883,2180,4883,2172m4928,2429l4891,2431,4892,2441,4909,2439,4928,2437,4928,2429m4946,2177l4944,2177,4912,2174,4910,2174,4909,2183,4912,2183,4943,2185,4946,2185,4946,2177m4992,2424l4972,2425,4955,2426,4956,2436,4973,2435,4992,2432,4992,2424m5010,2180l5009,2180,4975,2179,4974,2178,4973,2187,4975,2187,5008,2190,5010,2190,5010,2180m5056,2419l5018,2421,5020,2431,5056,2429,5056,2419m5074,2185l5041,2183,5038,2183,5036,2191,5041,2192,5074,2195,5074,2185m5119,2414l5105,2415,5082,2417,5083,2426,5106,2424,5119,2423,5119,2414m5137,2190l5110,2187,5101,2187,5100,2196,5108,2197,5137,2199,5137,2190m5183,2417l5182,2408,5173,2408,5146,2412,5147,2420,5174,2418,5183,2417m5201,2196l5179,2193,5165,2192,5164,2202,5178,2202,5201,2204,5201,2196m5246,2400l5244,2400,5209,2405,5210,2414,5244,2409,5246,2409,5246,2400m5257,2970l5249,2965,5178,2923,5176,2922,5173,2922,5171,2927,5171,2929,5173,2930,5232,2965,5075,2965,5075,2973,5232,2973,5173,3008,5171,3009,5171,3012,5173,3017,5176,3017,5178,3015,5251,2973,5257,2970m5264,2201l5249,2201,5228,2198,5227,2208,5249,2210,5264,2210,5264,2201m5310,2400l5273,2400,5274,2409,5310,2409,5310,2400m5328,2201l5292,2201,5292,2210,5328,2210,5328,2201m5374,2400l5338,2400,5338,2409,5374,2409,5374,2400m5392,2202l5356,2202,5356,2210,5392,2210,5392,2202m5437,2400l5401,2400,5401,2408,5437,2408,5437,2400m5455,2202l5419,2202,5419,2210,5455,2211,5455,2202m5501,2399l5465,2400,5465,2408,5501,2408,5501,2399m5520,2202l5483,2202,5483,2211,5520,2211,5520,2202m5566,2399l5528,2399,5528,2408,5566,2408,5566,2399m5584,2202l5546,2202,5546,2211,5584,2211,5584,2202m5629,2399l5592,2399,5592,2408,5629,2407,5629,2399m5647,2203l5611,2202,5611,2211,5647,2211,5647,2203m5693,2399l5657,2399,5657,2407,5693,2407,5693,2399m5711,2203l5675,2203,5675,2211,5711,2211,5711,2203m5756,2397l5720,2399,5720,2407,5756,2407,5756,2397m5774,2203l5738,2203,5738,2213,5774,2213,5774,2203m5820,2397l5784,2397,5784,2407,5820,2407,5820,2397m5839,2203l5802,2203,5802,2213,5839,2213,5839,2203m5885,2397l5848,2397,5848,2407,5885,2406,5885,2397m5903,2204l5866,2203,5866,2213,5903,2213,5903,2204m5948,2397l5911,2397,5911,2406,5948,2406,5948,2397m5966,2204l5930,2204,5929,2213,5966,2213,5966,2204m6012,2396l5975,2396,5976,2406,6012,2406,6012,2396m6030,2204l5994,2204,5994,2213,6030,2214,6030,2204m6076,2396l6040,2396,6040,2406,6076,2406,6076,2396m6094,2204l6058,2204,6058,2214,6094,2214,6094,2204m6139,2396l6103,2396,6103,2406,6139,2405,6139,2396m6157,2204l6121,2204,6121,2214,6157,2214,6157,2204m6203,2396l6167,2396,6167,2405,6203,2405,6203,2396m6222,2205l6185,2205,6185,2214,6222,2214,6222,2205m6268,2395l6230,2395,6230,2405,6268,2405,6268,2395m6286,2205l6248,2205,6248,2214,6286,2214,6286,2205m6331,2395l6294,2395,6294,2405,6331,2405,6331,2395m6349,2205l6313,2205,6313,2215,6349,2215,6349,2205m6395,2395l6359,2395,6359,2405,6395,2403,6395,2395m6413,2205l6377,2205,6377,2215,6413,2215,6413,2205m6458,2395l6422,2395,6422,2403,6458,2403,6458,2395m6476,2207l6440,2205,6440,2215,6476,2215,6476,2207m6522,2394l6486,2394,6486,2403,6522,2403,6522,2394m6541,2207l6504,2207,6504,2215,6540,2215,6541,2207m6587,2403l6586,2394,6550,2394,6550,2403,6587,2403m6605,2207l6568,2207,6568,2215,6605,2216,6605,2207m6650,2394l6613,2394,6613,2403,6650,2402,6650,2394m6668,2207l6632,2207,6631,2216,6668,2216,6668,2207m6714,2394l6677,2394,6677,2402,6714,2402,6714,2394m6732,2207l6696,2207,6696,2216,6732,2216,6732,2207m6778,2393l6742,2393,6742,2402,6778,2402,6778,2393m6796,2208l6760,2208,6760,2216,6796,2216,6796,2208m6841,2393l6805,2393,6805,2402,6841,2402,6841,2393m6859,2208l6823,2208,6823,2216,6859,2217,6859,2208m6905,2393l6869,2393,6869,2402,6905,2401,6905,2393m6924,2208l6887,2208,6887,2217,6924,2217,6924,2208m6970,2393l6932,2393,6932,2401,6970,2401,6970,2393m6988,2208l6950,2208,6950,2217,6988,2217,6988,2208m7033,2391l6996,2391,6996,2401,7033,2401,7033,2391m7051,2209l7015,2209,7015,2217,7051,2217,7051,2209m7097,2391l7061,2391,7061,2401,7097,2401,7097,2391m7115,2209l7079,2209,7079,2217,7115,2217,7115,2209m7160,2391l7124,2391,7124,2400,7160,2400,7160,2391m7178,2209l7142,2209,7142,2219,7178,2219,7178,2209m7224,2391l7188,2391,7188,2400,7224,2400,7224,2391m7243,2209l7206,2209,7206,2219,7243,2219,7243,2209m7288,2391l7252,2391,7252,2400,7288,2400,7288,2391m7307,2209l7270,2209,7270,2219,7307,2219,7307,2209m7352,2391l7315,2391,7315,2400,7352,2400,7352,2391m7370,2209l7333,2209,7333,2219,7370,2219,7370,2209m7416,2391l7379,2391,7379,2400,7416,2400,7416,2391m7434,2209l7398,2209,7398,2219,7434,2219,7434,2209m7480,2391l7444,2391,7444,2400,7480,2400,7480,2391m7498,2209l7462,2209,7462,2219,7498,2219,7498,2209m7543,2391l7507,2391,7507,2400,7543,2400,7543,2391m7561,2209l7525,2209,7525,2219,7561,2219,7561,2209m7580,1248l7574,1244,7500,1202,7498,1201,7495,1201,7493,1206,7494,1208,7495,1209,7554,1244,7398,1244,7398,1253,7554,1253,7561,1248,7568,1248,7571,1248,7571,1253,7568,1253,7554,1253,7495,1287,7494,1289,7493,1291,7495,1296,7498,1296,7500,1295,7572,1253,7571,1253,7572,1253,7580,1248m8317,2933l8309,2928,8238,2887,8236,2886,8233,2886,8231,2891,8231,2893,8233,2894,8290,2928,8144,2928,8144,2937,8292,2937,8299,2933,8233,2971,8231,2973,8231,2976,8232,2978,8233,2979,8236,2981,8238,2979,8309,2937,8317,2933m9808,1088l9774,1038,9767,1030,9758,1024,9749,1018,9688,986,9623,962,9555,942,9488,926,9466,924,9444,920,9366,908,9286,898,9207,890,9127,880,8724,850,8644,846,8484,836,8306,828,8206,822,7891,810,7812,806,7019,786,6939,786,6781,782,6701,782,6622,780,6542,780,6463,778,6225,778,6146,776,5828,776,5749,778,5511,778,5431,780,5273,780,5193,782,5114,782,4955,786,4876,786,4082,806,4003,810,3844,814,3765,818,3686,820,3527,828,3448,830,3131,846,3052,848,3007,852,2964,854,2923,858,2841,864,2596,888,2434,908,2396,912,2352,920,2301,930,2252,944,2213,964,2206,972,2206,974,2203,978,2202,982,2202,992,2203,996,2204,1002,2216,1020,2232,1036,2250,1052,2267,1064,2276,1070,2286,1078,2322,1102,2358,1124,2395,1148,2431,1170,2440,1176,2374,1174,2371,1174,2370,1176,2370,1182,2371,1184,2374,1184,2466,1186,2423,1104,2422,1102,2419,1102,2414,1104,2413,1106,2414,1110,2445,1168,2436,1162,2364,1118,2292,1070,2257,1044,2240,1030,2224,1016,2213,998,2212,996,2211,992,2210,990,2210,988,2211,986,2212,984,2210,984,2212,980,2214,978,2213,978,2215,974,2222,968,2227,966,2269,948,2319,936,2370,926,2416,920,2435,916,2625,894,2710,886,2795,876,2965,864,3007,860,3097,856,3144,852,3304,844,3385,842,3625,830,3786,826,3866,822,4027,818,4107,814,4508,804,4588,804,4910,796,4990,796,5150,792,5491,790,5570,788,5728,788,5807,786,6440,786,6519,788,6677,788,6756,790,6835,790,7072,796,7151,796,7467,804,7546,808,7704,812,7783,816,7997,822,8101,828,8305,836,8638,854,8716,860,8795,864,9109,888,9265,904,9419,924,9464,932,9533,946,9603,966,9671,988,9734,1020,9744,1026,9761,1038,9797,1086,9791,1128,9754,1162,9698,1188,9635,1208,9576,1222,9533,1228,9492,1232,9470,1236,9470,1244,9514,1240,9534,1236,9579,1230,9639,1218,9704,1196,9761,1168,9799,1132,9808,1088m9816,3199l9801,3143,9773,3092,9732,3045,9680,3006,9617,2974,9544,2951,9523,2946,9502,2941,9480,2937,9479,2947,9521,2954,9541,2959,9615,2983,9678,3015,9730,3055,9769,3102,9795,3154,9808,3209,9805,3268,9787,3328,9752,3389,9700,3450,9688,3462,9674,3474,9660,3485,9595,3529,9524,3565,9448,3594,9368,3618,9288,3637,9207,3653,9052,3678,8976,3689,8898,3698,8659,3723,8419,3744,8098,3767,7775,3784,7290,3801,6353,3819,6240,3819,6124,3821,5752,3821,4638,3808,4081,3791,3604,3768,3287,3748,3128,3735,2954,3717,2874,3707,2794,3696,2714,3683,2635,3667,2556,3649,2479,3628,2404,3603,2384,3597,2366,3590,2350,3583,2277,3545,2230,3503,2204,3459,2198,3413,2207,3365,2229,3317,2261,3268,2300,3219,2342,3171,2414,3093,2446,3062,2460,3049,2443,3114,2442,3116,2443,3119,2446,3120,2448,3120,2450,3119,2452,3116,2473,3037,2473,3037,2476,3027,2466,3030,2466,3030,2466,3030,2466,3030,2387,3050,2384,3050,2382,3053,2384,3057,2387,3060,2389,3059,2453,3043,2378,3117,2331,3170,2286,3222,2246,3274,2215,3325,2194,3375,2188,3424,2199,3471,2230,3516,2284,3559,2363,3599,2382,3606,2400,3613,2420,3619,2500,3643,2581,3664,2663,3682,2746,3697,2830,3710,2914,3721,2997,3731,3178,3749,3257,3755,3578,3776,3980,3796,4545,3814,4625,3816,5752,3830,6124,3830,6353,3828,6407,3828,6856,3821,7532,3803,7936,3785,8258,3766,8499,3747,8739,3725,8977,3698,9124,3677,9197,3663,9271,3649,9344,3633,9416,3614,9486,3590,9554,3561,9619,3525,9680,3481,9707,3457,9719,3445,9768,3382,9800,3320,9815,3258,9816,3199e" filled="true" fillcolor="#000000" stroked="false">
              <v:path arrowok="t"/>
              <v:fill type="solid"/>
            </v:shape>
            <v:shape style="position:absolute;left:1485;top:260;width:9273;height:3735" type="#_x0000_t202" filled="false" stroked="true" strokeweight=".41998pt" strokecolor="#000000">
              <v:textbox inset="0,0,0,0">
                <w:txbxContent>
                  <w:p>
                    <w:pPr>
                      <w:spacing w:line="240" w:lineRule="auto" w:before="9"/>
                      <w:rPr>
                        <w:sz w:val="17"/>
                      </w:rPr>
                    </w:pPr>
                  </w:p>
                  <w:p>
                    <w:pPr>
                      <w:spacing w:before="0"/>
                      <w:ind w:left="134" w:right="0" w:firstLine="0"/>
                      <w:jc w:val="left"/>
                      <w:rPr>
                        <w:sz w:val="14"/>
                      </w:rPr>
                    </w:pPr>
                    <w:r>
                      <w:rPr>
                        <w:b/>
                        <w:color w:val="000080"/>
                        <w:w w:val="105"/>
                        <w:sz w:val="14"/>
                      </w:rPr>
                      <w:t>Figure 1 </w:t>
                    </w:r>
                    <w:r>
                      <w:rPr>
                        <w:w w:val="105"/>
                        <w:sz w:val="14"/>
                      </w:rPr>
                      <w:t>A stylised overview of RAMSI</w:t>
                    </w: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1"/>
                      <w:rPr>
                        <w:sz w:val="18"/>
                      </w:rPr>
                    </w:pPr>
                  </w:p>
                  <w:p>
                    <w:pPr>
                      <w:spacing w:before="0"/>
                      <w:ind w:left="180" w:right="0" w:firstLine="0"/>
                      <w:jc w:val="left"/>
                      <w:rPr>
                        <w:rFonts w:ascii="Calibri"/>
                        <w:sz w:val="13"/>
                      </w:rPr>
                    </w:pPr>
                    <w:r>
                      <w:rPr>
                        <w:rFonts w:ascii="Calibri"/>
                        <w:w w:val="105"/>
                        <w:sz w:val="13"/>
                      </w:rPr>
                      <w:t>BANK</w:t>
                    </w:r>
                    <w:r>
                      <w:rPr>
                        <w:rFonts w:ascii="Calibri"/>
                        <w:spacing w:val="2"/>
                        <w:w w:val="105"/>
                        <w:sz w:val="13"/>
                      </w:rPr>
                      <w:t> </w:t>
                    </w:r>
                    <w:r>
                      <w:rPr>
                        <w:rFonts w:ascii="Calibri"/>
                        <w:w w:val="105"/>
                        <w:sz w:val="13"/>
                      </w:rPr>
                      <w:t>A</w:t>
                    </w: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0"/>
                      <w:rPr>
                        <w:rFonts w:ascii="Calibri"/>
                        <w:sz w:val="14"/>
                      </w:rPr>
                    </w:pPr>
                  </w:p>
                  <w:p>
                    <w:pPr>
                      <w:spacing w:line="240" w:lineRule="auto" w:before="3"/>
                      <w:rPr>
                        <w:rFonts w:ascii="Calibri"/>
                        <w:sz w:val="12"/>
                      </w:rPr>
                    </w:pPr>
                  </w:p>
                  <w:p>
                    <w:pPr>
                      <w:spacing w:before="0"/>
                      <w:ind w:left="189" w:right="0" w:firstLine="0"/>
                      <w:jc w:val="left"/>
                      <w:rPr>
                        <w:rFonts w:ascii="Calibri"/>
                        <w:sz w:val="13"/>
                      </w:rPr>
                    </w:pPr>
                    <w:r>
                      <w:rPr>
                        <w:rFonts w:ascii="Calibri"/>
                        <w:w w:val="105"/>
                        <w:sz w:val="13"/>
                      </w:rPr>
                      <w:t>BANK</w:t>
                    </w:r>
                    <w:r>
                      <w:rPr>
                        <w:rFonts w:ascii="Calibri"/>
                        <w:spacing w:val="1"/>
                        <w:w w:val="105"/>
                        <w:sz w:val="13"/>
                      </w:rPr>
                      <w:t> </w:t>
                    </w:r>
                    <w:r>
                      <w:rPr>
                        <w:rFonts w:ascii="Calibri"/>
                        <w:w w:val="105"/>
                        <w:sz w:val="13"/>
                      </w:rPr>
                      <w:t>B</w:t>
                    </w:r>
                  </w:p>
                </w:txbxContent>
              </v:textbox>
              <v:stroke dashstyle="solid"/>
              <w10:wrap type="none"/>
            </v:shape>
            <v:shape style="position:absolute;left:8321;top:2682;width:1166;height:938" type="#_x0000_t202" filled="false" stroked="true" strokeweight=".50998pt" strokecolor="#000000">
              <v:textbox inset="0,0,0,0">
                <w:txbxContent>
                  <w:p>
                    <w:pPr>
                      <w:spacing w:line="240" w:lineRule="auto" w:before="10"/>
                      <w:rPr>
                        <w:sz w:val="17"/>
                      </w:rPr>
                    </w:pPr>
                  </w:p>
                  <w:p>
                    <w:pPr>
                      <w:spacing w:line="276" w:lineRule="auto" w:before="0"/>
                      <w:ind w:left="63" w:right="0" w:firstLine="109"/>
                      <w:jc w:val="left"/>
                      <w:rPr>
                        <w:rFonts w:ascii="Calibri"/>
                        <w:sz w:val="13"/>
                      </w:rPr>
                    </w:pPr>
                    <w:r>
                      <w:rPr>
                        <w:rFonts w:ascii="Calibri"/>
                        <w:w w:val="105"/>
                        <w:sz w:val="13"/>
                      </w:rPr>
                      <w:t>Reinvestment rules: capital and balance sheet size</w:t>
                    </w:r>
                  </w:p>
                </w:txbxContent>
              </v:textbox>
              <v:stroke dashstyle="solid"/>
              <w10:wrap type="none"/>
            </v:shape>
            <v:shape style="position:absolute;left:5261;top:2682;width:2132;height:938" type="#_x0000_t202" filled="false" stroked="true" strokeweight=".50998pt" strokecolor="#000000">
              <v:textbox inset="0,0,0,0">
                <w:txbxContent>
                  <w:p>
                    <w:pPr>
                      <w:spacing w:line="276" w:lineRule="auto" w:before="24"/>
                      <w:ind w:left="919" w:right="0" w:hanging="1"/>
                      <w:jc w:val="left"/>
                      <w:rPr>
                        <w:rFonts w:ascii="Calibri"/>
                        <w:sz w:val="13"/>
                      </w:rPr>
                    </w:pPr>
                    <w:r>
                      <w:rPr>
                        <w:rFonts w:ascii="Calibri"/>
                        <w:w w:val="105"/>
                        <w:sz w:val="13"/>
                      </w:rPr>
                      <w:t>(Retained earnings + Capital (last period))</w:t>
                    </w:r>
                  </w:p>
                  <w:p>
                    <w:pPr>
                      <w:tabs>
                        <w:tab w:pos="1520" w:val="left" w:leader="none"/>
                      </w:tabs>
                      <w:spacing w:line="157" w:lineRule="exact" w:before="0"/>
                      <w:ind w:left="55" w:right="0" w:firstLine="0"/>
                      <w:jc w:val="left"/>
                      <w:rPr>
                        <w:rFonts w:ascii="Calibri" w:hAnsi="Calibri"/>
                        <w:sz w:val="13"/>
                      </w:rPr>
                    </w:pPr>
                    <w:r>
                      <w:rPr>
                        <w:rFonts w:ascii="Calibri" w:hAnsi="Calibri"/>
                        <w:w w:val="105"/>
                        <w:sz w:val="13"/>
                      </w:rPr>
                      <w:t>Capital</w:t>
                    </w:r>
                    <w:r>
                      <w:rPr>
                        <w:rFonts w:ascii="Calibri" w:hAnsi="Calibri"/>
                        <w:spacing w:val="1"/>
                        <w:w w:val="105"/>
                        <w:sz w:val="13"/>
                      </w:rPr>
                      <w:t> </w:t>
                    </w:r>
                    <w:r>
                      <w:rPr>
                        <w:rFonts w:ascii="Calibri" w:hAnsi="Calibri"/>
                        <w:w w:val="105"/>
                        <w:sz w:val="13"/>
                      </w:rPr>
                      <w:t>ratio</w:t>
                    </w:r>
                    <w:r>
                      <w:rPr>
                        <w:rFonts w:ascii="Calibri" w:hAnsi="Calibri"/>
                        <w:spacing w:val="-3"/>
                        <w:w w:val="105"/>
                        <w:sz w:val="13"/>
                      </w:rPr>
                      <w:t> </w:t>
                    </w:r>
                    <w:r>
                      <w:rPr>
                        <w:rFonts w:ascii="Calibri" w:hAnsi="Calibri"/>
                        <w:w w:val="105"/>
                        <w:sz w:val="13"/>
                      </w:rPr>
                      <w:t>=</w:t>
                      <w:tab/>
                      <w:t>÷</w:t>
                    </w:r>
                  </w:p>
                  <w:p>
                    <w:pPr>
                      <w:spacing w:line="276" w:lineRule="auto" w:before="23"/>
                      <w:ind w:left="984" w:right="0" w:firstLine="109"/>
                      <w:jc w:val="left"/>
                      <w:rPr>
                        <w:rFonts w:ascii="Calibri" w:hAnsi="Calibri"/>
                        <w:sz w:val="13"/>
                      </w:rPr>
                    </w:pPr>
                    <w:r>
                      <w:rPr>
                        <w:rFonts w:ascii="Calibri" w:hAnsi="Calibri"/>
                        <w:w w:val="105"/>
                        <w:sz w:val="13"/>
                      </w:rPr>
                      <w:t>Risk‐weighted assets (last period)</w:t>
                    </w:r>
                  </w:p>
                </w:txbxContent>
              </v:textbox>
              <v:stroke dashstyle="solid"/>
              <w10:wrap type="none"/>
            </v:shape>
            <v:shape style="position:absolute;left:3922;top:2682;width:1167;height:938" type="#_x0000_t202" filled="false" stroked="true" strokeweight=".51pt" strokecolor="#000000">
              <v:textbox inset="0,0,0,0">
                <w:txbxContent>
                  <w:p>
                    <w:pPr>
                      <w:spacing w:line="240" w:lineRule="auto" w:before="0"/>
                      <w:rPr>
                        <w:sz w:val="14"/>
                      </w:rPr>
                    </w:pPr>
                  </w:p>
                  <w:p>
                    <w:pPr>
                      <w:spacing w:line="240" w:lineRule="auto" w:before="9"/>
                      <w:rPr>
                        <w:sz w:val="11"/>
                      </w:rPr>
                    </w:pPr>
                  </w:p>
                  <w:p>
                    <w:pPr>
                      <w:spacing w:line="273" w:lineRule="auto" w:before="1"/>
                      <w:ind w:left="346" w:right="76" w:hanging="302"/>
                      <w:jc w:val="left"/>
                      <w:rPr>
                        <w:rFonts w:ascii="Calibri"/>
                        <w:sz w:val="13"/>
                      </w:rPr>
                    </w:pPr>
                    <w:r>
                      <w:rPr>
                        <w:rFonts w:ascii="Calibri"/>
                        <w:w w:val="105"/>
                        <w:sz w:val="13"/>
                      </w:rPr>
                      <w:t>Income statement forecast</w:t>
                    </w:r>
                  </w:p>
                </w:txbxContent>
              </v:textbox>
              <v:stroke dashstyle="solid"/>
              <w10:wrap type="none"/>
            </v:shape>
            <v:shape style="position:absolute;left:2475;top:2682;width:1102;height:938" type="#_x0000_t202" filled="false" stroked="true" strokeweight=".51pt" strokecolor="#000000">
              <v:textbox inset="0,0,0,0">
                <w:txbxContent>
                  <w:p>
                    <w:pPr>
                      <w:spacing w:line="240" w:lineRule="auto" w:before="0"/>
                      <w:rPr>
                        <w:sz w:val="14"/>
                      </w:rPr>
                    </w:pPr>
                  </w:p>
                  <w:p>
                    <w:pPr>
                      <w:spacing w:line="240" w:lineRule="auto" w:before="9"/>
                      <w:rPr>
                        <w:sz w:val="11"/>
                      </w:rPr>
                    </w:pPr>
                  </w:p>
                  <w:p>
                    <w:pPr>
                      <w:spacing w:line="273" w:lineRule="auto" w:before="1"/>
                      <w:ind w:left="35" w:right="28" w:hanging="18"/>
                      <w:jc w:val="left"/>
                      <w:rPr>
                        <w:rFonts w:ascii="Calibri"/>
                        <w:sz w:val="13"/>
                      </w:rPr>
                    </w:pPr>
                    <w:r>
                      <w:rPr>
                        <w:rFonts w:ascii="Calibri"/>
                        <w:w w:val="105"/>
                        <w:sz w:val="13"/>
                      </w:rPr>
                      <w:t>Income statement and balance sheet</w:t>
                    </w:r>
                  </w:p>
                </w:txbxContent>
              </v:textbox>
              <v:stroke dashstyle="solid"/>
              <w10:wrap type="none"/>
            </v:shape>
            <v:shape style="position:absolute;left:2475;top:2135;width:1102;height:365" type="#_x0000_t202" filled="true" fillcolor="#e4dfec" stroked="true" strokeweight=".51pt" strokecolor="#000000">
              <v:textbox inset="0,0,0,0">
                <w:txbxContent>
                  <w:p>
                    <w:pPr>
                      <w:spacing w:line="276" w:lineRule="auto" w:before="15"/>
                      <w:ind w:left="291" w:right="113" w:hanging="201"/>
                      <w:jc w:val="left"/>
                      <w:rPr>
                        <w:rFonts w:ascii="Calibri" w:hAnsi="Calibri"/>
                        <w:sz w:val="13"/>
                      </w:rPr>
                    </w:pPr>
                    <w:r>
                      <w:rPr>
                        <w:rFonts w:ascii="Calibri" w:hAnsi="Calibri"/>
                        <w:w w:val="105"/>
                        <w:sz w:val="13"/>
                      </w:rPr>
                      <w:t>Macro‐financial forecasts</w:t>
                    </w:r>
                  </w:p>
                </w:txbxContent>
              </v:textbox>
              <v:fill type="solid"/>
              <v:stroke dashstyle="solid"/>
              <w10:wrap type="none"/>
            </v:shape>
            <v:shape style="position:absolute;left:8321;top:1006;width:1166;height:948" type="#_x0000_t202" filled="false" stroked="true" strokeweight=".50998pt" strokecolor="#000000">
              <v:textbox inset="0,0,0,0">
                <w:txbxContent>
                  <w:p>
                    <w:pPr>
                      <w:spacing w:line="240" w:lineRule="auto" w:before="10"/>
                      <w:rPr>
                        <w:sz w:val="17"/>
                      </w:rPr>
                    </w:pPr>
                  </w:p>
                  <w:p>
                    <w:pPr>
                      <w:spacing w:line="276" w:lineRule="auto" w:before="0"/>
                      <w:ind w:left="63" w:right="0" w:firstLine="109"/>
                      <w:jc w:val="left"/>
                      <w:rPr>
                        <w:rFonts w:ascii="Calibri"/>
                        <w:sz w:val="13"/>
                      </w:rPr>
                    </w:pPr>
                    <w:r>
                      <w:rPr>
                        <w:rFonts w:ascii="Calibri"/>
                        <w:w w:val="105"/>
                        <w:sz w:val="13"/>
                      </w:rPr>
                      <w:t>Reinvestment rules: capital and balance sheet size</w:t>
                    </w:r>
                  </w:p>
                </w:txbxContent>
              </v:textbox>
              <v:stroke dashstyle="solid"/>
              <w10:wrap type="none"/>
            </v:shape>
            <v:shape style="position:absolute;left:5261;top:1006;width:2132;height:948" type="#_x0000_t202" filled="false" stroked="true" strokeweight=".50998pt" strokecolor="#000000">
              <v:textbox inset="0,0,0,0">
                <w:txbxContent>
                  <w:p>
                    <w:pPr>
                      <w:spacing w:line="273" w:lineRule="auto" w:before="25"/>
                      <w:ind w:left="919" w:right="0" w:firstLine="0"/>
                      <w:jc w:val="left"/>
                      <w:rPr>
                        <w:rFonts w:ascii="Calibri"/>
                        <w:sz w:val="13"/>
                      </w:rPr>
                    </w:pPr>
                    <w:r>
                      <w:rPr>
                        <w:rFonts w:ascii="Calibri"/>
                        <w:w w:val="105"/>
                        <w:sz w:val="13"/>
                      </w:rPr>
                      <w:t>(Retained earnings + Capital (last period))</w:t>
                    </w:r>
                  </w:p>
                  <w:p>
                    <w:pPr>
                      <w:tabs>
                        <w:tab w:pos="1520" w:val="left" w:leader="none"/>
                      </w:tabs>
                      <w:spacing w:before="1"/>
                      <w:ind w:left="55" w:right="0" w:firstLine="0"/>
                      <w:jc w:val="left"/>
                      <w:rPr>
                        <w:rFonts w:ascii="Calibri" w:hAnsi="Calibri"/>
                        <w:sz w:val="13"/>
                      </w:rPr>
                    </w:pPr>
                    <w:r>
                      <w:rPr>
                        <w:rFonts w:ascii="Calibri" w:hAnsi="Calibri"/>
                        <w:w w:val="105"/>
                        <w:sz w:val="13"/>
                      </w:rPr>
                      <w:t>Capital</w:t>
                    </w:r>
                    <w:r>
                      <w:rPr>
                        <w:rFonts w:ascii="Calibri" w:hAnsi="Calibri"/>
                        <w:spacing w:val="1"/>
                        <w:w w:val="105"/>
                        <w:sz w:val="13"/>
                      </w:rPr>
                      <w:t> </w:t>
                    </w:r>
                    <w:r>
                      <w:rPr>
                        <w:rFonts w:ascii="Calibri" w:hAnsi="Calibri"/>
                        <w:w w:val="105"/>
                        <w:sz w:val="13"/>
                      </w:rPr>
                      <w:t>ratio</w:t>
                    </w:r>
                    <w:r>
                      <w:rPr>
                        <w:rFonts w:ascii="Calibri" w:hAnsi="Calibri"/>
                        <w:spacing w:val="-3"/>
                        <w:w w:val="105"/>
                        <w:sz w:val="13"/>
                      </w:rPr>
                      <w:t> </w:t>
                    </w:r>
                    <w:r>
                      <w:rPr>
                        <w:rFonts w:ascii="Calibri" w:hAnsi="Calibri"/>
                        <w:w w:val="105"/>
                        <w:sz w:val="13"/>
                      </w:rPr>
                      <w:t>=</w:t>
                      <w:tab/>
                      <w:t>÷</w:t>
                    </w:r>
                  </w:p>
                  <w:p>
                    <w:pPr>
                      <w:spacing w:line="276" w:lineRule="auto" w:before="24"/>
                      <w:ind w:left="984" w:right="0" w:firstLine="109"/>
                      <w:jc w:val="left"/>
                      <w:rPr>
                        <w:rFonts w:ascii="Calibri" w:hAnsi="Calibri"/>
                        <w:sz w:val="13"/>
                      </w:rPr>
                    </w:pPr>
                    <w:r>
                      <w:rPr>
                        <w:rFonts w:ascii="Calibri" w:hAnsi="Calibri"/>
                        <w:w w:val="105"/>
                        <w:sz w:val="13"/>
                      </w:rPr>
                      <w:t>Risk‐weighted assets (last period)</w:t>
                    </w:r>
                  </w:p>
                </w:txbxContent>
              </v:textbox>
              <v:stroke dashstyle="solid"/>
              <w10:wrap type="none"/>
            </v:shape>
            <v:shape style="position:absolute;left:3922;top:1006;width:1167;height:948" type="#_x0000_t202" filled="false" stroked="true" strokeweight=".51pt" strokecolor="#000000">
              <v:textbox inset="0,0,0,0">
                <w:txbxContent>
                  <w:p>
                    <w:pPr>
                      <w:spacing w:line="240" w:lineRule="auto" w:before="0"/>
                      <w:rPr>
                        <w:sz w:val="14"/>
                      </w:rPr>
                    </w:pPr>
                  </w:p>
                  <w:p>
                    <w:pPr>
                      <w:spacing w:line="240" w:lineRule="auto" w:before="9"/>
                      <w:rPr>
                        <w:sz w:val="11"/>
                      </w:rPr>
                    </w:pPr>
                  </w:p>
                  <w:p>
                    <w:pPr>
                      <w:spacing w:line="276" w:lineRule="auto" w:before="1"/>
                      <w:ind w:left="346" w:right="76" w:hanging="302"/>
                      <w:jc w:val="left"/>
                      <w:rPr>
                        <w:rFonts w:ascii="Calibri"/>
                        <w:sz w:val="13"/>
                      </w:rPr>
                    </w:pPr>
                    <w:r>
                      <w:rPr>
                        <w:rFonts w:ascii="Calibri"/>
                        <w:w w:val="105"/>
                        <w:sz w:val="13"/>
                      </w:rPr>
                      <w:t>Income statement forecast</w:t>
                    </w:r>
                  </w:p>
                </w:txbxContent>
              </v:textbox>
              <v:stroke dashstyle="solid"/>
              <w10:wrap type="none"/>
            </v:shape>
            <v:shape style="position:absolute;left:2475;top:1006;width:1102;height:948" type="#_x0000_t202" filled="false" stroked="true" strokeweight=".51pt" strokecolor="#000000">
              <v:textbox inset="0,0,0,0">
                <w:txbxContent>
                  <w:p>
                    <w:pPr>
                      <w:spacing w:line="240" w:lineRule="auto" w:before="0"/>
                      <w:rPr>
                        <w:sz w:val="14"/>
                      </w:rPr>
                    </w:pPr>
                  </w:p>
                  <w:p>
                    <w:pPr>
                      <w:spacing w:line="240" w:lineRule="auto" w:before="9"/>
                      <w:rPr>
                        <w:sz w:val="11"/>
                      </w:rPr>
                    </w:pPr>
                  </w:p>
                  <w:p>
                    <w:pPr>
                      <w:spacing w:line="276" w:lineRule="auto" w:before="1"/>
                      <w:ind w:left="36" w:right="27" w:hanging="18"/>
                      <w:jc w:val="left"/>
                      <w:rPr>
                        <w:rFonts w:ascii="Calibri"/>
                        <w:sz w:val="13"/>
                      </w:rPr>
                    </w:pPr>
                    <w:r>
                      <w:rPr>
                        <w:rFonts w:ascii="Calibri"/>
                        <w:w w:val="105"/>
                        <w:sz w:val="13"/>
                      </w:rPr>
                      <w:t>Income statement and balance sheet</w:t>
                    </w:r>
                  </w:p>
                </w:txbxContent>
              </v:textbox>
              <v:stroke dashstyle="solid"/>
              <w10:wrap type="none"/>
            </v:shape>
            <w10:wrap type="none"/>
          </v:group>
        </w:pict>
      </w:r>
      <w:r>
        <w:rPr/>
        <w:pict>
          <v:line style="position:absolute;mso-position-horizontal-relative:page;mso-position-vertical-relative:paragraph;z-index:251797504" from="503.700012pt,71.987267pt" to="503.759998pt,71.987267pt" stroked="true" strokeweight=".06pt" strokecolor="#dadcdd">
            <v:stroke dashstyle="solid"/>
            <w10:wrap type="none"/>
          </v:line>
        </w:pict>
      </w:r>
      <w:r>
        <w:rPr/>
        <w:pict>
          <v:line style="position:absolute;mso-position-horizontal-relative:page;mso-position-vertical-relative:paragraph;z-index:251798528" from="503.700012pt,97.487267pt" to="503.759998pt,97.487267pt" stroked="true" strokeweight=".06pt" strokecolor="#dadcdd">
            <v:stroke dashstyle="solid"/>
            <w10:wrap type="none"/>
          </v:line>
        </w:pict>
      </w:r>
      <w:r>
        <w:rPr/>
        <w:pict>
          <v:line style="position:absolute;mso-position-horizontal-relative:page;mso-position-vertical-relative:paragraph;z-index:251799552" from="503.700012pt,106.547264pt" to="503.759998pt,106.547264pt" stroked="true" strokeweight=".06pt" strokecolor="#dadcdd">
            <v:stroke dashstyle="solid"/>
            <w10:wrap type="none"/>
          </v:line>
        </w:pict>
      </w:r>
      <w:r>
        <w:rPr>
          <w:w w:val="105"/>
        </w:rPr>
        <w:t>Chart 16: Stylised Overview of RAMSI</w:t>
      </w:r>
    </w:p>
    <w:p>
      <w:pPr>
        <w:pStyle w:val="BodyText"/>
        <w:rPr>
          <w:b/>
          <w:sz w:val="20"/>
        </w:rPr>
      </w:pPr>
    </w:p>
    <w:p>
      <w:pPr>
        <w:pStyle w:val="BodyText"/>
        <w:spacing w:before="3"/>
        <w:rPr>
          <w:b/>
          <w:sz w:val="12"/>
        </w:rPr>
      </w:pPr>
      <w:r>
        <w:rPr/>
        <w:pict>
          <v:shape style="position:absolute;margin-left:503.700012pt;margin-top:9.060982pt;width:.1pt;height:.1pt;mso-position-horizontal-relative:page;mso-position-vertical-relative:paragraph;z-index:-251559936;mso-wrap-distance-left:0;mso-wrap-distance-right:0" coordorigin="10074,181" coordsize="2,0" path="m10074,181l10075,181e" filled="false" stroked="true" strokeweight=".06pt" strokecolor="#dadcdd">
            <v:path arrowok="t"/>
            <v:stroke dashstyle="solid"/>
            <w10:wrap type="topAndBottom"/>
          </v:shape>
        </w:pict>
      </w:r>
      <w:r>
        <w:rPr/>
        <w:pict>
          <v:shape style="position:absolute;margin-left:503.700012pt;margin-top:18.180981pt;width:.1pt;height:.1pt;mso-position-horizontal-relative:page;mso-position-vertical-relative:paragraph;z-index:-251558912;mso-wrap-distance-left:0;mso-wrap-distance-right:0" coordorigin="10074,364" coordsize="2,0" path="m10074,364l10075,364e" filled="false" stroked="true" strokeweight=".06pt" strokecolor="#dadcdd">
            <v:path arrowok="t"/>
            <v:stroke dashstyle="solid"/>
            <w10:wrap type="topAndBottom"/>
          </v:shape>
        </w:pict>
      </w:r>
    </w:p>
    <w:p>
      <w:pPr>
        <w:pStyle w:val="BodyText"/>
        <w:spacing w:before="8"/>
        <w:rPr>
          <w:b/>
          <w:sz w:val="9"/>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1"/>
        </w:rPr>
      </w:pPr>
      <w:r>
        <w:rPr/>
        <w:pict>
          <v:shape style="position:absolute;margin-left:503.700012pt;margin-top:14.189766pt;width:.1pt;height:.1pt;mso-position-horizontal-relative:page;mso-position-vertical-relative:paragraph;z-index:-251557888;mso-wrap-distance-left:0;mso-wrap-distance-right:0" coordorigin="10074,284" coordsize="2,0" path="m10074,284l10075,284e" filled="false" stroked="true" strokeweight=".06pt" strokecolor="#dadcdd">
            <v:path arrowok="t"/>
            <v:stroke dashstyle="solid"/>
            <w10:wrap type="topAndBottom"/>
          </v:shape>
        </w:pict>
      </w:r>
      <w:r>
        <w:rPr/>
        <w:pict>
          <v:shape style="position:absolute;margin-left:503.700012pt;margin-top:23.309765pt;width:.1pt;height:.1pt;mso-position-horizontal-relative:page;mso-position-vertical-relative:paragraph;z-index:-251556864;mso-wrap-distance-left:0;mso-wrap-distance-right:0" coordorigin="10074,466" coordsize="2,0" path="m10074,466l10075,466e" filled="false" stroked="true" strokeweight=".06pt" strokecolor="#dadcdd">
            <v:path arrowok="t"/>
            <v:stroke dashstyle="solid"/>
            <w10:wrap type="topAndBottom"/>
          </v:shape>
        </w:pict>
      </w:r>
    </w:p>
    <w:p>
      <w:pPr>
        <w:pStyle w:val="BodyText"/>
        <w:spacing w:before="8"/>
        <w:rPr>
          <w:b/>
          <w:sz w:val="9"/>
        </w:rPr>
      </w:pPr>
    </w:p>
    <w:p>
      <w:pPr>
        <w:pStyle w:val="BodyText"/>
        <w:spacing w:before="3"/>
        <w:rPr>
          <w:b/>
        </w:rPr>
      </w:pPr>
    </w:p>
    <w:p>
      <w:pPr>
        <w:spacing w:before="96"/>
        <w:ind w:left="346" w:right="0" w:firstLine="0"/>
        <w:jc w:val="left"/>
        <w:rPr>
          <w:sz w:val="15"/>
        </w:rPr>
      </w:pPr>
      <w:r>
        <w:rPr/>
        <w:pict>
          <v:line style="position:absolute;mso-position-horizontal-relative:page;mso-position-vertical-relative:paragraph;z-index:251800576" from="503.700012pt,-68.564987pt" to="503.759998pt,-68.564987pt" stroked="true" strokeweight=".06pt" strokecolor="#dadcdd">
            <v:stroke dashstyle="solid"/>
            <w10:wrap type="none"/>
          </v:line>
        </w:pict>
      </w:r>
      <w:r>
        <w:rPr/>
        <w:pict>
          <v:line style="position:absolute;mso-position-horizontal-relative:page;mso-position-vertical-relative:paragraph;z-index:251801600" from="503.700012pt,-46.724987pt" to="503.759998pt,-46.724987pt" stroked="true" strokeweight=".06pt" strokecolor="#dadcdd">
            <v:stroke dashstyle="solid"/>
            <w10:wrap type="none"/>
          </v:line>
        </w:pict>
      </w:r>
      <w:r>
        <w:rPr/>
        <w:pict>
          <v:shape style="position:absolute;margin-left:382.372559pt;margin-top:-150.144623pt;width:17.95pt;height:125.35pt;mso-position-horizontal-relative:page;mso-position-vertical-relative:paragraph;z-index:251802624" type="#_x0000_t202" filled="false" stroked="false">
            <v:textbox inset="0,0,0,0" style="layout-flow:vertical">
              <w:txbxContent>
                <w:p>
                  <w:pPr>
                    <w:spacing w:line="276" w:lineRule="auto" w:before="0"/>
                    <w:ind w:left="1103" w:right="12" w:hanging="1084"/>
                    <w:jc w:val="left"/>
                    <w:rPr>
                      <w:rFonts w:ascii="Calibri"/>
                      <w:sz w:val="13"/>
                    </w:rPr>
                  </w:pPr>
                  <w:r>
                    <w:rPr>
                      <w:rFonts w:ascii="Calibri"/>
                      <w:w w:val="105"/>
                      <w:sz w:val="13"/>
                    </w:rPr>
                    <w:t>Feedback</w:t>
                  </w:r>
                  <w:r>
                    <w:rPr>
                      <w:rFonts w:ascii="Calibri"/>
                      <w:spacing w:val="-8"/>
                      <w:w w:val="105"/>
                      <w:sz w:val="13"/>
                    </w:rPr>
                    <w:t> </w:t>
                  </w:r>
                  <w:r>
                    <w:rPr>
                      <w:rFonts w:ascii="Calibri"/>
                      <w:w w:val="105"/>
                      <w:sz w:val="13"/>
                    </w:rPr>
                    <w:t>within</w:t>
                  </w:r>
                  <w:r>
                    <w:rPr>
                      <w:rFonts w:ascii="Calibri"/>
                      <w:spacing w:val="-9"/>
                      <w:w w:val="105"/>
                      <w:sz w:val="13"/>
                    </w:rPr>
                    <w:t> </w:t>
                  </w:r>
                  <w:r>
                    <w:rPr>
                      <w:rFonts w:ascii="Calibri"/>
                      <w:w w:val="105"/>
                      <w:sz w:val="13"/>
                    </w:rPr>
                    <w:t>a</w:t>
                  </w:r>
                  <w:r>
                    <w:rPr>
                      <w:rFonts w:ascii="Calibri"/>
                      <w:spacing w:val="-10"/>
                      <w:w w:val="105"/>
                      <w:sz w:val="13"/>
                    </w:rPr>
                    <w:t> </w:t>
                  </w:r>
                  <w:r>
                    <w:rPr>
                      <w:rFonts w:ascii="Calibri"/>
                      <w:w w:val="105"/>
                      <w:sz w:val="13"/>
                    </w:rPr>
                    <w:t>bank</w:t>
                  </w:r>
                  <w:r>
                    <w:rPr>
                      <w:rFonts w:ascii="Calibri"/>
                      <w:spacing w:val="-8"/>
                      <w:w w:val="105"/>
                      <w:sz w:val="13"/>
                    </w:rPr>
                    <w:t> </w:t>
                  </w:r>
                  <w:r>
                    <w:rPr>
                      <w:rFonts w:ascii="Calibri"/>
                      <w:w w:val="105"/>
                      <w:sz w:val="13"/>
                    </w:rPr>
                    <w:t>and</w:t>
                  </w:r>
                  <w:r>
                    <w:rPr>
                      <w:rFonts w:ascii="Calibri"/>
                      <w:spacing w:val="-9"/>
                      <w:w w:val="105"/>
                      <w:sz w:val="13"/>
                    </w:rPr>
                    <w:t> </w:t>
                  </w:r>
                  <w:r>
                    <w:rPr>
                      <w:rFonts w:ascii="Calibri"/>
                      <w:w w:val="105"/>
                      <w:sz w:val="13"/>
                    </w:rPr>
                    <w:t>contagion</w:t>
                  </w:r>
                  <w:r>
                    <w:rPr>
                      <w:rFonts w:ascii="Calibri"/>
                      <w:spacing w:val="-8"/>
                      <w:w w:val="105"/>
                      <w:sz w:val="13"/>
                    </w:rPr>
                    <w:t> </w:t>
                  </w:r>
                  <w:r>
                    <w:rPr>
                      <w:rFonts w:ascii="Calibri"/>
                      <w:w w:val="105"/>
                      <w:sz w:val="13"/>
                    </w:rPr>
                    <w:t>across banks</w:t>
                  </w:r>
                </w:p>
              </w:txbxContent>
            </v:textbox>
            <w10:wrap type="none"/>
          </v:shape>
        </w:pict>
      </w:r>
      <w:r>
        <w:rPr>
          <w:sz w:val="15"/>
        </w:rPr>
        <w:t>Source: Burrows et al (2012)</w:t>
      </w:r>
    </w:p>
    <w:p>
      <w:pPr>
        <w:spacing w:after="0"/>
        <w:jc w:val="left"/>
        <w:rPr>
          <w:sz w:val="15"/>
        </w:rPr>
        <w:sectPr>
          <w:pgSz w:w="12240" w:h="15840"/>
          <w:pgMar w:header="0" w:footer="1664" w:top="1500" w:bottom="1860" w:left="1240" w:right="0"/>
        </w:sectPr>
      </w:pPr>
    </w:p>
    <w:p>
      <w:pPr>
        <w:pStyle w:val="Heading1"/>
      </w:pPr>
      <w:r>
        <w:rPr>
          <w:w w:val="105"/>
        </w:rPr>
        <w:t>Chart 17: Total assets in the system generated from RAMSI</w:t>
      </w:r>
    </w:p>
    <w:p>
      <w:pPr>
        <w:pStyle w:val="BodyText"/>
        <w:rPr>
          <w:b/>
          <w:sz w:val="24"/>
        </w:rPr>
      </w:pPr>
      <w:r>
        <w:rPr/>
        <w:pict>
          <v:group style="position:absolute;margin-left:74.040001pt;margin-top:16.021093pt;width:454.2pt;height:253.6pt;mso-position-horizontal-relative:page;mso-position-vertical-relative:paragraph;z-index:-251512832;mso-wrap-distance-left:0;mso-wrap-distance-right:0" coordorigin="1481,320" coordsize="9084,5072">
            <v:line style="position:absolute" from="1481,325" to="10565,325" stroked="true" strokeweight=".47998pt" strokecolor="#000000">
              <v:stroke dashstyle="solid"/>
            </v:line>
            <v:line style="position:absolute" from="1485,320" to="1485,5392" stroked="true" strokeweight=".42pt" strokecolor="#000000">
              <v:stroke dashstyle="solid"/>
            </v:line>
            <v:line style="position:absolute" from="10560,330" to="10560,5382" stroked="true" strokeweight=".47998pt" strokecolor="#000000">
              <v:stroke dashstyle="solid"/>
            </v:line>
            <v:line style="position:absolute" from="1481,5387" to="10565,5387" stroked="true" strokeweight=".48001pt" strokecolor="#000000">
              <v:stroke dashstyle="solid"/>
            </v:line>
            <v:shape style="position:absolute;left:2762;top:330;width:6758;height:5043" type="#_x0000_t75" stroked="false">
              <v:imagedata r:id="rId189" o:title=""/>
            </v:shape>
            <v:shape style="position:absolute;left:3930;top:334;width:1139;height:588" coordorigin="3930,335" coordsize="1139,588" path="m5060,335l3938,335,3930,343,3930,914,3938,923,5060,923,5069,914,5069,905,3968,905,3949,886,3968,886,3968,373,3949,373,3968,354,5069,354,5069,343,5060,335xm3968,886l3949,886,3968,905,3968,886xm5032,886l3968,886,3968,905,5032,905,5032,886xm5032,354l5032,905,5050,886,5069,886,5069,373,5050,373,5032,354xm5069,886l5050,886,5032,905,5069,905,5069,886xm3968,354l3949,373,3968,373,3968,354xm5032,354l3968,354,3968,373,5032,373,5032,354xm5069,354l5032,354,5050,373,5069,373,5069,354xe" filled="true" fillcolor="#ffffff" stroked="false">
              <v:path arrowok="t"/>
              <v:fill type="solid"/>
            </v:shape>
            <w10:wrap type="topAndBottom"/>
          </v:group>
        </w:pict>
      </w:r>
    </w:p>
    <w:p>
      <w:pPr>
        <w:spacing w:before="112"/>
        <w:ind w:left="346" w:right="0" w:firstLine="0"/>
        <w:jc w:val="left"/>
        <w:rPr>
          <w:sz w:val="15"/>
        </w:rPr>
      </w:pPr>
      <w:r>
        <w:rPr>
          <w:sz w:val="15"/>
        </w:rPr>
        <w:t>Source: Aikman et al (2009)</w:t>
      </w:r>
    </w:p>
    <w:p>
      <w:pPr>
        <w:pStyle w:val="BodyText"/>
        <w:rPr>
          <w:sz w:val="16"/>
        </w:rPr>
      </w:pPr>
    </w:p>
    <w:p>
      <w:pPr>
        <w:pStyle w:val="BodyText"/>
        <w:spacing w:before="7"/>
        <w:rPr>
          <w:sz w:val="17"/>
        </w:rPr>
      </w:pPr>
    </w:p>
    <w:p>
      <w:pPr>
        <w:pStyle w:val="Heading1"/>
        <w:spacing w:before="0"/>
      </w:pPr>
      <w:r>
        <w:rPr/>
        <w:pict>
          <v:group style="position:absolute;margin-left:74.040001pt;margin-top:12.657459pt;width:454.2pt;height:233.9pt;mso-position-horizontal-relative:page;mso-position-vertical-relative:paragraph;z-index:251823104" coordorigin="1481,253" coordsize="9084,4678">
            <v:line style="position:absolute" from="1481,258" to="10565,258" stroked="true" strokeweight=".48001pt" strokecolor="#000000">
              <v:stroke dashstyle="solid"/>
            </v:line>
            <v:line style="position:absolute" from="1485,253" to="1485,4931" stroked="true" strokeweight=".42pt" strokecolor="#000000">
              <v:stroke dashstyle="solid"/>
            </v:line>
            <v:line style="position:absolute" from="10560,263" to="10560,4922" stroked="true" strokeweight=".47998pt" strokecolor="#000000">
              <v:stroke dashstyle="solid"/>
            </v:line>
            <v:line style="position:absolute" from="1481,4927" to="10565,4927" stroked="true" strokeweight=".42pt" strokecolor="#000000">
              <v:stroke dashstyle="solid"/>
            </v:line>
            <v:line style="position:absolute" from="3449,463" to="3449,4122" stroked="true" strokeweight=".59999pt" strokecolor="#868686">
              <v:stroke dashstyle="solid"/>
            </v:line>
            <v:shape style="position:absolute;left:3394;top:457;width:54;height:3615" coordorigin="3395,457" coordsize="54,3615" path="m3449,4058l3395,4058,3395,4072,3449,4072,3449,4058m3449,3458l3395,3458,3395,3470,3449,3470,3449,3458m3449,2858l3395,2858,3395,2872,3449,2872,3449,2858m3449,2258l3395,2258,3395,2270,3449,2270,3449,2258m3449,1657l3395,1657,3395,1669,3449,1669,3449,1657m3449,1056l3395,1056,3395,1069,3449,1069,3449,1056m3449,457l3395,457,3395,470,3449,470,3449,457e" filled="true" fillcolor="#868686" stroked="false">
              <v:path arrowok="t"/>
              <v:fill type="solid"/>
            </v:shape>
            <v:line style="position:absolute" from="3449,4065" to="8460,4065" stroked="true" strokeweight=".66pt" strokecolor="#868686">
              <v:stroke dashstyle="solid"/>
            </v:line>
            <v:shape style="position:absolute;left:4159;top:4065;width:4307;height:57" coordorigin="4159,4066" coordsize="4307,57" path="m4171,4066l4159,4066,4159,4122,4171,4122,4171,4066m4888,4066l4874,4066,4874,4122,4888,4122,4888,4066m5604,4066l5591,4066,5591,4122,5604,4122,5604,4066m6318,4066l6305,4066,6305,4122,6318,4122,6318,4066m7033,4066l7021,4066,7021,4122,7033,4122,7033,4066m7750,4066l7738,4066,7738,4122,7750,4122,7750,4066m8466,4066l8453,4066,8453,4122,8466,4122,8466,4066e" filled="true" fillcolor="#868686" stroked="false">
              <v:path arrowok="t"/>
              <v:fill type="solid"/>
            </v:shape>
            <v:shape style="position:absolute;left:8390;top:395;width:135;height:134" type="#_x0000_t75" stroked="false">
              <v:imagedata r:id="rId190" o:title=""/>
            </v:shape>
            <v:shape style="position:absolute;left:3381;top:1597;width:135;height:134" type="#_x0000_t75" stroked="false">
              <v:imagedata r:id="rId191" o:title=""/>
            </v:shape>
            <v:shape style="position:absolute;left:6531;top:2497;width:134;height:133" type="#_x0000_t75" stroked="false">
              <v:imagedata r:id="rId192" o:title=""/>
            </v:shape>
            <v:shape style="position:absolute;left:5098;top:3998;width:135;height:134" type="#_x0000_t75" stroked="false">
              <v:imagedata r:id="rId193" o:title=""/>
            </v:shape>
            <v:shape style="position:absolute;left:4824;top:4590;width:2015;height:193" type="#_x0000_t202" filled="false" stroked="false">
              <v:textbox inset="0,0,0,0">
                <w:txbxContent>
                  <w:p>
                    <w:pPr>
                      <w:spacing w:line="193" w:lineRule="exact" w:before="0"/>
                      <w:ind w:left="0" w:right="0" w:firstLine="0"/>
                      <w:jc w:val="left"/>
                      <w:rPr>
                        <w:rFonts w:ascii="Calibri"/>
                        <w:b/>
                        <w:sz w:val="19"/>
                      </w:rPr>
                    </w:pPr>
                    <w:r>
                      <w:rPr>
                        <w:rFonts w:ascii="Calibri"/>
                        <w:b/>
                        <w:sz w:val="19"/>
                      </w:rPr>
                      <w:t>Variance of nominal GDP</w:t>
                    </w:r>
                  </w:p>
                </w:txbxContent>
              </v:textbox>
              <w10:wrap type="none"/>
            </v:shape>
            <v:shape style="position:absolute;left:8416;top:4212;width:109;height:174" type="#_x0000_t202" filled="false" stroked="false">
              <v:textbox inset="0,0,0,0">
                <w:txbxContent>
                  <w:p>
                    <w:pPr>
                      <w:spacing w:line="174" w:lineRule="exact" w:before="0"/>
                      <w:ind w:left="0" w:right="0" w:firstLine="0"/>
                      <w:jc w:val="left"/>
                      <w:rPr>
                        <w:rFonts w:ascii="Calibri"/>
                        <w:sz w:val="17"/>
                      </w:rPr>
                    </w:pPr>
                    <w:r>
                      <w:rPr>
                        <w:rFonts w:ascii="Calibri"/>
                        <w:w w:val="102"/>
                        <w:sz w:val="17"/>
                      </w:rPr>
                      <w:t>1</w:t>
                    </w:r>
                  </w:p>
                </w:txbxContent>
              </v:textbox>
              <w10:wrap type="none"/>
            </v:shape>
            <v:shape style="position:absolute;left:7590;top:4212;width:331;height:174" type="#_x0000_t202" filled="false" stroked="false">
              <v:textbox inset="0,0,0,0">
                <w:txbxContent>
                  <w:p>
                    <w:pPr>
                      <w:spacing w:line="174" w:lineRule="exact" w:before="0"/>
                      <w:ind w:left="0" w:right="0" w:firstLine="0"/>
                      <w:jc w:val="left"/>
                      <w:rPr>
                        <w:rFonts w:ascii="Calibri"/>
                        <w:sz w:val="17"/>
                      </w:rPr>
                    </w:pPr>
                    <w:r>
                      <w:rPr>
                        <w:rFonts w:ascii="Calibri"/>
                        <w:sz w:val="17"/>
                      </w:rPr>
                      <w:t>0.95</w:t>
                    </w:r>
                  </w:p>
                </w:txbxContent>
              </v:textbox>
              <w10:wrap type="none"/>
            </v:shape>
            <v:shape style="position:absolute;left:6919;top:4212;width:241;height:174" type="#_x0000_t202" filled="false" stroked="false">
              <v:textbox inset="0,0,0,0">
                <w:txbxContent>
                  <w:p>
                    <w:pPr>
                      <w:spacing w:line="174" w:lineRule="exact" w:before="0"/>
                      <w:ind w:left="0" w:right="0" w:firstLine="0"/>
                      <w:jc w:val="left"/>
                      <w:rPr>
                        <w:rFonts w:ascii="Calibri"/>
                        <w:sz w:val="17"/>
                      </w:rPr>
                    </w:pPr>
                    <w:r>
                      <w:rPr>
                        <w:rFonts w:ascii="Calibri"/>
                        <w:sz w:val="17"/>
                      </w:rPr>
                      <w:t>0.9</w:t>
                    </w:r>
                  </w:p>
                </w:txbxContent>
              </v:textbox>
              <w10:wrap type="none"/>
            </v:shape>
            <v:shape style="position:absolute;left:6158;top:4212;width:331;height:174" type="#_x0000_t202" filled="false" stroked="false">
              <v:textbox inset="0,0,0,0">
                <w:txbxContent>
                  <w:p>
                    <w:pPr>
                      <w:spacing w:line="174" w:lineRule="exact" w:before="0"/>
                      <w:ind w:left="0" w:right="0" w:firstLine="0"/>
                      <w:jc w:val="left"/>
                      <w:rPr>
                        <w:rFonts w:ascii="Calibri"/>
                        <w:sz w:val="17"/>
                      </w:rPr>
                    </w:pPr>
                    <w:r>
                      <w:rPr>
                        <w:rFonts w:ascii="Calibri"/>
                        <w:sz w:val="17"/>
                      </w:rPr>
                      <w:t>0.85</w:t>
                    </w:r>
                  </w:p>
                </w:txbxContent>
              </v:textbox>
              <w10:wrap type="none"/>
            </v:shape>
            <v:shape style="position:absolute;left:5487;top:4212;width:241;height:174" type="#_x0000_t202" filled="false" stroked="false">
              <v:textbox inset="0,0,0,0">
                <w:txbxContent>
                  <w:p>
                    <w:pPr>
                      <w:spacing w:line="174" w:lineRule="exact" w:before="0"/>
                      <w:ind w:left="0" w:right="0" w:firstLine="0"/>
                      <w:jc w:val="left"/>
                      <w:rPr>
                        <w:rFonts w:ascii="Calibri"/>
                        <w:sz w:val="17"/>
                      </w:rPr>
                    </w:pPr>
                    <w:r>
                      <w:rPr>
                        <w:rFonts w:ascii="Calibri"/>
                        <w:sz w:val="17"/>
                      </w:rPr>
                      <w:t>0.8</w:t>
                    </w:r>
                  </w:p>
                </w:txbxContent>
              </v:textbox>
              <w10:wrap type="none"/>
            </v:shape>
            <v:shape style="position:absolute;left:4726;top:4212;width:331;height:174" type="#_x0000_t202" filled="false" stroked="false">
              <v:textbox inset="0,0,0,0">
                <w:txbxContent>
                  <w:p>
                    <w:pPr>
                      <w:spacing w:line="174" w:lineRule="exact" w:before="0"/>
                      <w:ind w:left="0" w:right="0" w:firstLine="0"/>
                      <w:jc w:val="left"/>
                      <w:rPr>
                        <w:rFonts w:ascii="Calibri"/>
                        <w:sz w:val="17"/>
                      </w:rPr>
                    </w:pPr>
                    <w:r>
                      <w:rPr>
                        <w:rFonts w:ascii="Calibri"/>
                        <w:sz w:val="17"/>
                      </w:rPr>
                      <w:t>0.75</w:t>
                    </w:r>
                  </w:p>
                </w:txbxContent>
              </v:textbox>
              <w10:wrap type="none"/>
            </v:shape>
            <v:shape style="position:absolute;left:4056;top:4212;width:241;height:174" type="#_x0000_t202" filled="false" stroked="false">
              <v:textbox inset="0,0,0,0">
                <w:txbxContent>
                  <w:p>
                    <w:pPr>
                      <w:spacing w:line="174" w:lineRule="exact" w:before="0"/>
                      <w:ind w:left="0" w:right="0" w:firstLine="0"/>
                      <w:jc w:val="left"/>
                      <w:rPr>
                        <w:rFonts w:ascii="Calibri"/>
                        <w:sz w:val="17"/>
                      </w:rPr>
                    </w:pPr>
                    <w:r>
                      <w:rPr>
                        <w:rFonts w:ascii="Calibri"/>
                        <w:sz w:val="17"/>
                      </w:rPr>
                      <w:t>0.7</w:t>
                    </w:r>
                  </w:p>
                </w:txbxContent>
              </v:textbox>
              <w10:wrap type="none"/>
            </v:shape>
            <v:shape style="position:absolute;left:3295;top:4212;width:331;height:174" type="#_x0000_t202" filled="false" stroked="false">
              <v:textbox inset="0,0,0,0">
                <w:txbxContent>
                  <w:p>
                    <w:pPr>
                      <w:spacing w:line="174" w:lineRule="exact" w:before="0"/>
                      <w:ind w:left="0" w:right="0" w:firstLine="0"/>
                      <w:jc w:val="left"/>
                      <w:rPr>
                        <w:rFonts w:ascii="Calibri"/>
                        <w:sz w:val="17"/>
                      </w:rPr>
                    </w:pPr>
                    <w:r>
                      <w:rPr>
                        <w:rFonts w:ascii="Calibri"/>
                        <w:sz w:val="17"/>
                      </w:rPr>
                      <w:t>0.65</w:t>
                    </w:r>
                  </w:p>
                </w:txbxContent>
              </v:textbox>
              <w10:wrap type="none"/>
            </v:shape>
            <v:shape style="position:absolute;left:3067;top:3985;width:241;height:174" type="#_x0000_t202" filled="false" stroked="false">
              <v:textbox inset="0,0,0,0">
                <w:txbxContent>
                  <w:p>
                    <w:pPr>
                      <w:spacing w:line="174" w:lineRule="exact" w:before="0"/>
                      <w:ind w:left="0" w:right="0" w:firstLine="0"/>
                      <w:jc w:val="left"/>
                      <w:rPr>
                        <w:rFonts w:ascii="Calibri"/>
                        <w:sz w:val="17"/>
                      </w:rPr>
                    </w:pPr>
                    <w:r>
                      <w:rPr>
                        <w:rFonts w:ascii="Calibri"/>
                        <w:sz w:val="17"/>
                      </w:rPr>
                      <w:t>0.4</w:t>
                    </w:r>
                  </w:p>
                </w:txbxContent>
              </v:textbox>
              <w10:wrap type="none"/>
            </v:shape>
            <v:shape style="position:absolute;left:5281;top:3766;width:142;height:193" type="#_x0000_t202" filled="false" stroked="false">
              <v:textbox inset="0,0,0,0">
                <w:txbxContent>
                  <w:p>
                    <w:pPr>
                      <w:spacing w:line="193" w:lineRule="exact" w:before="0"/>
                      <w:ind w:left="0" w:right="0" w:firstLine="0"/>
                      <w:jc w:val="left"/>
                      <w:rPr>
                        <w:rFonts w:ascii="Calibri"/>
                        <w:b/>
                        <w:sz w:val="19"/>
                      </w:rPr>
                    </w:pPr>
                    <w:r>
                      <w:rPr>
                        <w:rFonts w:ascii="Calibri"/>
                        <w:b/>
                        <w:w w:val="101"/>
                        <w:sz w:val="19"/>
                      </w:rPr>
                      <w:t>D</w:t>
                    </w:r>
                  </w:p>
                </w:txbxContent>
              </v:textbox>
              <w10:wrap type="none"/>
            </v:shape>
            <v:shape style="position:absolute;left:3067;top:3385;width:241;height:174" type="#_x0000_t202" filled="false" stroked="false">
              <v:textbox inset="0,0,0,0">
                <w:txbxContent>
                  <w:p>
                    <w:pPr>
                      <w:spacing w:line="174" w:lineRule="exact" w:before="0"/>
                      <w:ind w:left="0" w:right="0" w:firstLine="0"/>
                      <w:jc w:val="left"/>
                      <w:rPr>
                        <w:rFonts w:ascii="Calibri"/>
                        <w:sz w:val="17"/>
                      </w:rPr>
                    </w:pPr>
                    <w:r>
                      <w:rPr>
                        <w:rFonts w:ascii="Calibri"/>
                        <w:sz w:val="17"/>
                      </w:rPr>
                      <w:t>0.5</w:t>
                    </w:r>
                  </w:p>
                </w:txbxContent>
              </v:textbox>
              <w10:wrap type="none"/>
            </v:shape>
            <v:shape style="position:absolute;left:3067;top:2784;width:241;height:174" type="#_x0000_t202" filled="false" stroked="false">
              <v:textbox inset="0,0,0,0">
                <w:txbxContent>
                  <w:p>
                    <w:pPr>
                      <w:spacing w:line="174" w:lineRule="exact" w:before="0"/>
                      <w:ind w:left="0" w:right="0" w:firstLine="0"/>
                      <w:jc w:val="left"/>
                      <w:rPr>
                        <w:rFonts w:ascii="Calibri"/>
                        <w:sz w:val="17"/>
                      </w:rPr>
                    </w:pPr>
                    <w:r>
                      <w:rPr>
                        <w:rFonts w:ascii="Calibri"/>
                        <w:sz w:val="17"/>
                      </w:rPr>
                      <w:t>0.6</w:t>
                    </w:r>
                  </w:p>
                </w:txbxContent>
              </v:textbox>
              <w10:wrap type="none"/>
            </v:shape>
            <v:shape style="position:absolute;left:6757;top:2458;width:122;height:193" type="#_x0000_t202" filled="false" stroked="false">
              <v:textbox inset="0,0,0,0">
                <w:txbxContent>
                  <w:p>
                    <w:pPr>
                      <w:spacing w:line="193" w:lineRule="exact" w:before="0"/>
                      <w:ind w:left="0" w:right="0" w:firstLine="0"/>
                      <w:jc w:val="left"/>
                      <w:rPr>
                        <w:rFonts w:ascii="Calibri"/>
                        <w:b/>
                        <w:sz w:val="19"/>
                      </w:rPr>
                    </w:pPr>
                    <w:r>
                      <w:rPr>
                        <w:rFonts w:ascii="Calibri"/>
                        <w:b/>
                        <w:w w:val="101"/>
                        <w:sz w:val="19"/>
                      </w:rPr>
                      <w:t>C</w:t>
                    </w:r>
                  </w:p>
                </w:txbxContent>
              </v:textbox>
              <w10:wrap type="none"/>
            </v:shape>
            <v:shape style="position:absolute;left:3067;top:2184;width:241;height:174" type="#_x0000_t202" filled="false" stroked="false">
              <v:textbox inset="0,0,0,0">
                <w:txbxContent>
                  <w:p>
                    <w:pPr>
                      <w:spacing w:line="174" w:lineRule="exact" w:before="0"/>
                      <w:ind w:left="0" w:right="0" w:firstLine="0"/>
                      <w:jc w:val="left"/>
                      <w:rPr>
                        <w:rFonts w:ascii="Calibri"/>
                        <w:sz w:val="17"/>
                      </w:rPr>
                    </w:pPr>
                    <w:r>
                      <w:rPr>
                        <w:rFonts w:ascii="Calibri"/>
                        <w:sz w:val="17"/>
                      </w:rPr>
                      <w:t>0.7</w:t>
                    </w:r>
                  </w:p>
                </w:txbxContent>
              </v:textbox>
              <w10:wrap type="none"/>
            </v:shape>
            <v:shape style="position:absolute;left:3067;top:561;width:4635;height:1201" type="#_x0000_t202" filled="false" stroked="false">
              <v:textbox inset="0,0,0,0">
                <w:txbxContent>
                  <w:p>
                    <w:pPr>
                      <w:numPr>
                        <w:ilvl w:val="0"/>
                        <w:numId w:val="6"/>
                      </w:numPr>
                      <w:tabs>
                        <w:tab w:pos="1549" w:val="left" w:leader="none"/>
                      </w:tabs>
                      <w:spacing w:line="195" w:lineRule="exact" w:before="0"/>
                      <w:ind w:left="1548" w:right="0" w:hanging="215"/>
                      <w:jc w:val="left"/>
                      <w:rPr>
                        <w:rFonts w:ascii="Calibri"/>
                        <w:sz w:val="19"/>
                      </w:rPr>
                    </w:pPr>
                    <w:r>
                      <w:rPr>
                        <w:rFonts w:ascii="Calibri"/>
                        <w:sz w:val="19"/>
                      </w:rPr>
                      <w:t>Normalised</w:t>
                    </w:r>
                  </w:p>
                  <w:p>
                    <w:pPr>
                      <w:numPr>
                        <w:ilvl w:val="0"/>
                        <w:numId w:val="6"/>
                      </w:numPr>
                      <w:tabs>
                        <w:tab w:pos="1540" w:val="left" w:leader="none"/>
                      </w:tabs>
                      <w:spacing w:line="213" w:lineRule="exact" w:before="2"/>
                      <w:ind w:left="1539" w:right="0" w:hanging="206"/>
                      <w:jc w:val="left"/>
                      <w:rPr>
                        <w:rFonts w:ascii="Calibri"/>
                        <w:sz w:val="19"/>
                      </w:rPr>
                    </w:pPr>
                    <w:r>
                      <w:rPr>
                        <w:rFonts w:ascii="Calibri"/>
                        <w:sz w:val="19"/>
                      </w:rPr>
                      <w:t>Optimised monetary</w:t>
                    </w:r>
                    <w:r>
                      <w:rPr>
                        <w:rFonts w:ascii="Calibri"/>
                        <w:spacing w:val="-8"/>
                        <w:sz w:val="19"/>
                      </w:rPr>
                      <w:t> </w:t>
                    </w:r>
                    <w:r>
                      <w:rPr>
                        <w:rFonts w:ascii="Calibri"/>
                        <w:sz w:val="19"/>
                      </w:rPr>
                      <w:t>policy</w:t>
                    </w:r>
                  </w:p>
                  <w:p>
                    <w:pPr>
                      <w:tabs>
                        <w:tab w:pos="1334" w:val="left" w:leader="none"/>
                      </w:tabs>
                      <w:spacing w:line="254" w:lineRule="exact" w:before="0"/>
                      <w:ind w:left="0" w:right="0" w:firstLine="0"/>
                      <w:jc w:val="left"/>
                      <w:rPr>
                        <w:rFonts w:ascii="Calibri"/>
                        <w:sz w:val="19"/>
                      </w:rPr>
                    </w:pPr>
                    <w:r>
                      <w:rPr>
                        <w:rFonts w:ascii="Calibri"/>
                        <w:position w:val="6"/>
                        <w:sz w:val="17"/>
                      </w:rPr>
                      <w:t>0.9</w:t>
                      <w:tab/>
                    </w:r>
                    <w:r>
                      <w:rPr>
                        <w:rFonts w:ascii="Calibri"/>
                        <w:sz w:val="19"/>
                      </w:rPr>
                      <w:t>C) Optimised monetary policy with</w:t>
                    </w:r>
                    <w:r>
                      <w:rPr>
                        <w:rFonts w:ascii="Calibri"/>
                        <w:spacing w:val="19"/>
                        <w:sz w:val="19"/>
                      </w:rPr>
                      <w:t> </w:t>
                    </w:r>
                    <w:r>
                      <w:rPr>
                        <w:rFonts w:ascii="Calibri"/>
                        <w:sz w:val="19"/>
                      </w:rPr>
                      <w:t>spread</w:t>
                    </w:r>
                  </w:p>
                  <w:p>
                    <w:pPr>
                      <w:spacing w:before="2"/>
                      <w:ind w:left="1334" w:right="0" w:firstLine="0"/>
                      <w:jc w:val="left"/>
                      <w:rPr>
                        <w:rFonts w:ascii="Calibri"/>
                        <w:sz w:val="19"/>
                      </w:rPr>
                    </w:pPr>
                    <w:r>
                      <w:rPr>
                        <w:rFonts w:ascii="Calibri"/>
                        <w:sz w:val="19"/>
                      </w:rPr>
                      <w:t>D) Macroprudential policy</w:t>
                    </w:r>
                  </w:p>
                  <w:p>
                    <w:pPr>
                      <w:tabs>
                        <w:tab w:pos="478" w:val="left" w:leader="none"/>
                      </w:tabs>
                      <w:spacing w:line="228" w:lineRule="exact" w:before="74"/>
                      <w:ind w:left="0" w:right="0" w:firstLine="0"/>
                      <w:jc w:val="left"/>
                      <w:rPr>
                        <w:rFonts w:ascii="Calibri"/>
                        <w:b/>
                        <w:sz w:val="19"/>
                      </w:rPr>
                    </w:pPr>
                    <w:r>
                      <w:rPr>
                        <w:rFonts w:ascii="Calibri"/>
                        <w:sz w:val="17"/>
                      </w:rPr>
                      <w:t>0.8</w:t>
                      <w:tab/>
                    </w:r>
                    <w:r>
                      <w:rPr>
                        <w:rFonts w:ascii="Calibri"/>
                        <w:b/>
                        <w:sz w:val="19"/>
                      </w:rPr>
                      <w:t>B</w:t>
                    </w:r>
                  </w:p>
                </w:txbxContent>
              </v:textbox>
              <w10:wrap type="none"/>
            </v:shape>
            <v:shape style="position:absolute;left:8541;top:365;width:137;height:193" type="#_x0000_t202" filled="false" stroked="false">
              <v:textbox inset="0,0,0,0">
                <w:txbxContent>
                  <w:p>
                    <w:pPr>
                      <w:spacing w:line="193" w:lineRule="exact" w:before="0"/>
                      <w:ind w:left="0" w:right="0" w:firstLine="0"/>
                      <w:jc w:val="left"/>
                      <w:rPr>
                        <w:rFonts w:ascii="Calibri"/>
                        <w:b/>
                        <w:sz w:val="19"/>
                      </w:rPr>
                    </w:pPr>
                    <w:r>
                      <w:rPr>
                        <w:rFonts w:ascii="Calibri"/>
                        <w:b/>
                        <w:w w:val="101"/>
                        <w:sz w:val="19"/>
                      </w:rPr>
                      <w:t>A</w:t>
                    </w:r>
                  </w:p>
                </w:txbxContent>
              </v:textbox>
              <w10:wrap type="none"/>
            </v:shape>
            <v:shape style="position:absolute;left:3200;top:383;width:109;height:174" type="#_x0000_t202" filled="false" stroked="false">
              <v:textbox inset="0,0,0,0">
                <w:txbxContent>
                  <w:p>
                    <w:pPr>
                      <w:spacing w:line="174" w:lineRule="exact" w:before="0"/>
                      <w:ind w:left="0" w:right="0" w:firstLine="0"/>
                      <w:jc w:val="left"/>
                      <w:rPr>
                        <w:rFonts w:ascii="Calibri"/>
                        <w:sz w:val="17"/>
                      </w:rPr>
                    </w:pPr>
                    <w:r>
                      <w:rPr>
                        <w:rFonts w:ascii="Calibri"/>
                        <w:w w:val="102"/>
                        <w:sz w:val="17"/>
                      </w:rPr>
                      <w:t>1</w:t>
                    </w:r>
                  </w:p>
                </w:txbxContent>
              </v:textbox>
              <w10:wrap type="none"/>
            </v:shape>
            <w10:wrap type="none"/>
          </v:group>
        </w:pict>
      </w:r>
      <w:r>
        <w:rPr/>
        <w:pict>
          <v:shape style="position:absolute;margin-left:139.195923pt;margin-top:69.309258pt;width:11.65pt;height:80.4pt;mso-position-horizontal-relative:page;mso-position-vertical-relative:paragraph;z-index:251824128" type="#_x0000_t202" filled="false" stroked="false">
            <v:textbox inset="0,0,0,0" style="layout-flow:vertical;mso-layout-flow-alt:bottom-to-top">
              <w:txbxContent>
                <w:p>
                  <w:pPr>
                    <w:spacing w:line="216" w:lineRule="exact" w:before="0"/>
                    <w:ind w:left="20" w:right="0" w:firstLine="0"/>
                    <w:jc w:val="left"/>
                    <w:rPr>
                      <w:rFonts w:ascii="Calibri"/>
                      <w:b/>
                      <w:sz w:val="19"/>
                    </w:rPr>
                  </w:pPr>
                  <w:r>
                    <w:rPr>
                      <w:rFonts w:ascii="Calibri"/>
                      <w:b/>
                      <w:sz w:val="19"/>
                    </w:rPr>
                    <w:t>Variance of spreads</w:t>
                  </w:r>
                </w:p>
              </w:txbxContent>
            </v:textbox>
            <w10:wrap type="none"/>
          </v:shape>
        </w:pict>
      </w:r>
      <w:r>
        <w:rPr>
          <w:w w:val="105"/>
        </w:rPr>
        <w:t>Chart 18: Simulating Monetary and Micro-prudential Policy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rPr>
      </w:pPr>
    </w:p>
    <w:p>
      <w:pPr>
        <w:spacing w:before="0"/>
        <w:ind w:left="346" w:right="0" w:firstLine="0"/>
        <w:jc w:val="left"/>
        <w:rPr>
          <w:sz w:val="15"/>
        </w:rPr>
      </w:pPr>
      <w:r>
        <w:rPr>
          <w:sz w:val="15"/>
        </w:rPr>
        <w:t>Source: Aikman and Nelson (2014)</w:t>
      </w:r>
    </w:p>
    <w:p>
      <w:pPr>
        <w:spacing w:after="0"/>
        <w:jc w:val="left"/>
        <w:rPr>
          <w:sz w:val="15"/>
        </w:rPr>
        <w:sectPr>
          <w:pgSz w:w="12240" w:h="15840"/>
          <w:pgMar w:header="0" w:footer="1664" w:top="1340" w:bottom="1860" w:left="1240" w:right="0"/>
        </w:sectPr>
      </w:pPr>
    </w:p>
    <w:p>
      <w:pPr>
        <w:pStyle w:val="Heading1"/>
        <w:ind w:left="347"/>
      </w:pPr>
      <w:r>
        <w:rPr/>
        <w:t>Chart 19: Proportion of mortgages with Loan-to-income multiples&gt;4.5</w:t>
      </w:r>
    </w:p>
    <w:p>
      <w:pPr>
        <w:pStyle w:val="BodyText"/>
        <w:ind w:left="235"/>
        <w:rPr>
          <w:sz w:val="20"/>
        </w:rPr>
      </w:pPr>
      <w:r>
        <w:rPr>
          <w:sz w:val="20"/>
        </w:rPr>
        <w:pict>
          <v:group style="width:454.2pt;height:444.35pt;mso-position-horizontal-relative:char;mso-position-vertical-relative:line" coordorigin="0,0" coordsize="9084,8887">
            <v:shape style="position:absolute;left:529;top:0;width:8009;height:8883" type="#_x0000_t75" stroked="false">
              <v:imagedata r:id="rId194" o:title=""/>
            </v:shape>
            <v:line style="position:absolute" from="0,9" to="9084,9" stroked="true" strokeweight=".41998pt" strokecolor="#000000">
              <v:stroke dashstyle="solid"/>
            </v:line>
            <v:line style="position:absolute" from="9080,14" to="9080,4221" stroked="true" strokeweight=".41998pt" strokecolor="#000000">
              <v:stroke dashstyle="solid"/>
            </v:line>
            <v:line style="position:absolute" from="0,4225" to="9084,4225" stroked="true" strokeweight=".41998pt" strokecolor="#000000">
              <v:stroke dashstyle="solid"/>
            </v:line>
            <v:line style="position:absolute" from="5,5" to="5,8886" stroked="true" strokeweight=".48pt" strokecolor="#000000">
              <v:stroke dashstyle="solid"/>
            </v:line>
            <v:line style="position:absolute" from="0,8882" to="9076,8882" stroked="true" strokeweight=".41998pt" strokecolor="#000000">
              <v:stroke dashstyle="solid"/>
            </v:line>
            <v:line style="position:absolute" from="9080,4229" to="9080,8886" stroked="true" strokeweight=".41998pt" strokecolor="#000000">
              <v:stroke dashstyle="solid"/>
            </v:line>
          </v:group>
        </w:pict>
      </w:r>
      <w:r>
        <w:rPr>
          <w:sz w:val="20"/>
        </w:rPr>
      </w:r>
    </w:p>
    <w:p>
      <w:pPr>
        <w:spacing w:before="108"/>
        <w:ind w:left="347" w:right="0" w:firstLine="0"/>
        <w:jc w:val="left"/>
        <w:rPr>
          <w:sz w:val="15"/>
        </w:rPr>
      </w:pPr>
      <w:r>
        <w:rPr>
          <w:sz w:val="15"/>
        </w:rPr>
        <w:t>Source: FCA’s Product Sales Database</w:t>
      </w:r>
    </w:p>
    <w:p>
      <w:pPr>
        <w:spacing w:after="0"/>
        <w:jc w:val="left"/>
        <w:rPr>
          <w:sz w:val="15"/>
        </w:rPr>
        <w:sectPr>
          <w:pgSz w:w="12240" w:h="15840"/>
          <w:pgMar w:header="0" w:footer="1664" w:top="1340" w:bottom="1860" w:left="1240" w:right="0"/>
        </w:sectPr>
      </w:pPr>
    </w:p>
    <w:p>
      <w:pPr>
        <w:pStyle w:val="BodyText"/>
        <w:spacing w:before="4"/>
        <w:rPr>
          <w:sz w:val="12"/>
        </w:rPr>
      </w:pPr>
    </w:p>
    <w:p>
      <w:pPr>
        <w:pStyle w:val="Heading1"/>
        <w:spacing w:before="98"/>
      </w:pPr>
      <w:r>
        <w:rPr/>
        <w:pict>
          <v:group style="position:absolute;margin-left:97.919998pt;margin-top:69.037621pt;width:155.050pt;height:146.9pt;mso-position-horizontal-relative:page;mso-position-vertical-relative:paragraph;z-index:-254725120" coordorigin="1958,1381" coordsize="3101,2938">
            <v:line style="position:absolute" from="5015,1383" to="5015,4273" stroked="true" strokeweight=".24001pt" strokecolor="#000000">
              <v:stroke dashstyle="solid"/>
            </v:line>
            <v:shape style="position:absolute;left:5014;top:1380;width:45;height:2895" coordorigin="5015,1381" coordsize="45,2895" path="m5059,4270l5015,4270,5015,4275,5059,4275,5059,4270m5059,3909l5015,3909,5015,3914,5059,3914,5059,3909m5059,3548l5015,3548,5015,3552,5059,3552,5059,3548m5059,3186l5015,3186,5015,3190,5059,3190,5059,3186m5059,2827l5015,2827,5015,2832,5059,2832,5059,2827m5059,2466l5015,2466,5015,2470,5059,2470,5059,2466m5059,2104l5015,2104,5015,2108,5059,2108,5059,2104m5059,1742l5015,1742,5015,1747,5059,1747,5059,1742m5059,1381l5015,1381,5015,1386,5059,1386,5059,1381e" filled="true" fillcolor="#000000" stroked="false">
              <v:path arrowok="t"/>
              <v:fill type="solid"/>
            </v:shape>
            <v:line style="position:absolute" from="1960,4273" to="5015,4273" stroked="true" strokeweight=".24002pt" strokecolor="#000000">
              <v:stroke dashstyle="solid"/>
            </v:line>
            <v:shape style="position:absolute;left:1958;top:4272;width:2651;height:46" coordorigin="1958,4273" coordsize="2651,46" path="m1962,4273l1958,4273,1958,4318,1962,4318,1962,4273m2402,4273l2398,4273,2398,4318,2402,4318,2402,4273m2844,4273l2839,4273,2839,4318,2844,4318,2844,4273m3286,4273l3281,4273,3281,4318,3286,4318,3286,4273m3725,4273l3721,4273,3721,4318,3725,4318,3725,4273m4168,4273l4163,4273,4163,4318,4168,4318,4168,4273m4609,4273l4604,4273,4604,4318,4609,4318,4609,4273e" filled="true" fillcolor="#000000" stroked="false">
              <v:path arrowok="t"/>
              <v:fill type="solid"/>
            </v:shape>
            <v:shape style="position:absolute;left:1958;top:1493;width:3068;height:2525" type="#_x0000_t75" stroked="false">
              <v:imagedata r:id="rId195" o:title=""/>
            </v:shape>
            <v:line style="position:absolute" from="2052,1424" to="2449,1424" stroked="true" strokeweight="1.8pt" strokecolor="#008000">
              <v:stroke dashstyle="solid"/>
            </v:line>
            <w10:wrap type="none"/>
          </v:group>
        </w:pict>
      </w:r>
      <w:r>
        <w:rPr/>
        <w:pict>
          <v:line style="position:absolute;mso-position-horizontal-relative:page;mso-position-vertical-relative:paragraph;z-index:-254724096" from="102.599998pt,61.83762pt" to="122.459998pt,61.83762pt" stroked="true" strokeweight="1.8pt" strokecolor="#000080">
            <v:stroke dashstyle="solid"/>
            <w10:wrap type="none"/>
          </v:line>
        </w:pict>
      </w:r>
      <w:r>
        <w:rPr/>
        <w:pict>
          <v:group style="position:absolute;margin-left:329.639984pt;margin-top:71.077621pt;width:157.65pt;height:144.75pt;mso-position-horizontal-relative:page;mso-position-vertical-relative:paragraph;z-index:-254723072" coordorigin="6593,1422" coordsize="3153,2895">
            <v:line style="position:absolute" from="9700,1424" to="9700,4270" stroked="true" strokeweight=".23999pt" strokecolor="#000000">
              <v:stroke dashstyle="solid"/>
            </v:line>
            <v:shape style="position:absolute;left:9699;top:1421;width:46;height:2852" coordorigin="9700,1422" coordsize="46,2852" path="m9745,4268l9700,4268,9700,4273,9745,4273,9745,4268m9745,3984l9700,3984,9700,3988,9745,3988,9745,3984m9745,3699l9700,3699,9700,3704,9745,3704,9745,3699m9745,3415l9700,3415,9700,3420,9745,3420,9745,3415m9745,3130l9700,3130,9700,3135,9745,3135,9745,3130m9745,2846l9700,2846,9700,2851,9745,2851,9745,2846m9745,2559l9700,2559,9700,2564,9745,2564,9745,2559m9745,2275l9700,2275,9700,2280,9745,2280,9745,2275m9745,1990l9700,1990,9700,1995,9745,1995,9745,1990m9745,1706l9700,1706,9700,1711,9745,1711,9745,1706m9745,1422l9700,1422,9700,1426,9745,1426,9745,1422e" filled="true" fillcolor="#000000" stroked="false">
              <v:path arrowok="t"/>
              <v:fill type="solid"/>
            </v:shape>
            <v:line style="position:absolute" from="6595,4270" to="9700,4270" stroked="true" strokeweight=".23999pt" strokecolor="#000000">
              <v:stroke dashstyle="solid"/>
            </v:line>
            <v:shape style="position:absolute;left:6592;top:4270;width:2702;height:46" coordorigin="6593,4270" coordsize="2702,46" path="m6598,4270l6593,4270,6593,4316,6598,4316,6598,4270m7046,4270l7042,4270,7042,4316,7046,4316,7046,4270m7498,4270l7493,4270,7493,4316,7498,4316,7498,4270m7945,4270l7942,4270,7942,4316,7945,4316,7945,4270m8396,4270l8392,4270,8392,4316,8396,4316,8396,4270m8845,4270l8840,4270,8840,4316,8845,4316,8845,4270m9294,4270l9289,4270,9289,4316,9294,4316,9294,4270e" filled="true" fillcolor="#000000" stroked="false">
              <v:path arrowok="t"/>
              <v:fill type="solid"/>
            </v:shape>
            <v:shape style="position:absolute;left:6592;top:1470;width:3118;height:1972" type="#_x0000_t75" stroked="false">
              <v:imagedata r:id="rId196" o:title=""/>
            </v:shape>
            <w10:wrap type="none"/>
          </v:group>
        </w:pict>
      </w:r>
      <w:r>
        <w:rPr>
          <w:w w:val="105"/>
        </w:rPr>
        <w:t>Chart 20: Correlation of 10 year bond yields and equity prices</w:t>
      </w:r>
    </w:p>
    <w:p>
      <w:pPr>
        <w:pStyle w:val="BodyText"/>
        <w:spacing w:before="11"/>
        <w:rPr>
          <w:b/>
          <w:sz w:val="27"/>
        </w:rPr>
      </w:pPr>
    </w:p>
    <w:tbl>
      <w:tblPr>
        <w:tblW w:w="0" w:type="auto"/>
        <w:jc w:val="left"/>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6"/>
        <w:gridCol w:w="700"/>
        <w:gridCol w:w="450"/>
        <w:gridCol w:w="450"/>
        <w:gridCol w:w="410"/>
        <w:gridCol w:w="2630"/>
      </w:tblGrid>
      <w:tr>
        <w:trPr>
          <w:trHeight w:val="319" w:hRule="atLeast"/>
        </w:trPr>
        <w:tc>
          <w:tcPr>
            <w:tcW w:w="4636"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64"/>
              <w:ind w:left="100"/>
              <w:rPr>
                <w:sz w:val="22"/>
              </w:rPr>
            </w:pPr>
            <w:r>
              <w:rPr>
                <w:w w:val="105"/>
                <w:sz w:val="22"/>
              </w:rPr>
              <w:t>Correlation 10-year spot yields</w:t>
            </w:r>
          </w:p>
        </w:tc>
        <w:tc>
          <w:tcPr>
            <w:tcW w:w="4640" w:type="dxa"/>
            <w:gridSpan w:val="5"/>
            <w:tcBorders>
              <w:top w:val="single" w:sz="4" w:space="0" w:color="000000"/>
              <w:left w:val="single" w:sz="4" w:space="0" w:color="000000"/>
              <w:bottom w:val="single" w:sz="4" w:space="0" w:color="000000"/>
              <w:right w:val="single" w:sz="4" w:space="0" w:color="000000"/>
            </w:tcBorders>
          </w:tcPr>
          <w:p>
            <w:pPr>
              <w:pStyle w:val="TableParagraph"/>
              <w:spacing w:line="235" w:lineRule="exact" w:before="64"/>
              <w:ind w:left="100"/>
              <w:rPr>
                <w:sz w:val="22"/>
              </w:rPr>
            </w:pPr>
            <w:r>
              <w:rPr>
                <w:w w:val="105"/>
                <w:sz w:val="22"/>
              </w:rPr>
              <w:t>Correlation of equity prices:</w:t>
            </w:r>
          </w:p>
        </w:tc>
      </w:tr>
      <w:tr>
        <w:trPr>
          <w:trHeight w:val="500" w:hRule="atLeast"/>
        </w:trPr>
        <w:tc>
          <w:tcPr>
            <w:tcW w:w="4636" w:type="dxa"/>
            <w:tcBorders>
              <w:top w:val="single" w:sz="4" w:space="0" w:color="000000"/>
              <w:left w:val="single" w:sz="4" w:space="0" w:color="000000"/>
              <w:right w:val="single" w:sz="4" w:space="0" w:color="000000"/>
            </w:tcBorders>
          </w:tcPr>
          <w:p>
            <w:pPr>
              <w:pStyle w:val="TableParagraph"/>
              <w:tabs>
                <w:tab w:pos="2420" w:val="left" w:leader="none"/>
              </w:tabs>
              <w:spacing w:line="208" w:lineRule="auto" w:before="77"/>
              <w:ind w:left="983"/>
              <w:rPr>
                <w:sz w:val="15"/>
              </w:rPr>
            </w:pPr>
            <w:r>
              <w:rPr>
                <w:position w:val="-5"/>
                <w:sz w:val="15"/>
              </w:rPr>
              <w:t>France</w:t>
              <w:tab/>
            </w:r>
            <w:r>
              <w:rPr>
                <w:sz w:val="15"/>
              </w:rPr>
              <w:t>Correlation coefficient</w:t>
            </w:r>
          </w:p>
          <w:p>
            <w:pPr>
              <w:pStyle w:val="TableParagraph"/>
              <w:tabs>
                <w:tab w:pos="3658" w:val="left" w:leader="none"/>
              </w:tabs>
              <w:spacing w:line="191" w:lineRule="exact"/>
              <w:ind w:left="983"/>
              <w:rPr>
                <w:sz w:val="15"/>
              </w:rPr>
            </w:pPr>
            <w:r>
              <w:rPr>
                <w:sz w:val="15"/>
              </w:rPr>
              <w:t>Germany</w:t>
              <w:tab/>
            </w:r>
            <w:r>
              <w:rPr>
                <w:position w:val="4"/>
                <w:sz w:val="15"/>
              </w:rPr>
              <w:t>1.0</w:t>
            </w:r>
          </w:p>
        </w:tc>
        <w:tc>
          <w:tcPr>
            <w:tcW w:w="700" w:type="dxa"/>
            <w:tcBorders>
              <w:top w:val="single" w:sz="4" w:space="0" w:color="000000"/>
              <w:left w:val="single" w:sz="4" w:space="0" w:color="000000"/>
            </w:tcBorders>
          </w:tcPr>
          <w:p>
            <w:pPr>
              <w:pStyle w:val="TableParagraph"/>
              <w:rPr>
                <w:rFonts w:ascii="Times New Roman"/>
                <w:sz w:val="16"/>
              </w:rPr>
            </w:pPr>
          </w:p>
        </w:tc>
        <w:tc>
          <w:tcPr>
            <w:tcW w:w="450" w:type="dxa"/>
            <w:tcBorders>
              <w:top w:val="single" w:sz="4" w:space="0" w:color="000000"/>
            </w:tcBorders>
          </w:tcPr>
          <w:p>
            <w:pPr>
              <w:pStyle w:val="TableParagraph"/>
              <w:rPr>
                <w:rFonts w:ascii="Times New Roman"/>
                <w:sz w:val="16"/>
              </w:rPr>
            </w:pPr>
          </w:p>
        </w:tc>
        <w:tc>
          <w:tcPr>
            <w:tcW w:w="450" w:type="dxa"/>
            <w:tcBorders>
              <w:top w:val="single" w:sz="4" w:space="0" w:color="000000"/>
            </w:tcBorders>
          </w:tcPr>
          <w:p>
            <w:pPr>
              <w:pStyle w:val="TableParagraph"/>
              <w:rPr>
                <w:rFonts w:ascii="Times New Roman"/>
                <w:sz w:val="16"/>
              </w:rPr>
            </w:pPr>
          </w:p>
        </w:tc>
        <w:tc>
          <w:tcPr>
            <w:tcW w:w="410" w:type="dxa"/>
            <w:tcBorders>
              <w:top w:val="single" w:sz="4" w:space="0" w:color="000000"/>
            </w:tcBorders>
          </w:tcPr>
          <w:p>
            <w:pPr>
              <w:pStyle w:val="TableParagraph"/>
              <w:rPr>
                <w:rFonts w:ascii="Times New Roman"/>
                <w:sz w:val="16"/>
              </w:rPr>
            </w:pPr>
          </w:p>
        </w:tc>
        <w:tc>
          <w:tcPr>
            <w:tcW w:w="2630" w:type="dxa"/>
            <w:tcBorders>
              <w:top w:val="single" w:sz="4" w:space="0" w:color="000000"/>
              <w:right w:val="single" w:sz="4" w:space="0" w:color="000000"/>
            </w:tcBorders>
          </w:tcPr>
          <w:p>
            <w:pPr>
              <w:pStyle w:val="TableParagraph"/>
              <w:spacing w:before="3"/>
              <w:rPr>
                <w:b/>
                <w:sz w:val="13"/>
              </w:rPr>
            </w:pPr>
          </w:p>
          <w:p>
            <w:pPr>
              <w:pStyle w:val="TableParagraph"/>
              <w:spacing w:line="170" w:lineRule="exact"/>
              <w:ind w:left="230"/>
              <w:rPr>
                <w:sz w:val="15"/>
              </w:rPr>
            </w:pPr>
            <w:r>
              <w:rPr>
                <w:sz w:val="15"/>
              </w:rPr>
              <w:t>Correlation coefficient</w:t>
            </w:r>
          </w:p>
          <w:p>
            <w:pPr>
              <w:pStyle w:val="TableParagraph"/>
              <w:spacing w:line="158" w:lineRule="exact"/>
              <w:ind w:left="1702"/>
              <w:rPr>
                <w:sz w:val="15"/>
              </w:rPr>
            </w:pPr>
            <w:r>
              <w:rPr>
                <w:sz w:val="15"/>
              </w:rPr>
              <w:t>1.0</w:t>
            </w:r>
          </w:p>
        </w:tc>
      </w:tr>
      <w:tr>
        <w:trPr>
          <w:trHeight w:val="351" w:hRule="atLeast"/>
        </w:trPr>
        <w:tc>
          <w:tcPr>
            <w:tcW w:w="4636" w:type="dxa"/>
            <w:tcBorders>
              <w:left w:val="single" w:sz="4" w:space="0" w:color="000000"/>
              <w:right w:val="single" w:sz="4" w:space="0" w:color="000000"/>
            </w:tcBorders>
          </w:tcPr>
          <w:p>
            <w:pPr>
              <w:pStyle w:val="TableParagraph"/>
              <w:spacing w:line="153" w:lineRule="exact" w:before="4"/>
              <w:ind w:left="983"/>
              <w:rPr>
                <w:sz w:val="15"/>
              </w:rPr>
            </w:pPr>
            <w:r>
              <w:rPr>
                <w:sz w:val="15"/>
              </w:rPr>
              <w:t>USA</w:t>
            </w:r>
          </w:p>
          <w:p>
            <w:pPr>
              <w:pStyle w:val="TableParagraph"/>
              <w:spacing w:line="153" w:lineRule="exact"/>
              <w:ind w:right="755"/>
              <w:jc w:val="right"/>
              <w:rPr>
                <w:sz w:val="15"/>
              </w:rPr>
            </w:pPr>
            <w:r>
              <w:rPr>
                <w:sz w:val="15"/>
              </w:rPr>
              <w:t>0.8</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spacing w:before="103"/>
              <w:ind w:right="710"/>
              <w:jc w:val="right"/>
              <w:rPr>
                <w:sz w:val="15"/>
              </w:rPr>
            </w:pPr>
            <w:r>
              <w:rPr>
                <w:sz w:val="15"/>
              </w:rPr>
              <w:t>0.9</w:t>
            </w:r>
          </w:p>
        </w:tc>
      </w:tr>
      <w:tr>
        <w:trPr>
          <w:trHeight w:val="323" w:hRule="atLeast"/>
        </w:trPr>
        <w:tc>
          <w:tcPr>
            <w:tcW w:w="4636" w:type="dxa"/>
            <w:tcBorders>
              <w:left w:val="single" w:sz="4" w:space="0" w:color="000000"/>
              <w:right w:val="single" w:sz="4" w:space="0" w:color="000000"/>
            </w:tcBorders>
          </w:tcPr>
          <w:p>
            <w:pPr>
              <w:pStyle w:val="TableParagraph"/>
              <w:spacing w:before="10"/>
              <w:rPr>
                <w:b/>
                <w:sz w:val="12"/>
              </w:rPr>
            </w:pPr>
          </w:p>
          <w:p>
            <w:pPr>
              <w:pStyle w:val="TableParagraph"/>
              <w:spacing w:line="155" w:lineRule="exact"/>
              <w:ind w:right="755"/>
              <w:jc w:val="right"/>
              <w:rPr>
                <w:sz w:val="15"/>
              </w:rPr>
            </w:pPr>
            <w:r>
              <w:rPr>
                <w:sz w:val="15"/>
              </w:rPr>
              <w:t>0.6</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spacing w:before="36"/>
              <w:ind w:right="710"/>
              <w:jc w:val="right"/>
              <w:rPr>
                <w:sz w:val="15"/>
              </w:rPr>
            </w:pPr>
            <w:r>
              <w:rPr>
                <w:sz w:val="15"/>
              </w:rPr>
              <w:t>0.8</w:t>
            </w:r>
          </w:p>
        </w:tc>
      </w:tr>
      <w:tr>
        <w:trPr>
          <w:trHeight w:val="180" w:hRule="atLeast"/>
        </w:trPr>
        <w:tc>
          <w:tcPr>
            <w:tcW w:w="4636" w:type="dxa"/>
            <w:tcBorders>
              <w:left w:val="single" w:sz="4" w:space="0" w:color="000000"/>
              <w:right w:val="single" w:sz="4" w:space="0" w:color="000000"/>
            </w:tcBorders>
          </w:tcPr>
          <w:p>
            <w:pPr>
              <w:pStyle w:val="TableParagraph"/>
              <w:rPr>
                <w:rFonts w:ascii="Times New Roman"/>
                <w:sz w:val="12"/>
              </w:rPr>
            </w:pPr>
          </w:p>
        </w:tc>
        <w:tc>
          <w:tcPr>
            <w:tcW w:w="700" w:type="dxa"/>
            <w:tcBorders>
              <w:left w:val="single" w:sz="4" w:space="0" w:color="000000"/>
            </w:tcBorders>
          </w:tcPr>
          <w:p>
            <w:pPr>
              <w:pStyle w:val="TableParagraph"/>
              <w:rPr>
                <w:rFonts w:ascii="Times New Roman"/>
                <w:sz w:val="12"/>
              </w:rPr>
            </w:pPr>
          </w:p>
        </w:tc>
        <w:tc>
          <w:tcPr>
            <w:tcW w:w="450" w:type="dxa"/>
          </w:tcPr>
          <w:p>
            <w:pPr>
              <w:pStyle w:val="TableParagraph"/>
              <w:rPr>
                <w:rFonts w:ascii="Times New Roman"/>
                <w:sz w:val="12"/>
              </w:rPr>
            </w:pPr>
          </w:p>
        </w:tc>
        <w:tc>
          <w:tcPr>
            <w:tcW w:w="450" w:type="dxa"/>
          </w:tcPr>
          <w:p>
            <w:pPr>
              <w:pStyle w:val="TableParagraph"/>
              <w:rPr>
                <w:rFonts w:ascii="Times New Roman"/>
                <w:sz w:val="12"/>
              </w:rPr>
            </w:pPr>
          </w:p>
        </w:tc>
        <w:tc>
          <w:tcPr>
            <w:tcW w:w="410" w:type="dxa"/>
          </w:tcPr>
          <w:p>
            <w:pPr>
              <w:pStyle w:val="TableParagraph"/>
              <w:rPr>
                <w:rFonts w:ascii="Times New Roman"/>
                <w:sz w:val="12"/>
              </w:rPr>
            </w:pPr>
          </w:p>
        </w:tc>
        <w:tc>
          <w:tcPr>
            <w:tcW w:w="2630" w:type="dxa"/>
            <w:tcBorders>
              <w:right w:val="single" w:sz="4" w:space="0" w:color="000000"/>
            </w:tcBorders>
          </w:tcPr>
          <w:p>
            <w:pPr>
              <w:pStyle w:val="TableParagraph"/>
              <w:spacing w:line="161" w:lineRule="exact"/>
              <w:ind w:right="710"/>
              <w:jc w:val="right"/>
              <w:rPr>
                <w:sz w:val="15"/>
              </w:rPr>
            </w:pPr>
            <w:r>
              <w:rPr>
                <w:sz w:val="15"/>
              </w:rPr>
              <w:t>0.7</w:t>
            </w:r>
          </w:p>
        </w:tc>
      </w:tr>
      <w:tr>
        <w:trPr>
          <w:trHeight w:val="322" w:hRule="atLeast"/>
        </w:trPr>
        <w:tc>
          <w:tcPr>
            <w:tcW w:w="4636" w:type="dxa"/>
            <w:tcBorders>
              <w:left w:val="single" w:sz="4" w:space="0" w:color="000000"/>
              <w:right w:val="single" w:sz="4" w:space="0" w:color="000000"/>
            </w:tcBorders>
          </w:tcPr>
          <w:p>
            <w:pPr>
              <w:pStyle w:val="TableParagraph"/>
              <w:spacing w:before="5"/>
              <w:ind w:right="755"/>
              <w:jc w:val="right"/>
              <w:rPr>
                <w:sz w:val="15"/>
              </w:rPr>
            </w:pPr>
            <w:r>
              <w:rPr>
                <w:sz w:val="15"/>
              </w:rPr>
              <w:t>0.4</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spacing w:before="102"/>
              <w:ind w:right="710"/>
              <w:jc w:val="right"/>
              <w:rPr>
                <w:sz w:val="15"/>
              </w:rPr>
            </w:pPr>
            <w:r>
              <w:rPr>
                <w:sz w:val="15"/>
              </w:rPr>
              <w:t>0.6</w:t>
            </w:r>
          </w:p>
        </w:tc>
      </w:tr>
      <w:tr>
        <w:trPr>
          <w:trHeight w:val="294" w:hRule="atLeast"/>
        </w:trPr>
        <w:tc>
          <w:tcPr>
            <w:tcW w:w="4636" w:type="dxa"/>
            <w:tcBorders>
              <w:left w:val="single" w:sz="4" w:space="0" w:color="000000"/>
              <w:right w:val="single" w:sz="4" w:space="0" w:color="000000"/>
            </w:tcBorders>
          </w:tcPr>
          <w:p>
            <w:pPr>
              <w:pStyle w:val="TableParagraph"/>
              <w:spacing w:before="43"/>
              <w:ind w:right="755"/>
              <w:jc w:val="right"/>
              <w:rPr>
                <w:sz w:val="15"/>
              </w:rPr>
            </w:pPr>
            <w:r>
              <w:rPr>
                <w:sz w:val="15"/>
              </w:rPr>
              <w:t>0.2</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spacing w:before="64"/>
              <w:ind w:right="710"/>
              <w:jc w:val="right"/>
              <w:rPr>
                <w:sz w:val="15"/>
              </w:rPr>
            </w:pPr>
            <w:r>
              <w:rPr>
                <w:sz w:val="15"/>
              </w:rPr>
              <w:t>0.5</w:t>
            </w:r>
          </w:p>
        </w:tc>
      </w:tr>
      <w:tr>
        <w:trPr>
          <w:trHeight w:val="312" w:hRule="atLeast"/>
        </w:trPr>
        <w:tc>
          <w:tcPr>
            <w:tcW w:w="4636" w:type="dxa"/>
            <w:tcBorders>
              <w:left w:val="single" w:sz="4" w:space="0" w:color="000000"/>
              <w:right w:val="single" w:sz="4" w:space="0" w:color="000000"/>
            </w:tcBorders>
          </w:tcPr>
          <w:p>
            <w:pPr>
              <w:pStyle w:val="TableParagraph"/>
              <w:spacing w:before="110"/>
              <w:ind w:right="755"/>
              <w:jc w:val="right"/>
              <w:rPr>
                <w:sz w:val="15"/>
              </w:rPr>
            </w:pPr>
            <w:r>
              <w:rPr>
                <w:sz w:val="15"/>
              </w:rPr>
              <w:t>0.0</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spacing w:before="54"/>
              <w:ind w:right="710"/>
              <w:jc w:val="right"/>
              <w:rPr>
                <w:sz w:val="15"/>
              </w:rPr>
            </w:pPr>
            <w:r>
              <w:rPr>
                <w:sz w:val="15"/>
              </w:rPr>
              <w:t>0.4</w:t>
            </w:r>
          </w:p>
        </w:tc>
      </w:tr>
      <w:tr>
        <w:trPr>
          <w:trHeight w:val="490" w:hRule="atLeast"/>
        </w:trPr>
        <w:tc>
          <w:tcPr>
            <w:tcW w:w="4636" w:type="dxa"/>
            <w:tcBorders>
              <w:left w:val="single" w:sz="4" w:space="0" w:color="000000"/>
              <w:right w:val="single" w:sz="4" w:space="0" w:color="000000"/>
            </w:tcBorders>
          </w:tcPr>
          <w:p>
            <w:pPr>
              <w:pStyle w:val="TableParagraph"/>
              <w:spacing w:before="8"/>
              <w:rPr>
                <w:b/>
                <w:sz w:val="13"/>
              </w:rPr>
            </w:pPr>
          </w:p>
          <w:p>
            <w:pPr>
              <w:pStyle w:val="TableParagraph"/>
              <w:ind w:right="706"/>
              <w:jc w:val="right"/>
              <w:rPr>
                <w:sz w:val="15"/>
              </w:rPr>
            </w:pPr>
            <w:r>
              <w:rPr>
                <w:sz w:val="15"/>
              </w:rPr>
              <w:t>-0.2</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spacing w:before="25"/>
              <w:ind w:left="1702"/>
              <w:rPr>
                <w:sz w:val="15"/>
              </w:rPr>
            </w:pPr>
            <w:r>
              <w:rPr>
                <w:sz w:val="15"/>
              </w:rPr>
              <w:t>0.3</w:t>
            </w:r>
          </w:p>
          <w:p>
            <w:pPr>
              <w:pStyle w:val="TableParagraph"/>
              <w:tabs>
                <w:tab w:pos="1912" w:val="right" w:leader="none"/>
              </w:tabs>
              <w:spacing w:line="203" w:lineRule="exact" w:before="69"/>
              <w:ind w:left="32"/>
              <w:rPr>
                <w:sz w:val="15"/>
              </w:rPr>
            </w:pPr>
            <w:r>
              <w:rPr>
                <w:b/>
                <w:color w:val="000080"/>
                <w:sz w:val="15"/>
              </w:rPr>
              <w:t>UK</w:t>
            </w:r>
            <w:r>
              <w:rPr>
                <w:b/>
                <w:color w:val="000080"/>
                <w:spacing w:val="-1"/>
                <w:sz w:val="15"/>
              </w:rPr>
              <w:t> </w:t>
            </w:r>
            <w:r>
              <w:rPr>
                <w:b/>
                <w:color w:val="000080"/>
                <w:sz w:val="15"/>
              </w:rPr>
              <w:t>- US</w:t>
              <w:tab/>
            </w:r>
            <w:r>
              <w:rPr>
                <w:position w:val="-3"/>
                <w:sz w:val="15"/>
              </w:rPr>
              <w:t>0.2</w:t>
            </w:r>
          </w:p>
        </w:tc>
      </w:tr>
      <w:tr>
        <w:trPr>
          <w:trHeight w:val="297" w:hRule="atLeast"/>
        </w:trPr>
        <w:tc>
          <w:tcPr>
            <w:tcW w:w="4636" w:type="dxa"/>
            <w:tcBorders>
              <w:left w:val="single" w:sz="4" w:space="0" w:color="000000"/>
              <w:right w:val="single" w:sz="4" w:space="0" w:color="000000"/>
            </w:tcBorders>
          </w:tcPr>
          <w:p>
            <w:pPr>
              <w:pStyle w:val="TableParagraph"/>
              <w:spacing w:before="28"/>
              <w:ind w:right="706"/>
              <w:jc w:val="right"/>
              <w:rPr>
                <w:sz w:val="15"/>
              </w:rPr>
            </w:pPr>
            <w:r>
              <w:rPr>
                <w:sz w:val="15"/>
              </w:rPr>
              <w:t>-0.4</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tabs>
                <w:tab w:pos="1912" w:val="right" w:leader="none"/>
              </w:tabs>
              <w:spacing w:before="3"/>
              <w:ind w:left="18"/>
              <w:rPr>
                <w:sz w:val="15"/>
              </w:rPr>
            </w:pPr>
            <w:r>
              <w:rPr>
                <w:b/>
                <w:color w:val="FF00FF"/>
                <w:sz w:val="15"/>
              </w:rPr>
              <w:t>UK - euro</w:t>
            </w:r>
            <w:r>
              <w:rPr>
                <w:b/>
                <w:color w:val="FF00FF"/>
                <w:spacing w:val="-1"/>
                <w:sz w:val="15"/>
              </w:rPr>
              <w:t> </w:t>
            </w:r>
            <w:r>
              <w:rPr>
                <w:b/>
                <w:color w:val="FF00FF"/>
                <w:sz w:val="15"/>
              </w:rPr>
              <w:t>area</w:t>
              <w:tab/>
            </w:r>
            <w:r>
              <w:rPr>
                <w:position w:val="-9"/>
                <w:sz w:val="15"/>
              </w:rPr>
              <w:t>0.1</w:t>
            </w:r>
          </w:p>
        </w:tc>
      </w:tr>
      <w:tr>
        <w:trPr>
          <w:trHeight w:val="270" w:hRule="atLeast"/>
        </w:trPr>
        <w:tc>
          <w:tcPr>
            <w:tcW w:w="4636" w:type="dxa"/>
            <w:tcBorders>
              <w:left w:val="single" w:sz="4" w:space="0" w:color="000000"/>
              <w:right w:val="single" w:sz="4" w:space="0" w:color="000000"/>
            </w:tcBorders>
          </w:tcPr>
          <w:p>
            <w:pPr>
              <w:pStyle w:val="TableParagraph"/>
              <w:spacing w:line="158" w:lineRule="exact" w:before="93"/>
              <w:ind w:right="706"/>
              <w:jc w:val="right"/>
              <w:rPr>
                <w:sz w:val="15"/>
              </w:rPr>
            </w:pPr>
            <w:r>
              <w:rPr>
                <w:sz w:val="15"/>
              </w:rPr>
              <w:t>-0.6</w:t>
            </w:r>
          </w:p>
        </w:tc>
        <w:tc>
          <w:tcPr>
            <w:tcW w:w="700" w:type="dxa"/>
            <w:tcBorders>
              <w:left w:val="single" w:sz="4" w:space="0" w:color="000000"/>
            </w:tcBorders>
          </w:tcPr>
          <w:p>
            <w:pPr>
              <w:pStyle w:val="TableParagraph"/>
              <w:rPr>
                <w:rFonts w:ascii="Times New Roman"/>
                <w:sz w:val="16"/>
              </w:rPr>
            </w:pPr>
          </w:p>
        </w:tc>
        <w:tc>
          <w:tcPr>
            <w:tcW w:w="450" w:type="dxa"/>
          </w:tcPr>
          <w:p>
            <w:pPr>
              <w:pStyle w:val="TableParagraph"/>
              <w:rPr>
                <w:rFonts w:ascii="Times New Roman"/>
                <w:sz w:val="16"/>
              </w:rPr>
            </w:pPr>
          </w:p>
        </w:tc>
        <w:tc>
          <w:tcPr>
            <w:tcW w:w="450" w:type="dxa"/>
          </w:tcPr>
          <w:p>
            <w:pPr>
              <w:pStyle w:val="TableParagraph"/>
              <w:rPr>
                <w:rFonts w:ascii="Times New Roman"/>
                <w:sz w:val="16"/>
              </w:rPr>
            </w:pPr>
          </w:p>
        </w:tc>
        <w:tc>
          <w:tcPr>
            <w:tcW w:w="410" w:type="dxa"/>
          </w:tcPr>
          <w:p>
            <w:pPr>
              <w:pStyle w:val="TableParagraph"/>
              <w:rPr>
                <w:rFonts w:ascii="Times New Roman"/>
                <w:sz w:val="16"/>
              </w:rPr>
            </w:pPr>
          </w:p>
        </w:tc>
        <w:tc>
          <w:tcPr>
            <w:tcW w:w="2630" w:type="dxa"/>
            <w:tcBorders>
              <w:right w:val="single" w:sz="4" w:space="0" w:color="000000"/>
            </w:tcBorders>
          </w:tcPr>
          <w:p>
            <w:pPr>
              <w:pStyle w:val="TableParagraph"/>
              <w:spacing w:line="159" w:lineRule="exact" w:before="91"/>
              <w:ind w:right="710"/>
              <w:jc w:val="right"/>
              <w:rPr>
                <w:sz w:val="15"/>
              </w:rPr>
            </w:pPr>
            <w:r>
              <w:rPr>
                <w:sz w:val="15"/>
              </w:rPr>
              <w:t>0.0</w:t>
            </w:r>
          </w:p>
        </w:tc>
      </w:tr>
      <w:tr>
        <w:trPr>
          <w:trHeight w:val="296" w:hRule="atLeast"/>
        </w:trPr>
        <w:tc>
          <w:tcPr>
            <w:tcW w:w="4636" w:type="dxa"/>
            <w:tcBorders>
              <w:left w:val="single" w:sz="4" w:space="0" w:color="000000"/>
              <w:bottom w:val="single" w:sz="4" w:space="0" w:color="000000"/>
              <w:right w:val="single" w:sz="4" w:space="0" w:color="000000"/>
            </w:tcBorders>
          </w:tcPr>
          <w:p>
            <w:pPr>
              <w:pStyle w:val="TableParagraph"/>
              <w:spacing w:before="2"/>
              <w:ind w:left="307"/>
              <w:rPr>
                <w:sz w:val="15"/>
              </w:rPr>
            </w:pPr>
            <w:r>
              <w:rPr>
                <w:sz w:val="15"/>
              </w:rPr>
              <w:t>1961 1968 1976 1984 1992 1999 2007</w:t>
            </w:r>
          </w:p>
        </w:tc>
        <w:tc>
          <w:tcPr>
            <w:tcW w:w="700" w:type="dxa"/>
            <w:tcBorders>
              <w:left w:val="single" w:sz="4" w:space="0" w:color="000000"/>
              <w:bottom w:val="single" w:sz="4" w:space="0" w:color="000000"/>
            </w:tcBorders>
          </w:tcPr>
          <w:p>
            <w:pPr>
              <w:pStyle w:val="TableParagraph"/>
              <w:spacing w:before="1"/>
              <w:ind w:left="306"/>
              <w:rPr>
                <w:sz w:val="15"/>
              </w:rPr>
            </w:pPr>
            <w:r>
              <w:rPr>
                <w:sz w:val="15"/>
              </w:rPr>
              <w:t>1994</w:t>
            </w:r>
          </w:p>
        </w:tc>
        <w:tc>
          <w:tcPr>
            <w:tcW w:w="450" w:type="dxa"/>
            <w:tcBorders>
              <w:bottom w:val="single" w:sz="4" w:space="0" w:color="000000"/>
            </w:tcBorders>
          </w:tcPr>
          <w:p>
            <w:pPr>
              <w:pStyle w:val="TableParagraph"/>
              <w:spacing w:before="1"/>
              <w:ind w:left="61"/>
              <w:rPr>
                <w:sz w:val="15"/>
              </w:rPr>
            </w:pPr>
            <w:r>
              <w:rPr>
                <w:sz w:val="15"/>
              </w:rPr>
              <w:t>1997</w:t>
            </w:r>
          </w:p>
        </w:tc>
        <w:tc>
          <w:tcPr>
            <w:tcW w:w="450" w:type="dxa"/>
            <w:tcBorders>
              <w:bottom w:val="single" w:sz="4" w:space="0" w:color="000000"/>
            </w:tcBorders>
          </w:tcPr>
          <w:p>
            <w:pPr>
              <w:pStyle w:val="TableParagraph"/>
              <w:spacing w:before="1"/>
              <w:ind w:left="60"/>
              <w:rPr>
                <w:sz w:val="15"/>
              </w:rPr>
            </w:pPr>
            <w:r>
              <w:rPr>
                <w:sz w:val="15"/>
              </w:rPr>
              <w:t>2000</w:t>
            </w:r>
          </w:p>
        </w:tc>
        <w:tc>
          <w:tcPr>
            <w:tcW w:w="410" w:type="dxa"/>
            <w:tcBorders>
              <w:bottom w:val="single" w:sz="4" w:space="0" w:color="000000"/>
            </w:tcBorders>
          </w:tcPr>
          <w:p>
            <w:pPr>
              <w:pStyle w:val="TableParagraph"/>
              <w:spacing w:before="1"/>
              <w:ind w:left="60"/>
              <w:rPr>
                <w:sz w:val="15"/>
              </w:rPr>
            </w:pPr>
            <w:r>
              <w:rPr>
                <w:sz w:val="15"/>
              </w:rPr>
              <w:t>2003</w:t>
            </w:r>
          </w:p>
        </w:tc>
        <w:tc>
          <w:tcPr>
            <w:tcW w:w="2630" w:type="dxa"/>
            <w:tcBorders>
              <w:bottom w:val="single" w:sz="4" w:space="0" w:color="000000"/>
              <w:right w:val="single" w:sz="4" w:space="0" w:color="000000"/>
            </w:tcBorders>
          </w:tcPr>
          <w:p>
            <w:pPr>
              <w:pStyle w:val="TableParagraph"/>
              <w:spacing w:before="1"/>
              <w:ind w:left="99"/>
              <w:rPr>
                <w:sz w:val="15"/>
              </w:rPr>
            </w:pPr>
            <w:r>
              <w:rPr>
                <w:sz w:val="15"/>
              </w:rPr>
              <w:t>2006 2009 2012</w:t>
            </w:r>
          </w:p>
        </w:tc>
      </w:tr>
    </w:tbl>
    <w:sectPr>
      <w:pgSz w:w="12240" w:h="15840"/>
      <w:pgMar w:header="0" w:footer="1664" w:top="1500" w:bottom="1860" w:left="12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93056" from="62.639999pt,729.390015pt" to="549.419999pt,729.390015pt" stroked="true" strokeweight=".17999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518.159912pt;margin-top:728.511292pt;width:6.55pt;height:3.1pt;mso-position-horizontal-relative:page;mso-position-vertical-relative:page;z-index:-254892032"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2</w:t>
                </w:r>
                <w:r>
                  <w:rPr/>
                  <w:fldChar w:fldCharType="end"/>
                </w:r>
              </w:p>
            </w:txbxContent>
          </v:textbox>
          <w10:wrap type="none"/>
        </v:shape>
      </w:pict>
    </w:r>
    <w:r>
      <w:rPr/>
      <w:pict>
        <v:shape style="position:absolute;margin-left:66.679794pt;margin-top:739.564209pt;width:439.6pt;height:12.55pt;mso-position-horizontal-relative:page;mso-position-vertical-relative:page;z-index:-254891008"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8.039856pt;margin-top:740.645813pt;width:7.25pt;height:12.55pt;mso-position-horizontal-relative:page;mso-position-vertical-relative:page;z-index:-254889984" type="#_x0000_t202" filled="false" stroked="false">
          <v:textbox inset="0,0,0,0">
            <w:txbxContent>
              <w:p>
                <w:pPr>
                  <w:pStyle w:val="BodyText"/>
                  <w:spacing w:before="12"/>
                  <w:ind w:left="20"/>
                </w:pPr>
                <w:r>
                  <w:rPr>
                    <w:w w:val="99"/>
                  </w:rPr>
                  <w:t>2</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56192" from="62.639999pt,725.640015pt" to="549.479999pt,725.640015pt" stroked="true" strokeweight=".23999pt" strokecolor="#000000">
          <v:stroke dashstyle="solid"/>
          <w10:wrap type="none"/>
        </v:line>
      </w:pict>
    </w:r>
    <w:r>
      <w:rPr/>
      <w:pict>
        <v:shape style="position:absolute;margin-left:518.219971pt;margin-top:724.79126pt;width:7.1pt;height:3.1pt;mso-position-horizontal-relative:page;mso-position-vertical-relative:page;z-index:-254855168" type="#_x0000_t202" filled="false" stroked="false">
          <v:textbox inset="0,0,0,0">
            <w:txbxContent>
              <w:p>
                <w:pPr>
                  <w:spacing w:before="18"/>
                  <w:ind w:left="39" w:right="39" w:firstLine="0"/>
                  <w:jc w:val="center"/>
                  <w:rPr>
                    <w:sz w:val="2"/>
                  </w:rPr>
                </w:pPr>
                <w:r>
                  <w:rPr/>
                  <w:fldChar w:fldCharType="begin"/>
                </w:r>
                <w:r>
                  <w:rPr>
                    <w:sz w:val="2"/>
                  </w:rPr>
                  <w:instrText> PAGE </w:instrText>
                </w:r>
                <w:r>
                  <w:rPr/>
                  <w:fldChar w:fldCharType="separate"/>
                </w:r>
                <w:r>
                  <w:rPr/>
                  <w:t>27</w:t>
                </w:r>
                <w:r>
                  <w:rPr/>
                  <w:fldChar w:fldCharType="end"/>
                </w:r>
              </w:p>
            </w:txbxContent>
          </v:textbox>
          <w10:wrap type="none"/>
        </v:shape>
      </w:pict>
    </w:r>
    <w:r>
      <w:rPr/>
      <w:pict>
        <v:shape style="position:absolute;margin-left:66.739655pt;margin-top:735.786804pt;width:439.6pt;height:12.55pt;mso-position-horizontal-relative:page;mso-position-vertical-relative:page;z-index:-254854144" type="#_x0000_t202" filled="false" stroked="false">
          <v:textbox inset="0,0,0,0">
            <w:txbxContent>
              <w:p>
                <w:pPr>
                  <w:pStyle w:val="BodyText"/>
                  <w:spacing w:before="12"/>
                  <w:ind w:left="20"/>
                </w:pPr>
                <w:r>
                  <w:rPr/>
                  <w:t>All</w:t>
                </w:r>
                <w:r>
                  <w:rPr>
                    <w:spacing w:val="-19"/>
                  </w:rPr>
                  <w:t> </w:t>
                </w:r>
                <w:r>
                  <w:rPr/>
                  <w:t>speeches</w:t>
                </w:r>
                <w:r>
                  <w:rPr>
                    <w:spacing w:val="-19"/>
                  </w:rPr>
                  <w:t> </w:t>
                </w:r>
                <w:r>
                  <w:rPr/>
                  <w:t>are</w:t>
                </w:r>
                <w:r>
                  <w:rPr>
                    <w:spacing w:val="-18"/>
                  </w:rPr>
                  <w:t> </w:t>
                </w:r>
                <w:r>
                  <w:rPr/>
                  <w:t>available</w:t>
                </w:r>
                <w:r>
                  <w:rPr>
                    <w:spacing w:val="-18"/>
                  </w:rPr>
                  <w:t> </w:t>
                </w:r>
                <w:r>
                  <w:rPr/>
                  <w:t>online</w:t>
                </w:r>
                <w:r>
                  <w:rPr>
                    <w:spacing w:val="-18"/>
                  </w:rPr>
                  <w:t> </w:t>
                </w:r>
                <w:r>
                  <w:rPr/>
                  <w:t>at</w:t>
                </w:r>
                <w:r>
                  <w:rPr>
                    <w:spacing w:val="-17"/>
                  </w:rPr>
                  <w:t> </w:t>
                </w:r>
                <w:hyperlink r:id="rId1">
                  <w:r>
                    <w:rPr/>
                    <w:t>www.bankofengland.co.uk/publications/Pages/speeches/default.aspx</w:t>
                  </w:r>
                </w:hyperlink>
              </w:p>
            </w:txbxContent>
          </v:textbox>
          <w10:wrap type="none"/>
        </v:shape>
      </w:pict>
    </w:r>
    <w:r>
      <w:rPr/>
      <w:pict>
        <v:shape style="position:absolute;margin-left:532.8797pt;margin-top:736.865723pt;width:12.45pt;height:12.55pt;mso-position-horizontal-relative:page;mso-position-vertical-relative:page;z-index:-254853120" type="#_x0000_t202" filled="false" stroked="false">
          <v:textbox inset="0,0,0,0">
            <w:txbxContent>
              <w:p>
                <w:pPr>
                  <w:pStyle w:val="BodyText"/>
                  <w:spacing w:before="12"/>
                  <w:ind w:left="20"/>
                </w:pPr>
                <w:r>
                  <w:rPr/>
                  <w:t>27</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52096" from="62.639999pt,725.640015pt" to="549.479999pt,725.640015pt" stroked="true" strokeweight=".23999pt" strokecolor="#000000">
          <v:stroke dashstyle="solid"/>
          <w10:wrap type="none"/>
        </v:line>
      </w:pict>
    </w:r>
    <w:r>
      <w:rPr/>
      <w:pict>
        <v:shape style="position:absolute;margin-left:518.159912pt;margin-top:724.731262pt;width:7.15pt;height:3.15pt;mso-position-horizontal-relative:page;mso-position-vertical-relative:page;z-index:-254851072" type="#_x0000_t202" filled="false" stroked="false">
          <v:textbox inset="0,0,0,0">
            <w:txbxContent>
              <w:p>
                <w:pPr>
                  <w:pStyle w:val="BodyText"/>
                  <w:rPr>
                    <w:sz w:val="2"/>
                  </w:rPr>
                </w:pPr>
              </w:p>
              <w:p>
                <w:pPr>
                  <w:spacing w:before="0"/>
                  <w:ind w:left="39" w:right="40" w:firstLine="0"/>
                  <w:jc w:val="center"/>
                  <w:rPr>
                    <w:sz w:val="2"/>
                  </w:rPr>
                </w:pPr>
                <w:r>
                  <w:rPr/>
                  <w:fldChar w:fldCharType="begin"/>
                </w:r>
                <w:r>
                  <w:rPr>
                    <w:sz w:val="2"/>
                  </w:rPr>
                  <w:instrText> PAGE </w:instrText>
                </w:r>
                <w:r>
                  <w:rPr/>
                  <w:fldChar w:fldCharType="separate"/>
                </w:r>
                <w:r>
                  <w:rPr/>
                  <w:t>30</w:t>
                </w:r>
                <w:r>
                  <w:rPr/>
                  <w:fldChar w:fldCharType="end"/>
                </w:r>
              </w:p>
            </w:txbxContent>
          </v:textbox>
          <w10:wrap type="none"/>
        </v:shape>
      </w:pict>
    </w:r>
    <w:r>
      <w:rPr/>
      <w:pict>
        <v:shape style="position:absolute;margin-left:66.679794pt;margin-top:735.784546pt;width:439.6pt;height:12.55pt;mso-position-horizontal-relative:page;mso-position-vertical-relative:page;z-index:-254850048"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2.879517pt;margin-top:736.865784pt;width:12.35pt;height:12.55pt;mso-position-horizontal-relative:page;mso-position-vertical-relative:page;z-index:-254849024" type="#_x0000_t202" filled="false" stroked="false">
          <v:textbox inset="0,0,0,0">
            <w:txbxContent>
              <w:p>
                <w:pPr>
                  <w:pStyle w:val="BodyText"/>
                  <w:spacing w:before="12"/>
                  <w:ind w:left="20"/>
                </w:pPr>
                <w:r>
                  <w:rPr/>
                  <w:t>30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48000" from="62.639999pt,694.919983pt" to="549.419999pt,694.919983pt" stroked="true" strokeweight=".23999pt" strokecolor="#000000">
          <v:stroke dashstyle="solid"/>
          <w10:wrap type="none"/>
        </v:line>
      </w:pict>
    </w:r>
    <w:r>
      <w:rPr/>
      <w:pict>
        <v:shape style="position:absolute;margin-left:518.159912pt;margin-top:694.071289pt;width:7.15pt;height:3.1pt;mso-position-horizontal-relative:page;mso-position-vertical-relative:page;z-index:-254846976" type="#_x0000_t202" filled="false" stroked="false">
          <v:textbox inset="0,0,0,0">
            <w:txbxContent>
              <w:p>
                <w:pPr>
                  <w:pStyle w:val="BodyText"/>
                  <w:rPr>
                    <w:sz w:val="2"/>
                  </w:rPr>
                </w:pPr>
              </w:p>
              <w:p>
                <w:pPr>
                  <w:spacing w:before="0"/>
                  <w:ind w:left="39" w:right="40" w:firstLine="0"/>
                  <w:jc w:val="center"/>
                  <w:rPr>
                    <w:sz w:val="2"/>
                  </w:rPr>
                </w:pPr>
                <w:r>
                  <w:rPr/>
                  <w:fldChar w:fldCharType="begin"/>
                </w:r>
                <w:r>
                  <w:rPr>
                    <w:sz w:val="2"/>
                  </w:rPr>
                  <w:instrText> PAGE </w:instrText>
                </w:r>
                <w:r>
                  <w:rPr/>
                  <w:fldChar w:fldCharType="separate"/>
                </w:r>
                <w:r>
                  <w:rPr/>
                  <w:t>34</w:t>
                </w:r>
                <w:r>
                  <w:rPr/>
                  <w:fldChar w:fldCharType="end"/>
                </w:r>
              </w:p>
            </w:txbxContent>
          </v:textbox>
          <w10:wrap type="none"/>
        </v:shape>
      </w:pict>
    </w:r>
    <w:r>
      <w:rPr/>
      <w:pict>
        <v:shape style="position:absolute;margin-left:66.680481pt;margin-top:705.004456pt;width:439.6pt;height:12.55pt;mso-position-horizontal-relative:page;mso-position-vertical-relative:page;z-index:-254845952"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20"/>
                  </w:rPr>
                  <w:t> </w:t>
                </w:r>
                <w:r>
                  <w:rPr/>
                  <w:t>at</w:t>
                </w:r>
                <w:r>
                  <w:rPr>
                    <w:spacing w:val="-18"/>
                  </w:rPr>
                  <w:t> </w:t>
                </w:r>
                <w:hyperlink r:id="rId1">
                  <w:r>
                    <w:rPr/>
                    <w:t>www.bankofengland.co.uk/publications/Pages/speeches/default.aspx</w:t>
                  </w:r>
                </w:hyperlink>
              </w:p>
            </w:txbxContent>
          </v:textbox>
          <w10:wrap type="none"/>
        </v:shape>
      </w:pict>
    </w:r>
    <w:r>
      <w:rPr/>
      <w:pict>
        <v:shape style="position:absolute;margin-left:532.879517pt;margin-top:706.145813pt;width:12.35pt;height:12.55pt;mso-position-horizontal-relative:page;mso-position-vertical-relative:page;z-index:-254844928" type="#_x0000_t202" filled="false" stroked="false">
          <v:textbox inset="0,0,0,0">
            <w:txbxContent>
              <w:p>
                <w:pPr>
                  <w:pStyle w:val="BodyText"/>
                  <w:spacing w:before="12"/>
                  <w:ind w:left="20"/>
                </w:pPr>
                <w:r>
                  <w:rPr/>
                  <w:t>34</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88960" from="62.639999pt,729.390015pt" to="549.419999pt,729.390015pt" stroked="true" strokeweight=".17999pt" strokecolor="#000000">
          <v:stroke dashstyle="solid"/>
          <w10:wrap type="none"/>
        </v:line>
      </w:pict>
    </w:r>
    <w:r>
      <w:rPr/>
      <w:pict>
        <v:shape style="position:absolute;margin-left:518.159912pt;margin-top:728.511292pt;width:6.55pt;height:3.1pt;mso-position-horizontal-relative:page;mso-position-vertical-relative:page;z-index:-254887936"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5</w:t>
                </w:r>
                <w:r>
                  <w:rPr/>
                  <w:fldChar w:fldCharType="end"/>
                </w:r>
              </w:p>
            </w:txbxContent>
          </v:textbox>
          <w10:wrap type="none"/>
        </v:shape>
      </w:pict>
    </w:r>
    <w:r>
      <w:rPr/>
      <w:pict>
        <v:shape style="position:absolute;margin-left:66.679794pt;margin-top:739.564209pt;width:439.6pt;height:12.55pt;mso-position-horizontal-relative:page;mso-position-vertical-relative:page;z-index:-254886912"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8.039856pt;margin-top:740.645813pt;width:7.25pt;height:12.55pt;mso-position-horizontal-relative:page;mso-position-vertical-relative:page;z-index:-254885888" type="#_x0000_t202" filled="false" stroked="false">
          <v:textbox inset="0,0,0,0">
            <w:txbxContent>
              <w:p>
                <w:pPr>
                  <w:pStyle w:val="BodyText"/>
                  <w:spacing w:before="12"/>
                  <w:ind w:left="20"/>
                </w:pPr>
                <w:r>
                  <w:rPr>
                    <w:w w:val="99"/>
                  </w:rPr>
                  <w:t>5</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84864" from="62.639999pt,729.390015pt" to="549.419999pt,729.390015pt" stroked="true" strokeweight=".17999pt" strokecolor="#000000">
          <v:stroke dashstyle="solid"/>
          <w10:wrap type="none"/>
        </v:line>
      </w:pict>
    </w:r>
    <w:r>
      <w:rPr/>
      <w:pict>
        <v:shape style="position:absolute;margin-left:518.159912pt;margin-top:728.511292pt;width:6.55pt;height:3.1pt;mso-position-horizontal-relative:page;mso-position-vertical-relative:page;z-index:-25488384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6</w:t>
                </w:r>
                <w:r>
                  <w:rPr/>
                  <w:fldChar w:fldCharType="end"/>
                </w:r>
              </w:p>
            </w:txbxContent>
          </v:textbox>
          <w10:wrap type="none"/>
        </v:shape>
      </w:pict>
    </w:r>
    <w:r>
      <w:rPr/>
      <w:pict>
        <v:shape style="position:absolute;margin-left:66.679794pt;margin-top:739.564209pt;width:439.6pt;height:12.55pt;mso-position-horizontal-relative:page;mso-position-vertical-relative:page;z-index:-254882816"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8.039856pt;margin-top:740.645813pt;width:7.25pt;height:12.55pt;mso-position-horizontal-relative:page;mso-position-vertical-relative:page;z-index:-254881792" type="#_x0000_t202" filled="false" stroked="false">
          <v:textbox inset="0,0,0,0">
            <w:txbxContent>
              <w:p>
                <w:pPr>
                  <w:pStyle w:val="BodyText"/>
                  <w:spacing w:before="12"/>
                  <w:ind w:left="20"/>
                </w:pPr>
                <w:r>
                  <w:rPr>
                    <w:w w:val="99"/>
                  </w:rPr>
                  <w:t>6</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80768" from="62.639999pt,729.390015pt" to="549.419999pt,729.390015pt" stroked="true" strokeweight=".17999pt" strokecolor="#000000">
          <v:stroke dashstyle="solid"/>
          <w10:wrap type="none"/>
        </v:line>
      </w:pict>
    </w:r>
    <w:r>
      <w:rPr/>
      <w:pict>
        <v:shape style="position:absolute;margin-left:518.159912pt;margin-top:728.511292pt;width:6.55pt;height:3.1pt;mso-position-horizontal-relative:page;mso-position-vertical-relative:page;z-index:-254879744"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9</w:t>
                </w:r>
                <w:r>
                  <w:rPr/>
                  <w:fldChar w:fldCharType="end"/>
                </w:r>
              </w:p>
            </w:txbxContent>
          </v:textbox>
          <w10:wrap type="none"/>
        </v:shape>
      </w:pict>
    </w:r>
    <w:r>
      <w:rPr/>
      <w:pict>
        <v:shape style="position:absolute;margin-left:66.679794pt;margin-top:739.564209pt;width:439.6pt;height:12.55pt;mso-position-horizontal-relative:page;mso-position-vertical-relative:page;z-index:-254878720"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8.039856pt;margin-top:740.645813pt;width:7.25pt;height:12.55pt;mso-position-horizontal-relative:page;mso-position-vertical-relative:page;z-index:-254877696" type="#_x0000_t202" filled="false" stroked="false">
          <v:textbox inset="0,0,0,0">
            <w:txbxContent>
              <w:p>
                <w:pPr>
                  <w:pStyle w:val="BodyText"/>
                  <w:spacing w:before="12"/>
                  <w:ind w:left="20"/>
                </w:pPr>
                <w:r>
                  <w:rPr>
                    <w:w w:val="99"/>
                  </w:rPr>
                  <w:t>9</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76672" from="62.639999pt,729.390015pt" to="549.419999pt,729.390015pt" stroked="true" strokeweight=".17999pt" strokecolor="#000000">
          <v:stroke dashstyle="solid"/>
          <w10:wrap type="none"/>
        </v:line>
      </w:pict>
    </w:r>
    <w:r>
      <w:rPr/>
      <w:pict>
        <v:shape style="position:absolute;margin-left:518.159912pt;margin-top:728.511292pt;width:7.1pt;height:3.1pt;mso-position-horizontal-relative:page;mso-position-vertical-relative:page;z-index:-254875648"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66.679794pt;margin-top:739.564209pt;width:439.6pt;height:12.55pt;mso-position-horizontal-relative:page;mso-position-vertical-relative:page;z-index:-254874624"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2.879517pt;margin-top:740.645813pt;width:12.35pt;height:12.55pt;mso-position-horizontal-relative:page;mso-position-vertical-relative:page;z-index:-254873600" type="#_x0000_t202" filled="false" stroked="false">
          <v:textbox inset="0,0,0,0">
            <w:txbxContent>
              <w:p>
                <w:pPr>
                  <w:pStyle w:val="BodyText"/>
                  <w:spacing w:before="12"/>
                  <w:ind w:left="20"/>
                </w:pPr>
                <w:r>
                  <w:rPr/>
                  <w:t>10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72576" from="62.639999pt,729.390015pt" to="549.419999pt,729.390015pt" stroked="true" strokeweight=".17999pt" strokecolor="#000000">
          <v:stroke dashstyle="solid"/>
          <w10:wrap type="none"/>
        </v:line>
      </w:pict>
    </w:r>
    <w:r>
      <w:rPr/>
      <w:pict>
        <v:shape style="position:absolute;margin-left:518.159912pt;margin-top:728.511292pt;width:7.1pt;height:3.1pt;mso-position-horizontal-relative:page;mso-position-vertical-relative:page;z-index:-254871552"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13</w:t>
                </w:r>
                <w:r>
                  <w:rPr/>
                  <w:fldChar w:fldCharType="end"/>
                </w:r>
              </w:p>
            </w:txbxContent>
          </v:textbox>
          <w10:wrap type="none"/>
        </v:shape>
      </w:pict>
    </w:r>
    <w:r>
      <w:rPr/>
      <w:pict>
        <v:shape style="position:absolute;margin-left:66.679794pt;margin-top:739.564209pt;width:439.6pt;height:12.55pt;mso-position-horizontal-relative:page;mso-position-vertical-relative:page;z-index:-254870528"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2.879517pt;margin-top:740.645813pt;width:12.35pt;height:12.55pt;mso-position-horizontal-relative:page;mso-position-vertical-relative:page;z-index:-254869504" type="#_x0000_t202" filled="false" stroked="false">
          <v:textbox inset="0,0,0,0">
            <w:txbxContent>
              <w:p>
                <w:pPr>
                  <w:pStyle w:val="BodyText"/>
                  <w:spacing w:before="12"/>
                  <w:ind w:left="20"/>
                </w:pPr>
                <w:r>
                  <w:rPr/>
                  <w:t>13</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68480" from="62.639999pt,729.390015pt" to="549.419999pt,729.390015pt" stroked="true" strokeweight=".17999pt" strokecolor="#000000">
          <v:stroke dashstyle="solid"/>
          <w10:wrap type="none"/>
        </v:line>
      </w:pict>
    </w:r>
    <w:r>
      <w:rPr/>
      <w:pict>
        <v:shape style="position:absolute;margin-left:518.159912pt;margin-top:728.511292pt;width:7.1pt;height:3.1pt;mso-position-horizontal-relative:page;mso-position-vertical-relative:page;z-index:-25486745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16</w:t>
                </w:r>
                <w:r>
                  <w:rPr/>
                  <w:fldChar w:fldCharType="end"/>
                </w:r>
              </w:p>
            </w:txbxContent>
          </v:textbox>
          <w10:wrap type="none"/>
        </v:shape>
      </w:pict>
    </w:r>
    <w:r>
      <w:rPr/>
      <w:pict>
        <v:shape style="position:absolute;margin-left:66.679794pt;margin-top:739.564209pt;width:439.6pt;height:12.55pt;mso-position-horizontal-relative:page;mso-position-vertical-relative:page;z-index:-254866432"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2.879517pt;margin-top:740.645813pt;width:12.35pt;height:12.55pt;mso-position-horizontal-relative:page;mso-position-vertical-relative:page;z-index:-254865408" type="#_x0000_t202" filled="false" stroked="false">
          <v:textbox inset="0,0,0,0">
            <w:txbxContent>
              <w:p>
                <w:pPr>
                  <w:pStyle w:val="BodyText"/>
                  <w:spacing w:before="12"/>
                  <w:ind w:left="20"/>
                </w:pPr>
                <w:r>
                  <w:rPr/>
                  <w:t>16</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64384" from="62.639999pt,729.390015pt" to="549.419999pt,729.390015pt" stroked="true" strokeweight=".17999pt" strokecolor="#000000">
          <v:stroke dashstyle="solid"/>
          <w10:wrap type="none"/>
        </v:line>
      </w:pict>
    </w:r>
    <w:r>
      <w:rPr/>
      <w:pict>
        <v:shape style="position:absolute;margin-left:518.159912pt;margin-top:728.511292pt;width:7.1pt;height:3.1pt;mso-position-horizontal-relative:page;mso-position-vertical-relative:page;z-index:-254863360"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17</w:t>
                </w:r>
                <w:r>
                  <w:rPr/>
                  <w:fldChar w:fldCharType="end"/>
                </w:r>
              </w:p>
            </w:txbxContent>
          </v:textbox>
          <w10:wrap type="none"/>
        </v:shape>
      </w:pict>
    </w:r>
    <w:r>
      <w:rPr/>
      <w:pict>
        <v:shape style="position:absolute;margin-left:66.679794pt;margin-top:739.564209pt;width:439.6pt;height:12.55pt;mso-position-horizontal-relative:page;mso-position-vertical-relative:page;z-index:-254862336"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2.879517pt;margin-top:740.645813pt;width:12.35pt;height:12.55pt;mso-position-horizontal-relative:page;mso-position-vertical-relative:page;z-index:-254861312" type="#_x0000_t202" filled="false" stroked="false">
          <v:textbox inset="0,0,0,0">
            <w:txbxContent>
              <w:p>
                <w:pPr>
                  <w:pStyle w:val="BodyText"/>
                  <w:spacing w:before="12"/>
                  <w:ind w:left="20"/>
                </w:pPr>
                <w:r>
                  <w:rPr/>
                  <w:t>17</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860288" from="62.639999pt,729.390015pt" to="549.419999pt,729.390015pt" stroked="true" strokeweight=".17999pt" strokecolor="#000000">
          <v:stroke dashstyle="solid"/>
          <w10:wrap type="none"/>
        </v:line>
      </w:pict>
    </w:r>
    <w:r>
      <w:rPr/>
      <w:pict>
        <v:shape style="position:absolute;margin-left:518.159912pt;margin-top:728.511292pt;width:7.15pt;height:3.15pt;mso-position-horizontal-relative:page;mso-position-vertical-relative:page;z-index:-254859264" type="#_x0000_t202" filled="false" stroked="false">
          <v:textbox inset="0,0,0,0">
            <w:txbxContent>
              <w:p>
                <w:pPr>
                  <w:pStyle w:val="BodyText"/>
                  <w:rPr>
                    <w:sz w:val="2"/>
                  </w:rPr>
                </w:pPr>
              </w:p>
              <w:p>
                <w:pPr>
                  <w:spacing w:before="0"/>
                  <w:ind w:left="39" w:right="40"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66.679794pt;margin-top:739.564209pt;width:439.6pt;height:12.55pt;mso-position-horizontal-relative:page;mso-position-vertical-relative:page;z-index:-254858240"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2.879517pt;margin-top:740.645813pt;width:12.35pt;height:12.55pt;mso-position-horizontal-relative:page;mso-position-vertical-relative:page;z-index:-254857216" type="#_x0000_t202" filled="false" stroked="false">
          <v:textbox inset="0,0,0,0">
            <w:txbxContent>
              <w:p>
                <w:pPr>
                  <w:pStyle w:val="BodyText"/>
                  <w:spacing w:before="12"/>
                  <w:ind w:left="20"/>
                </w:pPr>
                <w:r>
                  <w:rPr/>
                  <w:t>20</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upperLetter"/>
      <w:lvlText w:val="%1)"/>
      <w:lvlJc w:val="left"/>
      <w:pPr>
        <w:ind w:left="1548" w:hanging="214"/>
        <w:jc w:val="left"/>
      </w:pPr>
      <w:rPr>
        <w:rFonts w:hint="default" w:ascii="Calibri" w:hAnsi="Calibri" w:eastAsia="Calibri" w:cs="Calibri"/>
        <w:spacing w:val="-1"/>
        <w:w w:val="101"/>
        <w:sz w:val="19"/>
        <w:szCs w:val="19"/>
      </w:rPr>
    </w:lvl>
    <w:lvl w:ilvl="1">
      <w:start w:val="0"/>
      <w:numFmt w:val="bullet"/>
      <w:lvlText w:val="•"/>
      <w:lvlJc w:val="left"/>
      <w:pPr>
        <w:ind w:left="1849" w:hanging="214"/>
      </w:pPr>
      <w:rPr>
        <w:rFonts w:hint="default"/>
      </w:rPr>
    </w:lvl>
    <w:lvl w:ilvl="2">
      <w:start w:val="0"/>
      <w:numFmt w:val="bullet"/>
      <w:lvlText w:val="•"/>
      <w:lvlJc w:val="left"/>
      <w:pPr>
        <w:ind w:left="2158" w:hanging="214"/>
      </w:pPr>
      <w:rPr>
        <w:rFonts w:hint="default"/>
      </w:rPr>
    </w:lvl>
    <w:lvl w:ilvl="3">
      <w:start w:val="0"/>
      <w:numFmt w:val="bullet"/>
      <w:lvlText w:val="•"/>
      <w:lvlJc w:val="left"/>
      <w:pPr>
        <w:ind w:left="2468" w:hanging="214"/>
      </w:pPr>
      <w:rPr>
        <w:rFonts w:hint="default"/>
      </w:rPr>
    </w:lvl>
    <w:lvl w:ilvl="4">
      <w:start w:val="0"/>
      <w:numFmt w:val="bullet"/>
      <w:lvlText w:val="•"/>
      <w:lvlJc w:val="left"/>
      <w:pPr>
        <w:ind w:left="2777" w:hanging="214"/>
      </w:pPr>
      <w:rPr>
        <w:rFonts w:hint="default"/>
      </w:rPr>
    </w:lvl>
    <w:lvl w:ilvl="5">
      <w:start w:val="0"/>
      <w:numFmt w:val="bullet"/>
      <w:lvlText w:val="•"/>
      <w:lvlJc w:val="left"/>
      <w:pPr>
        <w:ind w:left="3087" w:hanging="214"/>
      </w:pPr>
      <w:rPr>
        <w:rFonts w:hint="default"/>
      </w:rPr>
    </w:lvl>
    <w:lvl w:ilvl="6">
      <w:start w:val="0"/>
      <w:numFmt w:val="bullet"/>
      <w:lvlText w:val="•"/>
      <w:lvlJc w:val="left"/>
      <w:pPr>
        <w:ind w:left="3396" w:hanging="214"/>
      </w:pPr>
      <w:rPr>
        <w:rFonts w:hint="default"/>
      </w:rPr>
    </w:lvl>
    <w:lvl w:ilvl="7">
      <w:start w:val="0"/>
      <w:numFmt w:val="bullet"/>
      <w:lvlText w:val="•"/>
      <w:lvlJc w:val="left"/>
      <w:pPr>
        <w:ind w:left="3706" w:hanging="214"/>
      </w:pPr>
      <w:rPr>
        <w:rFonts w:hint="default"/>
      </w:rPr>
    </w:lvl>
    <w:lvl w:ilvl="8">
      <w:start w:val="0"/>
      <w:numFmt w:val="bullet"/>
      <w:lvlText w:val="•"/>
      <w:lvlJc w:val="left"/>
      <w:pPr>
        <w:ind w:left="4015" w:hanging="214"/>
      </w:pPr>
      <w:rPr>
        <w:rFonts w:hint="default"/>
      </w:rPr>
    </w:lvl>
  </w:abstractNum>
  <w:abstractNum w:abstractNumId="4">
    <w:multiLevelType w:val="hybridMultilevel"/>
    <w:lvl w:ilvl="0">
      <w:start w:val="1"/>
      <w:numFmt w:val="lowerLetter"/>
      <w:lvlText w:val="(%1)"/>
      <w:lvlJc w:val="left"/>
      <w:pPr>
        <w:ind w:left="1460" w:hanging="339"/>
        <w:jc w:val="left"/>
      </w:pPr>
      <w:rPr>
        <w:rFonts w:hint="default" w:ascii="Arial" w:hAnsi="Arial" w:eastAsia="Arial" w:cs="Arial"/>
        <w:w w:val="99"/>
        <w:sz w:val="15"/>
        <w:szCs w:val="15"/>
      </w:rPr>
    </w:lvl>
    <w:lvl w:ilvl="1">
      <w:start w:val="1"/>
      <w:numFmt w:val="lowerLetter"/>
      <w:lvlText w:val="(%2)"/>
      <w:lvlJc w:val="left"/>
      <w:pPr>
        <w:ind w:left="1522" w:hanging="268"/>
        <w:jc w:val="left"/>
      </w:pPr>
      <w:rPr>
        <w:rFonts w:hint="default" w:ascii="Arial" w:hAnsi="Arial" w:eastAsia="Arial" w:cs="Arial"/>
        <w:w w:val="99"/>
        <w:sz w:val="15"/>
        <w:szCs w:val="15"/>
      </w:rPr>
    </w:lvl>
    <w:lvl w:ilvl="2">
      <w:start w:val="0"/>
      <w:numFmt w:val="bullet"/>
      <w:lvlText w:val="•"/>
      <w:lvlJc w:val="left"/>
      <w:pPr>
        <w:ind w:left="2642" w:hanging="268"/>
      </w:pPr>
      <w:rPr>
        <w:rFonts w:hint="default"/>
      </w:rPr>
    </w:lvl>
    <w:lvl w:ilvl="3">
      <w:start w:val="0"/>
      <w:numFmt w:val="bullet"/>
      <w:lvlText w:val="•"/>
      <w:lvlJc w:val="left"/>
      <w:pPr>
        <w:ind w:left="3764" w:hanging="268"/>
      </w:pPr>
      <w:rPr>
        <w:rFonts w:hint="default"/>
      </w:rPr>
    </w:lvl>
    <w:lvl w:ilvl="4">
      <w:start w:val="0"/>
      <w:numFmt w:val="bullet"/>
      <w:lvlText w:val="•"/>
      <w:lvlJc w:val="left"/>
      <w:pPr>
        <w:ind w:left="4886" w:hanging="268"/>
      </w:pPr>
      <w:rPr>
        <w:rFonts w:hint="default"/>
      </w:rPr>
    </w:lvl>
    <w:lvl w:ilvl="5">
      <w:start w:val="0"/>
      <w:numFmt w:val="bullet"/>
      <w:lvlText w:val="•"/>
      <w:lvlJc w:val="left"/>
      <w:pPr>
        <w:ind w:left="6008" w:hanging="268"/>
      </w:pPr>
      <w:rPr>
        <w:rFonts w:hint="default"/>
      </w:rPr>
    </w:lvl>
    <w:lvl w:ilvl="6">
      <w:start w:val="0"/>
      <w:numFmt w:val="bullet"/>
      <w:lvlText w:val="•"/>
      <w:lvlJc w:val="left"/>
      <w:pPr>
        <w:ind w:left="7131" w:hanging="268"/>
      </w:pPr>
      <w:rPr>
        <w:rFonts w:hint="default"/>
      </w:rPr>
    </w:lvl>
    <w:lvl w:ilvl="7">
      <w:start w:val="0"/>
      <w:numFmt w:val="bullet"/>
      <w:lvlText w:val="•"/>
      <w:lvlJc w:val="left"/>
      <w:pPr>
        <w:ind w:left="8253" w:hanging="268"/>
      </w:pPr>
      <w:rPr>
        <w:rFonts w:hint="default"/>
      </w:rPr>
    </w:lvl>
    <w:lvl w:ilvl="8">
      <w:start w:val="0"/>
      <w:numFmt w:val="bullet"/>
      <w:lvlText w:val="•"/>
      <w:lvlJc w:val="left"/>
      <w:pPr>
        <w:ind w:left="9375" w:hanging="268"/>
      </w:pPr>
      <w:rPr>
        <w:rFonts w:hint="default"/>
      </w:rPr>
    </w:lvl>
  </w:abstractNum>
  <w:abstractNum w:abstractNumId="3">
    <w:multiLevelType w:val="hybridMultilevel"/>
    <w:lvl w:ilvl="0">
      <w:start w:val="1"/>
      <w:numFmt w:val="lowerLetter"/>
      <w:lvlText w:val="%1)"/>
      <w:lvlJc w:val="left"/>
      <w:pPr>
        <w:ind w:left="368" w:hanging="267"/>
        <w:jc w:val="left"/>
      </w:pPr>
      <w:rPr>
        <w:rFonts w:hint="default" w:ascii="Arial" w:hAnsi="Arial" w:eastAsia="Arial" w:cs="Arial"/>
        <w:w w:val="99"/>
        <w:sz w:val="15"/>
        <w:szCs w:val="15"/>
      </w:rPr>
    </w:lvl>
    <w:lvl w:ilvl="1">
      <w:start w:val="1"/>
      <w:numFmt w:val="lowerLetter"/>
      <w:lvlText w:val="(%2)"/>
      <w:lvlJc w:val="left"/>
      <w:pPr>
        <w:ind w:left="1388" w:hanging="267"/>
        <w:jc w:val="left"/>
      </w:pPr>
      <w:rPr>
        <w:rFonts w:hint="default" w:ascii="Arial" w:hAnsi="Arial" w:eastAsia="Arial" w:cs="Arial"/>
        <w:w w:val="99"/>
        <w:sz w:val="15"/>
        <w:szCs w:val="15"/>
      </w:rPr>
    </w:lvl>
    <w:lvl w:ilvl="2">
      <w:start w:val="0"/>
      <w:numFmt w:val="bullet"/>
      <w:lvlText w:val="•"/>
      <w:lvlJc w:val="left"/>
      <w:pPr>
        <w:ind w:left="2462" w:hanging="267"/>
      </w:pPr>
      <w:rPr>
        <w:rFonts w:hint="default"/>
      </w:rPr>
    </w:lvl>
    <w:lvl w:ilvl="3">
      <w:start w:val="0"/>
      <w:numFmt w:val="bullet"/>
      <w:lvlText w:val="•"/>
      <w:lvlJc w:val="left"/>
      <w:pPr>
        <w:ind w:left="3544" w:hanging="267"/>
      </w:pPr>
      <w:rPr>
        <w:rFonts w:hint="default"/>
      </w:rPr>
    </w:lvl>
    <w:lvl w:ilvl="4">
      <w:start w:val="0"/>
      <w:numFmt w:val="bullet"/>
      <w:lvlText w:val="•"/>
      <w:lvlJc w:val="left"/>
      <w:pPr>
        <w:ind w:left="4626" w:hanging="267"/>
      </w:pPr>
      <w:rPr>
        <w:rFonts w:hint="default"/>
      </w:rPr>
    </w:lvl>
    <w:lvl w:ilvl="5">
      <w:start w:val="0"/>
      <w:numFmt w:val="bullet"/>
      <w:lvlText w:val="•"/>
      <w:lvlJc w:val="left"/>
      <w:pPr>
        <w:ind w:left="5708" w:hanging="267"/>
      </w:pPr>
      <w:rPr>
        <w:rFonts w:hint="default"/>
      </w:rPr>
    </w:lvl>
    <w:lvl w:ilvl="6">
      <w:start w:val="0"/>
      <w:numFmt w:val="bullet"/>
      <w:lvlText w:val="•"/>
      <w:lvlJc w:val="left"/>
      <w:pPr>
        <w:ind w:left="6791" w:hanging="267"/>
      </w:pPr>
      <w:rPr>
        <w:rFonts w:hint="default"/>
      </w:rPr>
    </w:lvl>
    <w:lvl w:ilvl="7">
      <w:start w:val="0"/>
      <w:numFmt w:val="bullet"/>
      <w:lvlText w:val="•"/>
      <w:lvlJc w:val="left"/>
      <w:pPr>
        <w:ind w:left="7873" w:hanging="267"/>
      </w:pPr>
      <w:rPr>
        <w:rFonts w:hint="default"/>
      </w:rPr>
    </w:lvl>
    <w:lvl w:ilvl="8">
      <w:start w:val="0"/>
      <w:numFmt w:val="bullet"/>
      <w:lvlText w:val="•"/>
      <w:lvlJc w:val="left"/>
      <w:pPr>
        <w:ind w:left="8955" w:hanging="267"/>
      </w:pPr>
      <w:rPr>
        <w:rFonts w:hint="default"/>
      </w:rPr>
    </w:lvl>
  </w:abstractNum>
  <w:abstractNum w:abstractNumId="2">
    <w:multiLevelType w:val="hybridMultilevel"/>
    <w:lvl w:ilvl="0">
      <w:start w:val="1"/>
      <w:numFmt w:val="lowerLetter"/>
      <w:lvlText w:val="(%1)"/>
      <w:lvlJc w:val="left"/>
      <w:pPr>
        <w:ind w:left="837" w:hanging="335"/>
        <w:jc w:val="left"/>
      </w:pPr>
      <w:rPr>
        <w:rFonts w:hint="default" w:ascii="Arial" w:hAnsi="Arial" w:eastAsia="Arial" w:cs="Arial"/>
        <w:w w:val="99"/>
        <w:sz w:val="15"/>
        <w:szCs w:val="15"/>
      </w:rPr>
    </w:lvl>
    <w:lvl w:ilvl="1">
      <w:start w:val="0"/>
      <w:numFmt w:val="bullet"/>
      <w:lvlText w:val="•"/>
      <w:lvlJc w:val="left"/>
      <w:pPr>
        <w:ind w:left="1690" w:hanging="335"/>
      </w:pPr>
      <w:rPr>
        <w:rFonts w:hint="default"/>
      </w:rPr>
    </w:lvl>
    <w:lvl w:ilvl="2">
      <w:start w:val="0"/>
      <w:numFmt w:val="bullet"/>
      <w:lvlText w:val="•"/>
      <w:lvlJc w:val="left"/>
      <w:pPr>
        <w:ind w:left="2540" w:hanging="335"/>
      </w:pPr>
      <w:rPr>
        <w:rFonts w:hint="default"/>
      </w:rPr>
    </w:lvl>
    <w:lvl w:ilvl="3">
      <w:start w:val="0"/>
      <w:numFmt w:val="bullet"/>
      <w:lvlText w:val="•"/>
      <w:lvlJc w:val="left"/>
      <w:pPr>
        <w:ind w:left="3390" w:hanging="335"/>
      </w:pPr>
      <w:rPr>
        <w:rFonts w:hint="default"/>
      </w:rPr>
    </w:lvl>
    <w:lvl w:ilvl="4">
      <w:start w:val="0"/>
      <w:numFmt w:val="bullet"/>
      <w:lvlText w:val="•"/>
      <w:lvlJc w:val="left"/>
      <w:pPr>
        <w:ind w:left="4240" w:hanging="335"/>
      </w:pPr>
      <w:rPr>
        <w:rFonts w:hint="default"/>
      </w:rPr>
    </w:lvl>
    <w:lvl w:ilvl="5">
      <w:start w:val="0"/>
      <w:numFmt w:val="bullet"/>
      <w:lvlText w:val="•"/>
      <w:lvlJc w:val="left"/>
      <w:pPr>
        <w:ind w:left="5090" w:hanging="335"/>
      </w:pPr>
      <w:rPr>
        <w:rFonts w:hint="default"/>
      </w:rPr>
    </w:lvl>
    <w:lvl w:ilvl="6">
      <w:start w:val="0"/>
      <w:numFmt w:val="bullet"/>
      <w:lvlText w:val="•"/>
      <w:lvlJc w:val="left"/>
      <w:pPr>
        <w:ind w:left="5940" w:hanging="335"/>
      </w:pPr>
      <w:rPr>
        <w:rFonts w:hint="default"/>
      </w:rPr>
    </w:lvl>
    <w:lvl w:ilvl="7">
      <w:start w:val="0"/>
      <w:numFmt w:val="bullet"/>
      <w:lvlText w:val="•"/>
      <w:lvlJc w:val="left"/>
      <w:pPr>
        <w:ind w:left="6790" w:hanging="335"/>
      </w:pPr>
      <w:rPr>
        <w:rFonts w:hint="default"/>
      </w:rPr>
    </w:lvl>
    <w:lvl w:ilvl="8">
      <w:start w:val="0"/>
      <w:numFmt w:val="bullet"/>
      <w:lvlText w:val="•"/>
      <w:lvlJc w:val="left"/>
      <w:pPr>
        <w:ind w:left="7640" w:hanging="335"/>
      </w:pPr>
      <w:rPr>
        <w:rFonts w:hint="default"/>
      </w:rPr>
    </w:lvl>
  </w:abstractNum>
  <w:abstractNum w:abstractNumId="1">
    <w:multiLevelType w:val="hybridMultilevel"/>
    <w:lvl w:ilvl="0">
      <w:start w:val="1"/>
      <w:numFmt w:val="lowerLetter"/>
      <w:lvlText w:val="(%1)"/>
      <w:lvlJc w:val="left"/>
      <w:pPr>
        <w:ind w:left="916" w:hanging="283"/>
        <w:jc w:val="left"/>
      </w:pPr>
      <w:rPr>
        <w:rFonts w:hint="default" w:ascii="Arial" w:hAnsi="Arial" w:eastAsia="Arial" w:cs="Arial"/>
        <w:i/>
        <w:spacing w:val="-1"/>
        <w:w w:val="99"/>
        <w:sz w:val="19"/>
        <w:szCs w:val="19"/>
      </w:rPr>
    </w:lvl>
    <w:lvl w:ilvl="1">
      <w:start w:val="0"/>
      <w:numFmt w:val="bullet"/>
      <w:lvlText w:val="•"/>
      <w:lvlJc w:val="left"/>
      <w:pPr>
        <w:ind w:left="1762" w:hanging="283"/>
      </w:pPr>
      <w:rPr>
        <w:rFonts w:hint="default"/>
      </w:rPr>
    </w:lvl>
    <w:lvl w:ilvl="2">
      <w:start w:val="0"/>
      <w:numFmt w:val="bullet"/>
      <w:lvlText w:val="•"/>
      <w:lvlJc w:val="left"/>
      <w:pPr>
        <w:ind w:left="2604" w:hanging="283"/>
      </w:pPr>
      <w:rPr>
        <w:rFonts w:hint="default"/>
      </w:rPr>
    </w:lvl>
    <w:lvl w:ilvl="3">
      <w:start w:val="0"/>
      <w:numFmt w:val="bullet"/>
      <w:lvlText w:val="•"/>
      <w:lvlJc w:val="left"/>
      <w:pPr>
        <w:ind w:left="3446" w:hanging="283"/>
      </w:pPr>
      <w:rPr>
        <w:rFonts w:hint="default"/>
      </w:rPr>
    </w:lvl>
    <w:lvl w:ilvl="4">
      <w:start w:val="0"/>
      <w:numFmt w:val="bullet"/>
      <w:lvlText w:val="•"/>
      <w:lvlJc w:val="left"/>
      <w:pPr>
        <w:ind w:left="4288" w:hanging="283"/>
      </w:pPr>
      <w:rPr>
        <w:rFonts w:hint="default"/>
      </w:rPr>
    </w:lvl>
    <w:lvl w:ilvl="5">
      <w:start w:val="0"/>
      <w:numFmt w:val="bullet"/>
      <w:lvlText w:val="•"/>
      <w:lvlJc w:val="left"/>
      <w:pPr>
        <w:ind w:left="5130" w:hanging="283"/>
      </w:pPr>
      <w:rPr>
        <w:rFonts w:hint="default"/>
      </w:rPr>
    </w:lvl>
    <w:lvl w:ilvl="6">
      <w:start w:val="0"/>
      <w:numFmt w:val="bullet"/>
      <w:lvlText w:val="•"/>
      <w:lvlJc w:val="left"/>
      <w:pPr>
        <w:ind w:left="5972" w:hanging="283"/>
      </w:pPr>
      <w:rPr>
        <w:rFonts w:hint="default"/>
      </w:rPr>
    </w:lvl>
    <w:lvl w:ilvl="7">
      <w:start w:val="0"/>
      <w:numFmt w:val="bullet"/>
      <w:lvlText w:val="•"/>
      <w:lvlJc w:val="left"/>
      <w:pPr>
        <w:ind w:left="6814" w:hanging="283"/>
      </w:pPr>
      <w:rPr>
        <w:rFonts w:hint="default"/>
      </w:rPr>
    </w:lvl>
    <w:lvl w:ilvl="8">
      <w:start w:val="0"/>
      <w:numFmt w:val="bullet"/>
      <w:lvlText w:val="•"/>
      <w:lvlJc w:val="left"/>
      <w:pPr>
        <w:ind w:left="7656" w:hanging="283"/>
      </w:pPr>
      <w:rPr>
        <w:rFonts w:hint="default"/>
      </w:rPr>
    </w:lvl>
  </w:abstractNum>
  <w:abstractNum w:abstractNumId="0">
    <w:multiLevelType w:val="hybridMultilevel"/>
    <w:lvl w:ilvl="0">
      <w:start w:val="1"/>
      <w:numFmt w:val="lowerLetter"/>
      <w:lvlText w:val="(%1)"/>
      <w:lvlJc w:val="left"/>
      <w:pPr>
        <w:ind w:left="917" w:hanging="283"/>
        <w:jc w:val="left"/>
      </w:pPr>
      <w:rPr>
        <w:rFonts w:hint="default" w:ascii="Arial" w:hAnsi="Arial" w:eastAsia="Arial" w:cs="Arial"/>
        <w:i/>
        <w:spacing w:val="-1"/>
        <w:w w:val="99"/>
        <w:sz w:val="19"/>
        <w:szCs w:val="19"/>
      </w:rPr>
    </w:lvl>
    <w:lvl w:ilvl="1">
      <w:start w:val="0"/>
      <w:numFmt w:val="bullet"/>
      <w:lvlText w:val="•"/>
      <w:lvlJc w:val="left"/>
      <w:pPr>
        <w:ind w:left="1762" w:hanging="283"/>
      </w:pPr>
      <w:rPr>
        <w:rFonts w:hint="default"/>
      </w:rPr>
    </w:lvl>
    <w:lvl w:ilvl="2">
      <w:start w:val="0"/>
      <w:numFmt w:val="bullet"/>
      <w:lvlText w:val="•"/>
      <w:lvlJc w:val="left"/>
      <w:pPr>
        <w:ind w:left="2604" w:hanging="283"/>
      </w:pPr>
      <w:rPr>
        <w:rFonts w:hint="default"/>
      </w:rPr>
    </w:lvl>
    <w:lvl w:ilvl="3">
      <w:start w:val="0"/>
      <w:numFmt w:val="bullet"/>
      <w:lvlText w:val="•"/>
      <w:lvlJc w:val="left"/>
      <w:pPr>
        <w:ind w:left="3446" w:hanging="283"/>
      </w:pPr>
      <w:rPr>
        <w:rFonts w:hint="default"/>
      </w:rPr>
    </w:lvl>
    <w:lvl w:ilvl="4">
      <w:start w:val="0"/>
      <w:numFmt w:val="bullet"/>
      <w:lvlText w:val="•"/>
      <w:lvlJc w:val="left"/>
      <w:pPr>
        <w:ind w:left="4288" w:hanging="283"/>
      </w:pPr>
      <w:rPr>
        <w:rFonts w:hint="default"/>
      </w:rPr>
    </w:lvl>
    <w:lvl w:ilvl="5">
      <w:start w:val="0"/>
      <w:numFmt w:val="bullet"/>
      <w:lvlText w:val="•"/>
      <w:lvlJc w:val="left"/>
      <w:pPr>
        <w:ind w:left="5130" w:hanging="283"/>
      </w:pPr>
      <w:rPr>
        <w:rFonts w:hint="default"/>
      </w:rPr>
    </w:lvl>
    <w:lvl w:ilvl="6">
      <w:start w:val="0"/>
      <w:numFmt w:val="bullet"/>
      <w:lvlText w:val="•"/>
      <w:lvlJc w:val="left"/>
      <w:pPr>
        <w:ind w:left="5972" w:hanging="283"/>
      </w:pPr>
      <w:rPr>
        <w:rFonts w:hint="default"/>
      </w:rPr>
    </w:lvl>
    <w:lvl w:ilvl="7">
      <w:start w:val="0"/>
      <w:numFmt w:val="bullet"/>
      <w:lvlText w:val="•"/>
      <w:lvlJc w:val="left"/>
      <w:pPr>
        <w:ind w:left="6814" w:hanging="283"/>
      </w:pPr>
      <w:rPr>
        <w:rFonts w:hint="default"/>
      </w:rPr>
    </w:lvl>
    <w:lvl w:ilvl="8">
      <w:start w:val="0"/>
      <w:numFmt w:val="bullet"/>
      <w:lvlText w:val="•"/>
      <w:lvlJc w:val="left"/>
      <w:pPr>
        <w:ind w:left="7656" w:hanging="283"/>
      </w:pPr>
      <w:rPr>
        <w:rFonts w:hint="default"/>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19"/>
      <w:szCs w:val="19"/>
    </w:rPr>
  </w:style>
  <w:style w:styleId="Heading1" w:type="paragraph">
    <w:name w:val="Heading 1"/>
    <w:basedOn w:val="Normal"/>
    <w:uiPriority w:val="1"/>
    <w:qFormat/>
    <w:pPr>
      <w:spacing w:before="81"/>
      <w:ind w:left="346"/>
      <w:outlineLvl w:val="1"/>
    </w:pPr>
    <w:rPr>
      <w:rFonts w:ascii="Arial" w:hAnsi="Arial" w:eastAsia="Arial" w:cs="Arial"/>
      <w:b/>
      <w:bCs/>
      <w:sz w:val="22"/>
      <w:szCs w:val="22"/>
    </w:rPr>
  </w:style>
  <w:style w:styleId="Heading2" w:type="paragraph">
    <w:name w:val="Heading 2"/>
    <w:basedOn w:val="Normal"/>
    <w:uiPriority w:val="1"/>
    <w:qFormat/>
    <w:pPr>
      <w:ind w:left="635"/>
      <w:outlineLvl w:val="2"/>
    </w:pPr>
    <w:rPr>
      <w:rFonts w:ascii="Arial" w:hAnsi="Arial" w:eastAsia="Arial" w:cs="Arial"/>
      <w:sz w:val="22"/>
      <w:szCs w:val="22"/>
    </w:rPr>
  </w:style>
  <w:style w:styleId="Heading3" w:type="paragraph">
    <w:name w:val="Heading 3"/>
    <w:basedOn w:val="Normal"/>
    <w:uiPriority w:val="1"/>
    <w:qFormat/>
    <w:pPr>
      <w:ind w:left="634"/>
      <w:outlineLvl w:val="3"/>
    </w:pPr>
    <w:rPr>
      <w:rFonts w:ascii="Arial" w:hAnsi="Arial" w:eastAsia="Arial" w:cs="Arial"/>
      <w:b/>
      <w:bCs/>
      <w:sz w:val="19"/>
      <w:szCs w:val="19"/>
    </w:rPr>
  </w:style>
  <w:style w:styleId="ListParagraph" w:type="paragraph">
    <w:name w:val="List Paragraph"/>
    <w:basedOn w:val="Normal"/>
    <w:uiPriority w:val="1"/>
    <w:qFormat/>
    <w:pPr>
      <w:ind w:left="368" w:hanging="267"/>
    </w:pPr>
    <w:rPr>
      <w:rFonts w:ascii="Arial" w:hAnsi="Arial" w:eastAsia="Arial" w:cs="Arial"/>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bankofengland.co.uk/publications/Pages/speeches/default.aspx"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hyperlink" Target="http://www.crisis-economics.eu/" TargetMode="External"/><Relationship Id="rId15" Type="http://schemas.openxmlformats.org/officeDocument/2006/relationships/hyperlink" Target="http://www.bankofengland.co.uk/research/Documents/onebank/discussion.pdf" TargetMode="Externa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hyperlink" Target="http://www.bis.org/bcbs/publ/d296.pdf" TargetMode="External"/><Relationship Id="rId19" Type="http://schemas.openxmlformats.org/officeDocument/2006/relationships/hyperlink" Target="http://www.bis.org/publ/arpdf/ar2014_ec.pdf" TargetMode="External"/><Relationship Id="rId20" Type="http://schemas.openxmlformats.org/officeDocument/2006/relationships/hyperlink" Target="http://www.imf.org/external/pubs/ft/sdn/2012/sdn1212.pdf" TargetMode="External"/><Relationship Id="rId21" Type="http://schemas.openxmlformats.org/officeDocument/2006/relationships/hyperlink" Target="http://www.financialstabilityboard.org/wp-content/uploads/pr_120510.pdf" TargetMode="External"/><Relationship Id="rId22" Type="http://schemas.openxmlformats.org/officeDocument/2006/relationships/hyperlink" Target="http://www.financialstabilityboard.org/wp-content/uploads/r_141013a.pdf" TargetMode="External"/><Relationship Id="rId23" Type="http://schemas.openxmlformats.org/officeDocument/2006/relationships/hyperlink" Target="http://www.bankofengland.co.uk/publications/speeches/2009/speech386.pdf" TargetMode="External"/><Relationship Id="rId24" Type="http://schemas.openxmlformats.org/officeDocument/2006/relationships/hyperlink" Target="http://www.bankofengland.co.uk/archive/Documents/historicpubs/speeches/2009/speech409.pdf" TargetMode="External"/><Relationship Id="rId25" Type="http://schemas.openxmlformats.org/officeDocument/2006/relationships/hyperlink" Target="http://www.bankofengland.co.uk/publications/Documents/speeches/2012/speech582.pdf" TargetMode="External"/><Relationship Id="rId26" Type="http://schemas.openxmlformats.org/officeDocument/2006/relationships/hyperlink" Target="http://www.bankofengland.co.uk/publications/Documents/speeches/2014/speech716.pdf" TargetMode="External"/><Relationship Id="rId27" Type="http://schemas.openxmlformats.org/officeDocument/2006/relationships/hyperlink" Target="http://www.imf.org/external/np/pp/eng/2013/061013b.pdf" TargetMode="External"/><Relationship Id="rId28" Type="http://schemas.openxmlformats.org/officeDocument/2006/relationships/hyperlink" Target="http://www.bankofengland.co.uk/publications/Documents/quarterlybulletin/2014/qb14q403.pdf" TargetMode="External"/><Relationship Id="rId29" Type="http://schemas.openxmlformats.org/officeDocument/2006/relationships/hyperlink" Target="http://www.simplicity-consulting.com/wp-" TargetMode="External"/><Relationship Id="rId30" Type="http://schemas.openxmlformats.org/officeDocument/2006/relationships/image" Target="media/image2.jpeg"/><Relationship Id="rId31" Type="http://schemas.openxmlformats.org/officeDocument/2006/relationships/image" Target="media/image3.jpe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image" Target="media/image7.jpeg"/><Relationship Id="rId36" Type="http://schemas.openxmlformats.org/officeDocument/2006/relationships/footer" Target="footer10.xml"/><Relationship Id="rId37" Type="http://schemas.openxmlformats.org/officeDocument/2006/relationships/footer" Target="footer11.xml"/><Relationship Id="rId38" Type="http://schemas.openxmlformats.org/officeDocument/2006/relationships/image" Target="media/image8.png"/><Relationship Id="rId39" Type="http://schemas.openxmlformats.org/officeDocument/2006/relationships/image" Target="media/image9.jpeg"/><Relationship Id="rId40" Type="http://schemas.openxmlformats.org/officeDocument/2006/relationships/image" Target="media/image10.jpeg"/><Relationship Id="rId41" Type="http://schemas.openxmlformats.org/officeDocument/2006/relationships/image" Target="media/image11.jpeg"/><Relationship Id="rId42" Type="http://schemas.openxmlformats.org/officeDocument/2006/relationships/image" Target="media/image12.jpeg"/><Relationship Id="rId43" Type="http://schemas.openxmlformats.org/officeDocument/2006/relationships/footer" Target="footer12.xml"/><Relationship Id="rId44" Type="http://schemas.openxmlformats.org/officeDocument/2006/relationships/image" Target="media/image13.jpeg"/><Relationship Id="rId45" Type="http://schemas.openxmlformats.org/officeDocument/2006/relationships/image" Target="media/image14.jpeg"/><Relationship Id="rId46" Type="http://schemas.openxmlformats.org/officeDocument/2006/relationships/image" Target="media/image15.jpeg"/><Relationship Id="rId47" Type="http://schemas.openxmlformats.org/officeDocument/2006/relationships/image" Target="media/image16.jpeg"/><Relationship Id="rId48" Type="http://schemas.openxmlformats.org/officeDocument/2006/relationships/image" Target="media/image17.png"/><Relationship Id="rId49" Type="http://schemas.openxmlformats.org/officeDocument/2006/relationships/image" Target="media/image18.png"/><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jpeg"/><Relationship Id="rId64" Type="http://schemas.openxmlformats.org/officeDocument/2006/relationships/image" Target="media/image33.jpeg"/><Relationship Id="rId65" Type="http://schemas.openxmlformats.org/officeDocument/2006/relationships/footer" Target="footer13.xml"/><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footer" Target="footer14.xml"/><Relationship Id="rId73" Type="http://schemas.openxmlformats.org/officeDocument/2006/relationships/image" Target="media/image40.png"/><Relationship Id="rId74" Type="http://schemas.openxmlformats.org/officeDocument/2006/relationships/image" Target="media/image41.png"/><Relationship Id="rId75" Type="http://schemas.openxmlformats.org/officeDocument/2006/relationships/image" Target="media/image42.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image" Target="media/image60.png"/><Relationship Id="rId94" Type="http://schemas.openxmlformats.org/officeDocument/2006/relationships/image" Target="media/image61.png"/><Relationship Id="rId95" Type="http://schemas.openxmlformats.org/officeDocument/2006/relationships/image" Target="media/image62.png"/><Relationship Id="rId96" Type="http://schemas.openxmlformats.org/officeDocument/2006/relationships/image" Target="media/image63.png"/><Relationship Id="rId97" Type="http://schemas.openxmlformats.org/officeDocument/2006/relationships/image" Target="media/image64.png"/><Relationship Id="rId98" Type="http://schemas.openxmlformats.org/officeDocument/2006/relationships/image" Target="media/image65.png"/><Relationship Id="rId99" Type="http://schemas.openxmlformats.org/officeDocument/2006/relationships/image" Target="media/image66.png"/><Relationship Id="rId100" Type="http://schemas.openxmlformats.org/officeDocument/2006/relationships/image" Target="media/image67.png"/><Relationship Id="rId101" Type="http://schemas.openxmlformats.org/officeDocument/2006/relationships/image" Target="media/image68.png"/><Relationship Id="rId102" Type="http://schemas.openxmlformats.org/officeDocument/2006/relationships/image" Target="media/image69.png"/><Relationship Id="rId103" Type="http://schemas.openxmlformats.org/officeDocument/2006/relationships/image" Target="media/image70.png"/><Relationship Id="rId104" Type="http://schemas.openxmlformats.org/officeDocument/2006/relationships/image" Target="media/image71.png"/><Relationship Id="rId105" Type="http://schemas.openxmlformats.org/officeDocument/2006/relationships/image" Target="media/image72.png"/><Relationship Id="rId106" Type="http://schemas.openxmlformats.org/officeDocument/2006/relationships/image" Target="media/image73.png"/><Relationship Id="rId107" Type="http://schemas.openxmlformats.org/officeDocument/2006/relationships/image" Target="media/image74.png"/><Relationship Id="rId108" Type="http://schemas.openxmlformats.org/officeDocument/2006/relationships/image" Target="media/image75.png"/><Relationship Id="rId109" Type="http://schemas.openxmlformats.org/officeDocument/2006/relationships/image" Target="media/image76.png"/><Relationship Id="rId110" Type="http://schemas.openxmlformats.org/officeDocument/2006/relationships/image" Target="media/image77.png"/><Relationship Id="rId111" Type="http://schemas.openxmlformats.org/officeDocument/2006/relationships/image" Target="media/image78.png"/><Relationship Id="rId112" Type="http://schemas.openxmlformats.org/officeDocument/2006/relationships/image" Target="media/image79.png"/><Relationship Id="rId113" Type="http://schemas.openxmlformats.org/officeDocument/2006/relationships/image" Target="media/image80.png"/><Relationship Id="rId114" Type="http://schemas.openxmlformats.org/officeDocument/2006/relationships/image" Target="media/image81.png"/><Relationship Id="rId115" Type="http://schemas.openxmlformats.org/officeDocument/2006/relationships/image" Target="media/image82.png"/><Relationship Id="rId116" Type="http://schemas.openxmlformats.org/officeDocument/2006/relationships/image" Target="media/image83.png"/><Relationship Id="rId117" Type="http://schemas.openxmlformats.org/officeDocument/2006/relationships/image" Target="media/image84.png"/><Relationship Id="rId118" Type="http://schemas.openxmlformats.org/officeDocument/2006/relationships/image" Target="media/image85.png"/><Relationship Id="rId119" Type="http://schemas.openxmlformats.org/officeDocument/2006/relationships/image" Target="media/image86.png"/><Relationship Id="rId120" Type="http://schemas.openxmlformats.org/officeDocument/2006/relationships/image" Target="media/image87.png"/><Relationship Id="rId121" Type="http://schemas.openxmlformats.org/officeDocument/2006/relationships/image" Target="media/image88.png"/><Relationship Id="rId122" Type="http://schemas.openxmlformats.org/officeDocument/2006/relationships/image" Target="media/image89.png"/><Relationship Id="rId123" Type="http://schemas.openxmlformats.org/officeDocument/2006/relationships/image" Target="media/image90.png"/><Relationship Id="rId124" Type="http://schemas.openxmlformats.org/officeDocument/2006/relationships/image" Target="media/image91.png"/><Relationship Id="rId125" Type="http://schemas.openxmlformats.org/officeDocument/2006/relationships/image" Target="media/image92.png"/><Relationship Id="rId126" Type="http://schemas.openxmlformats.org/officeDocument/2006/relationships/image" Target="media/image93.png"/><Relationship Id="rId127" Type="http://schemas.openxmlformats.org/officeDocument/2006/relationships/image" Target="media/image94.png"/><Relationship Id="rId128" Type="http://schemas.openxmlformats.org/officeDocument/2006/relationships/image" Target="media/image95.png"/><Relationship Id="rId129" Type="http://schemas.openxmlformats.org/officeDocument/2006/relationships/image" Target="media/image96.png"/><Relationship Id="rId130" Type="http://schemas.openxmlformats.org/officeDocument/2006/relationships/image" Target="media/image97.png"/><Relationship Id="rId131" Type="http://schemas.openxmlformats.org/officeDocument/2006/relationships/image" Target="media/image98.png"/><Relationship Id="rId132" Type="http://schemas.openxmlformats.org/officeDocument/2006/relationships/image" Target="media/image99.png"/><Relationship Id="rId133" Type="http://schemas.openxmlformats.org/officeDocument/2006/relationships/image" Target="media/image100.png"/><Relationship Id="rId134" Type="http://schemas.openxmlformats.org/officeDocument/2006/relationships/image" Target="media/image101.png"/><Relationship Id="rId135" Type="http://schemas.openxmlformats.org/officeDocument/2006/relationships/image" Target="media/image102.png"/><Relationship Id="rId136" Type="http://schemas.openxmlformats.org/officeDocument/2006/relationships/image" Target="media/image103.png"/><Relationship Id="rId137" Type="http://schemas.openxmlformats.org/officeDocument/2006/relationships/image" Target="media/image104.png"/><Relationship Id="rId138" Type="http://schemas.openxmlformats.org/officeDocument/2006/relationships/image" Target="media/image105.png"/><Relationship Id="rId139" Type="http://schemas.openxmlformats.org/officeDocument/2006/relationships/image" Target="media/image106.png"/><Relationship Id="rId140" Type="http://schemas.openxmlformats.org/officeDocument/2006/relationships/image" Target="media/image107.png"/><Relationship Id="rId141" Type="http://schemas.openxmlformats.org/officeDocument/2006/relationships/image" Target="media/image108.png"/><Relationship Id="rId142" Type="http://schemas.openxmlformats.org/officeDocument/2006/relationships/image" Target="media/image109.png"/><Relationship Id="rId143" Type="http://schemas.openxmlformats.org/officeDocument/2006/relationships/image" Target="media/image110.png"/><Relationship Id="rId144" Type="http://schemas.openxmlformats.org/officeDocument/2006/relationships/image" Target="media/image111.png"/><Relationship Id="rId145" Type="http://schemas.openxmlformats.org/officeDocument/2006/relationships/image" Target="media/image112.png"/><Relationship Id="rId146" Type="http://schemas.openxmlformats.org/officeDocument/2006/relationships/image" Target="media/image113.png"/><Relationship Id="rId147" Type="http://schemas.openxmlformats.org/officeDocument/2006/relationships/image" Target="media/image114.png"/><Relationship Id="rId148" Type="http://schemas.openxmlformats.org/officeDocument/2006/relationships/image" Target="media/image115.png"/><Relationship Id="rId149" Type="http://schemas.openxmlformats.org/officeDocument/2006/relationships/image" Target="media/image116.png"/><Relationship Id="rId150" Type="http://schemas.openxmlformats.org/officeDocument/2006/relationships/image" Target="media/image117.png"/><Relationship Id="rId151" Type="http://schemas.openxmlformats.org/officeDocument/2006/relationships/image" Target="media/image118.png"/><Relationship Id="rId152" Type="http://schemas.openxmlformats.org/officeDocument/2006/relationships/image" Target="media/image119.png"/><Relationship Id="rId153" Type="http://schemas.openxmlformats.org/officeDocument/2006/relationships/image" Target="media/image120.png"/><Relationship Id="rId154" Type="http://schemas.openxmlformats.org/officeDocument/2006/relationships/image" Target="media/image121.png"/><Relationship Id="rId155" Type="http://schemas.openxmlformats.org/officeDocument/2006/relationships/image" Target="media/image122.png"/><Relationship Id="rId156" Type="http://schemas.openxmlformats.org/officeDocument/2006/relationships/image" Target="media/image123.png"/><Relationship Id="rId157" Type="http://schemas.openxmlformats.org/officeDocument/2006/relationships/image" Target="media/image124.png"/><Relationship Id="rId158" Type="http://schemas.openxmlformats.org/officeDocument/2006/relationships/image" Target="media/image125.png"/><Relationship Id="rId159" Type="http://schemas.openxmlformats.org/officeDocument/2006/relationships/image" Target="media/image126.png"/><Relationship Id="rId160" Type="http://schemas.openxmlformats.org/officeDocument/2006/relationships/image" Target="media/image127.png"/><Relationship Id="rId161" Type="http://schemas.openxmlformats.org/officeDocument/2006/relationships/image" Target="media/image128.png"/><Relationship Id="rId162" Type="http://schemas.openxmlformats.org/officeDocument/2006/relationships/image" Target="media/image129.png"/><Relationship Id="rId163" Type="http://schemas.openxmlformats.org/officeDocument/2006/relationships/image" Target="media/image130.png"/><Relationship Id="rId164" Type="http://schemas.openxmlformats.org/officeDocument/2006/relationships/image" Target="media/image131.png"/><Relationship Id="rId165" Type="http://schemas.openxmlformats.org/officeDocument/2006/relationships/image" Target="media/image132.png"/><Relationship Id="rId166" Type="http://schemas.openxmlformats.org/officeDocument/2006/relationships/image" Target="media/image133.png"/><Relationship Id="rId167" Type="http://schemas.openxmlformats.org/officeDocument/2006/relationships/image" Target="media/image134.png"/><Relationship Id="rId168" Type="http://schemas.openxmlformats.org/officeDocument/2006/relationships/image" Target="media/image135.png"/><Relationship Id="rId169" Type="http://schemas.openxmlformats.org/officeDocument/2006/relationships/image" Target="media/image136.png"/><Relationship Id="rId170" Type="http://schemas.openxmlformats.org/officeDocument/2006/relationships/image" Target="media/image137.png"/><Relationship Id="rId171" Type="http://schemas.openxmlformats.org/officeDocument/2006/relationships/image" Target="media/image138.png"/><Relationship Id="rId172" Type="http://schemas.openxmlformats.org/officeDocument/2006/relationships/image" Target="media/image139.png"/><Relationship Id="rId173" Type="http://schemas.openxmlformats.org/officeDocument/2006/relationships/image" Target="media/image140.png"/><Relationship Id="rId174" Type="http://schemas.openxmlformats.org/officeDocument/2006/relationships/image" Target="media/image141.png"/><Relationship Id="rId175" Type="http://schemas.openxmlformats.org/officeDocument/2006/relationships/image" Target="media/image142.png"/><Relationship Id="rId176" Type="http://schemas.openxmlformats.org/officeDocument/2006/relationships/image" Target="media/image143.png"/><Relationship Id="rId177" Type="http://schemas.openxmlformats.org/officeDocument/2006/relationships/image" Target="media/image144.png"/><Relationship Id="rId178" Type="http://schemas.openxmlformats.org/officeDocument/2006/relationships/footer" Target="footer15.xml"/><Relationship Id="rId179" Type="http://schemas.openxmlformats.org/officeDocument/2006/relationships/image" Target="media/image145.png"/><Relationship Id="rId180" Type="http://schemas.openxmlformats.org/officeDocument/2006/relationships/image" Target="media/image146.png"/><Relationship Id="rId181" Type="http://schemas.openxmlformats.org/officeDocument/2006/relationships/image" Target="media/image147.png"/><Relationship Id="rId182" Type="http://schemas.openxmlformats.org/officeDocument/2006/relationships/image" Target="media/image148.png"/><Relationship Id="rId183" Type="http://schemas.openxmlformats.org/officeDocument/2006/relationships/image" Target="media/image149.png"/><Relationship Id="rId184" Type="http://schemas.openxmlformats.org/officeDocument/2006/relationships/image" Target="media/image150.png"/><Relationship Id="rId185" Type="http://schemas.openxmlformats.org/officeDocument/2006/relationships/image" Target="media/image151.jpeg"/><Relationship Id="rId186" Type="http://schemas.openxmlformats.org/officeDocument/2006/relationships/image" Target="media/image152.jpeg"/><Relationship Id="rId187" Type="http://schemas.openxmlformats.org/officeDocument/2006/relationships/image" Target="media/image153.jpeg"/><Relationship Id="rId188" Type="http://schemas.openxmlformats.org/officeDocument/2006/relationships/image" Target="media/image154.jpeg"/><Relationship Id="rId189" Type="http://schemas.openxmlformats.org/officeDocument/2006/relationships/image" Target="media/image155.jpeg"/><Relationship Id="rId190" Type="http://schemas.openxmlformats.org/officeDocument/2006/relationships/image" Target="media/image156.png"/><Relationship Id="rId191" Type="http://schemas.openxmlformats.org/officeDocument/2006/relationships/image" Target="media/image157.png"/><Relationship Id="rId192" Type="http://schemas.openxmlformats.org/officeDocument/2006/relationships/image" Target="media/image158.png"/><Relationship Id="rId193" Type="http://schemas.openxmlformats.org/officeDocument/2006/relationships/image" Target="media/image159.png"/><Relationship Id="rId194" Type="http://schemas.openxmlformats.org/officeDocument/2006/relationships/image" Target="media/image160.jpeg"/><Relationship Id="rId195" Type="http://schemas.openxmlformats.org/officeDocument/2006/relationships/image" Target="media/image161.png"/><Relationship Id="rId196" Type="http://schemas.openxmlformats.org/officeDocument/2006/relationships/image" Target="media/image162.png"/><Relationship Id="rId197"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 by Andrew Haldane</dc:subject>
  <dc:title>On microscopes and telescopes</dc:title>
  <dcterms:created xsi:type="dcterms:W3CDTF">2020-06-02T18:08:58Z</dcterms:created>
  <dcterms:modified xsi:type="dcterms:W3CDTF">2020-06-02T18:08:58Z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2015-04-08T00:00:00Z</vt:filetime>
  </property>
  <property fmtid="{D5CDD505-2E9C-101B-9397-08002B2CF9AE}" pid="3" name="Creator">
    <vt:lpwstr>PScript5.dll Version 5.2.2</vt:lpwstr>
  </property>
  <property fmtid="{D5CDD505-2E9C-101B-9397-08002B2CF9AE}" pid="4" name="LastSaved">
    <vt:filetime>2020-06-02T00:00:00Z</vt:filetime>
  </property>
</Properties>
</file>