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9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43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574" w:right="0" w:firstLine="0"/>
        <w:jc w:val="left"/>
        <w:rPr>
          <w:b/>
          <w:sz w:val="32"/>
        </w:rPr>
      </w:pPr>
      <w:r>
        <w:rPr>
          <w:b/>
          <w:color w:val="6A709F"/>
          <w:sz w:val="32"/>
        </w:rPr>
        <w:t>Pass-through of Bank Rate to household interest rates</w:t>
      </w:r>
    </w:p>
    <w:p>
      <w:pPr>
        <w:pStyle w:val="BodyText"/>
        <w:rPr>
          <w:b/>
          <w:sz w:val="36"/>
        </w:rPr>
      </w:pPr>
    </w:p>
    <w:p>
      <w:pPr>
        <w:spacing w:before="274"/>
        <w:ind w:left="574" w:right="0" w:firstLine="0"/>
        <w:jc w:val="left"/>
        <w:rPr>
          <w:sz w:val="24"/>
        </w:rPr>
      </w:pPr>
      <w:r>
        <w:rPr>
          <w:sz w:val="24"/>
        </w:rPr>
        <w:t>Speech given</w:t>
      </w:r>
      <w:r>
        <w:rPr>
          <w:spacing w:val="-11"/>
          <w:sz w:val="24"/>
        </w:rPr>
        <w:t> </w:t>
      </w:r>
      <w:r>
        <w:rPr>
          <w:sz w:val="24"/>
        </w:rPr>
        <w:t>by</w:t>
      </w:r>
    </w:p>
    <w:p>
      <w:pPr>
        <w:pStyle w:val="BodyText"/>
        <w:rPr>
          <w:sz w:val="26"/>
        </w:rPr>
      </w:pPr>
    </w:p>
    <w:p>
      <w:pPr>
        <w:pStyle w:val="BodyText"/>
        <w:rPr>
          <w:sz w:val="22"/>
        </w:rPr>
      </w:pPr>
    </w:p>
    <w:p>
      <w:pPr>
        <w:spacing w:line="360" w:lineRule="auto" w:before="0"/>
        <w:ind w:left="574" w:right="7454" w:firstLine="0"/>
        <w:jc w:val="left"/>
        <w:rPr>
          <w:sz w:val="24"/>
        </w:rPr>
      </w:pPr>
      <w:r>
        <w:rPr>
          <w:sz w:val="24"/>
        </w:rPr>
        <w:t>Michael Saunders External MPC </w:t>
      </w:r>
      <w:r>
        <w:rPr>
          <w:spacing w:val="-3"/>
          <w:sz w:val="24"/>
        </w:rPr>
        <w:t>Member </w:t>
      </w:r>
      <w:r>
        <w:rPr>
          <w:sz w:val="24"/>
        </w:rPr>
        <w:t>Bank of</w:t>
      </w:r>
      <w:r>
        <w:rPr>
          <w:spacing w:val="-4"/>
          <w:sz w:val="24"/>
        </w:rPr>
        <w:t> </w:t>
      </w:r>
      <w:r>
        <w:rPr>
          <w:sz w:val="24"/>
        </w:rPr>
        <w:t>England</w:t>
      </w:r>
    </w:p>
    <w:p>
      <w:pPr>
        <w:pStyle w:val="BodyText"/>
        <w:rPr>
          <w:sz w:val="26"/>
        </w:rPr>
      </w:pPr>
    </w:p>
    <w:p>
      <w:pPr>
        <w:pStyle w:val="BodyText"/>
        <w:rPr>
          <w:sz w:val="26"/>
        </w:rPr>
      </w:pPr>
    </w:p>
    <w:p>
      <w:pPr>
        <w:pStyle w:val="BodyText"/>
        <w:rPr>
          <w:sz w:val="26"/>
        </w:rPr>
      </w:pPr>
    </w:p>
    <w:p>
      <w:pPr>
        <w:pStyle w:val="BodyText"/>
        <w:rPr>
          <w:sz w:val="30"/>
        </w:rPr>
      </w:pPr>
    </w:p>
    <w:p>
      <w:pPr>
        <w:spacing w:line="360" w:lineRule="auto" w:before="1"/>
        <w:ind w:left="574" w:right="5706" w:firstLine="0"/>
        <w:jc w:val="left"/>
        <w:rPr>
          <w:sz w:val="24"/>
        </w:rPr>
      </w:pPr>
      <w:r>
        <w:rPr>
          <w:sz w:val="24"/>
        </w:rPr>
        <w:t>Imperial College Business School, London 6 March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pStyle w:val="BodyText"/>
        <w:spacing w:before="1"/>
        <w:ind w:left="574" w:right="1478" w:hanging="1"/>
      </w:pPr>
      <w:r>
        <w:rPr/>
        <w:t>The views expressed here are not necessarily those of the Bank of England or the Monetary Policy Committee. I would like to thank Thomas Belsham, Ben Broadbent, Fabrizio Cadamagnani,</w:t>
      </w:r>
    </w:p>
    <w:p>
      <w:pPr>
        <w:pStyle w:val="BodyText"/>
        <w:spacing w:line="230" w:lineRule="exact"/>
        <w:ind w:left="574"/>
      </w:pPr>
      <w:r>
        <w:rPr/>
        <w:t>Aaron Clements-Partridge, Andrew Hauser, Bonnie Howard, Lee Jones, Jeremy Leake,</w:t>
      </w:r>
    </w:p>
    <w:p>
      <w:pPr>
        <w:pStyle w:val="BodyText"/>
        <w:ind w:left="574" w:right="1512"/>
      </w:pPr>
      <w:r>
        <w:rPr/>
        <w:t>Elizabeth Levett, Clare Macallan, Rebecca Maule, Mette Nielsen, Michal Stelmach, Matt Swannell, Martin Taylor, Silvana Tenreyro, Ryland Thomas, Gertjan Vlieghe, Chris Yeates.</w:t>
      </w:r>
    </w:p>
    <w:p>
      <w:pPr>
        <w:spacing w:after="0"/>
        <w:sectPr>
          <w:footerReference w:type="default" r:id="rId5"/>
          <w:type w:val="continuous"/>
          <w:pgSz w:w="11910" w:h="16840"/>
          <w:pgMar w:footer="1340" w:top="1200" w:bottom="1540" w:left="560" w:right="540"/>
        </w:sectPr>
      </w:pPr>
    </w:p>
    <w:p>
      <w:pPr>
        <w:pStyle w:val="BodyText"/>
        <w:spacing w:line="360" w:lineRule="auto" w:before="76"/>
        <w:ind w:left="573" w:right="812"/>
      </w:pPr>
      <w:r>
        <w:rPr/>
        <w:t>In using monetary policy to achieve the inflation target, the MPC’s primary tool is Bank Rate, which acts as the anchor for sterling overnight interest rates. Changes in Bank Rate influence the interest rates facing households and businesses, as well as the exchange rate and other asset prices, and hence shape the economic outlook. However, in the current tightening cycle, a key part of this monetary transmission mechanism – the effect on household deposit and lending rates – seems to be much less effective than usual. In this speech, I want to discuss a few possible reasons for this, whether it is likely to continue, and some implications for monetary policy.</w:t>
      </w:r>
    </w:p>
    <w:p>
      <w:pPr>
        <w:pStyle w:val="BodyText"/>
        <w:spacing w:before="1"/>
        <w:rPr>
          <w:sz w:val="30"/>
        </w:rPr>
      </w:pPr>
    </w:p>
    <w:p>
      <w:pPr>
        <w:pStyle w:val="Heading1"/>
        <w:ind w:left="574"/>
      </w:pPr>
      <w:r>
        <w:rPr/>
        <w:t>Pass-through has been unusually low</w:t>
      </w:r>
    </w:p>
    <w:p>
      <w:pPr>
        <w:pStyle w:val="BodyText"/>
        <w:rPr>
          <w:b/>
          <w:sz w:val="22"/>
        </w:rPr>
      </w:pPr>
    </w:p>
    <w:p>
      <w:pPr>
        <w:pStyle w:val="BodyText"/>
        <w:spacing w:before="10"/>
        <w:rPr>
          <w:b/>
          <w:sz w:val="17"/>
        </w:rPr>
      </w:pPr>
    </w:p>
    <w:p>
      <w:pPr>
        <w:pStyle w:val="BodyText"/>
        <w:spacing w:before="1"/>
        <w:ind w:left="574"/>
      </w:pPr>
      <w:r>
        <w:rPr/>
        <w:t>Let me start by outlining the issue.</w:t>
      </w:r>
    </w:p>
    <w:p>
      <w:pPr>
        <w:pStyle w:val="BodyText"/>
        <w:rPr>
          <w:sz w:val="22"/>
        </w:rPr>
      </w:pPr>
    </w:p>
    <w:p>
      <w:pPr>
        <w:pStyle w:val="BodyText"/>
        <w:spacing w:before="11"/>
        <w:rPr>
          <w:sz w:val="17"/>
        </w:rPr>
      </w:pPr>
    </w:p>
    <w:p>
      <w:pPr>
        <w:pStyle w:val="BodyText"/>
        <w:spacing w:line="355" w:lineRule="auto"/>
        <w:ind w:left="573" w:right="945"/>
        <w:rPr>
          <w:sz w:val="13"/>
        </w:rPr>
      </w:pPr>
      <w:r>
        <w:rPr/>
        <w:t>Since late 2017, the MPC has increased the policy rate by 50bp, in two 25bp steps. Consistent with MPC guidance, the rise in the policy rate has been gradual and limited.</w:t>
      </w:r>
      <w:r>
        <w:rPr>
          <w:position w:val="7"/>
          <w:sz w:val="13"/>
        </w:rPr>
        <w:t>1</w:t>
      </w:r>
    </w:p>
    <w:p>
      <w:pPr>
        <w:pStyle w:val="BodyText"/>
        <w:spacing w:before="4"/>
        <w:rPr>
          <w:sz w:val="30"/>
        </w:rPr>
      </w:pPr>
    </w:p>
    <w:p>
      <w:pPr>
        <w:pStyle w:val="BodyText"/>
        <w:spacing w:line="360" w:lineRule="auto"/>
        <w:ind w:left="573" w:right="900"/>
      </w:pPr>
      <w:r>
        <w:rPr/>
        <w:t>Market rates have moved up roughly in line with the policy rate. For example, compared to three months before the first hike (ie August 2017), three-month interbank rates are up by slightly more than Bank Rate (about 60bp), 2-year swap rates have risen about the same amount as Bank Rate, and 5-year swap rates have risen a little less (about 40bp). This is broadly similar to trends in prior MPC hiking cycles.</w:t>
      </w:r>
    </w:p>
    <w:p>
      <w:pPr>
        <w:pStyle w:val="BodyText"/>
        <w:spacing w:before="1"/>
        <w:rPr>
          <w:sz w:val="30"/>
        </w:rPr>
      </w:pPr>
    </w:p>
    <w:p>
      <w:pPr>
        <w:pStyle w:val="BodyText"/>
        <w:spacing w:line="360" w:lineRule="auto"/>
        <w:ind w:left="573" w:right="878"/>
      </w:pPr>
      <w:r>
        <w:rPr/>
        <w:t>However, pass-through to retail interest rates – both deposit rates and lending rates – has been unusually small. Many household interest rates have barely changed.</w:t>
      </w:r>
    </w:p>
    <w:p>
      <w:pPr>
        <w:pStyle w:val="ListParagraph"/>
        <w:numPr>
          <w:ilvl w:val="0"/>
          <w:numId w:val="1"/>
        </w:numPr>
        <w:tabs>
          <w:tab w:pos="1293" w:val="left" w:leader="none"/>
          <w:tab w:pos="1295" w:val="left" w:leader="none"/>
        </w:tabs>
        <w:spacing w:line="350" w:lineRule="auto" w:before="1" w:after="0"/>
        <w:ind w:left="1293" w:right="1393" w:hanging="360"/>
        <w:jc w:val="left"/>
        <w:rPr>
          <w:sz w:val="20"/>
        </w:rPr>
      </w:pPr>
      <w:r>
        <w:rPr>
          <w:sz w:val="20"/>
        </w:rPr>
        <w:t>Since three months before the first rate hike, the average interest rate on household (interest-bearing)</w:t>
      </w:r>
      <w:r>
        <w:rPr>
          <w:spacing w:val="-4"/>
          <w:sz w:val="20"/>
        </w:rPr>
        <w:t> </w:t>
      </w:r>
      <w:r>
        <w:rPr>
          <w:sz w:val="20"/>
        </w:rPr>
        <w:t>sight</w:t>
      </w:r>
      <w:r>
        <w:rPr>
          <w:spacing w:val="-3"/>
          <w:sz w:val="20"/>
        </w:rPr>
        <w:t> </w:t>
      </w:r>
      <w:r>
        <w:rPr>
          <w:sz w:val="20"/>
        </w:rPr>
        <w:t>deposits</w:t>
      </w:r>
      <w:r>
        <w:rPr>
          <w:spacing w:val="-3"/>
          <w:sz w:val="20"/>
        </w:rPr>
        <w:t> </w:t>
      </w:r>
      <w:r>
        <w:rPr>
          <w:sz w:val="20"/>
        </w:rPr>
        <w:t>is</w:t>
      </w:r>
      <w:r>
        <w:rPr>
          <w:spacing w:val="-4"/>
          <w:sz w:val="20"/>
        </w:rPr>
        <w:t> </w:t>
      </w:r>
      <w:r>
        <w:rPr>
          <w:sz w:val="20"/>
        </w:rPr>
        <w:t>up</w:t>
      </w:r>
      <w:r>
        <w:rPr>
          <w:spacing w:val="-3"/>
          <w:sz w:val="20"/>
        </w:rPr>
        <w:t> </w:t>
      </w:r>
      <w:r>
        <w:rPr>
          <w:sz w:val="20"/>
        </w:rPr>
        <w:t>by</w:t>
      </w:r>
      <w:r>
        <w:rPr>
          <w:spacing w:val="-4"/>
          <w:sz w:val="20"/>
        </w:rPr>
        <w:t> </w:t>
      </w:r>
      <w:r>
        <w:rPr>
          <w:sz w:val="20"/>
        </w:rPr>
        <w:t>just</w:t>
      </w:r>
      <w:r>
        <w:rPr>
          <w:spacing w:val="-4"/>
          <w:sz w:val="20"/>
        </w:rPr>
        <w:t> </w:t>
      </w:r>
      <w:r>
        <w:rPr>
          <w:sz w:val="20"/>
        </w:rPr>
        <w:t>14bp,</w:t>
      </w:r>
      <w:r>
        <w:rPr>
          <w:spacing w:val="-4"/>
          <w:sz w:val="20"/>
        </w:rPr>
        <w:t> </w:t>
      </w:r>
      <w:r>
        <w:rPr>
          <w:sz w:val="20"/>
        </w:rPr>
        <w:t>roughly</w:t>
      </w:r>
      <w:r>
        <w:rPr>
          <w:spacing w:val="-4"/>
          <w:sz w:val="20"/>
        </w:rPr>
        <w:t> </w:t>
      </w:r>
      <w:r>
        <w:rPr>
          <w:sz w:val="20"/>
        </w:rPr>
        <w:t>30%</w:t>
      </w:r>
      <w:r>
        <w:rPr>
          <w:spacing w:val="-4"/>
          <w:sz w:val="20"/>
        </w:rPr>
        <w:t> </w:t>
      </w:r>
      <w:r>
        <w:rPr>
          <w:sz w:val="20"/>
        </w:rPr>
        <w:t>of</w:t>
      </w:r>
      <w:r>
        <w:rPr>
          <w:spacing w:val="-4"/>
          <w:sz w:val="20"/>
        </w:rPr>
        <w:t> </w:t>
      </w:r>
      <w:r>
        <w:rPr>
          <w:sz w:val="20"/>
        </w:rPr>
        <w:t>the</w:t>
      </w:r>
      <w:r>
        <w:rPr>
          <w:spacing w:val="-4"/>
          <w:sz w:val="20"/>
        </w:rPr>
        <w:t> </w:t>
      </w:r>
      <w:r>
        <w:rPr>
          <w:sz w:val="20"/>
        </w:rPr>
        <w:t>rise</w:t>
      </w:r>
      <w:r>
        <w:rPr>
          <w:spacing w:val="-4"/>
          <w:sz w:val="20"/>
        </w:rPr>
        <w:t> </w:t>
      </w:r>
      <w:r>
        <w:rPr>
          <w:sz w:val="20"/>
        </w:rPr>
        <w:t>in</w:t>
      </w:r>
      <w:r>
        <w:rPr>
          <w:spacing w:val="-4"/>
          <w:sz w:val="20"/>
        </w:rPr>
        <w:t> </w:t>
      </w:r>
      <w:r>
        <w:rPr>
          <w:sz w:val="20"/>
        </w:rPr>
        <w:t>Bank</w:t>
      </w:r>
      <w:r>
        <w:rPr>
          <w:spacing w:val="-3"/>
          <w:sz w:val="20"/>
        </w:rPr>
        <w:t> </w:t>
      </w:r>
      <w:r>
        <w:rPr>
          <w:sz w:val="20"/>
        </w:rPr>
        <w:t>Rate.</w:t>
      </w:r>
      <w:r>
        <w:rPr>
          <w:spacing w:val="-4"/>
          <w:sz w:val="20"/>
        </w:rPr>
        <w:t> </w:t>
      </w:r>
      <w:r>
        <w:rPr>
          <w:sz w:val="20"/>
        </w:rPr>
        <w:t>By</w:t>
      </w:r>
    </w:p>
    <w:p>
      <w:pPr>
        <w:pStyle w:val="BodyText"/>
        <w:spacing w:line="357" w:lineRule="auto" w:before="9"/>
        <w:ind w:left="1293" w:right="803"/>
        <w:rPr>
          <w:sz w:val="13"/>
        </w:rPr>
      </w:pPr>
      <w:r>
        <w:rPr/>
        <w:t>contrast, in the equivalent period of prior MPC tightening cycles, sight deposit rates rose almost as much as Bank Rate, with average pass-through of more than 80% (and minimum pass-through of over 60%).</w:t>
      </w:r>
      <w:r>
        <w:rPr>
          <w:position w:val="7"/>
          <w:sz w:val="13"/>
        </w:rPr>
        <w:t>2</w:t>
      </w:r>
    </w:p>
    <w:p>
      <w:pPr>
        <w:pStyle w:val="ListParagraph"/>
        <w:numPr>
          <w:ilvl w:val="0"/>
          <w:numId w:val="1"/>
        </w:numPr>
        <w:tabs>
          <w:tab w:pos="1293" w:val="left" w:leader="none"/>
          <w:tab w:pos="1295" w:val="left" w:leader="none"/>
        </w:tabs>
        <w:spacing w:line="350" w:lineRule="auto" w:before="3" w:after="0"/>
        <w:ind w:left="1294" w:right="714" w:hanging="360"/>
        <w:jc w:val="left"/>
        <w:rPr>
          <w:sz w:val="20"/>
        </w:rPr>
      </w:pPr>
      <w:r>
        <w:rPr>
          <w:sz w:val="20"/>
        </w:rPr>
        <w:t>It is a similar story for rates on new household time deposits: a rise of 15bp so far (roughly 30% of the</w:t>
      </w:r>
      <w:r>
        <w:rPr>
          <w:spacing w:val="-3"/>
          <w:sz w:val="20"/>
        </w:rPr>
        <w:t> </w:t>
      </w:r>
      <w:r>
        <w:rPr>
          <w:sz w:val="20"/>
        </w:rPr>
        <w:t>rise</w:t>
      </w:r>
      <w:r>
        <w:rPr>
          <w:spacing w:val="-2"/>
          <w:sz w:val="20"/>
        </w:rPr>
        <w:t> </w:t>
      </w:r>
      <w:r>
        <w:rPr>
          <w:sz w:val="20"/>
        </w:rPr>
        <w:t>in</w:t>
      </w:r>
      <w:r>
        <w:rPr>
          <w:spacing w:val="-3"/>
          <w:sz w:val="20"/>
        </w:rPr>
        <w:t> </w:t>
      </w:r>
      <w:r>
        <w:rPr>
          <w:sz w:val="20"/>
        </w:rPr>
        <w:t>Bank</w:t>
      </w:r>
      <w:r>
        <w:rPr>
          <w:spacing w:val="-2"/>
          <w:sz w:val="20"/>
        </w:rPr>
        <w:t> </w:t>
      </w:r>
      <w:r>
        <w:rPr>
          <w:sz w:val="20"/>
        </w:rPr>
        <w:t>Rate),</w:t>
      </w:r>
      <w:r>
        <w:rPr>
          <w:spacing w:val="-3"/>
          <w:sz w:val="20"/>
        </w:rPr>
        <w:t> </w:t>
      </w:r>
      <w:r>
        <w:rPr>
          <w:sz w:val="20"/>
        </w:rPr>
        <w:t>versus</w:t>
      </w:r>
      <w:r>
        <w:rPr>
          <w:spacing w:val="-4"/>
          <w:sz w:val="20"/>
        </w:rPr>
        <w:t> </w:t>
      </w:r>
      <w:r>
        <w:rPr>
          <w:sz w:val="20"/>
        </w:rPr>
        <w:t>average</w:t>
      </w:r>
      <w:r>
        <w:rPr>
          <w:spacing w:val="-4"/>
          <w:sz w:val="20"/>
        </w:rPr>
        <w:t> </w:t>
      </w:r>
      <w:r>
        <w:rPr>
          <w:sz w:val="20"/>
        </w:rPr>
        <w:t>pass-through</w:t>
      </w:r>
      <w:r>
        <w:rPr>
          <w:spacing w:val="-5"/>
          <w:sz w:val="20"/>
        </w:rPr>
        <w:t> </w:t>
      </w:r>
      <w:r>
        <w:rPr>
          <w:sz w:val="20"/>
        </w:rPr>
        <w:t>of</w:t>
      </w:r>
      <w:r>
        <w:rPr>
          <w:spacing w:val="-2"/>
          <w:sz w:val="20"/>
        </w:rPr>
        <w:t> </w:t>
      </w:r>
      <w:r>
        <w:rPr>
          <w:sz w:val="20"/>
        </w:rPr>
        <w:t>just</w:t>
      </w:r>
      <w:r>
        <w:rPr>
          <w:spacing w:val="-3"/>
          <w:sz w:val="20"/>
        </w:rPr>
        <w:t> </w:t>
      </w:r>
      <w:r>
        <w:rPr>
          <w:sz w:val="20"/>
        </w:rPr>
        <w:t>above</w:t>
      </w:r>
      <w:r>
        <w:rPr>
          <w:spacing w:val="-4"/>
          <w:sz w:val="20"/>
        </w:rPr>
        <w:t> </w:t>
      </w:r>
      <w:r>
        <w:rPr>
          <w:sz w:val="20"/>
        </w:rPr>
        <w:t>100%</w:t>
      </w:r>
      <w:r>
        <w:rPr>
          <w:spacing w:val="-2"/>
          <w:sz w:val="20"/>
        </w:rPr>
        <w:t> </w:t>
      </w:r>
      <w:r>
        <w:rPr>
          <w:sz w:val="20"/>
        </w:rPr>
        <w:t>in</w:t>
      </w:r>
      <w:r>
        <w:rPr>
          <w:spacing w:val="-3"/>
          <w:sz w:val="20"/>
        </w:rPr>
        <w:t> </w:t>
      </w:r>
      <w:r>
        <w:rPr>
          <w:sz w:val="20"/>
        </w:rPr>
        <w:t>prior</w:t>
      </w:r>
      <w:r>
        <w:rPr>
          <w:spacing w:val="-2"/>
          <w:sz w:val="20"/>
        </w:rPr>
        <w:t> </w:t>
      </w:r>
      <w:r>
        <w:rPr>
          <w:sz w:val="20"/>
        </w:rPr>
        <w:t>MPC</w:t>
      </w:r>
      <w:r>
        <w:rPr>
          <w:spacing w:val="-3"/>
          <w:sz w:val="20"/>
        </w:rPr>
        <w:t> </w:t>
      </w:r>
      <w:r>
        <w:rPr>
          <w:sz w:val="20"/>
        </w:rPr>
        <w:t>hiking</w:t>
      </w:r>
      <w:r>
        <w:rPr>
          <w:spacing w:val="-2"/>
          <w:sz w:val="20"/>
        </w:rPr>
        <w:t> </w:t>
      </w:r>
      <w:r>
        <w:rPr>
          <w:sz w:val="20"/>
        </w:rPr>
        <w:t>cycles.</w:t>
      </w:r>
    </w:p>
    <w:p>
      <w:pPr>
        <w:pStyle w:val="ListParagraph"/>
        <w:numPr>
          <w:ilvl w:val="0"/>
          <w:numId w:val="1"/>
        </w:numPr>
        <w:tabs>
          <w:tab w:pos="1293" w:val="left" w:leader="none"/>
          <w:tab w:pos="1295" w:val="left" w:leader="none"/>
        </w:tabs>
        <w:spacing w:line="355" w:lineRule="auto" w:before="10" w:after="0"/>
        <w:ind w:left="1294" w:right="834" w:hanging="360"/>
        <w:jc w:val="left"/>
        <w:rPr>
          <w:sz w:val="13"/>
        </w:rPr>
      </w:pPr>
      <w:r>
        <w:rPr>
          <w:sz w:val="20"/>
        </w:rPr>
        <w:t>Pass-through has been slightly greater for corporate sight deposits (which fell further during MPC easing), but still below prior tightening cycles. The weighted average interest rate on all household and private non-financial corporations (PNFC) sight and new time deposits has risen by 17bp, implying</w:t>
      </w:r>
      <w:r>
        <w:rPr>
          <w:spacing w:val="-4"/>
          <w:sz w:val="20"/>
        </w:rPr>
        <w:t> </w:t>
      </w:r>
      <w:r>
        <w:rPr>
          <w:sz w:val="20"/>
        </w:rPr>
        <w:t>pass-through</w:t>
      </w:r>
      <w:r>
        <w:rPr>
          <w:spacing w:val="-4"/>
          <w:sz w:val="20"/>
        </w:rPr>
        <w:t> </w:t>
      </w:r>
      <w:r>
        <w:rPr>
          <w:sz w:val="20"/>
        </w:rPr>
        <w:t>of</w:t>
      </w:r>
      <w:r>
        <w:rPr>
          <w:spacing w:val="-4"/>
          <w:sz w:val="20"/>
        </w:rPr>
        <w:t> </w:t>
      </w:r>
      <w:r>
        <w:rPr>
          <w:sz w:val="20"/>
        </w:rPr>
        <w:t>roughly</w:t>
      </w:r>
      <w:r>
        <w:rPr>
          <w:spacing w:val="-2"/>
          <w:sz w:val="20"/>
        </w:rPr>
        <w:t> </w:t>
      </w:r>
      <w:r>
        <w:rPr>
          <w:sz w:val="20"/>
        </w:rPr>
        <w:t>35%</w:t>
      </w:r>
      <w:r>
        <w:rPr>
          <w:spacing w:val="-3"/>
          <w:sz w:val="20"/>
        </w:rPr>
        <w:t> </w:t>
      </w:r>
      <w:r>
        <w:rPr>
          <w:sz w:val="20"/>
        </w:rPr>
        <w:t>versus</w:t>
      </w:r>
      <w:r>
        <w:rPr>
          <w:spacing w:val="-3"/>
          <w:sz w:val="20"/>
        </w:rPr>
        <w:t> </w:t>
      </w:r>
      <w:r>
        <w:rPr>
          <w:sz w:val="20"/>
        </w:rPr>
        <w:t>around</w:t>
      </w:r>
      <w:r>
        <w:rPr>
          <w:spacing w:val="-3"/>
          <w:sz w:val="20"/>
        </w:rPr>
        <w:t> </w:t>
      </w:r>
      <w:r>
        <w:rPr>
          <w:sz w:val="20"/>
        </w:rPr>
        <w:t>100%</w:t>
      </w:r>
      <w:r>
        <w:rPr>
          <w:spacing w:val="-4"/>
          <w:sz w:val="20"/>
        </w:rPr>
        <w:t> </w:t>
      </w:r>
      <w:r>
        <w:rPr>
          <w:sz w:val="20"/>
        </w:rPr>
        <w:t>on</w:t>
      </w:r>
      <w:r>
        <w:rPr>
          <w:spacing w:val="-4"/>
          <w:sz w:val="20"/>
        </w:rPr>
        <w:t> </w:t>
      </w:r>
      <w:r>
        <w:rPr>
          <w:sz w:val="20"/>
        </w:rPr>
        <w:t>average</w:t>
      </w:r>
      <w:r>
        <w:rPr>
          <w:spacing w:val="-3"/>
          <w:sz w:val="20"/>
        </w:rPr>
        <w:t> </w:t>
      </w:r>
      <w:r>
        <w:rPr>
          <w:sz w:val="20"/>
        </w:rPr>
        <w:t>in</w:t>
      </w:r>
      <w:r>
        <w:rPr>
          <w:spacing w:val="-3"/>
          <w:sz w:val="20"/>
        </w:rPr>
        <w:t> </w:t>
      </w:r>
      <w:r>
        <w:rPr>
          <w:sz w:val="20"/>
        </w:rPr>
        <w:t>prior</w:t>
      </w:r>
      <w:r>
        <w:rPr>
          <w:spacing w:val="-3"/>
          <w:sz w:val="20"/>
        </w:rPr>
        <w:t> </w:t>
      </w:r>
      <w:r>
        <w:rPr>
          <w:sz w:val="20"/>
        </w:rPr>
        <w:t>tightening</w:t>
      </w:r>
      <w:r>
        <w:rPr>
          <w:spacing w:val="-2"/>
          <w:sz w:val="20"/>
        </w:rPr>
        <w:t> </w:t>
      </w:r>
      <w:r>
        <w:rPr>
          <w:sz w:val="20"/>
        </w:rPr>
        <w:t>cycles.</w:t>
      </w:r>
      <w:r>
        <w:rPr>
          <w:position w:val="7"/>
          <w:sz w:val="13"/>
        </w:rPr>
        <w:t>3</w:t>
      </w:r>
    </w:p>
    <w:p>
      <w:pPr>
        <w:pStyle w:val="ListParagraph"/>
        <w:numPr>
          <w:ilvl w:val="0"/>
          <w:numId w:val="1"/>
        </w:numPr>
        <w:tabs>
          <w:tab w:pos="1293" w:val="left" w:leader="none"/>
          <w:tab w:pos="1295" w:val="left" w:leader="none"/>
        </w:tabs>
        <w:spacing w:line="240" w:lineRule="auto" w:before="6" w:after="0"/>
        <w:ind w:left="1294" w:right="0" w:hanging="362"/>
        <w:jc w:val="left"/>
        <w:rPr>
          <w:sz w:val="20"/>
        </w:rPr>
      </w:pPr>
      <w:r>
        <w:rPr>
          <w:sz w:val="20"/>
        </w:rPr>
        <w:t>The average rate on new mortgages (covering both fixed and variable rate loans) is up by</w:t>
      </w:r>
      <w:r>
        <w:rPr>
          <w:spacing w:val="-30"/>
          <w:sz w:val="20"/>
        </w:rPr>
        <w:t> </w:t>
      </w:r>
      <w:r>
        <w:rPr>
          <w:sz w:val="20"/>
        </w:rPr>
        <w:t>only</w:t>
      </w:r>
    </w:p>
    <w:p>
      <w:pPr>
        <w:pStyle w:val="BodyText"/>
        <w:spacing w:before="3"/>
        <w:rPr>
          <w:sz w:val="24"/>
        </w:rPr>
      </w:pPr>
      <w:r>
        <w:rPr/>
        <w:pict>
          <v:shape style="position:absolute;margin-left:56.700001pt;margin-top:16.172256pt;width:144pt;height:.1pt;mso-position-horizontal-relative:page;mso-position-vertical-relative:paragraph;z-index:-251657216;mso-wrap-distance-left:0;mso-wrap-distance-right:0" coordorigin="1134,323" coordsize="2880,0" path="m1134,323l4014,323e" filled="false" stroked="true" strokeweight=".47998pt" strokecolor="#000000">
            <v:path arrowok="t"/>
            <v:stroke dashstyle="solid"/>
            <w10:wrap type="topAndBottom"/>
          </v:shape>
        </w:pict>
      </w:r>
    </w:p>
    <w:p>
      <w:pPr>
        <w:spacing w:line="237" w:lineRule="auto" w:before="52"/>
        <w:ind w:left="573" w:right="624" w:firstLine="0"/>
        <w:jc w:val="left"/>
        <w:rPr>
          <w:sz w:val="16"/>
        </w:rPr>
      </w:pPr>
      <w:r>
        <w:rPr>
          <w:position w:val="6"/>
          <w:sz w:val="10"/>
        </w:rPr>
        <w:t>1  </w:t>
      </w:r>
      <w:r>
        <w:rPr>
          <w:sz w:val="16"/>
        </w:rPr>
        <w:t>Bank Rate rose by an average of 120bp over the first 12 months of prior MPC hiking cycles (1997-98, 1999-2000, 2003-04, 2007-08).</w:t>
      </w:r>
      <w:r>
        <w:rPr>
          <w:position w:val="6"/>
          <w:sz w:val="16"/>
        </w:rPr>
        <w:t> </w:t>
      </w:r>
      <w:r>
        <w:rPr>
          <w:position w:val="6"/>
          <w:sz w:val="10"/>
        </w:rPr>
        <w:t>2 </w:t>
      </w:r>
      <w:r>
        <w:rPr>
          <w:sz w:val="16"/>
        </w:rPr>
        <w:t>These figures are based on the BoE effective rates series, which are weighted to reflect the overall market. Using the BoE quoted rates series, pass-through to deposit rates in this cycle has been slightly higher, around 40%. However, those series do not extend far enough back to produce comparable figures for prior tightening cycles. Moreover, as noted in FCA (2018), banks tend to reduce interest rates as accounts age, and hence the quoted rates data may not properly represent the extent of pass-through to all sight</w:t>
      </w:r>
      <w:r>
        <w:rPr>
          <w:spacing w:val="-22"/>
          <w:sz w:val="16"/>
        </w:rPr>
        <w:t> </w:t>
      </w:r>
      <w:r>
        <w:rPr>
          <w:sz w:val="16"/>
        </w:rPr>
        <w:t>deposits.</w:t>
      </w:r>
    </w:p>
    <w:p>
      <w:pPr>
        <w:spacing w:before="0"/>
        <w:ind w:left="573" w:right="624" w:firstLine="0"/>
        <w:jc w:val="left"/>
        <w:rPr>
          <w:sz w:val="16"/>
        </w:rPr>
      </w:pPr>
      <w:r>
        <w:rPr>
          <w:position w:val="6"/>
          <w:sz w:val="10"/>
        </w:rPr>
        <w:t>3 </w:t>
      </w:r>
      <w:r>
        <w:rPr>
          <w:sz w:val="16"/>
        </w:rPr>
        <w:t>This calculation excludes non-interest bearing sight deposits. Including these, the average rate on household and PNFC deposits has risen by just 14bp.</w:t>
      </w:r>
    </w:p>
    <w:p>
      <w:pPr>
        <w:spacing w:after="0"/>
        <w:jc w:val="left"/>
        <w:rPr>
          <w:sz w:val="16"/>
        </w:rPr>
        <w:sectPr>
          <w:footerReference w:type="default" r:id="rId7"/>
          <w:pgSz w:w="11910" w:h="16840"/>
          <w:pgMar w:footer="1340" w:header="0" w:top="1540" w:bottom="1540" w:left="560" w:right="540"/>
        </w:sectPr>
      </w:pPr>
    </w:p>
    <w:p>
      <w:pPr>
        <w:pStyle w:val="BodyText"/>
        <w:spacing w:line="360" w:lineRule="auto" w:before="76"/>
        <w:ind w:left="1293" w:right="625"/>
      </w:pPr>
      <w:r>
        <w:rPr/>
        <w:t>10-15bp, roughly 30% of the rise in the appropriate mix of Bank Rate and swap rates. By contrast, in previous tightening cycles, the average level of mortgage rates moved up roughly in line with Bank Rate and swap rates. Indeed, for 2-year fixed rate 95% LTV mortgages, spreads have compressed so much that – unprecedentedly – lending rates have actually fallen by over 80bp while the policy rate has been rising.</w:t>
      </w:r>
    </w:p>
    <w:p>
      <w:pPr>
        <w:pStyle w:val="ListParagraph"/>
        <w:numPr>
          <w:ilvl w:val="0"/>
          <w:numId w:val="1"/>
        </w:numPr>
        <w:tabs>
          <w:tab w:pos="1293" w:val="left" w:leader="none"/>
          <w:tab w:pos="1295" w:val="left" w:leader="none"/>
        </w:tabs>
        <w:spacing w:line="345" w:lineRule="auto" w:before="1" w:after="0"/>
        <w:ind w:left="1293" w:right="769" w:hanging="360"/>
        <w:jc w:val="left"/>
        <w:rPr>
          <w:sz w:val="13"/>
        </w:rPr>
      </w:pPr>
      <w:r>
        <w:rPr>
          <w:sz w:val="20"/>
        </w:rPr>
        <w:t>Pass-through also has been relatively low for interest rates on consumer unsecured loans and new loans to</w:t>
      </w:r>
      <w:r>
        <w:rPr>
          <w:spacing w:val="-1"/>
          <w:sz w:val="20"/>
        </w:rPr>
        <w:t> </w:t>
      </w:r>
      <w:r>
        <w:rPr>
          <w:sz w:val="20"/>
        </w:rPr>
        <w:t>companies.</w:t>
      </w:r>
      <w:r>
        <w:rPr>
          <w:position w:val="7"/>
          <w:sz w:val="13"/>
        </w:rPr>
        <w:t>4</w:t>
      </w:r>
    </w:p>
    <w:p>
      <w:pPr>
        <w:pStyle w:val="BodyText"/>
      </w:pPr>
    </w:p>
    <w:p>
      <w:pPr>
        <w:spacing w:after="0"/>
        <w:sectPr>
          <w:footerReference w:type="default" r:id="rId8"/>
          <w:pgSz w:w="11910" w:h="16840"/>
          <w:pgMar w:footer="1340" w:header="0" w:top="1540" w:bottom="1540" w:left="560" w:right="540"/>
        </w:sectPr>
      </w:pPr>
    </w:p>
    <w:p>
      <w:pPr>
        <w:pStyle w:val="BodyText"/>
        <w:spacing w:before="10"/>
      </w:pPr>
    </w:p>
    <w:p>
      <w:pPr>
        <w:pStyle w:val="Heading1"/>
        <w:spacing w:line="355" w:lineRule="auto"/>
        <w:ind w:right="41"/>
      </w:pPr>
      <w:r>
        <w:rPr/>
        <w:pict>
          <v:group style="position:absolute;margin-left:52.860001pt;margin-top:52.340206pt;width:244.9pt;height:134.4pt;mso-position-horizontal-relative:page;mso-position-vertical-relative:paragraph;z-index:251661312" coordorigin="1057,1047" coordsize="4898,2688">
            <v:shape style="position:absolute;left:1110;top:1046;width:4845;height:2688" coordorigin="1110,1047" coordsize="4845,2688" path="m5952,1047l1112,1047,1110,1049,1110,3731,1112,3735,5952,3735,5954,3731,1115,3731,1112,3729,1115,3729,1115,1053,1112,1053,1115,1049,5954,1049,5952,1047xm1115,3729l1112,3729,1115,3731,1115,3729xm5950,3729l1115,3729,1115,3731,5950,3731,5950,3729xm5950,1049l5950,3731,5952,3729,5954,3729,5954,1053,5952,1053,5950,1049xm5954,3729l5952,3729,5950,3731,5954,3731,5954,3729xm1115,1049l1112,1053,1115,1053,1115,1049xm5950,1049l1115,1049,1115,1053,5950,1053,5950,1049xm5954,1049l5950,1049,5952,1053,5954,1053,5954,1049xe" filled="true" fillcolor="#000000" stroked="false">
              <v:path arrowok="t"/>
              <v:fill type="solid"/>
            </v:shape>
            <v:shape style="position:absolute;left:1317;top:1598;width:4154;height:2136" coordorigin="1318,1599" coordsize="4154,2136" path="m1598,2120l1596,2116,1320,2116,1318,2120,1318,3731,1320,3735,1596,3735,1598,3731,1598,3729,1598,2122,1598,2120m2567,1601l2564,1599,2287,1599,2285,1601,2285,3731,2287,3735,2564,3735,2567,3731,2567,3729,2567,1604,2567,1601m3535,1920l3533,1918,3256,1918,3253,1920,3253,3731,3256,3735,3533,3735,3535,3731,3535,3729,3535,1924,3535,1920m4502,1907l4500,1905,4224,1905,4222,1907,4222,3731,4224,3735,4500,3735,4502,3731,4502,3729,4502,1911,4502,1907m5471,1833l5468,1829,5191,1829,5189,1833,5189,3731,5191,3735,5468,3735,5471,3731,5471,3729,5471,1835,5471,1833e" filled="true" fillcolor="#ff00ff" stroked="false">
              <v:path arrowok="t"/>
              <v:fill type="solid"/>
            </v:shape>
            <v:shape style="position:absolute;left:1593;top:3089;width:4154;height:646" coordorigin="1594,3089" coordsize="4154,646" path="m1876,3170l1873,3167,1596,3167,1594,3170,1594,3731,1596,3735,1873,3735,1876,3731,1876,3729,1876,3173,1876,3170m2843,3144l2840,3142,2564,3142,2562,3144,2562,3731,2564,3735,2840,3735,2843,3731,2843,3729,2843,3147,2843,3144m3811,3462l3809,3460,3533,3460,3529,3462,3529,3731,3533,3735,3809,3735,3811,3731,3811,3729,3811,3466,3811,3462m4780,3216l4777,3213,4500,3213,4498,3216,4498,3731,4500,3735,4777,3735,4780,3731,4780,3729,4780,3219,4780,3216m5747,3092l5744,3089,5468,3089,5466,3092,5466,3731,5468,3735,5744,3735,5747,3731,5747,3729,5747,3095,5747,3092e" filled="true" fillcolor="#0000ff" stroked="false">
              <v:path arrowok="t"/>
              <v:fill type="solid"/>
            </v:shape>
            <v:shape style="position:absolute;left:1057;top:1046;width:56;height:2305" coordorigin="1057,1047" coordsize="56,2305" path="m1112,3346l1057,3346,1057,3351,1112,3351,1112,3346m1112,2962l1057,2962,1057,2968,1112,2968,1112,2962m1112,2579l1057,2579,1057,2585,1112,2585,1112,2579m1112,2196l1057,2196,1057,2202,1112,2202,1112,2196m1112,1812l1057,1812,1057,1818,1112,1818,1112,1812m1112,1430l1057,1430,1057,1434,1112,1434,1112,1430m1112,1047l1057,1047,1057,1053,1112,1053,1112,1047e" filled="true" fillcolor="#868686" stroked="false">
              <v:path arrowok="t"/>
              <v:fill type="solid"/>
            </v:shape>
            <v:shape style="position:absolute;left:1514;top:1186;width:100;height:110" coordorigin="1514,1186" coordsize="100,110" path="m1614,1187l1612,1186,1517,1186,1514,1187,1514,1292,1517,1295,1612,1295,1614,1292,1614,1289,1614,1192,1614,1188,1614,1187e" filled="true" fillcolor="#ff00ff" stroked="false">
              <v:path arrowok="t"/>
              <v:fill type="solid"/>
            </v:shape>
            <v:shape style="position:absolute;left:1514;top:1495;width:100;height:110" coordorigin="1514,1496" coordsize="100,110" path="m1614,1499l1612,1496,1517,1496,1514,1499,1514,1602,1517,1605,1612,1605,1614,1602,1614,1600,1614,1502,1614,1499e" filled="true" fillcolor="#0000ff" stroked="false">
              <v:path arrowok="t"/>
              <v:fill type="solid"/>
            </v:shape>
            <w10:wrap type="none"/>
          </v:group>
        </w:pict>
      </w:r>
      <w:r>
        <w:rPr/>
        <w:pict>
          <v:shape style="position:absolute;margin-left:33.770pt;margin-top:45.610207pt;width:264.1pt;height:187.5pt;mso-position-horizontal-relative:page;mso-position-vertical-relative:paragraph;z-index:251667456" type="#_x0000_t202" filled="false" stroked="false">
            <v:textbox inset="0,0,0,0">
              <w:txbxContent>
                <w:tbl>
                  <w:tblPr>
                    <w:tblW w:w="0" w:type="auto"/>
                    <w:jc w:val="left"/>
                    <w:tblInd w:w="5" w:type="dxa"/>
                    <w:tblBorders>
                      <w:top w:val="single" w:sz="4" w:space="0" w:color="868686"/>
                      <w:left w:val="single" w:sz="4" w:space="0" w:color="868686"/>
                      <w:bottom w:val="single" w:sz="4" w:space="0" w:color="868686"/>
                      <w:right w:val="single" w:sz="4" w:space="0" w:color="868686"/>
                      <w:insideH w:val="single" w:sz="4" w:space="0" w:color="868686"/>
                      <w:insideV w:val="single" w:sz="4" w:space="0" w:color="868686"/>
                    </w:tblBorders>
                    <w:tblLayout w:type="fixed"/>
                    <w:tblCellMar>
                      <w:top w:w="0" w:type="dxa"/>
                      <w:left w:w="0" w:type="dxa"/>
                      <w:bottom w:w="0" w:type="dxa"/>
                      <w:right w:w="0" w:type="dxa"/>
                    </w:tblCellMar>
                    <w:tblLook w:val="01E0"/>
                  </w:tblPr>
                  <w:tblGrid>
                    <w:gridCol w:w="434"/>
                    <w:gridCol w:w="3892"/>
                    <w:gridCol w:w="946"/>
                  </w:tblGrid>
                  <w:tr>
                    <w:trPr>
                      <w:trHeight w:val="323" w:hRule="atLeast"/>
                    </w:trPr>
                    <w:tc>
                      <w:tcPr>
                        <w:tcW w:w="434" w:type="dxa"/>
                        <w:tcBorders>
                          <w:bottom w:val="nil"/>
                          <w:right w:val="single" w:sz="2" w:space="0" w:color="868686"/>
                        </w:tcBorders>
                      </w:tcPr>
                      <w:p>
                        <w:pPr>
                          <w:pStyle w:val="TableParagraph"/>
                          <w:spacing w:before="12"/>
                          <w:ind w:right="151"/>
                          <w:rPr>
                            <w:b/>
                            <w:sz w:val="18"/>
                          </w:rPr>
                        </w:pPr>
                        <w:r>
                          <w:rPr>
                            <w:b/>
                            <w:w w:val="95"/>
                            <w:sz w:val="18"/>
                          </w:rPr>
                          <w:t>140</w:t>
                        </w:r>
                      </w:p>
                    </w:tc>
                    <w:tc>
                      <w:tcPr>
                        <w:tcW w:w="4838" w:type="dxa"/>
                        <w:gridSpan w:val="2"/>
                        <w:vMerge w:val="restart"/>
                        <w:tcBorders>
                          <w:left w:val="single" w:sz="2" w:space="0" w:color="868686"/>
                        </w:tcBorders>
                      </w:tcPr>
                      <w:p>
                        <w:pPr>
                          <w:pStyle w:val="TableParagraph"/>
                          <w:spacing w:before="1"/>
                          <w:ind w:right="0"/>
                          <w:jc w:val="left"/>
                          <w:rPr>
                            <w:rFonts w:ascii="Arial"/>
                            <w:sz w:val="15"/>
                          </w:rPr>
                        </w:pPr>
                      </w:p>
                      <w:p>
                        <w:pPr>
                          <w:pStyle w:val="TableParagraph"/>
                          <w:tabs>
                            <w:tab w:pos="545" w:val="left" w:leader="none"/>
                          </w:tabs>
                          <w:spacing w:line="338" w:lineRule="auto" w:before="0"/>
                          <w:ind w:left="545" w:right="1040" w:hanging="462"/>
                          <w:jc w:val="left"/>
                          <w:rPr>
                            <w:b/>
                            <w:sz w:val="18"/>
                          </w:rPr>
                        </w:pPr>
                        <w:r>
                          <w:rPr>
                            <w:b/>
                            <w:position w:val="3"/>
                            <w:sz w:val="18"/>
                          </w:rPr>
                          <w:t>%</w:t>
                          <w:tab/>
                        </w:r>
                        <w:r>
                          <w:rPr>
                            <w:b/>
                            <w:sz w:val="18"/>
                          </w:rPr>
                          <w:t>Average</w:t>
                        </w:r>
                        <w:r>
                          <w:rPr>
                            <w:b/>
                            <w:spacing w:val="-23"/>
                            <w:sz w:val="18"/>
                          </w:rPr>
                          <w:t> </w:t>
                        </w:r>
                        <w:r>
                          <w:rPr>
                            <w:b/>
                            <w:sz w:val="18"/>
                          </w:rPr>
                          <w:t>of</w:t>
                        </w:r>
                        <w:r>
                          <w:rPr>
                            <w:b/>
                            <w:spacing w:val="-22"/>
                            <w:sz w:val="18"/>
                          </w:rPr>
                          <w:t> </w:t>
                        </w:r>
                        <w:r>
                          <w:rPr>
                            <w:b/>
                            <w:sz w:val="18"/>
                          </w:rPr>
                          <w:t>MPC</w:t>
                        </w:r>
                        <w:r>
                          <w:rPr>
                            <w:b/>
                            <w:spacing w:val="-22"/>
                            <w:sz w:val="18"/>
                          </w:rPr>
                          <w:t> </w:t>
                        </w:r>
                        <w:r>
                          <w:rPr>
                            <w:b/>
                            <w:sz w:val="18"/>
                          </w:rPr>
                          <w:t>Tightening</w:t>
                        </w:r>
                        <w:r>
                          <w:rPr>
                            <w:b/>
                            <w:spacing w:val="-22"/>
                            <w:sz w:val="18"/>
                          </w:rPr>
                          <w:t> </w:t>
                        </w:r>
                        <w:r>
                          <w:rPr>
                            <w:b/>
                            <w:sz w:val="18"/>
                          </w:rPr>
                          <w:t>Cycles</w:t>
                        </w:r>
                        <w:r>
                          <w:rPr>
                            <w:b/>
                            <w:spacing w:val="-23"/>
                            <w:sz w:val="18"/>
                          </w:rPr>
                          <w:t> </w:t>
                        </w:r>
                        <w:r>
                          <w:rPr>
                            <w:b/>
                            <w:sz w:val="18"/>
                          </w:rPr>
                          <w:t>Since</w:t>
                        </w:r>
                        <w:r>
                          <w:rPr>
                            <w:b/>
                            <w:spacing w:val="-22"/>
                            <w:sz w:val="18"/>
                          </w:rPr>
                          <w:t> </w:t>
                        </w:r>
                        <w:r>
                          <w:rPr>
                            <w:b/>
                            <w:sz w:val="18"/>
                          </w:rPr>
                          <w:t>2004 2017‐19</w:t>
                        </w:r>
                      </w:p>
                    </w:tc>
                  </w:tr>
                  <w:tr>
                    <w:trPr>
                      <w:trHeight w:val="373" w:hRule="atLeast"/>
                    </w:trPr>
                    <w:tc>
                      <w:tcPr>
                        <w:tcW w:w="434" w:type="dxa"/>
                        <w:tcBorders>
                          <w:top w:val="nil"/>
                          <w:bottom w:val="nil"/>
                          <w:right w:val="single" w:sz="2" w:space="0" w:color="868686"/>
                        </w:tcBorders>
                      </w:tcPr>
                      <w:p>
                        <w:pPr>
                          <w:pStyle w:val="TableParagraph"/>
                          <w:ind w:right="151"/>
                          <w:rPr>
                            <w:b/>
                            <w:sz w:val="18"/>
                          </w:rPr>
                        </w:pPr>
                        <w:r>
                          <w:rPr>
                            <w:b/>
                            <w:w w:val="95"/>
                            <w:sz w:val="18"/>
                          </w:rPr>
                          <w:t>120</w:t>
                        </w:r>
                      </w:p>
                    </w:tc>
                    <w:tc>
                      <w:tcPr>
                        <w:tcW w:w="4838" w:type="dxa"/>
                        <w:gridSpan w:val="2"/>
                        <w:vMerge/>
                        <w:tcBorders>
                          <w:top w:val="nil"/>
                          <w:left w:val="single" w:sz="2" w:space="0" w:color="868686"/>
                        </w:tcBorders>
                      </w:tcPr>
                      <w:p>
                        <w:pPr>
                          <w:rPr>
                            <w:sz w:val="2"/>
                            <w:szCs w:val="2"/>
                          </w:rPr>
                        </w:pPr>
                      </w:p>
                    </w:tc>
                  </w:tr>
                  <w:tr>
                    <w:trPr>
                      <w:trHeight w:val="372" w:hRule="atLeast"/>
                    </w:trPr>
                    <w:tc>
                      <w:tcPr>
                        <w:tcW w:w="434" w:type="dxa"/>
                        <w:tcBorders>
                          <w:top w:val="nil"/>
                          <w:bottom w:val="nil"/>
                          <w:right w:val="single" w:sz="2" w:space="0" w:color="868686"/>
                        </w:tcBorders>
                      </w:tcPr>
                      <w:p>
                        <w:pPr>
                          <w:pStyle w:val="TableParagraph"/>
                          <w:ind w:right="151"/>
                          <w:rPr>
                            <w:b/>
                            <w:sz w:val="18"/>
                          </w:rPr>
                        </w:pPr>
                        <w:r>
                          <w:rPr>
                            <w:b/>
                            <w:w w:val="95"/>
                            <w:sz w:val="18"/>
                          </w:rPr>
                          <w:t>100</w:t>
                        </w:r>
                      </w:p>
                    </w:tc>
                    <w:tc>
                      <w:tcPr>
                        <w:tcW w:w="4838" w:type="dxa"/>
                        <w:gridSpan w:val="2"/>
                        <w:vMerge/>
                        <w:tcBorders>
                          <w:top w:val="nil"/>
                          <w:left w:val="single" w:sz="2" w:space="0" w:color="868686"/>
                        </w:tcBorders>
                      </w:tcPr>
                      <w:p>
                        <w:pPr>
                          <w:rPr>
                            <w:sz w:val="2"/>
                            <w:szCs w:val="2"/>
                          </w:rPr>
                        </w:pPr>
                      </w:p>
                    </w:tc>
                  </w:tr>
                  <w:tr>
                    <w:trPr>
                      <w:trHeight w:val="373" w:hRule="atLeast"/>
                    </w:trPr>
                    <w:tc>
                      <w:tcPr>
                        <w:tcW w:w="434" w:type="dxa"/>
                        <w:tcBorders>
                          <w:top w:val="nil"/>
                          <w:bottom w:val="nil"/>
                          <w:right w:val="single" w:sz="2" w:space="0" w:color="868686"/>
                        </w:tcBorders>
                      </w:tcPr>
                      <w:p>
                        <w:pPr>
                          <w:pStyle w:val="TableParagraph"/>
                          <w:rPr>
                            <w:b/>
                            <w:sz w:val="18"/>
                          </w:rPr>
                        </w:pPr>
                        <w:r>
                          <w:rPr>
                            <w:b/>
                            <w:w w:val="95"/>
                            <w:sz w:val="18"/>
                          </w:rPr>
                          <w:t>80</w:t>
                        </w:r>
                      </w:p>
                    </w:tc>
                    <w:tc>
                      <w:tcPr>
                        <w:tcW w:w="4838" w:type="dxa"/>
                        <w:gridSpan w:val="2"/>
                        <w:vMerge/>
                        <w:tcBorders>
                          <w:top w:val="nil"/>
                          <w:left w:val="single" w:sz="2" w:space="0" w:color="868686"/>
                        </w:tcBorders>
                      </w:tcPr>
                      <w:p>
                        <w:pPr>
                          <w:rPr>
                            <w:sz w:val="2"/>
                            <w:szCs w:val="2"/>
                          </w:rPr>
                        </w:pPr>
                      </w:p>
                    </w:tc>
                  </w:tr>
                  <w:tr>
                    <w:trPr>
                      <w:trHeight w:val="373" w:hRule="atLeast"/>
                    </w:trPr>
                    <w:tc>
                      <w:tcPr>
                        <w:tcW w:w="434" w:type="dxa"/>
                        <w:tcBorders>
                          <w:top w:val="nil"/>
                          <w:bottom w:val="nil"/>
                          <w:right w:val="single" w:sz="2" w:space="0" w:color="868686"/>
                        </w:tcBorders>
                      </w:tcPr>
                      <w:p>
                        <w:pPr>
                          <w:pStyle w:val="TableParagraph"/>
                          <w:rPr>
                            <w:b/>
                            <w:sz w:val="18"/>
                          </w:rPr>
                        </w:pPr>
                        <w:r>
                          <w:rPr>
                            <w:b/>
                            <w:w w:val="95"/>
                            <w:sz w:val="18"/>
                          </w:rPr>
                          <w:t>60</w:t>
                        </w:r>
                      </w:p>
                    </w:tc>
                    <w:tc>
                      <w:tcPr>
                        <w:tcW w:w="4838" w:type="dxa"/>
                        <w:gridSpan w:val="2"/>
                        <w:vMerge/>
                        <w:tcBorders>
                          <w:top w:val="nil"/>
                          <w:left w:val="single" w:sz="2" w:space="0" w:color="868686"/>
                        </w:tcBorders>
                      </w:tcPr>
                      <w:p>
                        <w:pPr>
                          <w:rPr>
                            <w:sz w:val="2"/>
                            <w:szCs w:val="2"/>
                          </w:rPr>
                        </w:pPr>
                      </w:p>
                    </w:tc>
                  </w:tr>
                  <w:tr>
                    <w:trPr>
                      <w:trHeight w:val="372" w:hRule="atLeast"/>
                    </w:trPr>
                    <w:tc>
                      <w:tcPr>
                        <w:tcW w:w="434" w:type="dxa"/>
                        <w:tcBorders>
                          <w:top w:val="nil"/>
                          <w:bottom w:val="nil"/>
                          <w:right w:val="single" w:sz="2" w:space="0" w:color="868686"/>
                        </w:tcBorders>
                      </w:tcPr>
                      <w:p>
                        <w:pPr>
                          <w:pStyle w:val="TableParagraph"/>
                          <w:rPr>
                            <w:b/>
                            <w:sz w:val="18"/>
                          </w:rPr>
                        </w:pPr>
                        <w:r>
                          <w:rPr>
                            <w:b/>
                            <w:w w:val="95"/>
                            <w:sz w:val="18"/>
                          </w:rPr>
                          <w:t>40</w:t>
                        </w:r>
                      </w:p>
                    </w:tc>
                    <w:tc>
                      <w:tcPr>
                        <w:tcW w:w="4838" w:type="dxa"/>
                        <w:gridSpan w:val="2"/>
                        <w:vMerge/>
                        <w:tcBorders>
                          <w:top w:val="nil"/>
                          <w:left w:val="single" w:sz="2" w:space="0" w:color="868686"/>
                        </w:tcBorders>
                      </w:tcPr>
                      <w:p>
                        <w:pPr>
                          <w:rPr>
                            <w:sz w:val="2"/>
                            <w:szCs w:val="2"/>
                          </w:rPr>
                        </w:pPr>
                      </w:p>
                    </w:tc>
                  </w:tr>
                  <w:tr>
                    <w:trPr>
                      <w:trHeight w:val="557" w:hRule="atLeast"/>
                    </w:trPr>
                    <w:tc>
                      <w:tcPr>
                        <w:tcW w:w="434" w:type="dxa"/>
                        <w:tcBorders>
                          <w:top w:val="nil"/>
                          <w:bottom w:val="nil"/>
                          <w:right w:val="single" w:sz="2" w:space="0" w:color="868686"/>
                        </w:tcBorders>
                      </w:tcPr>
                      <w:p>
                        <w:pPr>
                          <w:pStyle w:val="TableParagraph"/>
                          <w:rPr>
                            <w:b/>
                            <w:sz w:val="18"/>
                          </w:rPr>
                        </w:pPr>
                        <w:r>
                          <w:rPr>
                            <w:b/>
                            <w:w w:val="95"/>
                            <w:sz w:val="18"/>
                          </w:rPr>
                          <w:t>20</w:t>
                        </w:r>
                      </w:p>
                    </w:tc>
                    <w:tc>
                      <w:tcPr>
                        <w:tcW w:w="4838" w:type="dxa"/>
                        <w:gridSpan w:val="2"/>
                        <w:vMerge/>
                        <w:tcBorders>
                          <w:top w:val="nil"/>
                          <w:left w:val="single" w:sz="2" w:space="0" w:color="868686"/>
                        </w:tcBorders>
                      </w:tcPr>
                      <w:p>
                        <w:pPr>
                          <w:rPr>
                            <w:sz w:val="2"/>
                            <w:szCs w:val="2"/>
                          </w:rPr>
                        </w:pPr>
                      </w:p>
                    </w:tc>
                  </w:tr>
                  <w:tr>
                    <w:trPr>
                      <w:trHeight w:val="916" w:hRule="atLeast"/>
                    </w:trPr>
                    <w:tc>
                      <w:tcPr>
                        <w:tcW w:w="434" w:type="dxa"/>
                        <w:tcBorders>
                          <w:top w:val="nil"/>
                          <w:right w:val="nil"/>
                        </w:tcBorders>
                      </w:tcPr>
                      <w:p>
                        <w:pPr>
                          <w:pStyle w:val="TableParagraph"/>
                          <w:spacing w:before="0"/>
                          <w:ind w:right="0"/>
                          <w:jc w:val="left"/>
                          <w:rPr>
                            <w:rFonts w:ascii="Times New Roman"/>
                            <w:sz w:val="16"/>
                          </w:rPr>
                        </w:pPr>
                      </w:p>
                    </w:tc>
                    <w:tc>
                      <w:tcPr>
                        <w:tcW w:w="3892" w:type="dxa"/>
                        <w:tcBorders>
                          <w:left w:val="nil"/>
                          <w:right w:val="nil"/>
                        </w:tcBorders>
                      </w:tcPr>
                      <w:p>
                        <w:pPr>
                          <w:pStyle w:val="TableParagraph"/>
                          <w:tabs>
                            <w:tab w:pos="1012" w:val="left" w:leader="none"/>
                            <w:tab w:pos="1146" w:val="left" w:leader="none"/>
                            <w:tab w:pos="1850" w:val="left" w:leader="none"/>
                            <w:tab w:pos="2134" w:val="left" w:leader="none"/>
                            <w:tab w:pos="2948" w:val="left" w:leader="none"/>
                            <w:tab w:pos="3032" w:val="left" w:leader="none"/>
                          </w:tabs>
                          <w:spacing w:line="249" w:lineRule="auto" w:before="122"/>
                          <w:ind w:left="44" w:right="141"/>
                          <w:jc w:val="center"/>
                          <w:rPr>
                            <w:b/>
                            <w:sz w:val="18"/>
                          </w:rPr>
                        </w:pPr>
                        <w:r>
                          <w:rPr>
                            <w:b/>
                            <w:sz w:val="18"/>
                          </w:rPr>
                          <w:t>H'Hold Sight</w:t>
                        </w:r>
                        <w:r>
                          <w:rPr>
                            <w:b/>
                            <w:spacing w:val="17"/>
                            <w:sz w:val="18"/>
                          </w:rPr>
                          <w:t> </w:t>
                        </w:r>
                        <w:r>
                          <w:rPr>
                            <w:b/>
                            <w:sz w:val="18"/>
                          </w:rPr>
                          <w:t>New</w:t>
                        </w:r>
                        <w:r>
                          <w:rPr>
                            <w:b/>
                            <w:spacing w:val="-12"/>
                            <w:sz w:val="18"/>
                          </w:rPr>
                          <w:t> </w:t>
                        </w:r>
                        <w:r>
                          <w:rPr>
                            <w:b/>
                            <w:sz w:val="18"/>
                          </w:rPr>
                          <w:t>H'Hold</w:t>
                          <w:tab/>
                          <w:t>Stock</w:t>
                        </w:r>
                        <w:r>
                          <w:rPr>
                            <w:b/>
                            <w:spacing w:val="-7"/>
                            <w:sz w:val="18"/>
                          </w:rPr>
                          <w:t> </w:t>
                        </w:r>
                        <w:r>
                          <w:rPr>
                            <w:b/>
                            <w:sz w:val="18"/>
                          </w:rPr>
                          <w:t>of</w:t>
                          <w:tab/>
                          <w:tab/>
                        </w:r>
                        <w:r>
                          <w:rPr>
                            <w:b/>
                            <w:w w:val="95"/>
                            <w:sz w:val="18"/>
                          </w:rPr>
                          <w:t>All H'Hold </w:t>
                        </w:r>
                        <w:r>
                          <w:rPr>
                            <w:b/>
                            <w:sz w:val="18"/>
                          </w:rPr>
                          <w:t>Deposits</w:t>
                          <w:tab/>
                          <w:tab/>
                          <w:t>Time</w:t>
                          <w:tab/>
                          <w:t>H'Hold</w:t>
                        </w:r>
                        <w:r>
                          <w:rPr>
                            <w:b/>
                            <w:spacing w:val="-11"/>
                            <w:sz w:val="18"/>
                          </w:rPr>
                          <w:t> </w:t>
                        </w:r>
                        <w:r>
                          <w:rPr>
                            <w:b/>
                            <w:sz w:val="18"/>
                          </w:rPr>
                          <w:t>Time</w:t>
                          <w:tab/>
                          <w:t>Deposits Deposits</w:t>
                          <w:tab/>
                          <w:t>Deposits</w:t>
                        </w:r>
                      </w:p>
                    </w:tc>
                    <w:tc>
                      <w:tcPr>
                        <w:tcW w:w="946" w:type="dxa"/>
                        <w:tcBorders>
                          <w:left w:val="nil"/>
                        </w:tcBorders>
                      </w:tcPr>
                      <w:p>
                        <w:pPr>
                          <w:pStyle w:val="TableParagraph"/>
                          <w:spacing w:line="249" w:lineRule="auto" w:before="122"/>
                          <w:ind w:left="123" w:right="114" w:hanging="15"/>
                          <w:jc w:val="both"/>
                          <w:rPr>
                            <w:b/>
                            <w:sz w:val="18"/>
                          </w:rPr>
                        </w:pPr>
                        <w:r>
                          <w:rPr>
                            <w:b/>
                            <w:sz w:val="18"/>
                          </w:rPr>
                          <w:t>All</w:t>
                        </w:r>
                        <w:r>
                          <w:rPr>
                            <w:b/>
                            <w:spacing w:val="-19"/>
                            <w:sz w:val="18"/>
                          </w:rPr>
                          <w:t> </w:t>
                        </w:r>
                        <w:r>
                          <w:rPr>
                            <w:b/>
                            <w:spacing w:val="-3"/>
                            <w:sz w:val="18"/>
                          </w:rPr>
                          <w:t>H'Hold </w:t>
                        </w:r>
                        <w:r>
                          <w:rPr>
                            <w:b/>
                            <w:sz w:val="18"/>
                          </w:rPr>
                          <w:t>and</w:t>
                        </w:r>
                        <w:r>
                          <w:rPr>
                            <w:b/>
                            <w:spacing w:val="-21"/>
                            <w:sz w:val="18"/>
                          </w:rPr>
                          <w:t> </w:t>
                        </w:r>
                        <w:r>
                          <w:rPr>
                            <w:b/>
                            <w:sz w:val="18"/>
                          </w:rPr>
                          <w:t>PNFC Deposits</w:t>
                        </w:r>
                      </w:p>
                    </w:tc>
                  </w:tr>
                </w:tbl>
                <w:p>
                  <w:pPr>
                    <w:pStyle w:val="BodyText"/>
                  </w:pPr>
                </w:p>
              </w:txbxContent>
            </v:textbox>
            <w10:wrap type="none"/>
          </v:shape>
        </w:pict>
      </w:r>
      <w:r>
        <w:rPr/>
        <w:t>Figure 1. UK – Pass-Through to Selected Deposit Rates from Changes in Bank Rate During MPC Tightening Cycles</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7"/>
        <w:rPr>
          <w:b/>
          <w:sz w:val="27"/>
        </w:rPr>
      </w:pPr>
    </w:p>
    <w:p>
      <w:pPr>
        <w:spacing w:before="0"/>
        <w:ind w:left="304" w:right="0" w:firstLine="0"/>
        <w:jc w:val="left"/>
        <w:rPr>
          <w:rFonts w:ascii="Calibri"/>
          <w:b/>
          <w:sz w:val="18"/>
        </w:rPr>
      </w:pPr>
      <w:r>
        <w:rPr>
          <w:rFonts w:ascii="Calibri"/>
          <w:b/>
          <w:w w:val="96"/>
          <w:sz w:val="18"/>
        </w:rPr>
        <w:t>0</w:t>
      </w:r>
    </w:p>
    <w:p>
      <w:pPr>
        <w:pStyle w:val="BodyText"/>
        <w:spacing w:before="7"/>
        <w:rPr>
          <w:rFonts w:ascii="Calibri"/>
          <w:b/>
          <w:sz w:val="19"/>
        </w:rPr>
      </w:pPr>
      <w:r>
        <w:rPr/>
        <w:br w:type="column"/>
      </w:r>
      <w:r>
        <w:rPr>
          <w:rFonts w:ascii="Calibri"/>
          <w:b/>
          <w:sz w:val="19"/>
        </w:rPr>
      </w:r>
    </w:p>
    <w:p>
      <w:pPr>
        <w:pStyle w:val="Heading1"/>
        <w:spacing w:line="355" w:lineRule="auto"/>
        <w:ind w:right="534"/>
      </w:pPr>
      <w:r>
        <w:rPr/>
        <w:t>Figure 2</w:t>
      </w:r>
      <w:r>
        <w:rPr>
          <w:b w:val="0"/>
        </w:rPr>
        <w:t>. </w:t>
      </w:r>
      <w:r>
        <w:rPr/>
        <w:t>UK – Pass-Through to Selected New Mortgage Rates from Changes in Bank Rate (and Swap Rates) During MPC Tightening Cycles</w:t>
      </w:r>
    </w:p>
    <w:p>
      <w:pPr>
        <w:spacing w:after="0" w:line="355" w:lineRule="auto"/>
        <w:sectPr>
          <w:type w:val="continuous"/>
          <w:pgSz w:w="11910" w:h="16840"/>
          <w:pgMar w:top="1200" w:bottom="1540" w:left="560" w:right="540"/>
          <w:cols w:num="2" w:equalWidth="0">
            <w:col w:w="5432" w:space="64"/>
            <w:col w:w="5314"/>
          </w:cols>
        </w:sectPr>
      </w:pPr>
    </w:p>
    <w:p>
      <w:pPr>
        <w:pStyle w:val="BodyText"/>
        <w:rPr>
          <w:b/>
        </w:rPr>
      </w:pPr>
    </w:p>
    <w:p>
      <w:pPr>
        <w:pStyle w:val="BodyText"/>
        <w:rPr>
          <w:b/>
        </w:rPr>
      </w:pPr>
    </w:p>
    <w:p>
      <w:pPr>
        <w:pStyle w:val="BodyText"/>
        <w:spacing w:before="5"/>
        <w:rPr>
          <w:b/>
          <w:sz w:val="23"/>
        </w:rPr>
      </w:pPr>
    </w:p>
    <w:p>
      <w:pPr>
        <w:spacing w:line="360" w:lineRule="auto" w:before="95"/>
        <w:ind w:left="573" w:right="800" w:firstLine="0"/>
        <w:jc w:val="left"/>
        <w:rPr>
          <w:sz w:val="16"/>
        </w:rPr>
      </w:pPr>
      <w:r>
        <w:rPr/>
        <w:pict>
          <v:group style="position:absolute;margin-left:308.448486pt;margin-top:-182.697296pt;width:257.45pt;height:183.95pt;mso-position-horizontal-relative:page;mso-position-vertical-relative:paragraph;z-index:-253592576" coordorigin="6169,-3654" coordsize="5149,3679">
            <v:rect style="position:absolute;left:6624;top:-3503;width:4612;height:2920" filled="false" stroked="true" strokeweight=".263pt" strokecolor="#000000">
              <v:stroke dashstyle="solid"/>
            </v:rect>
            <v:shape style="position:absolute;left:6844;top:-2973;width:3659;height:2061" coordorigin="6845,-2972" coordsize="3659,2061" path="m7045,-1953l6845,-1953,6845,-912,7045,-912,7045,-1953m8198,-2253l7998,-2253,7998,-912,8198,-912,8198,-2253m9350,-2972l9151,-2972,9151,-912,9350,-912,9350,-2972m10504,-2219l10303,-2219,10303,-912,10504,-912,10504,-2219e" filled="true" fillcolor="#66ff33" stroked="false">
              <v:path arrowok="t"/>
              <v:fill type="solid"/>
            </v:shape>
            <v:shape style="position:absolute;left:6844;top:-2973;width:3659;height:2061" coordorigin="6845,-2972" coordsize="3659,2061" path="m6845,-1953l7045,-1953,7045,-912,6845,-912,6845,-1953xm7998,-2253l8198,-2253,8198,-912,7998,-912,7998,-2253xm9151,-2972l9350,-2972,9350,-912,9151,-912,9151,-2972xm10303,-2219l10504,-2219,10504,-912,10303,-912,10303,-2219xe" filled="false" stroked="true" strokeweight=".263pt" strokecolor="#66ff33">
              <v:path arrowok="t"/>
              <v:stroke dashstyle="solid"/>
            </v:shape>
            <v:shape style="position:absolute;left:7102;top:-3001;width:3659;height:2090" coordorigin="7103,-3001" coordsize="3659,2090" path="m7303,-1937l7103,-1937,7103,-912,7303,-912,7303,-1937m8456,-2558l8256,-2558,8256,-912,8456,-912,8456,-2558m9608,-3001l9409,-3001,9409,-912,9608,-912,9608,-3001m10762,-2114l10556,-2114,10556,-912,10762,-912,10762,-2114e" filled="true" fillcolor="#ff00ff" stroked="false">
              <v:path arrowok="t"/>
              <v:fill type="solid"/>
            </v:shape>
            <v:shape style="position:absolute;left:7102;top:-3001;width:3659;height:2090" coordorigin="7103,-3001" coordsize="3659,2090" path="m7103,-1937l7303,-1937,7303,-912,7103,-912,7103,-1937xm8256,-2558l8456,-2558,8456,-912,8256,-912,8256,-2558xm9409,-3001l9608,-3001,9608,-912,9409,-912,9409,-3001xm10556,-2114l10762,-2114,10762,-912,10556,-912,10556,-2114xe" filled="false" stroked="true" strokeweight=".263pt" strokecolor="#ff00ff">
              <v:path arrowok="t"/>
              <v:stroke dashstyle="solid"/>
            </v:shape>
            <v:shape style="position:absolute;left:7356;top:-1579;width:1353;height:668" coordorigin="7356,-1579" coordsize="1353,668" path="m7556,-1579l7356,-1579,7356,-912,7556,-912,7556,-1579m8708,-1367l8509,-1367,8509,-912,8708,-912,8708,-1367e" filled="true" fillcolor="#0000ff" stroked="false">
              <v:path arrowok="t"/>
              <v:fill type="solid"/>
            </v:shape>
            <v:line style="position:absolute" from="9661,-920" to="9862,-920" stroked="true" strokeweight=".84pt" strokecolor="#0000ff">
              <v:stroke dashstyle="solid"/>
            </v:line>
            <v:rect style="position:absolute;left:10814;top:-1315;width:201;height:404" filled="true" fillcolor="#0000ff" stroked="false">
              <v:fill type="solid"/>
            </v:rect>
            <v:shape style="position:absolute;left:7356;top:-1579;width:1353;height:668" coordorigin="7356,-1579" coordsize="1353,668" path="m7356,-1579l7556,-1579,7556,-912,7356,-912,7356,-1579xm8509,-1367l8708,-1367,8708,-912,8509,-912,8509,-1367xe" filled="false" stroked="true" strokeweight=".263pt" strokecolor="#0000ff">
              <v:path arrowok="t"/>
              <v:stroke dashstyle="solid"/>
            </v:shape>
            <v:line style="position:absolute" from="9659,-920" to="9864,-920" stroked="true" strokeweight="1.103pt" strokecolor="#0000ff">
              <v:stroke dashstyle="solid"/>
            </v:line>
            <v:rect style="position:absolute;left:10814;top:-1315;width:201;height:404" filled="false" stroked="true" strokeweight=".263pt" strokecolor="#0000ff">
              <v:stroke dashstyle="solid"/>
            </v:rect>
            <v:line style="position:absolute" from="6624,-912" to="11236,-912" stroked="true" strokeweight=".263pt" strokecolor="#000000">
              <v:stroke dashstyle="solid"/>
            </v:line>
            <v:rect style="position:absolute;left:6919;top:-3388;width:89;height:99" filled="true" fillcolor="#66ff33" stroked="false">
              <v:fill type="solid"/>
            </v:rect>
            <v:rect style="position:absolute;left:6919;top:-3388;width:89;height:99" filled="false" stroked="true" strokeweight=".263pt" strokecolor="#66ff33">
              <v:stroke dashstyle="solid"/>
            </v:rect>
            <v:rect style="position:absolute;left:6919;top:-3123;width:89;height:99" filled="true" fillcolor="#ff00ff" stroked="false">
              <v:fill type="solid"/>
            </v:rect>
            <v:rect style="position:absolute;left:6919;top:-3123;width:89;height:99" filled="false" stroked="true" strokeweight=".263pt" strokecolor="#ff00ff">
              <v:stroke dashstyle="solid"/>
            </v:rect>
            <v:rect style="position:absolute;left:6919;top:-2857;width:89;height:98" filled="true" fillcolor="#0000ff" stroked="false">
              <v:fill type="solid"/>
            </v:rect>
            <v:rect style="position:absolute;left:6919;top:-2857;width:89;height:98" filled="false" stroked="true" strokeweight=".263pt" strokecolor="#0000ff">
              <v:stroke dashstyle="solid"/>
            </v:rect>
            <v:rect style="position:absolute;left:6171;top:-3652;width:5144;height:3674" filled="false" stroked="true" strokeweight=".263pt" strokecolor="#000000">
              <v:stroke dashstyle="solid"/>
            </v:rect>
            <v:shape style="position:absolute;left:6734;top:-430;width:4323;height:410" type="#_x0000_t202" filled="false" stroked="false">
              <v:textbox inset="0,0,0,0">
                <w:txbxContent>
                  <w:p>
                    <w:pPr>
                      <w:tabs>
                        <w:tab w:pos="1192" w:val="left" w:leader="none"/>
                        <w:tab w:pos="2344" w:val="left" w:leader="none"/>
                        <w:tab w:pos="3654" w:val="left" w:leader="none"/>
                      </w:tabs>
                      <w:spacing w:line="187" w:lineRule="exact" w:before="0"/>
                      <w:ind w:left="0" w:right="0" w:firstLine="0"/>
                      <w:jc w:val="left"/>
                      <w:rPr>
                        <w:rFonts w:ascii="Calibri" w:hAnsi="Calibri"/>
                        <w:b/>
                        <w:sz w:val="18"/>
                      </w:rPr>
                    </w:pPr>
                    <w:r>
                      <w:rPr>
                        <w:rFonts w:ascii="Calibri" w:hAnsi="Calibri"/>
                        <w:b/>
                        <w:sz w:val="18"/>
                      </w:rPr>
                      <w:t>Variable</w:t>
                    </w:r>
                    <w:r>
                      <w:rPr>
                        <w:rFonts w:ascii="Calibri" w:hAnsi="Calibri"/>
                        <w:b/>
                        <w:spacing w:val="-22"/>
                        <w:sz w:val="18"/>
                      </w:rPr>
                      <w:t> </w:t>
                    </w:r>
                    <w:r>
                      <w:rPr>
                        <w:rFonts w:ascii="Calibri" w:hAnsi="Calibri"/>
                        <w:b/>
                        <w:sz w:val="18"/>
                      </w:rPr>
                      <w:t>Rate</w:t>
                      <w:tab/>
                      <w:t>2‐Year</w:t>
                    </w:r>
                    <w:r>
                      <w:rPr>
                        <w:rFonts w:ascii="Calibri" w:hAnsi="Calibri"/>
                        <w:b/>
                        <w:spacing w:val="-19"/>
                        <w:sz w:val="18"/>
                      </w:rPr>
                      <w:t> </w:t>
                    </w:r>
                    <w:r>
                      <w:rPr>
                        <w:rFonts w:ascii="Calibri" w:hAnsi="Calibri"/>
                        <w:b/>
                        <w:sz w:val="18"/>
                      </w:rPr>
                      <w:t>Fixed</w:t>
                      <w:tab/>
                      <w:t>5‐Year</w:t>
                    </w:r>
                    <w:r>
                      <w:rPr>
                        <w:rFonts w:ascii="Calibri" w:hAnsi="Calibri"/>
                        <w:b/>
                        <w:spacing w:val="-19"/>
                        <w:sz w:val="18"/>
                      </w:rPr>
                      <w:t> </w:t>
                    </w:r>
                    <w:r>
                      <w:rPr>
                        <w:rFonts w:ascii="Calibri" w:hAnsi="Calibri"/>
                        <w:b/>
                        <w:sz w:val="18"/>
                      </w:rPr>
                      <w:t>Fixed</w:t>
                      <w:tab/>
                      <w:t>All</w:t>
                    </w:r>
                    <w:r>
                      <w:rPr>
                        <w:rFonts w:ascii="Calibri" w:hAnsi="Calibri"/>
                        <w:b/>
                        <w:spacing w:val="-13"/>
                        <w:sz w:val="18"/>
                      </w:rPr>
                      <w:t> </w:t>
                    </w:r>
                    <w:r>
                      <w:rPr>
                        <w:rFonts w:ascii="Calibri" w:hAnsi="Calibri"/>
                        <w:b/>
                        <w:sz w:val="18"/>
                      </w:rPr>
                      <w:t>New</w:t>
                    </w:r>
                  </w:p>
                  <w:p>
                    <w:pPr>
                      <w:spacing w:line="217" w:lineRule="exact" w:before="6"/>
                      <w:ind w:left="3552" w:right="0" w:firstLine="0"/>
                      <w:jc w:val="left"/>
                      <w:rPr>
                        <w:rFonts w:ascii="Calibri"/>
                        <w:b/>
                        <w:sz w:val="18"/>
                      </w:rPr>
                    </w:pPr>
                    <w:r>
                      <w:rPr>
                        <w:rFonts w:ascii="Calibri"/>
                        <w:b/>
                        <w:w w:val="95"/>
                        <w:sz w:val="18"/>
                      </w:rPr>
                      <w:t>Mortgages</w:t>
                    </w:r>
                  </w:p>
                </w:txbxContent>
              </v:textbox>
              <w10:wrap type="none"/>
            </v:shape>
            <v:shape style="position:absolute;left:6768;top:-2373;width:143;height:185" type="#_x0000_t202" filled="false" stroked="false">
              <v:textbox inset="0,0,0,0">
                <w:txbxContent>
                  <w:p>
                    <w:pPr>
                      <w:spacing w:line="184" w:lineRule="exact" w:before="0"/>
                      <w:ind w:left="0" w:right="0" w:firstLine="0"/>
                      <w:jc w:val="left"/>
                      <w:rPr>
                        <w:rFonts w:ascii="Calibri"/>
                        <w:b/>
                        <w:sz w:val="18"/>
                      </w:rPr>
                    </w:pPr>
                    <w:r>
                      <w:rPr>
                        <w:rFonts w:ascii="Calibri"/>
                        <w:b/>
                        <w:w w:val="93"/>
                        <w:sz w:val="18"/>
                      </w:rPr>
                      <w:t>%</w:t>
                    </w:r>
                  </w:p>
                </w:txbxContent>
              </v:textbox>
              <w10:wrap type="none"/>
            </v:shape>
            <v:shape style="position:absolute;left:7056;top:-3423;width:3175;height:715" type="#_x0000_t202" filled="false" stroked="false">
              <v:textbox inset="0,0,0,0">
                <w:txbxContent>
                  <w:p>
                    <w:pPr>
                      <w:spacing w:line="187" w:lineRule="exact" w:before="0"/>
                      <w:ind w:left="0" w:right="0" w:firstLine="0"/>
                      <w:jc w:val="left"/>
                      <w:rPr>
                        <w:rFonts w:ascii="Calibri"/>
                        <w:b/>
                        <w:sz w:val="18"/>
                      </w:rPr>
                    </w:pPr>
                    <w:r>
                      <w:rPr>
                        <w:rFonts w:ascii="Calibri"/>
                        <w:b/>
                        <w:w w:val="95"/>
                        <w:sz w:val="18"/>
                      </w:rPr>
                      <w:t>Average</w:t>
                    </w:r>
                    <w:r>
                      <w:rPr>
                        <w:rFonts w:ascii="Calibri"/>
                        <w:b/>
                        <w:spacing w:val="-10"/>
                        <w:w w:val="95"/>
                        <w:sz w:val="18"/>
                      </w:rPr>
                      <w:t> </w:t>
                    </w:r>
                    <w:r>
                      <w:rPr>
                        <w:rFonts w:ascii="Calibri"/>
                        <w:b/>
                        <w:w w:val="95"/>
                        <w:sz w:val="18"/>
                      </w:rPr>
                      <w:t>of</w:t>
                    </w:r>
                    <w:r>
                      <w:rPr>
                        <w:rFonts w:ascii="Calibri"/>
                        <w:b/>
                        <w:spacing w:val="-10"/>
                        <w:w w:val="95"/>
                        <w:sz w:val="18"/>
                      </w:rPr>
                      <w:t> </w:t>
                    </w:r>
                    <w:r>
                      <w:rPr>
                        <w:rFonts w:ascii="Calibri"/>
                        <w:b/>
                        <w:w w:val="95"/>
                        <w:sz w:val="18"/>
                      </w:rPr>
                      <w:t>MPC</w:t>
                    </w:r>
                    <w:r>
                      <w:rPr>
                        <w:rFonts w:ascii="Calibri"/>
                        <w:b/>
                        <w:spacing w:val="-9"/>
                        <w:w w:val="95"/>
                        <w:sz w:val="18"/>
                      </w:rPr>
                      <w:t> </w:t>
                    </w:r>
                    <w:r>
                      <w:rPr>
                        <w:rFonts w:ascii="Calibri"/>
                        <w:b/>
                        <w:w w:val="95"/>
                        <w:sz w:val="18"/>
                      </w:rPr>
                      <w:t>Tightening</w:t>
                    </w:r>
                    <w:r>
                      <w:rPr>
                        <w:rFonts w:ascii="Calibri"/>
                        <w:b/>
                        <w:spacing w:val="-10"/>
                        <w:w w:val="95"/>
                        <w:sz w:val="18"/>
                      </w:rPr>
                      <w:t> </w:t>
                    </w:r>
                    <w:r>
                      <w:rPr>
                        <w:rFonts w:ascii="Calibri"/>
                        <w:b/>
                        <w:w w:val="95"/>
                        <w:sz w:val="18"/>
                      </w:rPr>
                      <w:t>Cycles</w:t>
                    </w:r>
                    <w:r>
                      <w:rPr>
                        <w:rFonts w:ascii="Calibri"/>
                        <w:b/>
                        <w:spacing w:val="-8"/>
                        <w:w w:val="95"/>
                        <w:sz w:val="18"/>
                      </w:rPr>
                      <w:t> </w:t>
                    </w:r>
                    <w:r>
                      <w:rPr>
                        <w:rFonts w:ascii="Calibri"/>
                        <w:b/>
                        <w:w w:val="95"/>
                        <w:sz w:val="18"/>
                      </w:rPr>
                      <w:t>Since</w:t>
                    </w:r>
                    <w:r>
                      <w:rPr>
                        <w:rFonts w:ascii="Calibri"/>
                        <w:b/>
                        <w:spacing w:val="-10"/>
                        <w:w w:val="95"/>
                        <w:sz w:val="18"/>
                      </w:rPr>
                      <w:t> </w:t>
                    </w:r>
                    <w:r>
                      <w:rPr>
                        <w:rFonts w:ascii="Calibri"/>
                        <w:b/>
                        <w:w w:val="95"/>
                        <w:sz w:val="18"/>
                      </w:rPr>
                      <w:t>1999</w:t>
                    </w:r>
                  </w:p>
                  <w:p>
                    <w:pPr>
                      <w:spacing w:line="260" w:lineRule="atLeast" w:before="5"/>
                      <w:ind w:left="0" w:right="13" w:firstLine="0"/>
                      <w:jc w:val="left"/>
                      <w:rPr>
                        <w:rFonts w:ascii="Calibri" w:hAnsi="Calibri"/>
                        <w:b/>
                        <w:sz w:val="18"/>
                      </w:rPr>
                    </w:pPr>
                    <w:r>
                      <w:rPr>
                        <w:rFonts w:ascii="Calibri" w:hAnsi="Calibri"/>
                        <w:b/>
                        <w:w w:val="95"/>
                        <w:sz w:val="18"/>
                      </w:rPr>
                      <w:t>Average</w:t>
                    </w:r>
                    <w:r>
                      <w:rPr>
                        <w:rFonts w:ascii="Calibri" w:hAnsi="Calibri"/>
                        <w:b/>
                        <w:spacing w:val="-11"/>
                        <w:w w:val="95"/>
                        <w:sz w:val="18"/>
                      </w:rPr>
                      <w:t> </w:t>
                    </w:r>
                    <w:r>
                      <w:rPr>
                        <w:rFonts w:ascii="Calibri" w:hAnsi="Calibri"/>
                        <w:b/>
                        <w:w w:val="95"/>
                        <w:sz w:val="18"/>
                      </w:rPr>
                      <w:t>of</w:t>
                    </w:r>
                    <w:r>
                      <w:rPr>
                        <w:rFonts w:ascii="Calibri" w:hAnsi="Calibri"/>
                        <w:b/>
                        <w:spacing w:val="-10"/>
                        <w:w w:val="95"/>
                        <w:sz w:val="18"/>
                      </w:rPr>
                      <w:t> </w:t>
                    </w:r>
                    <w:r>
                      <w:rPr>
                        <w:rFonts w:ascii="Calibri" w:hAnsi="Calibri"/>
                        <w:b/>
                        <w:w w:val="95"/>
                        <w:sz w:val="18"/>
                      </w:rPr>
                      <w:t>MPC</w:t>
                    </w:r>
                    <w:r>
                      <w:rPr>
                        <w:rFonts w:ascii="Calibri" w:hAnsi="Calibri"/>
                        <w:b/>
                        <w:spacing w:val="-9"/>
                        <w:w w:val="95"/>
                        <w:sz w:val="18"/>
                      </w:rPr>
                      <w:t> </w:t>
                    </w:r>
                    <w:r>
                      <w:rPr>
                        <w:rFonts w:ascii="Calibri" w:hAnsi="Calibri"/>
                        <w:b/>
                        <w:w w:val="95"/>
                        <w:sz w:val="18"/>
                      </w:rPr>
                      <w:t>Tightening</w:t>
                    </w:r>
                    <w:r>
                      <w:rPr>
                        <w:rFonts w:ascii="Calibri" w:hAnsi="Calibri"/>
                        <w:b/>
                        <w:spacing w:val="-11"/>
                        <w:w w:val="95"/>
                        <w:sz w:val="18"/>
                      </w:rPr>
                      <w:t> </w:t>
                    </w:r>
                    <w:r>
                      <w:rPr>
                        <w:rFonts w:ascii="Calibri" w:hAnsi="Calibri"/>
                        <w:b/>
                        <w:w w:val="95"/>
                        <w:sz w:val="18"/>
                      </w:rPr>
                      <w:t>Cycles</w:t>
                    </w:r>
                    <w:r>
                      <w:rPr>
                        <w:rFonts w:ascii="Calibri" w:hAnsi="Calibri"/>
                        <w:b/>
                        <w:spacing w:val="-8"/>
                        <w:w w:val="95"/>
                        <w:sz w:val="18"/>
                      </w:rPr>
                      <w:t> </w:t>
                    </w:r>
                    <w:r>
                      <w:rPr>
                        <w:rFonts w:ascii="Calibri" w:hAnsi="Calibri"/>
                        <w:b/>
                        <w:w w:val="95"/>
                        <w:sz w:val="18"/>
                      </w:rPr>
                      <w:t>Since</w:t>
                    </w:r>
                    <w:r>
                      <w:rPr>
                        <w:rFonts w:ascii="Calibri" w:hAnsi="Calibri"/>
                        <w:b/>
                        <w:spacing w:val="-11"/>
                        <w:w w:val="95"/>
                        <w:sz w:val="18"/>
                      </w:rPr>
                      <w:t> </w:t>
                    </w:r>
                    <w:r>
                      <w:rPr>
                        <w:rFonts w:ascii="Calibri" w:hAnsi="Calibri"/>
                        <w:b/>
                        <w:w w:val="95"/>
                        <w:sz w:val="18"/>
                      </w:rPr>
                      <w:t>2004 </w:t>
                    </w:r>
                    <w:r>
                      <w:rPr>
                        <w:rFonts w:ascii="Calibri" w:hAnsi="Calibri"/>
                        <w:b/>
                        <w:sz w:val="18"/>
                      </w:rPr>
                      <w:t>2017‐19</w:t>
                    </w:r>
                  </w:p>
                </w:txbxContent>
              </v:textbox>
              <w10:wrap type="none"/>
            </v:shape>
            <v:shape style="position:absolute;left:6217;top:-3588;width:276;height:3104" type="#_x0000_t202" filled="false" stroked="false">
              <v:textbox inset="0,0,0,0">
                <w:txbxContent>
                  <w:p>
                    <w:pPr>
                      <w:spacing w:line="187" w:lineRule="exact" w:before="0"/>
                      <w:ind w:left="0" w:right="21" w:firstLine="0"/>
                      <w:jc w:val="right"/>
                      <w:rPr>
                        <w:rFonts w:ascii="Calibri"/>
                        <w:b/>
                        <w:sz w:val="18"/>
                      </w:rPr>
                    </w:pPr>
                    <w:r>
                      <w:rPr>
                        <w:rFonts w:ascii="Calibri"/>
                        <w:b/>
                        <w:spacing w:val="-3"/>
                        <w:w w:val="90"/>
                        <w:sz w:val="18"/>
                      </w:rPr>
                      <w:t>200</w:t>
                    </w:r>
                  </w:p>
                  <w:p>
                    <w:pPr>
                      <w:spacing w:before="104"/>
                      <w:ind w:left="0" w:right="21" w:firstLine="0"/>
                      <w:jc w:val="right"/>
                      <w:rPr>
                        <w:rFonts w:ascii="Calibri"/>
                        <w:b/>
                        <w:sz w:val="18"/>
                      </w:rPr>
                    </w:pPr>
                    <w:r>
                      <w:rPr>
                        <w:rFonts w:ascii="Calibri"/>
                        <w:b/>
                        <w:spacing w:val="-3"/>
                        <w:w w:val="90"/>
                        <w:sz w:val="18"/>
                      </w:rPr>
                      <w:t>175</w:t>
                    </w:r>
                  </w:p>
                  <w:p>
                    <w:pPr>
                      <w:spacing w:before="104"/>
                      <w:ind w:left="0" w:right="21" w:firstLine="0"/>
                      <w:jc w:val="right"/>
                      <w:rPr>
                        <w:rFonts w:ascii="Calibri"/>
                        <w:b/>
                        <w:sz w:val="18"/>
                      </w:rPr>
                    </w:pPr>
                    <w:r>
                      <w:rPr>
                        <w:rFonts w:ascii="Calibri"/>
                        <w:b/>
                        <w:spacing w:val="-3"/>
                        <w:w w:val="90"/>
                        <w:sz w:val="18"/>
                      </w:rPr>
                      <w:t>150</w:t>
                    </w:r>
                  </w:p>
                  <w:p>
                    <w:pPr>
                      <w:spacing w:before="106"/>
                      <w:ind w:left="0" w:right="21" w:firstLine="0"/>
                      <w:jc w:val="right"/>
                      <w:rPr>
                        <w:rFonts w:ascii="Calibri"/>
                        <w:b/>
                        <w:sz w:val="18"/>
                      </w:rPr>
                    </w:pPr>
                    <w:r>
                      <w:rPr>
                        <w:rFonts w:ascii="Calibri"/>
                        <w:b/>
                        <w:spacing w:val="-3"/>
                        <w:w w:val="90"/>
                        <w:sz w:val="18"/>
                      </w:rPr>
                      <w:t>125</w:t>
                    </w:r>
                  </w:p>
                  <w:p>
                    <w:pPr>
                      <w:spacing w:before="104"/>
                      <w:ind w:left="0" w:right="21" w:firstLine="0"/>
                      <w:jc w:val="right"/>
                      <w:rPr>
                        <w:rFonts w:ascii="Calibri"/>
                        <w:b/>
                        <w:sz w:val="18"/>
                      </w:rPr>
                    </w:pPr>
                    <w:r>
                      <w:rPr>
                        <w:rFonts w:ascii="Calibri"/>
                        <w:b/>
                        <w:spacing w:val="-3"/>
                        <w:w w:val="90"/>
                        <w:sz w:val="18"/>
                      </w:rPr>
                      <w:t>100</w:t>
                    </w:r>
                  </w:p>
                  <w:p>
                    <w:pPr>
                      <w:spacing w:before="104"/>
                      <w:ind w:left="0" w:right="20" w:firstLine="0"/>
                      <w:jc w:val="right"/>
                      <w:rPr>
                        <w:rFonts w:ascii="Calibri"/>
                        <w:b/>
                        <w:sz w:val="18"/>
                      </w:rPr>
                    </w:pPr>
                    <w:r>
                      <w:rPr>
                        <w:rFonts w:ascii="Calibri"/>
                        <w:b/>
                        <w:spacing w:val="-2"/>
                        <w:w w:val="90"/>
                        <w:sz w:val="18"/>
                      </w:rPr>
                      <w:t>75</w:t>
                    </w:r>
                  </w:p>
                  <w:p>
                    <w:pPr>
                      <w:spacing w:before="106"/>
                      <w:ind w:left="0" w:right="20" w:firstLine="0"/>
                      <w:jc w:val="right"/>
                      <w:rPr>
                        <w:rFonts w:ascii="Calibri"/>
                        <w:b/>
                        <w:sz w:val="18"/>
                      </w:rPr>
                    </w:pPr>
                    <w:r>
                      <w:rPr>
                        <w:rFonts w:ascii="Calibri"/>
                        <w:b/>
                        <w:spacing w:val="-2"/>
                        <w:w w:val="90"/>
                        <w:sz w:val="18"/>
                      </w:rPr>
                      <w:t>50</w:t>
                    </w:r>
                  </w:p>
                  <w:p>
                    <w:pPr>
                      <w:spacing w:before="104"/>
                      <w:ind w:left="0" w:right="20" w:firstLine="0"/>
                      <w:jc w:val="right"/>
                      <w:rPr>
                        <w:rFonts w:ascii="Calibri"/>
                        <w:b/>
                        <w:sz w:val="18"/>
                      </w:rPr>
                    </w:pPr>
                    <w:r>
                      <w:rPr>
                        <w:rFonts w:ascii="Calibri"/>
                        <w:b/>
                        <w:spacing w:val="-2"/>
                        <w:w w:val="90"/>
                        <w:sz w:val="18"/>
                      </w:rPr>
                      <w:t>25</w:t>
                    </w:r>
                  </w:p>
                  <w:p>
                    <w:pPr>
                      <w:spacing w:before="104"/>
                      <w:ind w:left="0" w:right="18" w:firstLine="0"/>
                      <w:jc w:val="right"/>
                      <w:rPr>
                        <w:rFonts w:ascii="Calibri"/>
                        <w:b/>
                        <w:sz w:val="18"/>
                      </w:rPr>
                    </w:pPr>
                    <w:r>
                      <w:rPr>
                        <w:rFonts w:ascii="Calibri"/>
                        <w:b/>
                        <w:w w:val="93"/>
                        <w:sz w:val="18"/>
                      </w:rPr>
                      <w:t>0</w:t>
                    </w:r>
                  </w:p>
                  <w:p>
                    <w:pPr>
                      <w:spacing w:line="217" w:lineRule="exact" w:before="106"/>
                      <w:ind w:left="0" w:right="18" w:firstLine="0"/>
                      <w:jc w:val="right"/>
                      <w:rPr>
                        <w:rFonts w:ascii="Calibri" w:hAnsi="Calibri"/>
                        <w:b/>
                        <w:sz w:val="18"/>
                      </w:rPr>
                    </w:pPr>
                    <w:r>
                      <w:rPr>
                        <w:rFonts w:ascii="Calibri" w:hAnsi="Calibri"/>
                        <w:b/>
                        <w:spacing w:val="-1"/>
                        <w:w w:val="90"/>
                        <w:sz w:val="18"/>
                      </w:rPr>
                      <w:t>‐25</w:t>
                    </w:r>
                  </w:p>
                </w:txbxContent>
              </v:textbox>
              <w10:wrap type="none"/>
            </v:shape>
            <w10:wrap type="none"/>
          </v:group>
        </w:pict>
      </w:r>
      <w:r>
        <w:rPr>
          <w:sz w:val="16"/>
        </w:rPr>
        <w:t>Note: Both charts show the changes in household interest rates as a percentage of the change in riskless rates (Bank Rate or swaps) from three months before the first rate hike to an average of 12-14 months after the first hike. In the right chart, the series for 2-year, 5-year and all new mortgages are weighted averages of the rates on 75% and 90/95% LTV mortgages. Source: Bank of England.</w:t>
      </w:r>
    </w:p>
    <w:p>
      <w:pPr>
        <w:pStyle w:val="BodyText"/>
        <w:rPr>
          <w:sz w:val="18"/>
        </w:rPr>
      </w:pPr>
    </w:p>
    <w:p>
      <w:pPr>
        <w:pStyle w:val="Heading1"/>
        <w:spacing w:before="139"/>
        <w:ind w:left="574"/>
      </w:pPr>
      <w:r>
        <w:rPr/>
        <w:t>Deposit rate renormalisation</w:t>
      </w:r>
    </w:p>
    <w:p>
      <w:pPr>
        <w:pStyle w:val="BodyText"/>
        <w:rPr>
          <w:b/>
          <w:sz w:val="22"/>
        </w:rPr>
      </w:pPr>
    </w:p>
    <w:p>
      <w:pPr>
        <w:pStyle w:val="BodyText"/>
        <w:spacing w:before="10"/>
        <w:rPr>
          <w:b/>
          <w:sz w:val="17"/>
        </w:rPr>
      </w:pPr>
    </w:p>
    <w:p>
      <w:pPr>
        <w:pStyle w:val="BodyText"/>
        <w:spacing w:line="355" w:lineRule="auto"/>
        <w:ind w:left="573" w:right="973"/>
        <w:rPr>
          <w:sz w:val="13"/>
        </w:rPr>
      </w:pPr>
      <w:r>
        <w:rPr/>
        <w:t>The relative insensitivity of deposit rates is probably best viewed as the renormalisation of the spread between deposit rates and the policy rate as the policy rate moves away from the effective lower bound.</w:t>
      </w:r>
      <w:r>
        <w:rPr>
          <w:position w:val="7"/>
          <w:sz w:val="13"/>
        </w:rPr>
        <w:t>5</w:t>
      </w:r>
    </w:p>
    <w:p>
      <w:pPr>
        <w:pStyle w:val="BodyText"/>
        <w:spacing w:before="5"/>
        <w:rPr>
          <w:sz w:val="30"/>
        </w:rPr>
      </w:pPr>
    </w:p>
    <w:p>
      <w:pPr>
        <w:pStyle w:val="BodyText"/>
        <w:spacing w:line="357" w:lineRule="auto"/>
        <w:ind w:left="573" w:right="845"/>
        <w:jc w:val="both"/>
      </w:pPr>
      <w:r>
        <w:rPr/>
        <w:t>Deposit rates usually sit below the BoE’s policy rate, with this spread reflecting among other things banks’ wholesale funding costs, their operational costs, competitive pressures, and the relative supply of deposits and demand for credit.</w:t>
      </w:r>
      <w:r>
        <w:rPr>
          <w:position w:val="7"/>
          <w:sz w:val="13"/>
        </w:rPr>
        <w:t>6 </w:t>
      </w:r>
      <w:r>
        <w:rPr/>
        <w:t>For example, in 2000-07, household sight deposit rates on average were about</w:t>
      </w:r>
    </w:p>
    <w:p>
      <w:pPr>
        <w:pStyle w:val="BodyText"/>
        <w:spacing w:before="5"/>
        <w:rPr>
          <w:sz w:val="9"/>
        </w:rPr>
      </w:pPr>
      <w:r>
        <w:rPr/>
        <w:pict>
          <v:shape style="position:absolute;margin-left:56.700001pt;margin-top:7.626221pt;width:144pt;height:.1pt;mso-position-horizontal-relative:page;mso-position-vertical-relative:paragraph;z-index:-251656192;mso-wrap-distance-left:0;mso-wrap-distance-right:0" coordorigin="1134,153" coordsize="2880,0" path="m1134,153l4014,153e" filled="false" stroked="true" strokeweight=".48pt" strokecolor="#000000">
            <v:path arrowok="t"/>
            <v:stroke dashstyle="solid"/>
            <w10:wrap type="topAndBottom"/>
          </v:shape>
        </w:pict>
      </w:r>
    </w:p>
    <w:p>
      <w:pPr>
        <w:spacing w:before="51"/>
        <w:ind w:left="573" w:right="803" w:firstLine="0"/>
        <w:jc w:val="left"/>
        <w:rPr>
          <w:sz w:val="16"/>
        </w:rPr>
      </w:pPr>
      <w:r>
        <w:rPr>
          <w:position w:val="6"/>
          <w:sz w:val="10"/>
        </w:rPr>
        <w:t>4 </w:t>
      </w:r>
      <w:r>
        <w:rPr>
          <w:sz w:val="16"/>
        </w:rPr>
        <w:t>The pass-through to PNFC borrowing rates from the increases in Bank Rate since late-2017 has been below 50% for both fixed and floating rate loans, versus average pass-through of just above 100% in prior MPC tightening cycles. Interest rates on household unsecured lending are typically less sensitive to changes in Bank Rate. They have edged up recently, but have actually fallen slightly since Q3-2017, the quarter before the first rise in Bank Rate.</w:t>
      </w:r>
    </w:p>
    <w:p>
      <w:pPr>
        <w:spacing w:line="240" w:lineRule="auto" w:before="0"/>
        <w:ind w:left="573" w:right="756" w:firstLine="0"/>
        <w:jc w:val="both"/>
        <w:rPr>
          <w:sz w:val="16"/>
        </w:rPr>
      </w:pPr>
      <w:r>
        <w:rPr>
          <w:position w:val="6"/>
          <w:sz w:val="10"/>
        </w:rPr>
        <w:t>5 </w:t>
      </w:r>
      <w:r>
        <w:rPr>
          <w:sz w:val="16"/>
        </w:rPr>
        <w:t>This issue has been previously highlighted by MPC members. See for example Shafik (2016), the </w:t>
      </w:r>
      <w:r>
        <w:rPr>
          <w:i/>
          <w:sz w:val="16"/>
        </w:rPr>
        <w:t>Inflation Report </w:t>
      </w:r>
      <w:r>
        <w:rPr>
          <w:sz w:val="16"/>
        </w:rPr>
        <w:t>press conferences of August and November 2018, and pages 9-10 of the November 2018 </w:t>
      </w:r>
      <w:r>
        <w:rPr>
          <w:i/>
          <w:sz w:val="16"/>
        </w:rPr>
        <w:t>Inflation Report</w:t>
      </w:r>
      <w:r>
        <w:rPr>
          <w:sz w:val="16"/>
        </w:rPr>
        <w:t>.</w:t>
      </w:r>
    </w:p>
    <w:p>
      <w:pPr>
        <w:spacing w:line="240" w:lineRule="auto" w:before="0"/>
        <w:ind w:left="573" w:right="782" w:firstLine="0"/>
        <w:jc w:val="both"/>
        <w:rPr>
          <w:sz w:val="16"/>
        </w:rPr>
      </w:pPr>
      <w:r>
        <w:rPr>
          <w:position w:val="6"/>
          <w:sz w:val="10"/>
        </w:rPr>
        <w:t>6 </w:t>
      </w:r>
      <w:r>
        <w:rPr>
          <w:sz w:val="16"/>
        </w:rPr>
        <w:t>There is an extensive literature on factors that can affect interest rate pass-through. See for example de Bondt (2002), Hofmann and Mizen (2004), Kwapil and Scharler (2006), van Leuvensteijn </w:t>
      </w:r>
      <w:r>
        <w:rPr>
          <w:i/>
          <w:sz w:val="16"/>
        </w:rPr>
        <w:t>et al </w:t>
      </w:r>
      <w:r>
        <w:rPr>
          <w:sz w:val="16"/>
        </w:rPr>
        <w:t>(2013), Gigineishvili (2011), ECB (2017), Hsu (2017), Siakoulis </w:t>
      </w:r>
      <w:r>
        <w:rPr>
          <w:i/>
          <w:sz w:val="16"/>
        </w:rPr>
        <w:t>et al </w:t>
      </w:r>
      <w:r>
        <w:rPr>
          <w:sz w:val="16"/>
        </w:rPr>
        <w:t>(2018), Heider, Saidi and Schepens (2018).</w:t>
      </w:r>
    </w:p>
    <w:p>
      <w:pPr>
        <w:spacing w:after="0" w:line="240" w:lineRule="auto"/>
        <w:jc w:val="both"/>
        <w:rPr>
          <w:sz w:val="16"/>
        </w:rPr>
        <w:sectPr>
          <w:type w:val="continuous"/>
          <w:pgSz w:w="11910" w:h="16840"/>
          <w:pgMar w:top="1200" w:bottom="1540" w:left="560" w:right="540"/>
        </w:sectPr>
      </w:pPr>
    </w:p>
    <w:p>
      <w:pPr>
        <w:pStyle w:val="BodyText"/>
        <w:spacing w:line="357" w:lineRule="auto" w:before="76"/>
        <w:ind w:left="573" w:right="667"/>
        <w:rPr>
          <w:sz w:val="13"/>
        </w:rPr>
      </w:pPr>
      <w:r>
        <w:rPr/>
        <w:t>220bp below Bank Rate, with a range of 150bp to 330bp. The picture is much the same over a longer period.</w:t>
      </w:r>
      <w:r>
        <w:rPr>
          <w:position w:val="7"/>
          <w:sz w:val="13"/>
        </w:rPr>
        <w:t>7 </w:t>
      </w:r>
      <w:r>
        <w:rPr/>
        <w:t>Time deposit rates usually exceed sight deposit rates, reflecting an illiquidity premium and at times an upward sloping yield curve, and on average were 40bp below Bank Rate during 2000-07. With similar trends in PNFCs interest rates, the overall weighted average interest rate on household and PNFC deposits during 2000-07 was roughly 135bp below the policy rate. The picture was broadly similar in the euro area as a whole, with some variation between countries.</w:t>
      </w:r>
      <w:r>
        <w:rPr>
          <w:position w:val="7"/>
          <w:sz w:val="13"/>
        </w:rPr>
        <w:t>8</w:t>
      </w:r>
    </w:p>
    <w:p>
      <w:pPr>
        <w:pStyle w:val="BodyText"/>
        <w:spacing w:before="4"/>
        <w:rPr>
          <w:sz w:val="30"/>
        </w:rPr>
      </w:pPr>
    </w:p>
    <w:p>
      <w:pPr>
        <w:pStyle w:val="BodyText"/>
        <w:spacing w:line="360" w:lineRule="auto"/>
        <w:ind w:left="573" w:right="594"/>
      </w:pPr>
      <w:r>
        <w:rPr/>
        <w:t>As the policy rate in the UK fell close to zero in 2009, banks were understandably reluctant to impose significantly negative interest rates on deposits, and so household deposit rates fell less than the policy rate.</w:t>
      </w:r>
      <w:r>
        <w:rPr>
          <w:position w:val="7"/>
          <w:sz w:val="13"/>
        </w:rPr>
        <w:t>9 </w:t>
      </w:r>
      <w:r>
        <w:rPr/>
        <w:t>This effect was exacerbated in 2011-12 by the market-based rise in banks’ wholesale funding costs, which caused banks to bid more aggressively for deposits. But even when that faded, the very low policy rate created interest rate congestion, with sight deposit rates in 2013-16 remaining slightly above the policy rate – something never previously seen on a sustained basis.</w:t>
      </w:r>
    </w:p>
    <w:p>
      <w:pPr>
        <w:pStyle w:val="BodyText"/>
        <w:spacing w:before="9"/>
        <w:rPr>
          <w:sz w:val="29"/>
        </w:rPr>
      </w:pPr>
    </w:p>
    <w:p>
      <w:pPr>
        <w:pStyle w:val="Heading1"/>
        <w:spacing w:line="360" w:lineRule="auto" w:before="1"/>
        <w:ind w:left="573" w:right="1126"/>
      </w:pPr>
      <w:r>
        <w:rPr/>
        <w:t>Figure 3. UK – BoE Policy Rate and Average Interest Rate on Household Sight Deposits, Annual Averages, 1870-2018</w:t>
      </w:r>
    </w:p>
    <w:p>
      <w:pPr>
        <w:pStyle w:val="BodyText"/>
        <w:ind w:left="1755"/>
      </w:pPr>
      <w:r>
        <w:rPr/>
        <w:pict>
          <v:group style="width:363.7pt;height:237.3pt;mso-position-horizontal-relative:char;mso-position-vertical-relative:line" coordorigin="0,0" coordsize="7274,4746">
            <v:rect style="position:absolute;left:480;top:175;width:6292;height:3972" filled="false" stroked="true" strokeweight=".372pt" strokecolor="#000000">
              <v:stroke dashstyle="solid"/>
            </v:rect>
            <v:rect style="position:absolute;left:487;top:3152;width:23;height:171" filled="true" fillcolor="#66ff33" stroked="false">
              <v:fill type="solid"/>
            </v:rect>
            <v:line style="position:absolute" from="540,3153" to="540,3323" stroked="true" strokeweight=".78pt" strokecolor="#66ff33">
              <v:stroke dashstyle="solid"/>
            </v:line>
            <v:line style="position:absolute" from="585,3153" to="585,3331" stroked="true" strokeweight=".72pt" strokecolor="#66ff33">
              <v:stroke dashstyle="solid"/>
            </v:line>
            <v:rect style="position:absolute;left:614;top:3152;width:22;height:224" filled="true" fillcolor="#66ff33" stroked="false">
              <v:fill type="solid"/>
            </v:rect>
            <v:line style="position:absolute" from="666,3153" to="666,3323" stroked="true" strokeweight=".72pt" strokecolor="#66ff33">
              <v:stroke dashstyle="solid"/>
            </v:line>
            <v:line style="position:absolute" from="711,3153" to="711,3331" stroked="true" strokeweight=".72pt" strokecolor="#66ff33">
              <v:stroke dashstyle="solid"/>
            </v:line>
            <v:rect style="position:absolute;left:740;top:3152;width:23;height:231" filled="true" fillcolor="#66ff33" stroked="false">
              <v:fill type="solid"/>
            </v:rect>
            <v:line style="position:absolute" from="793,3153" to="793,3316" stroked="true" strokeweight=".78pt" strokecolor="#66ff33">
              <v:stroke dashstyle="solid"/>
            </v:line>
            <v:line style="position:absolute" from="837,3153" to="837,3331" stroked="true" strokeweight=".78001pt" strokecolor="#66ff33">
              <v:stroke dashstyle="solid"/>
            </v:line>
            <v:rect style="position:absolute;left:866;top:3152;width:23;height:194" filled="true" fillcolor="#66ff33" stroked="false">
              <v:fill type="solid"/>
            </v:rect>
            <v:line style="position:absolute" from="919,3153" to="919,3331" stroked="true" strokeweight=".78pt" strokecolor="#66ff33">
              <v:stroke dashstyle="solid"/>
            </v:line>
            <v:line style="position:absolute" from="964,3153" to="964,3331" stroked="true" strokeweight=".72pt" strokecolor="#66ff33">
              <v:stroke dashstyle="solid"/>
            </v:line>
            <v:rect style="position:absolute;left:993;top:3152;width:22;height:216" filled="true" fillcolor="#66ff33" stroked="false">
              <v:fill type="solid"/>
            </v:rect>
            <v:line style="position:absolute" from="1045,3153" to="1045,3346" stroked="true" strokeweight=".72pt" strokecolor="#66ff33">
              <v:stroke dashstyle="solid"/>
            </v:line>
            <v:line style="position:absolute" from="1090,3153" to="1090,3323" stroked="true" strokeweight=".72pt" strokecolor="#66ff33">
              <v:stroke dashstyle="solid"/>
            </v:line>
            <v:line style="position:absolute" from="1135,3153" to="1135,3346" stroked="true" strokeweight=".78pt" strokecolor="#66ff33">
              <v:stroke dashstyle="solid"/>
            </v:line>
            <v:line style="position:absolute" from="1172,3153" to="1172,3376" stroked="true" strokeweight=".78pt" strokecolor="#66ff33">
              <v:stroke dashstyle="solid"/>
            </v:line>
            <v:line style="position:absolute" from="1216,3153" to="1216,3369" stroked="true" strokeweight=".78pt" strokecolor="#66ff33">
              <v:stroke dashstyle="solid"/>
            </v:line>
            <v:line style="position:absolute" from="1261,3153" to="1261,3376" stroked="true" strokeweight=".72pt" strokecolor="#66ff33">
              <v:stroke dashstyle="solid"/>
            </v:line>
            <v:line style="position:absolute" from="1299,3153" to="1299,3390" stroked="true" strokeweight=".72pt" strokecolor="#66ff33">
              <v:stroke dashstyle="solid"/>
            </v:line>
            <v:line style="position:absolute" from="1343,3153" to="1343,3383" stroked="true" strokeweight=".72pt" strokecolor="#66ff33">
              <v:stroke dashstyle="solid"/>
            </v:line>
            <v:line style="position:absolute" from="1387,3153" to="1387,3397" stroked="true" strokeweight=".72pt" strokecolor="#66ff33">
              <v:stroke dashstyle="solid"/>
            </v:line>
            <v:rect style="position:absolute;left:1417;top:3152;width:23;height:216" filled="true" fillcolor="#66ff33" stroked="false">
              <v:fill type="solid"/>
            </v:rect>
            <v:line style="position:absolute" from="1470,3153" to="1470,3405" stroked="true" strokeweight=".78pt" strokecolor="#66ff33">
              <v:stroke dashstyle="solid"/>
            </v:line>
            <v:line style="position:absolute" from="1514,3153" to="1514,3369" stroked="true" strokeweight=".78pt" strokecolor="#66ff33">
              <v:stroke dashstyle="solid"/>
            </v:line>
            <v:rect style="position:absolute;left:1543;top:3152;width:23;height:252" filled="true" fillcolor="#66ff33" stroked="false">
              <v:fill type="solid"/>
            </v:rect>
            <v:line style="position:absolute" from="1596,3153" to="1596,3390" stroked="true" strokeweight=".78pt" strokecolor="#66ff33">
              <v:stroke dashstyle="solid"/>
            </v:line>
            <v:line style="position:absolute" from="1641,3153" to="1641,3405" stroked="true" strokeweight=".72pt" strokecolor="#66ff33">
              <v:stroke dashstyle="solid"/>
            </v:line>
            <v:rect style="position:absolute;left:1670;top:3152;width:22;height:245" filled="true" fillcolor="#66ff33" stroked="false">
              <v:fill type="solid"/>
            </v:rect>
            <v:line style="position:absolute" from="1722,3153" to="1722,3405" stroked="true" strokeweight=".72pt" strokecolor="#66ff33">
              <v:stroke dashstyle="solid"/>
            </v:line>
            <v:line style="position:absolute" from="1767,3153" to="1767,3405" stroked="true" strokeweight=".72pt" strokecolor="#66ff33">
              <v:stroke dashstyle="solid"/>
            </v:line>
            <v:rect style="position:absolute;left:1796;top:3152;width:23;height:252" filled="true" fillcolor="#66ff33" stroked="false">
              <v:fill type="solid"/>
            </v:rect>
            <v:line style="position:absolute" from="1849,3153" to="1849,3413" stroked="true" strokeweight=".78pt" strokecolor="#66ff33">
              <v:stroke dashstyle="solid"/>
            </v:line>
            <v:line style="position:absolute" from="1893,3153" to="1893,3413" stroked="true" strokeweight=".78pt" strokecolor="#66ff33">
              <v:stroke dashstyle="solid"/>
            </v:line>
            <v:rect style="position:absolute;left:1922;top:3152;width:23;height:261" filled="true" fillcolor="#66ff33" stroked="false">
              <v:fill type="solid"/>
            </v:rect>
            <v:line style="position:absolute" from="1975,3153" to="1975,3390" stroked="true" strokeweight=".72pt" strokecolor="#66ff33">
              <v:stroke dashstyle="solid"/>
            </v:line>
            <v:line style="position:absolute" from="2020,3153" to="2020,3413" stroked="true" strokeweight=".72pt" strokecolor="#66ff33">
              <v:stroke dashstyle="solid"/>
            </v:line>
            <v:rect style="position:absolute;left:2049;top:3152;width:22;height:252" filled="true" fillcolor="#66ff33" stroked="false">
              <v:fill type="solid"/>
            </v:rect>
            <v:line style="position:absolute" from="2101,3153" to="2101,3427" stroked="true" strokeweight=".72pt" strokecolor="#66ff33">
              <v:stroke dashstyle="solid"/>
            </v:line>
            <v:line style="position:absolute" from="2146,3153" to="2146,3383" stroked="true" strokeweight=".78pt" strokecolor="#66ff33">
              <v:stroke dashstyle="solid"/>
            </v:line>
            <v:rect style="position:absolute;left:2175;top:3152;width:23;height:231" filled="true" fillcolor="#66ff33" stroked="false">
              <v:fill type="solid"/>
            </v:rect>
            <v:line style="position:absolute" from="2228,3153" to="2228,3405" stroked="true" strokeweight=".78pt" strokecolor="#66ff33">
              <v:stroke dashstyle="solid"/>
            </v:line>
            <v:line style="position:absolute" from="2272,3153" to="2272,3390" stroked="true" strokeweight=".78pt" strokecolor="#66ff33">
              <v:stroke dashstyle="solid"/>
            </v:line>
            <v:line style="position:absolute" from="2317,3153" to="2317,3405" stroked="true" strokeweight=".72pt" strokecolor="#66ff33">
              <v:stroke dashstyle="solid"/>
            </v:line>
            <v:line style="position:absolute" from="2355,3153" to="2355,3523" stroked="true" strokeweight=".72pt" strokecolor="#66ff33">
              <v:stroke dashstyle="solid"/>
            </v:line>
            <v:line style="position:absolute" from="2399,3153" to="2399,3539" stroked="true" strokeweight=".72pt" strokecolor="#66ff33">
              <v:stroke dashstyle="solid"/>
            </v:line>
            <v:line style="position:absolute" from="2443,3153" to="2443,3435" stroked="true" strokeweight=".72pt" strokecolor="#66ff33">
              <v:stroke dashstyle="solid"/>
            </v:line>
            <v:rect style="position:absolute;left:2473;top:3152;width:23;height:194" filled="true" fillcolor="#66ff33" stroked="false">
              <v:fill type="solid"/>
            </v:rect>
            <v:line style="position:absolute" from="2526,3153" to="2526,3479" stroked="true" strokeweight=".78pt" strokecolor="#66ff33">
              <v:stroke dashstyle="solid"/>
            </v:line>
            <v:line style="position:absolute" from="2570,3153" to="2570,3479" stroked="true" strokeweight=".78pt" strokecolor="#66ff33">
              <v:stroke dashstyle="solid"/>
            </v:line>
            <v:rect style="position:absolute;left:2599;top:3152;width:23;height:320" filled="true" fillcolor="#66ff33" stroked="false">
              <v:fill type="solid"/>
            </v:rect>
            <v:line style="position:absolute" from="2652,3153" to="2652,3495" stroked="true" strokeweight=".72pt" strokecolor="#66ff33">
              <v:stroke dashstyle="solid"/>
            </v:line>
            <v:line style="position:absolute" from="2697,3153" to="2697,3495" stroked="true" strokeweight=".72pt" strokecolor="#66ff33">
              <v:stroke dashstyle="solid"/>
            </v:line>
            <v:rect style="position:absolute;left:2726;top:3152;width:22;height:335" filled="true" fillcolor="#66ff33" stroked="false">
              <v:fill type="solid"/>
            </v:rect>
            <v:line style="position:absolute" from="2778,3153" to="2778,3487" stroked="true" strokeweight=".72pt" strokecolor="#66ff33">
              <v:stroke dashstyle="solid"/>
            </v:line>
            <v:line style="position:absolute" from="2823,3153" to="2823,3487" stroked="true" strokeweight=".72pt" strokecolor="#66ff33">
              <v:stroke dashstyle="solid"/>
            </v:line>
            <v:rect style="position:absolute;left:2852;top:3152;width:23;height:335" filled="true" fillcolor="#66ff33" stroked="false">
              <v:fill type="solid"/>
            </v:rect>
            <v:line style="position:absolute" from="2905,3153" to="2905,3487" stroked="true" strokeweight=".78pt" strokecolor="#66ff33">
              <v:stroke dashstyle="solid"/>
            </v:line>
            <v:line style="position:absolute" from="2949,3153" to="2949,3487" stroked="true" strokeweight=".78pt" strokecolor="#66ff33">
              <v:stroke dashstyle="solid"/>
            </v:line>
            <v:rect style="position:absolute;left:2978;top:3152;width:23;height:312" filled="true" fillcolor="#66ff33" stroked="false">
              <v:fill type="solid"/>
            </v:rect>
            <v:line style="position:absolute" from="3031,3153" to="3031,3495" stroked="true" strokeweight=".72pt" strokecolor="#66ff33">
              <v:stroke dashstyle="solid"/>
            </v:line>
            <v:line style="position:absolute" from="3076,3153" to="3076,3442" stroked="true" strokeweight=".72pt" strokecolor="#66ff33">
              <v:stroke dashstyle="solid"/>
            </v:line>
            <v:rect style="position:absolute;left:3105;top:3152;width:22;height:312" filled="true" fillcolor="#66ff33" stroked="false">
              <v:fill type="solid"/>
            </v:rect>
            <v:line style="position:absolute" from="3157,3153" to="3157,3405" stroked="true" strokeweight=".72pt" strokecolor="#66ff33">
              <v:stroke dashstyle="solid"/>
            </v:line>
            <v:line style="position:absolute" from="3202,3153" to="3202,3405" stroked="true" strokeweight=".78pt" strokecolor="#66ff33">
              <v:stroke dashstyle="solid"/>
            </v:line>
            <v:rect style="position:absolute;left:3231;top:3152;width:23;height:252" filled="true" fillcolor="#66ff33" stroked="false">
              <v:fill type="solid"/>
            </v:rect>
            <v:line style="position:absolute" from="3284,3153" to="3284,3405" stroked="true" strokeweight=".78pt" strokecolor="#66ff33">
              <v:stroke dashstyle="solid"/>
            </v:line>
            <v:line style="position:absolute" from="3329,3153" to="3329,3405" stroked="true" strokeweight=".72pt" strokecolor="#66ff33">
              <v:stroke dashstyle="solid"/>
            </v:line>
            <v:rect style="position:absolute;left:3358;top:3152;width:22;height:252" filled="true" fillcolor="#66ff33" stroked="false">
              <v:fill type="solid"/>
            </v:rect>
            <v:line style="position:absolute" from="3411,3153" to="3411,3420" stroked="true" strokeweight=".72pt" strokecolor="#66ff33">
              <v:stroke dashstyle="solid"/>
            </v:line>
            <v:line style="position:absolute" from="3455,3153" to="3455,3405" stroked="true" strokeweight=".72pt" strokecolor="#66ff33">
              <v:stroke dashstyle="solid"/>
            </v:line>
            <v:line style="position:absolute" from="3499,3153" to="3499,3405" stroked="true" strokeweight=".72pt" strokecolor="#66ff33">
              <v:stroke dashstyle="solid"/>
            </v:line>
            <v:line style="position:absolute" from="3537,3153" to="3537,3405" stroked="true" strokeweight=".72pt" strokecolor="#66ff33">
              <v:stroke dashstyle="solid"/>
            </v:line>
            <v:line style="position:absolute" from="3582,3153" to="3582,3405" stroked="true" strokeweight=".78pt" strokecolor="#66ff33">
              <v:stroke dashstyle="solid"/>
            </v:line>
            <v:line style="position:absolute" from="3626,3153" to="3626,3405" stroked="true" strokeweight=".78pt" strokecolor="#66ff33">
              <v:stroke dashstyle="solid"/>
            </v:line>
            <v:rect style="position:absolute;left:3655;top:3152;width:23;height:252" filled="true" fillcolor="#66ff33" stroked="false">
              <v:fill type="solid"/>
            </v:rect>
            <v:line style="position:absolute" from="3708,3153" to="3708,3405" stroked="true" strokeweight=".72pt" strokecolor="#66ff33">
              <v:stroke dashstyle="solid"/>
            </v:line>
            <v:line style="position:absolute" from="3753,3153" to="3753,3405" stroked="true" strokeweight=".72pt" strokecolor="#66ff33">
              <v:stroke dashstyle="solid"/>
            </v:line>
            <v:rect style="position:absolute;left:3782;top:3152;width:22;height:252" filled="true" fillcolor="#66ff33" stroked="false">
              <v:fill type="solid"/>
            </v:rect>
            <v:line style="position:absolute" from="3834,3153" to="3834,3405" stroked="true" strokeweight=".72pt" strokecolor="#66ff33">
              <v:stroke dashstyle="solid"/>
            </v:line>
            <v:line style="position:absolute" from="3879,3153" to="3879,3405" stroked="true" strokeweight=".78pt" strokecolor="#66ff33">
              <v:stroke dashstyle="solid"/>
            </v:line>
            <v:rect style="position:absolute;left:3908;top:3152;width:23;height:252" filled="true" fillcolor="#66ff33" stroked="false">
              <v:fill type="solid"/>
            </v:rect>
            <v:line style="position:absolute" from="3961,3153" to="3961,3472" stroked="true" strokeweight=".78pt" strokecolor="#66ff33">
              <v:stroke dashstyle="solid"/>
            </v:line>
            <v:line style="position:absolute" from="4006,3153" to="4006,3479" stroked="true" strokeweight=".72pt" strokecolor="#66ff33">
              <v:stroke dashstyle="solid"/>
            </v:line>
            <v:rect style="position:absolute;left:4035;top:3152;width:22;height:335" filled="true" fillcolor="#66ff33" stroked="false">
              <v:fill type="solid"/>
            </v:rect>
            <v:line style="position:absolute" from="4087,3153" to="4087,3472" stroked="true" strokeweight=".72pt" strokecolor="#66ff33">
              <v:stroke dashstyle="solid"/>
            </v:line>
            <v:line style="position:absolute" from="4132,3153" to="4132,3479" stroked="true" strokeweight=".72pt" strokecolor="#66ff33">
              <v:stroke dashstyle="solid"/>
            </v:line>
            <v:rect style="position:absolute;left:4161;top:3152;width:22;height:320" filled="true" fillcolor="#66ff33" stroked="false">
              <v:fill type="solid"/>
            </v:rect>
            <v:line style="position:absolute" from="4213,3153" to="4213,3509" stroked="true" strokeweight=".72pt" strokecolor="#66ff33">
              <v:stroke dashstyle="solid"/>
            </v:line>
            <v:line style="position:absolute" from="4258,3153" to="4258,3487" stroked="true" strokeweight=".78pt" strokecolor="#66ff33">
              <v:stroke dashstyle="solid"/>
            </v:line>
            <v:rect style="position:absolute;left:4287;top:3152;width:23;height:320" filled="true" fillcolor="#66ff33" stroked="false">
              <v:fill type="solid"/>
            </v:rect>
            <v:line style="position:absolute" from="4340,3153" to="4340,3465" stroked="true" strokeweight=".78003pt" strokecolor="#66ff33">
              <v:stroke dashstyle="solid"/>
            </v:line>
            <v:line style="position:absolute" from="4385,3153" to="4385,3495" stroked="true" strokeweight=".71997pt" strokecolor="#66ff33">
              <v:stroke dashstyle="solid"/>
            </v:line>
            <v:rect style="position:absolute;left:4414;top:3152;width:22;height:335" filled="true" fillcolor="#66ff33" stroked="false">
              <v:fill type="solid"/>
            </v:rect>
            <v:line style="position:absolute" from="4467,3153" to="4467,3457" stroked="true" strokeweight=".72pt" strokecolor="#66ff33">
              <v:stroke dashstyle="solid"/>
            </v:line>
            <v:line style="position:absolute" from="4511,3153" to="4511,3487" stroked="true" strokeweight=".72pt" strokecolor="#66ff33">
              <v:stroke dashstyle="solid"/>
            </v:line>
            <v:rect style="position:absolute;left:4540;top:3152;width:23;height:327" filled="true" fillcolor="#66ff33" stroked="false">
              <v:fill type="solid"/>
            </v:rect>
            <v:line style="position:absolute" from="4593,3153" to="4593,3479" stroked="true" strokeweight=".78pt" strokecolor="#66ff33">
              <v:stroke dashstyle="solid"/>
            </v:line>
            <v:line style="position:absolute" from="4638,3153" to="4638,3495" stroked="true" strokeweight=".78pt" strokecolor="#66ff33">
              <v:stroke dashstyle="solid"/>
            </v:line>
            <v:line style="position:absolute" from="4683,3153" to="4683,3472" stroked="true" strokeweight=".72pt" strokecolor="#66ff33">
              <v:stroke dashstyle="solid"/>
            </v:line>
            <v:line style="position:absolute" from="4720,3153" to="4720,3487" stroked="true" strokeweight=".72pt" strokecolor="#66ff33">
              <v:stroke dashstyle="solid"/>
            </v:line>
            <v:line style="position:absolute" from="4764,3153" to="4764,3502" stroked="true" strokeweight=".72pt" strokecolor="#66ff33">
              <v:stroke dashstyle="solid"/>
            </v:line>
            <v:line style="position:absolute" from="4809,3153" to="4809,3450" stroked="true" strokeweight=".72pt" strokecolor="#66ff33">
              <v:stroke dashstyle="solid"/>
            </v:line>
            <v:rect style="position:absolute;left:4838;top:3152;width:22;height:305" filled="true" fillcolor="#66ff33" stroked="false">
              <v:fill type="solid"/>
            </v:rect>
            <v:line style="position:absolute" from="4890,3153" to="4890,3561" stroked="true" strokeweight=".72pt" strokecolor="#66ff33">
              <v:stroke dashstyle="solid"/>
            </v:line>
            <v:line style="position:absolute" from="4935,3153" to="4935,3777" stroked="true" strokeweight=".78pt" strokecolor="#66ff33">
              <v:stroke dashstyle="solid"/>
            </v:line>
            <v:rect style="position:absolute;left:4964;top:3152;width:23;height:699" filled="true" fillcolor="#66ff33" stroked="false">
              <v:fill type="solid"/>
            </v:rect>
            <v:line style="position:absolute" from="5017,3153" to="5017,3762" stroked="true" strokeweight=".78pt" strokecolor="#66ff33">
              <v:stroke dashstyle="solid"/>
            </v:line>
            <v:line style="position:absolute" from="5062,3153" to="5062,3665" stroked="true" strokeweight=".72pt" strokecolor="#66ff33">
              <v:stroke dashstyle="solid"/>
            </v:line>
            <v:rect style="position:absolute;left:5091;top:3152;width:22;height:380" filled="true" fillcolor="#66ff33" stroked="false">
              <v:fill type="solid"/>
            </v:rect>
            <v:line style="position:absolute" from="5143,3153" to="5143,3516" stroked="true" strokeweight=".72pt" strokecolor="#66ff33">
              <v:stroke dashstyle="solid"/>
            </v:line>
            <v:line style="position:absolute" from="5188,3153" to="5188,3576" stroked="true" strokeweight=".72pt" strokecolor="#66ff33">
              <v:stroke dashstyle="solid"/>
            </v:line>
            <v:rect style="position:absolute;left:5217;top:3152;width:23;height:513" filled="true" fillcolor="#66ff33" stroked="false">
              <v:fill type="solid"/>
            </v:rect>
            <v:line style="position:absolute" from="5270,3153" to="5270,3717" stroked="true" strokeweight=".78003pt" strokecolor="#66ff33">
              <v:stroke dashstyle="solid"/>
            </v:line>
            <v:line style="position:absolute" from="5314,3153" to="5314,3679" stroked="true" strokeweight=".77997pt" strokecolor="#66ff33">
              <v:stroke dashstyle="solid"/>
            </v:line>
            <v:rect style="position:absolute;left:5343;top:3152;width:23;height:305" filled="true" fillcolor="#66ff33" stroked="false">
              <v:fill type="solid"/>
            </v:rect>
            <v:line style="position:absolute" from="5396,3153" to="5396,3583" stroked="true" strokeweight=".78pt" strokecolor="#66ff33">
              <v:stroke dashstyle="solid"/>
            </v:line>
            <v:line style="position:absolute" from="5441,3153" to="5441,3651" stroked="true" strokeweight=".72pt" strokecolor="#66ff33">
              <v:stroke dashstyle="solid"/>
            </v:line>
            <v:rect style="position:absolute;left:5470;top:3152;width:22;height:602" filled="true" fillcolor="#66ff33" stroked="false">
              <v:fill type="solid"/>
            </v:rect>
            <v:line style="position:absolute" from="5523,3153" to="5523,3642" stroked="true" strokeweight=".71997pt" strokecolor="#66ff33">
              <v:stroke dashstyle="solid"/>
            </v:line>
            <v:line style="position:absolute" from="5567,3153" to="5567,3679" stroked="true" strokeweight=".72pt" strokecolor="#66ff33">
              <v:stroke dashstyle="solid"/>
            </v:line>
            <v:rect style="position:absolute;left:5596;top:3152;width:23;height:513" filled="true" fillcolor="#66ff33" stroked="false">
              <v:fill type="solid"/>
            </v:rect>
            <v:line style="position:absolute" from="5649,3153" to="5649,3747" stroked="true" strokeweight=".78pt" strokecolor="#66ff33">
              <v:stroke dashstyle="solid"/>
            </v:line>
            <v:line style="position:absolute" from="5694,3153" to="5694,3628" stroked="true" strokeweight=".78pt" strokecolor="#66ff33">
              <v:stroke dashstyle="solid"/>
            </v:line>
            <v:line style="position:absolute" from="5739,3153" to="5739,3553" stroked="true" strokeweight=".72pt" strokecolor="#66ff33">
              <v:stroke dashstyle="solid"/>
            </v:line>
            <v:line style="position:absolute" from="5776,3153" to="5776,3688" stroked="true" strokeweight=".72pt" strokecolor="#66ff33">
              <v:stroke dashstyle="solid"/>
            </v:line>
            <v:line style="position:absolute" from="5820,3153" to="5820,3732" stroked="true" strokeweight=".72pt" strokecolor="#66ff33">
              <v:stroke dashstyle="solid"/>
            </v:line>
            <v:line style="position:absolute" from="5865,3153" to="5865,3732" stroked="true" strokeweight=".72pt" strokecolor="#66ff33">
              <v:stroke dashstyle="solid"/>
            </v:line>
            <v:line style="position:absolute" from="5902,3153" to="5902,3725" stroked="true" strokeweight=".72pt" strokecolor="#66ff33">
              <v:stroke dashstyle="solid"/>
            </v:line>
            <v:line style="position:absolute" from="5947,3153" to="5947,3635" stroked="true" strokeweight=".78pt" strokecolor="#66ff33">
              <v:stroke dashstyle="solid"/>
            </v:line>
            <v:line style="position:absolute" from="5991,3153" to="5991,3658" stroked="true" strokeweight=".78pt" strokecolor="#66ff33">
              <v:stroke dashstyle="solid"/>
            </v:line>
            <v:rect style="position:absolute;left:6020;top:3152;width:23;height:431" filled="true" fillcolor="#66ff33" stroked="false">
              <v:fill type="solid"/>
            </v:rect>
            <v:line style="position:absolute" from="6073,3153" to="6073,3523" stroked="true" strokeweight=".78pt" strokecolor="#66ff33">
              <v:stroke dashstyle="solid"/>
            </v:line>
            <v:line style="position:absolute" from="6118,3153" to="6118,3479" stroked="true" strokeweight=".72pt" strokecolor="#66ff33">
              <v:stroke dashstyle="solid"/>
            </v:line>
            <v:rect style="position:absolute;left:6147;top:3152;width:22;height:298" filled="true" fillcolor="#66ff33" stroked="false">
              <v:fill type="solid"/>
            </v:rect>
            <v:line style="position:absolute" from="6199,3153" to="6199,3427" stroked="true" strokeweight=".72003pt" strokecolor="#66ff33">
              <v:stroke dashstyle="solid"/>
            </v:line>
            <v:line style="position:absolute" from="6244,3153" to="6244,3465" stroked="true" strokeweight=".71997pt" strokecolor="#66ff33">
              <v:stroke dashstyle="solid"/>
            </v:line>
            <v:rect style="position:absolute;left:6273;top:3152;width:23;height:371" filled="true" fillcolor="#66ff33" stroked="false">
              <v:fill type="solid"/>
            </v:rect>
            <v:line style="position:absolute" from="6326,3153" to="6326,3442" stroked="true" strokeweight=".78pt" strokecolor="#66ff33">
              <v:stroke dashstyle="solid"/>
            </v:line>
            <v:rect style="position:absolute;left:6362;top:3130;width:16;height:22" filled="true" fillcolor="#66ff33" stroked="false">
              <v:fill type="solid"/>
            </v:rect>
            <v:rect style="position:absolute;left:6399;top:3100;width:23;height:52" filled="true" fillcolor="#66ff33" stroked="false">
              <v:fill type="solid"/>
            </v:rect>
            <v:rect style="position:absolute;left:6526;top:3085;width:22;height:68" filled="true" fillcolor="#66ff33" stroked="false">
              <v:fill type="solid"/>
            </v:rect>
            <v:rect style="position:absolute;left:6571;top:3108;width:15;height:45" filled="true" fillcolor="#66ff33" stroked="false">
              <v:fill type="solid"/>
            </v:rect>
            <v:rect style="position:absolute;left:6615;top:3108;width:15;height:45" filled="true" fillcolor="#66ff33" stroked="false">
              <v:fill type="solid"/>
            </v:rect>
            <v:rect style="position:absolute;left:6652;top:3115;width:23;height:38" filled="true" fillcolor="#66ff33" stroked="false">
              <v:fill type="solid"/>
            </v:rect>
            <v:rect style="position:absolute;left:6697;top:3145;width:16;height:8" filled="true" fillcolor="#66ff33" stroked="false">
              <v:fill type="solid"/>
            </v:rect>
            <v:rect style="position:absolute;left:6741;top:3152;width:16;height:30" filled="true" fillcolor="#66ff33" stroked="false">
              <v:fill type="solid"/>
            </v:rect>
            <v:rect style="position:absolute;left:483;top:3148;width:31;height:178" filled="true" fillcolor="#66ff33" stroked="false">
              <v:fill type="solid"/>
            </v:rect>
            <v:line style="position:absolute" from="540,3149" to="540,3327" stroked="true" strokeweight="1.152pt" strokecolor="#66ff33">
              <v:stroke dashstyle="solid"/>
            </v:line>
            <v:line style="position:absolute" from="585,3149" to="585,3335" stroked="true" strokeweight="1.092pt" strokecolor="#66ff33">
              <v:stroke dashstyle="solid"/>
            </v:line>
            <v:rect style="position:absolute;left:610;top:3148;width:30;height:231" filled="true" fillcolor="#66ff33" stroked="false">
              <v:fill type="solid"/>
            </v:rect>
            <v:line style="position:absolute" from="666,3149" to="666,3327" stroked="true" strokeweight="1.092pt" strokecolor="#66ff33">
              <v:stroke dashstyle="solid"/>
            </v:line>
            <v:line style="position:absolute" from="711,3149" to="711,3335" stroked="true" strokeweight="1.092pt" strokecolor="#66ff33">
              <v:stroke dashstyle="solid"/>
            </v:line>
            <v:rect style="position:absolute;left:736;top:3148;width:31;height:238" filled="true" fillcolor="#66ff33" stroked="false">
              <v:fill type="solid"/>
            </v:rect>
            <v:line style="position:absolute" from="793,3149" to="793,3319" stroked="true" strokeweight="1.152pt" strokecolor="#66ff33">
              <v:stroke dashstyle="solid"/>
            </v:line>
            <v:line style="position:absolute" from="837,3149" to="837,3335" stroked="true" strokeweight="1.15201pt" strokecolor="#66ff33">
              <v:stroke dashstyle="solid"/>
            </v:line>
            <v:rect style="position:absolute;left:862;top:3148;width:31;height:201" filled="true" fillcolor="#66ff33" stroked="false">
              <v:fill type="solid"/>
            </v:rect>
            <v:line style="position:absolute" from="919,3149" to="919,3335" stroked="true" strokeweight="1.152pt" strokecolor="#66ff33">
              <v:stroke dashstyle="solid"/>
            </v:line>
            <v:line style="position:absolute" from="964,3149" to="964,3335" stroked="true" strokeweight="1.092pt" strokecolor="#66ff33">
              <v:stroke dashstyle="solid"/>
            </v:line>
            <v:rect style="position:absolute;left:990;top:3148;width:30;height:224" filled="true" fillcolor="#66ff33" stroked="false">
              <v:fill type="solid"/>
            </v:rect>
            <v:line style="position:absolute" from="1045,3149" to="1045,3349" stroked="true" strokeweight="1.092pt" strokecolor="#66ff33">
              <v:stroke dashstyle="solid"/>
            </v:line>
            <v:line style="position:absolute" from="1090,3149" to="1090,3327" stroked="true" strokeweight="1.092pt" strokecolor="#66ff33">
              <v:stroke dashstyle="solid"/>
            </v:line>
            <v:line style="position:absolute" from="1135,3149" to="1135,3349" stroked="true" strokeweight="1.152pt" strokecolor="#66ff33">
              <v:stroke dashstyle="solid"/>
            </v:line>
            <v:line style="position:absolute" from="1172,3149" to="1172,3379" stroked="true" strokeweight="1.152pt" strokecolor="#66ff33">
              <v:stroke dashstyle="solid"/>
            </v:line>
            <v:line style="position:absolute" from="1216,3149" to="1216,3372" stroked="true" strokeweight="1.152pt" strokecolor="#66ff33">
              <v:stroke dashstyle="solid"/>
            </v:line>
            <v:line style="position:absolute" from="1261,3149" to="1261,3379" stroked="true" strokeweight="1.092pt" strokecolor="#66ff33">
              <v:stroke dashstyle="solid"/>
            </v:line>
            <v:line style="position:absolute" from="1299,3149" to="1299,3394" stroked="true" strokeweight="1.092pt" strokecolor="#66ff33">
              <v:stroke dashstyle="solid"/>
            </v:line>
            <v:line style="position:absolute" from="1343,3149" to="1343,3387" stroked="true" strokeweight="1.092pt" strokecolor="#66ff33">
              <v:stroke dashstyle="solid"/>
            </v:line>
            <v:line style="position:absolute" from="1387,3149" to="1387,3401" stroked="true" strokeweight="1.092pt" strokecolor="#66ff33">
              <v:stroke dashstyle="solid"/>
            </v:line>
            <v:rect style="position:absolute;left:1413;top:3148;width:31;height:224" filled="true" fillcolor="#66ff33" stroked="false">
              <v:fill type="solid"/>
            </v:rect>
            <v:line style="position:absolute" from="1470,3149" to="1470,3408" stroked="true" strokeweight="1.152pt" strokecolor="#66ff33">
              <v:stroke dashstyle="solid"/>
            </v:line>
            <v:line style="position:absolute" from="1514,3149" to="1514,3372" stroked="true" strokeweight="1.152pt" strokecolor="#66ff33">
              <v:stroke dashstyle="solid"/>
            </v:line>
            <v:rect style="position:absolute;left:1539;top:3148;width:31;height:260" filled="true" fillcolor="#66ff33" stroked="false">
              <v:fill type="solid"/>
            </v:rect>
            <v:line style="position:absolute" from="1596,3149" to="1596,3394" stroked="true" strokeweight="1.152pt" strokecolor="#66ff33">
              <v:stroke dashstyle="solid"/>
            </v:line>
            <v:line style="position:absolute" from="1641,3149" to="1641,3408" stroked="true" strokeweight="1.092pt" strokecolor="#66ff33">
              <v:stroke dashstyle="solid"/>
            </v:line>
            <v:rect style="position:absolute;left:1666;top:3148;width:30;height:253" filled="true" fillcolor="#66ff33" stroked="false">
              <v:fill type="solid"/>
            </v:rect>
            <v:line style="position:absolute" from="1722,3149" to="1722,3408" stroked="true" strokeweight="1.092pt" strokecolor="#66ff33">
              <v:stroke dashstyle="solid"/>
            </v:line>
            <v:line style="position:absolute" from="1767,3149" to="1767,3408" stroked="true" strokeweight="1.092pt" strokecolor="#66ff33">
              <v:stroke dashstyle="solid"/>
            </v:line>
            <v:rect style="position:absolute;left:1792;top:3148;width:31;height:260" filled="true" fillcolor="#66ff33" stroked="false">
              <v:fill type="solid"/>
            </v:rect>
            <v:line style="position:absolute" from="1849,3149" to="1849,3417" stroked="true" strokeweight="1.152pt" strokecolor="#66ff33">
              <v:stroke dashstyle="solid"/>
            </v:line>
            <v:line style="position:absolute" from="1893,3149" to="1893,3417" stroked="true" strokeweight="1.152pt" strokecolor="#66ff33">
              <v:stroke dashstyle="solid"/>
            </v:line>
            <v:rect style="position:absolute;left:1918;top:3148;width:31;height:268" filled="true" fillcolor="#66ff33" stroked="false">
              <v:fill type="solid"/>
            </v:rect>
            <v:line style="position:absolute" from="1975,3149" to="1975,3394" stroked="true" strokeweight="1.092pt" strokecolor="#66ff33">
              <v:stroke dashstyle="solid"/>
            </v:line>
            <v:line style="position:absolute" from="2020,3149" to="2020,3417" stroked="true" strokeweight="1.092pt" strokecolor="#66ff33">
              <v:stroke dashstyle="solid"/>
            </v:line>
            <v:rect style="position:absolute;left:2046;top:3148;width:30;height:260" filled="true" fillcolor="#66ff33" stroked="false">
              <v:fill type="solid"/>
            </v:rect>
            <v:line style="position:absolute" from="2101,3149" to="2101,3431" stroked="true" strokeweight="1.092pt" strokecolor="#66ff33">
              <v:stroke dashstyle="solid"/>
            </v:line>
            <v:line style="position:absolute" from="2146,3149" to="2146,3387" stroked="true" strokeweight="1.152pt" strokecolor="#66ff33">
              <v:stroke dashstyle="solid"/>
            </v:line>
            <v:rect style="position:absolute;left:2172;top:3148;width:31;height:238" filled="true" fillcolor="#66ff33" stroked="false">
              <v:fill type="solid"/>
            </v:rect>
            <v:line style="position:absolute" from="2228,3149" to="2228,3408" stroked="true" strokeweight="1.152pt" strokecolor="#66ff33">
              <v:stroke dashstyle="solid"/>
            </v:line>
            <v:line style="position:absolute" from="2272,3149" to="2272,3394" stroked="true" strokeweight="1.152pt" strokecolor="#66ff33">
              <v:stroke dashstyle="solid"/>
            </v:line>
            <v:line style="position:absolute" from="2317,3149" to="2317,3408" stroked="true" strokeweight="1.092pt" strokecolor="#66ff33">
              <v:stroke dashstyle="solid"/>
            </v:line>
            <v:line style="position:absolute" from="2355,3149" to="2355,3527" stroked="true" strokeweight="1.092pt" strokecolor="#66ff33">
              <v:stroke dashstyle="solid"/>
            </v:line>
            <v:line style="position:absolute" from="2399,3149" to="2399,3543" stroked="true" strokeweight="1.092pt" strokecolor="#66ff33">
              <v:stroke dashstyle="solid"/>
            </v:line>
            <v:line style="position:absolute" from="2443,3149" to="2443,3438" stroked="true" strokeweight="1.092pt" strokecolor="#66ff33">
              <v:stroke dashstyle="solid"/>
            </v:line>
            <v:rect style="position:absolute;left:2469;top:3148;width:31;height:201" filled="true" fillcolor="#66ff33" stroked="false">
              <v:fill type="solid"/>
            </v:rect>
            <v:line style="position:absolute" from="2526,3149" to="2526,3483" stroked="true" strokeweight="1.152pt" strokecolor="#66ff33">
              <v:stroke dashstyle="solid"/>
            </v:line>
            <v:line style="position:absolute" from="2570,3149" to="2570,3483" stroked="true" strokeweight="1.152pt" strokecolor="#66ff33">
              <v:stroke dashstyle="solid"/>
            </v:line>
            <v:rect style="position:absolute;left:2595;top:3148;width:31;height:327" filled="true" fillcolor="#66ff33" stroked="false">
              <v:fill type="solid"/>
            </v:rect>
            <v:line style="position:absolute" from="2652,3149" to="2652,3498" stroked="true" strokeweight="1.092pt" strokecolor="#66ff33">
              <v:stroke dashstyle="solid"/>
            </v:line>
            <v:line style="position:absolute" from="2697,3149" to="2697,3498" stroked="true" strokeweight="1.092pt" strokecolor="#66ff33">
              <v:stroke dashstyle="solid"/>
            </v:line>
            <v:rect style="position:absolute;left:2722;top:3148;width:30;height:343" filled="true" fillcolor="#66ff33" stroked="false">
              <v:fill type="solid"/>
            </v:rect>
            <v:line style="position:absolute" from="2778,3149" to="2778,3491" stroked="true" strokeweight="1.092pt" strokecolor="#66ff33">
              <v:stroke dashstyle="solid"/>
            </v:line>
            <v:line style="position:absolute" from="2823,3149" to="2823,3491" stroked="true" strokeweight="1.092pt" strokecolor="#66ff33">
              <v:stroke dashstyle="solid"/>
            </v:line>
            <v:rect style="position:absolute;left:2848;top:3148;width:31;height:343" filled="true" fillcolor="#66ff33" stroked="false">
              <v:fill type="solid"/>
            </v:rect>
            <v:line style="position:absolute" from="2905,3149" to="2905,3491" stroked="true" strokeweight="1.152pt" strokecolor="#66ff33">
              <v:stroke dashstyle="solid"/>
            </v:line>
            <v:line style="position:absolute" from="2949,3149" to="2949,3491" stroked="true" strokeweight="1.152pt" strokecolor="#66ff33">
              <v:stroke dashstyle="solid"/>
            </v:line>
            <v:rect style="position:absolute;left:2974;top:3148;width:31;height:320" filled="true" fillcolor="#66ff33" stroked="false">
              <v:fill type="solid"/>
            </v:rect>
            <v:line style="position:absolute" from="3031,3149" to="3031,3498" stroked="true" strokeweight="1.092pt" strokecolor="#66ff33">
              <v:stroke dashstyle="solid"/>
            </v:line>
            <v:line style="position:absolute" from="3076,3149" to="3076,3445" stroked="true" strokeweight="1.092pt" strokecolor="#66ff33">
              <v:stroke dashstyle="solid"/>
            </v:line>
            <v:rect style="position:absolute;left:3102;top:3148;width:30;height:320" filled="true" fillcolor="#66ff33" stroked="false">
              <v:fill type="solid"/>
            </v:rect>
            <v:line style="position:absolute" from="3157,3149" to="3157,3408" stroked="true" strokeweight="1.092pt" strokecolor="#66ff33">
              <v:stroke dashstyle="solid"/>
            </v:line>
            <v:line style="position:absolute" from="3202,3149" to="3202,3408" stroked="true" strokeweight="1.152pt" strokecolor="#66ff33">
              <v:stroke dashstyle="solid"/>
            </v:line>
            <v:rect style="position:absolute;left:3228;top:3148;width:31;height:260" filled="true" fillcolor="#66ff33" stroked="false">
              <v:fill type="solid"/>
            </v:rect>
            <v:line style="position:absolute" from="3284,3149" to="3284,3408" stroked="true" strokeweight="1.152pt" strokecolor="#66ff33">
              <v:stroke dashstyle="solid"/>
            </v:line>
            <v:line style="position:absolute" from="3329,3149" to="3329,3408" stroked="true" strokeweight="1.092pt" strokecolor="#66ff33">
              <v:stroke dashstyle="solid"/>
            </v:line>
            <v:rect style="position:absolute;left:3355;top:3148;width:30;height:260" filled="true" fillcolor="#66ff33" stroked="false">
              <v:fill type="solid"/>
            </v:rect>
            <v:line style="position:absolute" from="3411,3149" to="3411,3424" stroked="true" strokeweight="1.092pt" strokecolor="#66ff33">
              <v:stroke dashstyle="solid"/>
            </v:line>
            <v:line style="position:absolute" from="3455,3149" to="3455,3408" stroked="true" strokeweight="1.092pt" strokecolor="#66ff33">
              <v:stroke dashstyle="solid"/>
            </v:line>
            <v:line style="position:absolute" from="3499,3149" to="3499,3408" stroked="true" strokeweight="1.092pt" strokecolor="#66ff33">
              <v:stroke dashstyle="solid"/>
            </v:line>
            <v:line style="position:absolute" from="3537,3149" to="3537,3408" stroked="true" strokeweight="1.092pt" strokecolor="#66ff33">
              <v:stroke dashstyle="solid"/>
            </v:line>
            <v:line style="position:absolute" from="3582,3149" to="3582,3408" stroked="true" strokeweight="1.152pt" strokecolor="#66ff33">
              <v:stroke dashstyle="solid"/>
            </v:line>
            <v:line style="position:absolute" from="3626,3149" to="3626,3408" stroked="true" strokeweight="1.152pt" strokecolor="#66ff33">
              <v:stroke dashstyle="solid"/>
            </v:line>
            <v:rect style="position:absolute;left:3651;top:3148;width:31;height:260" filled="true" fillcolor="#66ff33" stroked="false">
              <v:fill type="solid"/>
            </v:rect>
            <v:line style="position:absolute" from="3708,3149" to="3708,3408" stroked="true" strokeweight="1.092pt" strokecolor="#66ff33">
              <v:stroke dashstyle="solid"/>
            </v:line>
            <v:line style="position:absolute" from="3753,3149" to="3753,3408" stroked="true" strokeweight="1.092pt" strokecolor="#66ff33">
              <v:stroke dashstyle="solid"/>
            </v:line>
            <v:rect style="position:absolute;left:3778;top:3148;width:30;height:260" filled="true" fillcolor="#66ff33" stroked="false">
              <v:fill type="solid"/>
            </v:rect>
            <v:line style="position:absolute" from="3834,3149" to="3834,3408" stroked="true" strokeweight="1.092pt" strokecolor="#66ff33">
              <v:stroke dashstyle="solid"/>
            </v:line>
            <v:line style="position:absolute" from="3879,3149" to="3879,3408" stroked="true" strokeweight="1.152pt" strokecolor="#66ff33">
              <v:stroke dashstyle="solid"/>
            </v:line>
            <v:rect style="position:absolute;left:3904;top:3148;width:31;height:260" filled="true" fillcolor="#66ff33" stroked="false">
              <v:fill type="solid"/>
            </v:rect>
            <v:line style="position:absolute" from="3961,3149" to="3961,3475" stroked="true" strokeweight="1.152pt" strokecolor="#66ff33">
              <v:stroke dashstyle="solid"/>
            </v:line>
            <v:line style="position:absolute" from="4006,3149" to="4006,3483" stroked="true" strokeweight="1.092pt" strokecolor="#66ff33">
              <v:stroke dashstyle="solid"/>
            </v:line>
            <v:rect style="position:absolute;left:4032;top:3148;width:30;height:343" filled="true" fillcolor="#66ff33" stroked="false">
              <v:fill type="solid"/>
            </v:rect>
            <v:line style="position:absolute" from="4087,3149" to="4087,3475" stroked="true" strokeweight="1.092pt" strokecolor="#66ff33">
              <v:stroke dashstyle="solid"/>
            </v:line>
            <v:line style="position:absolute" from="4132,3149" to="4132,3483" stroked="true" strokeweight="1.092pt" strokecolor="#66ff33">
              <v:stroke dashstyle="solid"/>
            </v:line>
            <v:rect style="position:absolute;left:4158;top:3148;width:30;height:327" filled="true" fillcolor="#66ff33" stroked="false">
              <v:fill type="solid"/>
            </v:rect>
            <v:line style="position:absolute" from="4213,3149" to="4213,3513" stroked="true" strokeweight="1.092pt" strokecolor="#66ff33">
              <v:stroke dashstyle="solid"/>
            </v:line>
            <v:line style="position:absolute" from="4258,3149" to="4258,3491" stroked="true" strokeweight="1.152pt" strokecolor="#66ff33">
              <v:stroke dashstyle="solid"/>
            </v:line>
            <v:rect style="position:absolute;left:4284;top:3148;width:31;height:327" filled="true" fillcolor="#66ff33" stroked="false">
              <v:fill type="solid"/>
            </v:rect>
            <v:line style="position:absolute" from="4340,3149" to="4340,3468" stroked="true" strokeweight="1.152030pt" strokecolor="#66ff33">
              <v:stroke dashstyle="solid"/>
            </v:line>
            <v:line style="position:absolute" from="4385,3149" to="4385,3498" stroked="true" strokeweight="1.091970pt" strokecolor="#66ff33">
              <v:stroke dashstyle="solid"/>
            </v:line>
            <v:rect style="position:absolute;left:4411;top:3148;width:30;height:343" filled="true" fillcolor="#66ff33" stroked="false">
              <v:fill type="solid"/>
            </v:rect>
            <v:line style="position:absolute" from="4467,3149" to="4467,3461" stroked="true" strokeweight="1.092pt" strokecolor="#66ff33">
              <v:stroke dashstyle="solid"/>
            </v:line>
            <v:line style="position:absolute" from="4511,3149" to="4511,3491" stroked="true" strokeweight="1.092pt" strokecolor="#66ff33">
              <v:stroke dashstyle="solid"/>
            </v:line>
            <v:rect style="position:absolute;left:4537;top:3148;width:31;height:334" filled="true" fillcolor="#66ff33" stroked="false">
              <v:fill type="solid"/>
            </v:rect>
            <v:line style="position:absolute" from="4593,3149" to="4593,3483" stroked="true" strokeweight="1.152pt" strokecolor="#66ff33">
              <v:stroke dashstyle="solid"/>
            </v:line>
            <v:line style="position:absolute" from="4638,3149" to="4638,3498" stroked="true" strokeweight="1.152pt" strokecolor="#66ff33">
              <v:stroke dashstyle="solid"/>
            </v:line>
            <v:line style="position:absolute" from="4683,3149" to="4683,3475" stroked="true" strokeweight="1.092pt" strokecolor="#66ff33">
              <v:stroke dashstyle="solid"/>
            </v:line>
            <v:line style="position:absolute" from="4720,3149" to="4720,3491" stroked="true" strokeweight="1.092pt" strokecolor="#66ff33">
              <v:stroke dashstyle="solid"/>
            </v:line>
            <v:line style="position:absolute" from="4764,3149" to="4764,3505" stroked="true" strokeweight="1.092pt" strokecolor="#66ff33">
              <v:stroke dashstyle="solid"/>
            </v:line>
            <v:line style="position:absolute" from="4809,3149" to="4809,3454" stroked="true" strokeweight="1.092pt" strokecolor="#66ff33">
              <v:stroke dashstyle="solid"/>
            </v:line>
            <v:rect style="position:absolute;left:4834;top:3148;width:30;height:313" filled="true" fillcolor="#66ff33" stroked="false">
              <v:fill type="solid"/>
            </v:rect>
            <v:line style="position:absolute" from="4890,3149" to="4890,3564" stroked="true" strokeweight="1.092pt" strokecolor="#66ff33">
              <v:stroke dashstyle="solid"/>
            </v:line>
            <v:line style="position:absolute" from="4935,3149" to="4935,3780" stroked="true" strokeweight="1.152pt" strokecolor="#66ff33">
              <v:stroke dashstyle="solid"/>
            </v:line>
            <v:rect style="position:absolute;left:4960;top:3148;width:31;height:706" filled="true" fillcolor="#66ff33" stroked="false">
              <v:fill type="solid"/>
            </v:rect>
            <v:line style="position:absolute" from="5017,3149" to="5017,3766" stroked="true" strokeweight="1.152pt" strokecolor="#66ff33">
              <v:stroke dashstyle="solid"/>
            </v:line>
            <v:line style="position:absolute" from="5062,3149" to="5062,3669" stroked="true" strokeweight="1.092pt" strokecolor="#66ff33">
              <v:stroke dashstyle="solid"/>
            </v:line>
            <v:rect style="position:absolute;left:5088;top:3148;width:30;height:387" filled="true" fillcolor="#66ff33" stroked="false">
              <v:fill type="solid"/>
            </v:rect>
            <v:line style="position:absolute" from="5143,3149" to="5143,3520" stroked="true" strokeweight="1.092pt" strokecolor="#66ff33">
              <v:stroke dashstyle="solid"/>
            </v:line>
            <v:line style="position:absolute" from="5188,3149" to="5188,3580" stroked="true" strokeweight="1.092pt" strokecolor="#66ff33">
              <v:stroke dashstyle="solid"/>
            </v:line>
            <v:rect style="position:absolute;left:5214;top:3148;width:31;height:520" filled="true" fillcolor="#66ff33" stroked="false">
              <v:fill type="solid"/>
            </v:rect>
            <v:line style="position:absolute" from="5270,3149" to="5270,3720" stroked="true" strokeweight="1.152030pt" strokecolor="#66ff33">
              <v:stroke dashstyle="solid"/>
            </v:line>
            <v:line style="position:absolute" from="5314,3149" to="5314,3683" stroked="true" strokeweight="1.15197pt" strokecolor="#66ff33">
              <v:stroke dashstyle="solid"/>
            </v:line>
            <v:rect style="position:absolute;left:5340;top:3148;width:31;height:313" filled="true" fillcolor="#66ff33" stroked="false">
              <v:fill type="solid"/>
            </v:rect>
            <v:line style="position:absolute" from="5396,3149" to="5396,3587" stroked="true" strokeweight="1.152pt" strokecolor="#66ff33">
              <v:stroke dashstyle="solid"/>
            </v:line>
            <v:line style="position:absolute" from="5441,3149" to="5441,3654" stroked="true" strokeweight="1.092pt" strokecolor="#66ff33">
              <v:stroke dashstyle="solid"/>
            </v:line>
            <v:rect style="position:absolute;left:5467;top:3148;width:30;height:609" filled="true" fillcolor="#66ff33" stroked="false">
              <v:fill type="solid"/>
            </v:rect>
            <v:line style="position:absolute" from="5523,3149" to="5523,3646" stroked="true" strokeweight="1.091970pt" strokecolor="#66ff33">
              <v:stroke dashstyle="solid"/>
            </v:line>
            <v:line style="position:absolute" from="5567,3149" to="5567,3683" stroked="true" strokeweight="1.092pt" strokecolor="#66ff33">
              <v:stroke dashstyle="solid"/>
            </v:line>
            <v:rect style="position:absolute;left:5593;top:3148;width:31;height:520" filled="true" fillcolor="#66ff33" stroked="false">
              <v:fill type="solid"/>
            </v:rect>
            <v:line style="position:absolute" from="5649,3149" to="5649,3750" stroked="true" strokeweight="1.152pt" strokecolor="#66ff33">
              <v:stroke dashstyle="solid"/>
            </v:line>
            <v:line style="position:absolute" from="5694,3149" to="5694,3631" stroked="true" strokeweight="1.152pt" strokecolor="#66ff33">
              <v:stroke dashstyle="solid"/>
            </v:line>
            <v:line style="position:absolute" from="5739,3149" to="5739,3557" stroked="true" strokeweight="1.092pt" strokecolor="#66ff33">
              <v:stroke dashstyle="solid"/>
            </v:line>
            <v:line style="position:absolute" from="5776,3149" to="5776,3691" stroked="true" strokeweight="1.092pt" strokecolor="#66ff33">
              <v:stroke dashstyle="solid"/>
            </v:line>
            <v:line style="position:absolute" from="5820,3149" to="5820,3736" stroked="true" strokeweight="1.092pt" strokecolor="#66ff33">
              <v:stroke dashstyle="solid"/>
            </v:line>
            <v:line style="position:absolute" from="5865,3149" to="5865,3736" stroked="true" strokeweight="1.092pt" strokecolor="#66ff33">
              <v:stroke dashstyle="solid"/>
            </v:line>
            <v:line style="position:absolute" from="5902,3149" to="5902,3729" stroked="true" strokeweight="1.092pt" strokecolor="#66ff33">
              <v:stroke dashstyle="solid"/>
            </v:line>
            <v:line style="position:absolute" from="5947,3149" to="5947,3639" stroked="true" strokeweight="1.152pt" strokecolor="#66ff33">
              <v:stroke dashstyle="solid"/>
            </v:line>
            <v:line style="position:absolute" from="5991,3149" to="5991,3661" stroked="true" strokeweight="1.152pt" strokecolor="#66ff33">
              <v:stroke dashstyle="solid"/>
            </v:line>
            <v:rect style="position:absolute;left:6016;top:3148;width:31;height:439" filled="true" fillcolor="#66ff33" stroked="false">
              <v:fill type="solid"/>
            </v:rect>
            <v:line style="position:absolute" from="6073,3149" to="6073,3527" stroked="true" strokeweight="1.152pt" strokecolor="#66ff33">
              <v:stroke dashstyle="solid"/>
            </v:line>
            <v:line style="position:absolute" from="6118,3149" to="6118,3483" stroked="true" strokeweight="1.092pt" strokecolor="#66ff33">
              <v:stroke dashstyle="solid"/>
            </v:line>
            <v:rect style="position:absolute;left:6144;top:3148;width:30;height:306" filled="true" fillcolor="#66ff33" stroked="false">
              <v:fill type="solid"/>
            </v:rect>
            <v:line style="position:absolute" from="6199,3149" to="6199,3431" stroked="true" strokeweight="1.09203pt" strokecolor="#66ff33">
              <v:stroke dashstyle="solid"/>
            </v:line>
            <v:line style="position:absolute" from="6244,3149" to="6244,3468" stroked="true" strokeweight="1.091970pt" strokecolor="#66ff33">
              <v:stroke dashstyle="solid"/>
            </v:line>
            <v:rect style="position:absolute;left:6270;top:3148;width:31;height:379" filled="true" fillcolor="#66ff33" stroked="false">
              <v:fill type="solid"/>
            </v:rect>
            <v:line style="position:absolute" from="6326,3149" to="6326,3445" stroked="true" strokeweight="1.152pt" strokecolor="#66ff33">
              <v:stroke dashstyle="solid"/>
            </v:line>
            <v:rect style="position:absolute;left:6362;top:3130;width:16;height:22" filled="false" stroked="true" strokeweight=".372pt" strokecolor="#66ff33">
              <v:stroke dashstyle="solid"/>
            </v:rect>
            <v:rect style="position:absolute;left:6399;top:3100;width:23;height:52" filled="false" stroked="true" strokeweight=".372pt" strokecolor="#66ff33">
              <v:stroke dashstyle="solid"/>
            </v:rect>
            <v:rect style="position:absolute;left:6445;top:3078;width:15;height:75" filled="false" stroked="true" strokeweight=".372pt" strokecolor="#66ff33">
              <v:stroke dashstyle="solid"/>
            </v:rect>
            <v:rect style="position:absolute;left:6489;top:3063;width:15;height:89" filled="false" stroked="true" strokeweight=".372pt" strokecolor="#66ff33">
              <v:stroke dashstyle="solid"/>
            </v:rect>
            <v:rect style="position:absolute;left:6526;top:3085;width:22;height:68" filled="false" stroked="true" strokeweight=".372pt" strokecolor="#66ff33">
              <v:stroke dashstyle="solid"/>
            </v:rect>
            <v:rect style="position:absolute;left:6571;top:3108;width:15;height:45" filled="false" stroked="true" strokeweight=".372pt" strokecolor="#66ff33">
              <v:stroke dashstyle="solid"/>
            </v:rect>
            <v:rect style="position:absolute;left:6615;top:3108;width:15;height:45" filled="false" stroked="true" strokeweight=".372pt" strokecolor="#66ff33">
              <v:stroke dashstyle="solid"/>
            </v:rect>
            <v:rect style="position:absolute;left:6652;top:3115;width:23;height:38" filled="false" stroked="true" strokeweight=".372pt" strokecolor="#66ff33">
              <v:stroke dashstyle="solid"/>
            </v:rect>
            <v:rect style="position:absolute;left:6697;top:3145;width:16;height:8" filled="false" stroked="true" strokeweight=".372pt" strokecolor="#66ff33">
              <v:stroke dashstyle="solid"/>
            </v:rect>
            <v:rect style="position:absolute;left:6741;top:3152;width:16;height:30" filled="false" stroked="true" strokeweight=".372pt" strokecolor="#66ff33">
              <v:stroke dashstyle="solid"/>
            </v:rect>
            <v:line style="position:absolute" from="480,4147" to="480,175" stroked="true" strokeweight=".372pt" strokecolor="#868686">
              <v:stroke dashstyle="solid"/>
            </v:line>
            <v:line style="position:absolute" from="399,4147" to="480,4147" stroked="true" strokeweight=".372pt" strokecolor="#868686">
              <v:stroke dashstyle="solid"/>
            </v:line>
            <v:line style="position:absolute" from="399,3821" to="480,3821" stroked="true" strokeweight=".372pt" strokecolor="#868686">
              <v:stroke dashstyle="solid"/>
            </v:line>
            <v:line style="position:absolute" from="399,3487" to="480,3487" stroked="true" strokeweight=".372pt" strokecolor="#868686">
              <v:stroke dashstyle="solid"/>
            </v:line>
            <v:line style="position:absolute" from="399,3153" to="480,3153" stroked="true" strokeweight=".372pt" strokecolor="#868686">
              <v:stroke dashstyle="solid"/>
            </v:line>
            <v:line style="position:absolute" from="399,2826" to="480,2826" stroked="true" strokeweight=".372pt" strokecolor="#868686">
              <v:stroke dashstyle="solid"/>
            </v:line>
            <v:line style="position:absolute" from="399,2491" to="480,2491" stroked="true" strokeweight=".372pt" strokecolor="#868686">
              <v:stroke dashstyle="solid"/>
            </v:line>
            <v:line style="position:absolute" from="399,2158" to="480,2158" stroked="true" strokeweight=".372pt" strokecolor="#868686">
              <v:stroke dashstyle="solid"/>
            </v:line>
            <v:line style="position:absolute" from="399,1831" to="480,1831" stroked="true" strokeweight=".372pt" strokecolor="#868686">
              <v:stroke dashstyle="solid"/>
            </v:line>
            <v:line style="position:absolute" from="399,1497" to="480,1497" stroked="true" strokeweight=".372pt" strokecolor="#868686">
              <v:stroke dashstyle="solid"/>
            </v:line>
            <v:line style="position:absolute" from="399,1163" to="480,1163" stroked="true" strokeweight=".372pt" strokecolor="#868686">
              <v:stroke dashstyle="solid"/>
            </v:line>
            <v:line style="position:absolute" from="399,835" to="480,835" stroked="true" strokeweight=".372pt" strokecolor="#868686">
              <v:stroke dashstyle="solid"/>
            </v:line>
            <v:line style="position:absolute" from="399,502" to="480,502" stroked="true" strokeweight=".372pt" strokecolor="#868686">
              <v:stroke dashstyle="solid"/>
            </v:line>
            <v:line style="position:absolute" from="399,175" to="480,175" stroked="true" strokeweight=".372pt" strokecolor="#868686">
              <v:stroke dashstyle="solid"/>
            </v:line>
            <v:line style="position:absolute" from="480,3153" to="6772,3153" stroked="true" strokeweight=".372pt" strokecolor="#868686">
              <v:stroke dashstyle="solid"/>
            </v:line>
            <v:shape style="position:absolute;left:499;top:453;width:6248;height:2651" coordorigin="499,454" coordsize="6248,2651" path="m499,2644l544,2674,581,2473,625,2362,670,2541,707,2622,751,2725,796,2674,833,2525,879,2741,923,2695,960,2577,1005,2466,1049,2562,1086,2667,1131,2674,1176,2651,1221,2599,1258,2607,1302,2562,1347,2406,1384,2607,1428,2741,1473,2651,1510,2807,1555,2823,1600,2741,1637,2718,1681,2614,1726,2532,1763,2495,1807,2532,1853,2599,1889,2532,1935,2607,1979,2659,2016,2443,2061,2339,2105,2659,2142,2637,2187,2541,2232,2577,2269,2525,2314,2362,2358,2488,2403,2325,2440,2250,2484,2303,2529,2325,2566,2303,2611,2043,2656,2147,2693,2541,2737,2577,2782,2488,2819,2399,2863,2325,2909,2385,2946,2406,2991,2243,3035,2592,3072,2495,3117,2659,3161,2823,3370,2823,3414,2778,3451,2823,3875,2823,3919,2807,3965,2541,4002,2518,4047,2629,4091,2436,4128,2266,4173,2220,4217,2257,4254,2488,4300,2266,4344,2213,4381,2347,4426,2488,4470,2317,4507,2087,4552,2080,4596,2131,4633,1917,4679,1857,4723,1954,4768,2176,4805,2183,4849,1523,4894,1174,4931,1367,4977,1211,5021,1753,5058,1642,5103,876,5147,454,5184,973,5229,1174,5273,1523,5310,1552,5356,1159,5400,1374,5437,1567,5482,1507,5526,892,5563,729,5608,1241,5653,1589,5689,2176,5735,2273,5779,2064,5817,2176,5861,2073,5905,1954,5950,2266,5987,2169,6033,2310,6077,2488,6114,2541,6159,2429,6203,2385,6240,2385,6285,2243,6329,2376,6366,3045,6412,3075,6619,3075,6664,3089,6709,3105,6747,3053e" filled="false" stroked="true" strokeweight="1.487pt" strokecolor="#ff00ff">
              <v:path arrowok="t"/>
              <v:stroke dashstyle="solid"/>
            </v:shape>
            <v:shape style="position:absolute;left:499;top:810;width:6248;height:2288" coordorigin="499,810" coordsize="6248,2288" path="m499,2807l544,2844,581,2651,625,2585,670,2711,707,2793,751,2956,796,2837,833,2704,879,2934,923,2874,960,2755,1005,2681,1049,2755,1086,2830,1131,2860,1176,2874,1221,2815,1258,2830,1302,2800,1347,2637,1384,2851,1428,2949,1473,2897,1510,3016,1555,3075,1600,2979,1637,2970,1681,2860,1726,2785,1763,2748,1807,2785,1853,2860,1889,2785,1935,2867,1979,2889,2016,2704,2061,2585,2105,2934,2142,2874,2187,2770,2232,2830,2269,2763,2314,2614,2358,2851,2403,2711,2440,2525,2484,2488,2529,2651,2566,2622,2611,2362,2656,2488,2693,2881,2737,2904,2782,2823,2819,2725,2863,2659,2909,2718,2946,2741,2991,2555,3035,2926,3072,2785,3117,2970,3161,3075,3370,3075,3414,3045,3451,3075,3875,3075,3919,3067,3965,2860,4002,2837,4047,2963,4091,2755,4128,2585,4173,2541,4217,2614,4254,2823,4300,2585,4344,2525,4381,2688,4426,2823,4470,2614,4507,2422,4552,2406,4596,2458,4633,2257,4679,2176,4723,2295,4768,2525,4805,2473,4849,1827,4894,1582,4931,1991,4977,1901,5021,2362,5058,2147,5103,1248,5147,810,5184,1397,5229,1686,5273,2087,5310,2080,5356,1456,5400,1805,5437,2064,5482,2110,5526,1374,5563,1255,5608,1745,5653,2183,5689,2651,5735,2667,5779,2599,5817,2755,5905,2532,5950,2748,5987,2667,6033,2733,6077,2860,6114,2867,6159,2718,6203,2659,6240,2695,6285,2607,6329,2667,6366,3023,6412,3023,6456,3000,6493,2986,6538,3000,6582,3030,6619,3030,6664,3045,6709,3097,6747,3082e" filled="false" stroked="true" strokeweight="1.487pt" strokecolor="#0000ff">
              <v:path arrowok="t"/>
              <v:stroke dashstyle="solid"/>
            </v:shape>
            <v:line style="position:absolute" from="1249,454" to="1435,454" stroked="true" strokeweight="1.487pt" strokecolor="#ff00ff">
              <v:stroke dashstyle="solid"/>
            </v:line>
            <v:line style="position:absolute" from="1249,1107" to="1435,1107" stroked="true" strokeweight="1.487pt" strokecolor="#0000ff">
              <v:stroke dashstyle="solid"/>
            </v:line>
            <v:rect style="position:absolute;left:3;top:3;width:7266;height:4738" filled="false" stroked="true" strokeweight=".372pt" strokecolor="#868686">
              <v:stroke dashstyle="solid"/>
            </v:rect>
            <v:shape style="position:absolute;left:4449;top:3441;width:78;height:262" coordorigin="4450,3442" coordsize="78,262" path="m4489,3456l4485,3464,4485,3703,4493,3703,4493,3464,4489,3456xm4489,3442l4451,3507,4450,3509,4451,3511,4452,3513,4455,3514,4457,3511,4485,3464,4485,3450,4494,3450,4489,3442xm4494,3450l4493,3450,4493,3464,4521,3511,4522,3513,4524,3514,4525,3513,4528,3511,4528,3509,4527,3507,4494,3450xm4493,3450l4485,3450,4485,3464,4489,3456,4486,3451,4493,3451,4493,3450xm4493,3451l4492,3451,4489,3456,4493,3464,4493,3451xm4492,3451l4486,3451,4489,3456,4492,3451xe" filled="true" fillcolor="#000000" stroked="false">
              <v:path arrowok="t"/>
              <v:fill type="solid"/>
            </v:shape>
            <v:shape style="position:absolute;left:5328;top:4347;width:1351;height:238" type="#_x0000_t202" filled="false" stroked="false">
              <v:textbox inset="0,0,0,0">
                <w:txbxContent>
                  <w:p>
                    <w:pPr>
                      <w:tabs>
                        <w:tab w:pos="844" w:val="left" w:leader="none"/>
                      </w:tabs>
                      <w:spacing w:line="238" w:lineRule="exact" w:before="0"/>
                      <w:ind w:left="0" w:right="0" w:firstLine="0"/>
                      <w:jc w:val="left"/>
                      <w:rPr>
                        <w:rFonts w:ascii="Calibri"/>
                        <w:b/>
                        <w:sz w:val="23"/>
                      </w:rPr>
                    </w:pPr>
                    <w:r>
                      <w:rPr>
                        <w:rFonts w:ascii="Calibri"/>
                        <w:b/>
                        <w:w w:val="105"/>
                        <w:sz w:val="23"/>
                      </w:rPr>
                      <w:t>1990</w:t>
                      <w:tab/>
                      <w:t>2010</w:t>
                    </w:r>
                  </w:p>
                </w:txbxContent>
              </v:textbox>
              <w10:wrap type="none"/>
            </v:shape>
            <v:shape style="position:absolute;left:4485;top:4347;width:505;height:238" type="#_x0000_t202" filled="false" stroked="false">
              <v:textbox inset="0,0,0,0">
                <w:txbxContent>
                  <w:p>
                    <w:pPr>
                      <w:spacing w:line="238" w:lineRule="exact" w:before="0"/>
                      <w:ind w:left="0" w:right="0" w:firstLine="0"/>
                      <w:jc w:val="left"/>
                      <w:rPr>
                        <w:rFonts w:ascii="Calibri"/>
                        <w:b/>
                        <w:sz w:val="23"/>
                      </w:rPr>
                    </w:pPr>
                    <w:r>
                      <w:rPr>
                        <w:rFonts w:ascii="Calibri"/>
                        <w:b/>
                        <w:w w:val="105"/>
                        <w:sz w:val="23"/>
                      </w:rPr>
                      <w:t>1970</w:t>
                    </w:r>
                  </w:p>
                </w:txbxContent>
              </v:textbox>
              <w10:wrap type="none"/>
            </v:shape>
            <v:shape style="position:absolute;left:3640;top:4347;width:505;height:238" type="#_x0000_t202" filled="false" stroked="false">
              <v:textbox inset="0,0,0,0">
                <w:txbxContent>
                  <w:p>
                    <w:pPr>
                      <w:spacing w:line="238" w:lineRule="exact" w:before="0"/>
                      <w:ind w:left="0" w:right="0" w:firstLine="0"/>
                      <w:jc w:val="left"/>
                      <w:rPr>
                        <w:rFonts w:ascii="Calibri"/>
                        <w:b/>
                        <w:sz w:val="23"/>
                      </w:rPr>
                    </w:pPr>
                    <w:r>
                      <w:rPr>
                        <w:rFonts w:ascii="Calibri"/>
                        <w:b/>
                        <w:w w:val="105"/>
                        <w:sz w:val="23"/>
                      </w:rPr>
                      <w:t>1950</w:t>
                    </w:r>
                  </w:p>
                </w:txbxContent>
              </v:textbox>
              <w10:wrap type="none"/>
            </v:shape>
            <v:shape style="position:absolute;left:2795;top:4347;width:505;height:238" type="#_x0000_t202" filled="false" stroked="false">
              <v:textbox inset="0,0,0,0">
                <w:txbxContent>
                  <w:p>
                    <w:pPr>
                      <w:spacing w:line="238" w:lineRule="exact" w:before="0"/>
                      <w:ind w:left="0" w:right="0" w:firstLine="0"/>
                      <w:jc w:val="left"/>
                      <w:rPr>
                        <w:rFonts w:ascii="Calibri"/>
                        <w:b/>
                        <w:sz w:val="23"/>
                      </w:rPr>
                    </w:pPr>
                    <w:r>
                      <w:rPr>
                        <w:rFonts w:ascii="Calibri"/>
                        <w:b/>
                        <w:w w:val="105"/>
                        <w:sz w:val="23"/>
                      </w:rPr>
                      <w:t>1930</w:t>
                    </w:r>
                  </w:p>
                </w:txbxContent>
              </v:textbox>
              <w10:wrap type="none"/>
            </v:shape>
            <v:shape style="position:absolute;left:1950;top:4347;width:505;height:238" type="#_x0000_t202" filled="false" stroked="false">
              <v:textbox inset="0,0,0,0">
                <w:txbxContent>
                  <w:p>
                    <w:pPr>
                      <w:spacing w:line="238" w:lineRule="exact" w:before="0"/>
                      <w:ind w:left="0" w:right="0" w:firstLine="0"/>
                      <w:jc w:val="left"/>
                      <w:rPr>
                        <w:rFonts w:ascii="Calibri"/>
                        <w:b/>
                        <w:sz w:val="23"/>
                      </w:rPr>
                    </w:pPr>
                    <w:r>
                      <w:rPr>
                        <w:rFonts w:ascii="Calibri"/>
                        <w:b/>
                        <w:w w:val="105"/>
                        <w:sz w:val="23"/>
                      </w:rPr>
                      <w:t>1910</w:t>
                    </w:r>
                  </w:p>
                </w:txbxContent>
              </v:textbox>
              <w10:wrap type="none"/>
            </v:shape>
            <v:shape style="position:absolute;left:1105;top:4347;width:506;height:238" type="#_x0000_t202" filled="false" stroked="false">
              <v:textbox inset="0,0,0,0">
                <w:txbxContent>
                  <w:p>
                    <w:pPr>
                      <w:spacing w:line="238" w:lineRule="exact" w:before="0"/>
                      <w:ind w:left="0" w:right="0" w:firstLine="0"/>
                      <w:jc w:val="left"/>
                      <w:rPr>
                        <w:rFonts w:ascii="Calibri"/>
                        <w:b/>
                        <w:sz w:val="23"/>
                      </w:rPr>
                    </w:pPr>
                    <w:r>
                      <w:rPr>
                        <w:rFonts w:ascii="Calibri"/>
                        <w:b/>
                        <w:w w:val="105"/>
                        <w:sz w:val="23"/>
                      </w:rPr>
                      <w:t>1890</w:t>
                    </w:r>
                  </w:p>
                </w:txbxContent>
              </v:textbox>
              <w10:wrap type="none"/>
            </v:shape>
            <v:shape style="position:absolute;left:4160;top:3784;width:705;height:238" type="#_x0000_t202" filled="false" stroked="false">
              <v:textbox inset="0,0,0,0">
                <w:txbxContent>
                  <w:p>
                    <w:pPr>
                      <w:spacing w:line="238" w:lineRule="exact" w:before="0"/>
                      <w:ind w:left="0" w:right="0" w:firstLine="0"/>
                      <w:jc w:val="left"/>
                      <w:rPr>
                        <w:rFonts w:ascii="Calibri"/>
                        <w:b/>
                        <w:sz w:val="23"/>
                      </w:rPr>
                    </w:pPr>
                    <w:r>
                      <w:rPr>
                        <w:rFonts w:ascii="Calibri"/>
                        <w:b/>
                        <w:sz w:val="23"/>
                      </w:rPr>
                      <w:t>Spread</w:t>
                    </w:r>
                  </w:p>
                </w:txbxContent>
              </v:textbox>
              <w10:wrap type="none"/>
            </v:shape>
            <v:shape style="position:absolute;left:1460;top:997;width:2884;height:529" type="#_x0000_t202" filled="false" stroked="false">
              <v:textbox inset="0,0,0,0">
                <w:txbxContent>
                  <w:p>
                    <w:pPr>
                      <w:spacing w:line="240" w:lineRule="exact" w:before="0"/>
                      <w:ind w:left="0" w:right="0" w:firstLine="0"/>
                      <w:jc w:val="left"/>
                      <w:rPr>
                        <w:rFonts w:ascii="Calibri"/>
                        <w:b/>
                        <w:sz w:val="23"/>
                      </w:rPr>
                    </w:pPr>
                    <w:r>
                      <w:rPr>
                        <w:rFonts w:ascii="Calibri"/>
                        <w:b/>
                        <w:w w:val="105"/>
                        <w:sz w:val="23"/>
                      </w:rPr>
                      <w:t>Interest</w:t>
                    </w:r>
                    <w:r>
                      <w:rPr>
                        <w:rFonts w:ascii="Calibri"/>
                        <w:b/>
                        <w:spacing w:val="-16"/>
                        <w:w w:val="105"/>
                        <w:sz w:val="23"/>
                      </w:rPr>
                      <w:t> </w:t>
                    </w:r>
                    <w:r>
                      <w:rPr>
                        <w:rFonts w:ascii="Calibri"/>
                        <w:b/>
                        <w:w w:val="105"/>
                        <w:sz w:val="23"/>
                      </w:rPr>
                      <w:t>Rate</w:t>
                    </w:r>
                    <w:r>
                      <w:rPr>
                        <w:rFonts w:ascii="Calibri"/>
                        <w:b/>
                        <w:spacing w:val="-10"/>
                        <w:w w:val="105"/>
                        <w:sz w:val="23"/>
                      </w:rPr>
                      <w:t> </w:t>
                    </w:r>
                    <w:r>
                      <w:rPr>
                        <w:rFonts w:ascii="Calibri"/>
                        <w:b/>
                        <w:w w:val="105"/>
                        <w:sz w:val="23"/>
                      </w:rPr>
                      <w:t>on</w:t>
                    </w:r>
                    <w:r>
                      <w:rPr>
                        <w:rFonts w:ascii="Calibri"/>
                        <w:b/>
                        <w:spacing w:val="-16"/>
                        <w:w w:val="105"/>
                        <w:sz w:val="23"/>
                      </w:rPr>
                      <w:t> </w:t>
                    </w:r>
                    <w:r>
                      <w:rPr>
                        <w:rFonts w:ascii="Calibri"/>
                        <w:b/>
                        <w:w w:val="105"/>
                        <w:sz w:val="23"/>
                      </w:rPr>
                      <w:t>H'Hold</w:t>
                    </w:r>
                    <w:r>
                      <w:rPr>
                        <w:rFonts w:ascii="Calibri"/>
                        <w:b/>
                        <w:spacing w:val="-9"/>
                        <w:w w:val="105"/>
                        <w:sz w:val="23"/>
                      </w:rPr>
                      <w:t> </w:t>
                    </w:r>
                    <w:r>
                      <w:rPr>
                        <w:rFonts w:ascii="Calibri"/>
                        <w:b/>
                        <w:w w:val="105"/>
                        <w:sz w:val="23"/>
                      </w:rPr>
                      <w:t>Sight</w:t>
                    </w:r>
                  </w:p>
                  <w:p>
                    <w:pPr>
                      <w:spacing w:line="278" w:lineRule="exact" w:before="9"/>
                      <w:ind w:left="0" w:right="0" w:firstLine="0"/>
                      <w:jc w:val="left"/>
                      <w:rPr>
                        <w:rFonts w:ascii="Calibri"/>
                        <w:b/>
                        <w:sz w:val="23"/>
                      </w:rPr>
                    </w:pPr>
                    <w:r>
                      <w:rPr>
                        <w:rFonts w:ascii="Calibri"/>
                        <w:b/>
                        <w:w w:val="105"/>
                        <w:sz w:val="23"/>
                      </w:rPr>
                      <w:t>Deposits</w:t>
                    </w:r>
                  </w:p>
                </w:txbxContent>
              </v:textbox>
              <w10:wrap type="none"/>
            </v:shape>
            <v:shape style="position:absolute;left:1460;top:341;width:1547;height:238" type="#_x0000_t202" filled="false" stroked="false">
              <v:textbox inset="0,0,0,0">
                <w:txbxContent>
                  <w:p>
                    <w:pPr>
                      <w:spacing w:line="238" w:lineRule="exact" w:before="0"/>
                      <w:ind w:left="0" w:right="0" w:firstLine="0"/>
                      <w:jc w:val="left"/>
                      <w:rPr>
                        <w:rFonts w:ascii="Calibri"/>
                        <w:b/>
                        <w:sz w:val="23"/>
                      </w:rPr>
                    </w:pPr>
                    <w:r>
                      <w:rPr>
                        <w:rFonts w:ascii="Calibri"/>
                        <w:b/>
                        <w:w w:val="105"/>
                        <w:sz w:val="23"/>
                      </w:rPr>
                      <w:t>BoE Policy Rate</w:t>
                    </w:r>
                  </w:p>
                </w:txbxContent>
              </v:textbox>
              <w10:wrap type="none"/>
            </v:shape>
            <v:shape style="position:absolute;left:864;top:489;width:194;height:238" type="#_x0000_t202" filled="false" stroked="false">
              <v:textbox inset="0,0,0,0">
                <w:txbxContent>
                  <w:p>
                    <w:pPr>
                      <w:spacing w:line="238" w:lineRule="exact" w:before="0"/>
                      <w:ind w:left="0" w:right="0" w:firstLine="0"/>
                      <w:jc w:val="left"/>
                      <w:rPr>
                        <w:rFonts w:ascii="Calibri"/>
                        <w:b/>
                        <w:sz w:val="23"/>
                      </w:rPr>
                    </w:pPr>
                    <w:r>
                      <w:rPr>
                        <w:rFonts w:ascii="Calibri"/>
                        <w:b/>
                        <w:w w:val="103"/>
                        <w:sz w:val="23"/>
                      </w:rPr>
                      <w:t>%</w:t>
                    </w:r>
                  </w:p>
                </w:txbxContent>
              </v:textbox>
              <w10:wrap type="none"/>
            </v:shape>
            <v:shape style="position:absolute;left:18;top:60;width:748;height:4525" type="#_x0000_t202" filled="false" stroked="false">
              <v:textbox inset="0,0,0,0">
                <w:txbxContent>
                  <w:p>
                    <w:pPr>
                      <w:spacing w:line="240" w:lineRule="exact" w:before="0"/>
                      <w:ind w:left="0" w:right="505" w:firstLine="0"/>
                      <w:jc w:val="right"/>
                      <w:rPr>
                        <w:rFonts w:ascii="Calibri"/>
                        <w:b/>
                        <w:sz w:val="23"/>
                      </w:rPr>
                    </w:pPr>
                    <w:r>
                      <w:rPr>
                        <w:rFonts w:ascii="Calibri"/>
                        <w:b/>
                        <w:spacing w:val="-1"/>
                        <w:sz w:val="23"/>
                      </w:rPr>
                      <w:t>18</w:t>
                    </w:r>
                  </w:p>
                  <w:p>
                    <w:pPr>
                      <w:spacing w:before="50"/>
                      <w:ind w:left="0" w:right="505" w:firstLine="0"/>
                      <w:jc w:val="right"/>
                      <w:rPr>
                        <w:rFonts w:ascii="Calibri"/>
                        <w:b/>
                        <w:sz w:val="23"/>
                      </w:rPr>
                    </w:pPr>
                    <w:r>
                      <w:rPr>
                        <w:rFonts w:ascii="Calibri"/>
                        <w:b/>
                        <w:spacing w:val="-1"/>
                        <w:sz w:val="23"/>
                      </w:rPr>
                      <w:t>16</w:t>
                    </w:r>
                  </w:p>
                  <w:p>
                    <w:pPr>
                      <w:spacing w:before="52"/>
                      <w:ind w:left="0" w:right="505" w:firstLine="0"/>
                      <w:jc w:val="right"/>
                      <w:rPr>
                        <w:rFonts w:ascii="Calibri"/>
                        <w:b/>
                        <w:sz w:val="23"/>
                      </w:rPr>
                    </w:pPr>
                    <w:r>
                      <w:rPr>
                        <w:rFonts w:ascii="Calibri"/>
                        <w:b/>
                        <w:spacing w:val="-1"/>
                        <w:sz w:val="23"/>
                      </w:rPr>
                      <w:t>14</w:t>
                    </w:r>
                  </w:p>
                  <w:p>
                    <w:pPr>
                      <w:spacing w:before="50"/>
                      <w:ind w:left="0" w:right="505" w:firstLine="0"/>
                      <w:jc w:val="right"/>
                      <w:rPr>
                        <w:rFonts w:ascii="Calibri"/>
                        <w:b/>
                        <w:sz w:val="23"/>
                      </w:rPr>
                    </w:pPr>
                    <w:r>
                      <w:rPr>
                        <w:rFonts w:ascii="Calibri"/>
                        <w:b/>
                        <w:spacing w:val="-1"/>
                        <w:sz w:val="23"/>
                      </w:rPr>
                      <w:t>12</w:t>
                    </w:r>
                  </w:p>
                  <w:p>
                    <w:pPr>
                      <w:spacing w:before="51"/>
                      <w:ind w:left="0" w:right="505" w:firstLine="0"/>
                      <w:jc w:val="right"/>
                      <w:rPr>
                        <w:rFonts w:ascii="Calibri"/>
                        <w:b/>
                        <w:sz w:val="23"/>
                      </w:rPr>
                    </w:pPr>
                    <w:r>
                      <w:rPr>
                        <w:rFonts w:ascii="Calibri"/>
                        <w:b/>
                        <w:spacing w:val="-1"/>
                        <w:sz w:val="23"/>
                      </w:rPr>
                      <w:t>10</w:t>
                    </w:r>
                  </w:p>
                  <w:p>
                    <w:pPr>
                      <w:spacing w:before="50"/>
                      <w:ind w:left="0" w:right="504" w:firstLine="0"/>
                      <w:jc w:val="right"/>
                      <w:rPr>
                        <w:rFonts w:ascii="Calibri"/>
                        <w:b/>
                        <w:sz w:val="23"/>
                      </w:rPr>
                    </w:pPr>
                    <w:r>
                      <w:rPr>
                        <w:rFonts w:ascii="Calibri"/>
                        <w:b/>
                        <w:w w:val="103"/>
                        <w:sz w:val="23"/>
                      </w:rPr>
                      <w:t>8</w:t>
                    </w:r>
                  </w:p>
                  <w:p>
                    <w:pPr>
                      <w:spacing w:before="52"/>
                      <w:ind w:left="0" w:right="504" w:firstLine="0"/>
                      <w:jc w:val="right"/>
                      <w:rPr>
                        <w:rFonts w:ascii="Calibri"/>
                        <w:b/>
                        <w:sz w:val="23"/>
                      </w:rPr>
                    </w:pPr>
                    <w:r>
                      <w:rPr>
                        <w:rFonts w:ascii="Calibri"/>
                        <w:b/>
                        <w:w w:val="103"/>
                        <w:sz w:val="23"/>
                      </w:rPr>
                      <w:t>6</w:t>
                    </w:r>
                  </w:p>
                  <w:p>
                    <w:pPr>
                      <w:spacing w:before="50"/>
                      <w:ind w:left="0" w:right="504" w:firstLine="0"/>
                      <w:jc w:val="right"/>
                      <w:rPr>
                        <w:rFonts w:ascii="Calibri"/>
                        <w:b/>
                        <w:sz w:val="23"/>
                      </w:rPr>
                    </w:pPr>
                    <w:r>
                      <w:rPr>
                        <w:rFonts w:ascii="Calibri"/>
                        <w:b/>
                        <w:w w:val="103"/>
                        <w:sz w:val="23"/>
                      </w:rPr>
                      <w:t>4</w:t>
                    </w:r>
                  </w:p>
                  <w:p>
                    <w:pPr>
                      <w:spacing w:before="51"/>
                      <w:ind w:left="0" w:right="504" w:firstLine="0"/>
                      <w:jc w:val="right"/>
                      <w:rPr>
                        <w:rFonts w:ascii="Calibri"/>
                        <w:b/>
                        <w:sz w:val="23"/>
                      </w:rPr>
                    </w:pPr>
                    <w:r>
                      <w:rPr>
                        <w:rFonts w:ascii="Calibri"/>
                        <w:b/>
                        <w:w w:val="103"/>
                        <w:sz w:val="23"/>
                      </w:rPr>
                      <w:t>2</w:t>
                    </w:r>
                  </w:p>
                  <w:p>
                    <w:pPr>
                      <w:spacing w:before="50"/>
                      <w:ind w:left="0" w:right="504" w:firstLine="0"/>
                      <w:jc w:val="right"/>
                      <w:rPr>
                        <w:rFonts w:ascii="Calibri"/>
                        <w:b/>
                        <w:sz w:val="23"/>
                      </w:rPr>
                    </w:pPr>
                    <w:r>
                      <w:rPr>
                        <w:rFonts w:ascii="Calibri"/>
                        <w:b/>
                        <w:w w:val="103"/>
                        <w:sz w:val="23"/>
                      </w:rPr>
                      <w:t>0</w:t>
                    </w:r>
                  </w:p>
                  <w:p>
                    <w:pPr>
                      <w:spacing w:before="52"/>
                      <w:ind w:left="0" w:right="501" w:firstLine="0"/>
                      <w:jc w:val="right"/>
                      <w:rPr>
                        <w:rFonts w:ascii="Calibri" w:hAnsi="Calibri"/>
                        <w:b/>
                        <w:sz w:val="23"/>
                      </w:rPr>
                    </w:pPr>
                    <w:r>
                      <w:rPr>
                        <w:rFonts w:ascii="Calibri" w:hAnsi="Calibri"/>
                        <w:b/>
                        <w:sz w:val="23"/>
                      </w:rPr>
                      <w:t>‐2</w:t>
                    </w:r>
                  </w:p>
                  <w:p>
                    <w:pPr>
                      <w:spacing w:before="50"/>
                      <w:ind w:left="0" w:right="501" w:firstLine="0"/>
                      <w:jc w:val="right"/>
                      <w:rPr>
                        <w:rFonts w:ascii="Calibri" w:hAnsi="Calibri"/>
                        <w:b/>
                        <w:sz w:val="23"/>
                      </w:rPr>
                    </w:pPr>
                    <w:r>
                      <w:rPr>
                        <w:rFonts w:ascii="Calibri" w:hAnsi="Calibri"/>
                        <w:b/>
                        <w:sz w:val="23"/>
                      </w:rPr>
                      <w:t>‐4</w:t>
                    </w:r>
                  </w:p>
                  <w:p>
                    <w:pPr>
                      <w:spacing w:before="51"/>
                      <w:ind w:left="0" w:right="501" w:firstLine="0"/>
                      <w:jc w:val="right"/>
                      <w:rPr>
                        <w:rFonts w:ascii="Calibri" w:hAnsi="Calibri"/>
                        <w:b/>
                        <w:sz w:val="23"/>
                      </w:rPr>
                    </w:pPr>
                    <w:r>
                      <w:rPr>
                        <w:rFonts w:ascii="Calibri" w:hAnsi="Calibri"/>
                        <w:b/>
                        <w:sz w:val="23"/>
                      </w:rPr>
                      <w:t>‐6</w:t>
                    </w:r>
                  </w:p>
                  <w:p>
                    <w:pPr>
                      <w:spacing w:line="278" w:lineRule="exact" w:before="27"/>
                      <w:ind w:left="242" w:right="0" w:firstLine="0"/>
                      <w:jc w:val="left"/>
                      <w:rPr>
                        <w:rFonts w:ascii="Calibri"/>
                        <w:b/>
                        <w:sz w:val="23"/>
                      </w:rPr>
                    </w:pPr>
                    <w:r>
                      <w:rPr>
                        <w:rFonts w:ascii="Calibri"/>
                        <w:b/>
                        <w:w w:val="105"/>
                        <w:sz w:val="23"/>
                      </w:rPr>
                      <w:t>1870</w:t>
                    </w:r>
                  </w:p>
                </w:txbxContent>
              </v:textbox>
              <w10:wrap type="none"/>
            </v:shape>
          </v:group>
        </w:pict>
      </w:r>
      <w:r>
        <w:rPr/>
      </w:r>
    </w:p>
    <w:p>
      <w:pPr>
        <w:pStyle w:val="BodyText"/>
        <w:spacing w:before="7"/>
        <w:rPr>
          <w:b/>
          <w:sz w:val="24"/>
        </w:rPr>
      </w:pPr>
    </w:p>
    <w:p>
      <w:pPr>
        <w:spacing w:before="0"/>
        <w:ind w:left="574" w:right="0" w:firstLine="0"/>
        <w:jc w:val="left"/>
        <w:rPr>
          <w:sz w:val="16"/>
        </w:rPr>
      </w:pPr>
      <w:r>
        <w:rPr>
          <w:sz w:val="16"/>
        </w:rPr>
        <w:t>Source: Bank of England Millennium database, updated for 2017 and 2018.</w:t>
      </w:r>
    </w:p>
    <w:p>
      <w:pPr>
        <w:pStyle w:val="BodyText"/>
      </w:pPr>
    </w:p>
    <w:p>
      <w:pPr>
        <w:pStyle w:val="BodyText"/>
      </w:pPr>
    </w:p>
    <w:p>
      <w:pPr>
        <w:pStyle w:val="BodyText"/>
      </w:pPr>
    </w:p>
    <w:p>
      <w:pPr>
        <w:pStyle w:val="BodyText"/>
        <w:spacing w:before="6"/>
        <w:rPr>
          <w:sz w:val="27"/>
        </w:rPr>
      </w:pPr>
      <w:r>
        <w:rPr/>
        <w:pict>
          <v:shape style="position:absolute;margin-left:56.700001pt;margin-top:18.07209pt;width:144pt;height:.1pt;mso-position-horizontal-relative:page;mso-position-vertical-relative:paragraph;z-index:-251635712;mso-wrap-distance-left:0;mso-wrap-distance-right:0" coordorigin="1134,361" coordsize="2880,0" path="m1134,361l4014,361e" filled="false" stroked="true" strokeweight=".48pt" strokecolor="#000000">
            <v:path arrowok="t"/>
            <v:stroke dashstyle="solid"/>
            <w10:wrap type="topAndBottom"/>
          </v:shape>
        </w:pict>
      </w:r>
    </w:p>
    <w:p>
      <w:pPr>
        <w:spacing w:line="240" w:lineRule="auto" w:before="51"/>
        <w:ind w:left="573" w:right="703" w:firstLine="0"/>
        <w:jc w:val="left"/>
        <w:rPr>
          <w:sz w:val="16"/>
        </w:rPr>
      </w:pPr>
      <w:r>
        <w:rPr>
          <w:position w:val="6"/>
          <w:sz w:val="10"/>
        </w:rPr>
        <w:t>7 </w:t>
      </w:r>
      <w:r>
        <w:rPr>
          <w:sz w:val="16"/>
        </w:rPr>
        <w:t>Figures from the BoE Millennium database show that over the whole period since 1870, using annual average data, the interest rate on household sight deposits on average was 180bp below the BoE policy rate. Until the last few years, the sight deposit rate has never been above the policy rate. The closest the two series got was in 1877 and 1884, with sight deposit rates 100bp below the policy rate.</w:t>
      </w:r>
      <w:r>
        <w:rPr>
          <w:position w:val="6"/>
          <w:sz w:val="16"/>
        </w:rPr>
        <w:t> </w:t>
      </w:r>
      <w:r>
        <w:rPr>
          <w:position w:val="6"/>
          <w:sz w:val="10"/>
        </w:rPr>
        <w:t>8 </w:t>
      </w:r>
      <w:r>
        <w:rPr>
          <w:sz w:val="16"/>
        </w:rPr>
        <w:t>Over 2000-07, the average interest rate on sight deposits in the euro area was 210bp below the policy rate, with the average rate on deposits with a notice period up to 3 months 100bp below the policy rate. Sight deposit rates were at least 160bp below the ECB policy rate on average in every EA country over that period. Kok Sørensen and Werner (2006) discuss the variation across EA</w:t>
      </w:r>
      <w:r>
        <w:rPr>
          <w:spacing w:val="-16"/>
          <w:sz w:val="16"/>
        </w:rPr>
        <w:t> </w:t>
      </w:r>
      <w:r>
        <w:rPr>
          <w:sz w:val="16"/>
        </w:rPr>
        <w:t>countries.</w:t>
      </w:r>
    </w:p>
    <w:p>
      <w:pPr>
        <w:spacing w:line="180" w:lineRule="exact" w:before="0"/>
        <w:ind w:left="574" w:right="0" w:firstLine="0"/>
        <w:jc w:val="left"/>
        <w:rPr>
          <w:sz w:val="16"/>
        </w:rPr>
      </w:pPr>
      <w:r>
        <w:rPr>
          <w:position w:val="6"/>
          <w:sz w:val="10"/>
        </w:rPr>
        <w:t>9 </w:t>
      </w:r>
      <w:r>
        <w:rPr>
          <w:sz w:val="16"/>
        </w:rPr>
        <w:t>See minutes of MPC meeting of February 2009. The issue that negative rates on deposits might lead to a substantial withdrawal of</w:t>
      </w:r>
    </w:p>
    <w:p>
      <w:pPr>
        <w:spacing w:before="1"/>
        <w:ind w:left="573" w:right="0" w:firstLine="0"/>
        <w:jc w:val="left"/>
        <w:rPr>
          <w:sz w:val="16"/>
        </w:rPr>
      </w:pPr>
      <w:r>
        <w:rPr>
          <w:sz w:val="16"/>
        </w:rPr>
        <w:t>deposits in favour of cash is covered in Bean (2013).</w:t>
      </w:r>
    </w:p>
    <w:p>
      <w:pPr>
        <w:spacing w:after="0"/>
        <w:jc w:val="left"/>
        <w:rPr>
          <w:sz w:val="16"/>
        </w:rPr>
        <w:sectPr>
          <w:footerReference w:type="default" r:id="rId9"/>
          <w:pgSz w:w="11910" w:h="16840"/>
          <w:pgMar w:footer="1340" w:header="0" w:top="1540" w:bottom="1540" w:left="560" w:right="540"/>
        </w:sectPr>
      </w:pPr>
    </w:p>
    <w:p>
      <w:pPr>
        <w:pStyle w:val="BodyText"/>
        <w:spacing w:line="360" w:lineRule="auto" w:before="76"/>
        <w:ind w:left="574" w:right="633"/>
      </w:pPr>
      <w:r>
        <w:rPr/>
        <w:t>More recently, this congestion has unwound a bit as the policy rate has risen. Deposit rates have risen much less than one for one with the policy rate, and the spreads between deposit rates and the policy rate are returning towards ‘normal’.</w:t>
      </w:r>
    </w:p>
    <w:p>
      <w:pPr>
        <w:pStyle w:val="BodyText"/>
        <w:rPr>
          <w:sz w:val="30"/>
        </w:rPr>
      </w:pPr>
    </w:p>
    <w:p>
      <w:pPr>
        <w:pStyle w:val="BodyText"/>
        <w:spacing w:line="360" w:lineRule="auto"/>
        <w:ind w:left="573" w:right="624"/>
      </w:pPr>
      <w:r>
        <w:rPr/>
        <w:t>In some countries, there is evidence that pass-through from policy rates to household deposit and lending rates tends to be asymmetric with, for example, slower pass-through to deposit rates on the way up than on the way down (or faster pass-through to lending rates on the way up).</w:t>
      </w:r>
      <w:r>
        <w:rPr>
          <w:position w:val="7"/>
          <w:sz w:val="13"/>
        </w:rPr>
        <w:t>10 </w:t>
      </w:r>
      <w:r>
        <w:rPr/>
        <w:t>This disparity is not so evident in the UK, other than when deposit rates were constrained by an effective floor close to zero. And in any case, the issue is that pass-through in this cycle has been slower than prior rate rise cycles.</w:t>
      </w:r>
    </w:p>
    <w:p>
      <w:pPr>
        <w:pStyle w:val="BodyText"/>
        <w:spacing w:before="7"/>
        <w:rPr>
          <w:sz w:val="29"/>
        </w:rPr>
      </w:pPr>
    </w:p>
    <w:p>
      <w:pPr>
        <w:pStyle w:val="BodyText"/>
        <w:spacing w:line="360" w:lineRule="auto"/>
        <w:ind w:left="573" w:right="633"/>
        <w:rPr>
          <w:sz w:val="13"/>
        </w:rPr>
      </w:pPr>
      <w:r>
        <w:rPr/>
        <w:t>I don’t think this decline in pass-through is a sign that the household deposit market has become structurally less competitive than it used to be: pass-through also has been relatively low for companies’ sight deposit rates. And this is not unique to the UK. This compression of household interest rates as the policy rate fell close to zero occurred in various other countries, including the EA, Sweden, the US and Canada. Household interest rates have also been fairly insensitive to policy rate increases so far in Canada, the US and Czech Republic, where central bank rate hikes started earlier and have gone further than in the UK.</w:t>
      </w:r>
      <w:r>
        <w:rPr>
          <w:position w:val="7"/>
          <w:sz w:val="13"/>
        </w:rPr>
        <w:t>11</w:t>
      </w:r>
    </w:p>
    <w:p>
      <w:pPr>
        <w:pStyle w:val="BodyText"/>
      </w:pPr>
    </w:p>
    <w:p>
      <w:pPr>
        <w:spacing w:after="0"/>
        <w:sectPr>
          <w:footerReference w:type="default" r:id="rId10"/>
          <w:pgSz w:w="11910" w:h="16840"/>
          <w:pgMar w:footer="1340" w:header="0" w:top="1540" w:bottom="1540" w:left="560" w:right="540"/>
        </w:sectPr>
      </w:pPr>
    </w:p>
    <w:p>
      <w:pPr>
        <w:pStyle w:val="BodyText"/>
        <w:spacing w:before="3"/>
        <w:rPr>
          <w:sz w:val="19"/>
        </w:rPr>
      </w:pPr>
    </w:p>
    <w:p>
      <w:pPr>
        <w:pStyle w:val="Heading1"/>
        <w:spacing w:line="355" w:lineRule="auto" w:before="1"/>
        <w:ind w:right="19"/>
      </w:pPr>
      <w:r>
        <w:rPr/>
        <w:pict>
          <v:group style="position:absolute;margin-left:33.646999pt;margin-top:28.497177pt;width:260.5pt;height:176.5pt;mso-position-horizontal-relative:page;mso-position-vertical-relative:paragraph;z-index:-253565952" coordorigin="673,570" coordsize="5210,3530">
            <v:rect style="position:absolute;left:968;top:699;width:4703;height:2999" filled="false" stroked="true" strokeweight=".266pt" strokecolor="#000000">
              <v:stroke dashstyle="solid"/>
            </v:rect>
            <v:line style="position:absolute" from="968,3699" to="968,700" stroked="true" strokeweight=".266pt" strokecolor="#868686">
              <v:stroke dashstyle="solid"/>
            </v:line>
            <v:line style="position:absolute" from="910,3699" to="968,3699" stroked="true" strokeweight=".266pt" strokecolor="#868686">
              <v:stroke dashstyle="solid"/>
            </v:line>
            <v:line style="position:absolute" from="910,3274" to="968,3274" stroked="true" strokeweight=".266pt" strokecolor="#868686">
              <v:stroke dashstyle="solid"/>
            </v:line>
            <v:line style="position:absolute" from="910,2843" to="968,2843" stroked="true" strokeweight=".266pt" strokecolor="#868686">
              <v:stroke dashstyle="solid"/>
            </v:line>
            <v:line style="position:absolute" from="910,2412" to="968,2412" stroked="true" strokeweight=".266pt" strokecolor="#868686">
              <v:stroke dashstyle="solid"/>
            </v:line>
            <v:line style="position:absolute" from="910,1987" to="968,1987" stroked="true" strokeweight=".266pt" strokecolor="#868686">
              <v:stroke dashstyle="solid"/>
            </v:line>
            <v:line style="position:absolute" from="910,1557" to="968,1557" stroked="true" strokeweight=".266pt" strokecolor="#868686">
              <v:stroke dashstyle="solid"/>
            </v:line>
            <v:line style="position:absolute" from="910,1126" to="968,1126" stroked="true" strokeweight=".266pt" strokecolor="#868686">
              <v:stroke dashstyle="solid"/>
            </v:line>
            <v:line style="position:absolute" from="910,700" to="968,700" stroked="true" strokeweight=".266pt" strokecolor="#868686">
              <v:stroke dashstyle="solid"/>
            </v:line>
            <v:shape style="position:absolute;left:966;top:1117;width:4709;height:2584" type="#_x0000_t75" stroked="false">
              <v:imagedata r:id="rId11" o:title=""/>
            </v:shape>
            <v:line style="position:absolute" from="3336,897" to="3474,897" stroked="true" strokeweight="1.065pt" strokecolor="#0000ff">
              <v:stroke dashstyle="solid"/>
            </v:line>
            <v:rect style="position:absolute;left:675;top:572;width:5205;height:3525" filled="false" stroked="true" strokeweight=".266pt" strokecolor="#868686">
              <v:stroke dashstyle="solid"/>
            </v:rect>
            <v:shape style="position:absolute;left:724;top:2331;width:5135;height:1694" type="#_x0000_t202" filled="false" stroked="false">
              <v:textbox inset="0,0,0,0">
                <w:txbxContent>
                  <w:p>
                    <w:pPr>
                      <w:spacing w:line="178" w:lineRule="exact" w:before="0"/>
                      <w:ind w:left="0" w:right="0" w:firstLine="0"/>
                      <w:jc w:val="left"/>
                      <w:rPr>
                        <w:rFonts w:ascii="Calibri"/>
                        <w:b/>
                        <w:sz w:val="17"/>
                      </w:rPr>
                    </w:pPr>
                    <w:r>
                      <w:rPr>
                        <w:rFonts w:ascii="Calibri"/>
                        <w:b/>
                        <w:w w:val="100"/>
                        <w:sz w:val="17"/>
                      </w:rPr>
                      <w:t>3</w:t>
                    </w:r>
                  </w:p>
                  <w:p>
                    <w:pPr>
                      <w:spacing w:line="240" w:lineRule="auto" w:before="2"/>
                      <w:rPr>
                        <w:rFonts w:ascii="Calibri"/>
                        <w:b/>
                        <w:sz w:val="18"/>
                      </w:rPr>
                    </w:pPr>
                  </w:p>
                  <w:p>
                    <w:pPr>
                      <w:spacing w:before="0"/>
                      <w:ind w:left="0" w:right="0" w:firstLine="0"/>
                      <w:jc w:val="left"/>
                      <w:rPr>
                        <w:rFonts w:ascii="Calibri"/>
                        <w:b/>
                        <w:sz w:val="17"/>
                      </w:rPr>
                    </w:pPr>
                    <w:r>
                      <w:rPr>
                        <w:rFonts w:ascii="Calibri"/>
                        <w:b/>
                        <w:w w:val="100"/>
                        <w:sz w:val="17"/>
                      </w:rPr>
                      <w:t>2</w:t>
                    </w:r>
                  </w:p>
                  <w:p>
                    <w:pPr>
                      <w:spacing w:line="240" w:lineRule="auto" w:before="1"/>
                      <w:rPr>
                        <w:rFonts w:ascii="Calibri"/>
                        <w:b/>
                        <w:sz w:val="18"/>
                      </w:rPr>
                    </w:pPr>
                  </w:p>
                  <w:p>
                    <w:pPr>
                      <w:spacing w:before="0"/>
                      <w:ind w:left="0" w:right="0" w:firstLine="0"/>
                      <w:jc w:val="left"/>
                      <w:rPr>
                        <w:rFonts w:ascii="Calibri"/>
                        <w:b/>
                        <w:sz w:val="17"/>
                      </w:rPr>
                    </w:pPr>
                    <w:r>
                      <w:rPr>
                        <w:rFonts w:ascii="Calibri"/>
                        <w:b/>
                        <w:w w:val="100"/>
                        <w:sz w:val="17"/>
                      </w:rPr>
                      <w:t>1</w:t>
                    </w:r>
                  </w:p>
                  <w:p>
                    <w:pPr>
                      <w:spacing w:line="240" w:lineRule="auto" w:before="2"/>
                      <w:rPr>
                        <w:rFonts w:ascii="Calibri"/>
                        <w:b/>
                        <w:sz w:val="18"/>
                      </w:rPr>
                    </w:pPr>
                  </w:p>
                  <w:p>
                    <w:pPr>
                      <w:spacing w:before="1"/>
                      <w:ind w:left="0" w:right="0" w:firstLine="0"/>
                      <w:jc w:val="left"/>
                      <w:rPr>
                        <w:rFonts w:ascii="Calibri"/>
                        <w:b/>
                        <w:sz w:val="17"/>
                      </w:rPr>
                    </w:pPr>
                    <w:r>
                      <w:rPr>
                        <w:rFonts w:ascii="Calibri"/>
                        <w:b/>
                        <w:w w:val="100"/>
                        <w:sz w:val="17"/>
                      </w:rPr>
                      <w:t>0</w:t>
                    </w:r>
                  </w:p>
                  <w:p>
                    <w:pPr>
                      <w:spacing w:line="206" w:lineRule="exact" w:before="21"/>
                      <w:ind w:left="81" w:right="0" w:firstLine="0"/>
                      <w:jc w:val="left"/>
                      <w:rPr>
                        <w:rFonts w:ascii="Calibri"/>
                        <w:b/>
                        <w:sz w:val="17"/>
                      </w:rPr>
                    </w:pPr>
                    <w:r>
                      <w:rPr>
                        <w:rFonts w:ascii="Calibri"/>
                        <w:b/>
                        <w:sz w:val="17"/>
                      </w:rPr>
                      <w:t>1999 2001 2003 2005 2007 2009 2011 2013 2015 2017 2019</w:t>
                    </w:r>
                  </w:p>
                </w:txbxContent>
              </v:textbox>
              <w10:wrap type="none"/>
            </v:shape>
            <v:shape style="position:absolute;left:3490;top:1832;width:1904;height:177" type="#_x0000_t202" filled="false" stroked="false">
              <v:textbox inset="0,0,0,0">
                <w:txbxContent>
                  <w:p>
                    <w:pPr>
                      <w:spacing w:line="177" w:lineRule="exact" w:before="0"/>
                      <w:ind w:left="0" w:right="0" w:firstLine="0"/>
                      <w:jc w:val="left"/>
                      <w:rPr>
                        <w:rFonts w:ascii="Calibri"/>
                        <w:b/>
                        <w:sz w:val="17"/>
                      </w:rPr>
                    </w:pPr>
                    <w:r>
                      <w:rPr>
                        <w:rFonts w:ascii="Calibri"/>
                        <w:b/>
                        <w:sz w:val="17"/>
                      </w:rPr>
                      <w:t>New H'Hold Time Deposits</w:t>
                    </w:r>
                  </w:p>
                </w:txbxContent>
              </v:textbox>
              <w10:wrap type="none"/>
            </v:shape>
            <v:shape style="position:absolute;left:724;top:1902;width:107;height:177" type="#_x0000_t202" filled="false" stroked="false">
              <v:textbox inset="0,0,0,0">
                <w:txbxContent>
                  <w:p>
                    <w:pPr>
                      <w:spacing w:line="177" w:lineRule="exact" w:before="0"/>
                      <w:ind w:left="0" w:right="0" w:firstLine="0"/>
                      <w:jc w:val="left"/>
                      <w:rPr>
                        <w:rFonts w:ascii="Calibri"/>
                        <w:b/>
                        <w:sz w:val="17"/>
                      </w:rPr>
                    </w:pPr>
                    <w:r>
                      <w:rPr>
                        <w:rFonts w:ascii="Calibri"/>
                        <w:b/>
                        <w:w w:val="100"/>
                        <w:sz w:val="17"/>
                      </w:rPr>
                      <w:t>4</w:t>
                    </w:r>
                  </w:p>
                </w:txbxContent>
              </v:textbox>
              <w10:wrap type="none"/>
            </v:shape>
            <v:shape style="position:absolute;left:3490;top:1493;width:2149;height:177" type="#_x0000_t202" filled="false" stroked="false">
              <v:textbox inset="0,0,0,0">
                <w:txbxContent>
                  <w:p>
                    <w:pPr>
                      <w:spacing w:line="177" w:lineRule="exact" w:before="0"/>
                      <w:ind w:left="0" w:right="0" w:firstLine="0"/>
                      <w:jc w:val="left"/>
                      <w:rPr>
                        <w:rFonts w:ascii="Calibri"/>
                        <w:b/>
                        <w:sz w:val="17"/>
                      </w:rPr>
                    </w:pPr>
                    <w:r>
                      <w:rPr>
                        <w:rFonts w:ascii="Calibri"/>
                        <w:b/>
                        <w:sz w:val="17"/>
                      </w:rPr>
                      <w:t>Stock of H'Hold Time Deposits</w:t>
                    </w:r>
                  </w:p>
                </w:txbxContent>
              </v:textbox>
              <w10:wrap type="none"/>
            </v:shape>
            <v:shape style="position:absolute;left:724;top:1473;width:107;height:177" type="#_x0000_t202" filled="false" stroked="false">
              <v:textbox inset="0,0,0,0">
                <w:txbxContent>
                  <w:p>
                    <w:pPr>
                      <w:spacing w:line="177" w:lineRule="exact" w:before="0"/>
                      <w:ind w:left="0" w:right="0" w:firstLine="0"/>
                      <w:jc w:val="left"/>
                      <w:rPr>
                        <w:rFonts w:ascii="Calibri"/>
                        <w:b/>
                        <w:sz w:val="17"/>
                      </w:rPr>
                    </w:pPr>
                    <w:r>
                      <w:rPr>
                        <w:rFonts w:ascii="Calibri"/>
                        <w:b/>
                        <w:w w:val="100"/>
                        <w:sz w:val="17"/>
                      </w:rPr>
                      <w:t>5</w:t>
                    </w:r>
                  </w:p>
                </w:txbxContent>
              </v:textbox>
              <w10:wrap type="none"/>
            </v:shape>
            <v:shape style="position:absolute;left:3490;top:1155;width:1543;height:177" type="#_x0000_t202" filled="false" stroked="false">
              <v:textbox inset="0,0,0,0">
                <w:txbxContent>
                  <w:p>
                    <w:pPr>
                      <w:spacing w:line="177" w:lineRule="exact" w:before="0"/>
                      <w:ind w:left="0" w:right="0" w:firstLine="0"/>
                      <w:jc w:val="left"/>
                      <w:rPr>
                        <w:rFonts w:ascii="Calibri"/>
                        <w:b/>
                        <w:sz w:val="17"/>
                      </w:rPr>
                    </w:pPr>
                    <w:r>
                      <w:rPr>
                        <w:rFonts w:ascii="Calibri"/>
                        <w:b/>
                        <w:sz w:val="17"/>
                      </w:rPr>
                      <w:t>H'Hold Sight Deposits</w:t>
                    </w:r>
                  </w:p>
                </w:txbxContent>
              </v:textbox>
              <w10:wrap type="none"/>
            </v:shape>
            <v:shape style="position:absolute;left:724;top:1044;width:107;height:177" type="#_x0000_t202" filled="false" stroked="false">
              <v:textbox inset="0,0,0,0">
                <w:txbxContent>
                  <w:p>
                    <w:pPr>
                      <w:spacing w:line="177" w:lineRule="exact" w:before="0"/>
                      <w:ind w:left="0" w:right="0" w:firstLine="0"/>
                      <w:jc w:val="left"/>
                      <w:rPr>
                        <w:rFonts w:ascii="Calibri"/>
                        <w:b/>
                        <w:sz w:val="17"/>
                      </w:rPr>
                    </w:pPr>
                    <w:r>
                      <w:rPr>
                        <w:rFonts w:ascii="Calibri"/>
                        <w:b/>
                        <w:w w:val="100"/>
                        <w:sz w:val="17"/>
                      </w:rPr>
                      <w:t>6</w:t>
                    </w:r>
                  </w:p>
                </w:txbxContent>
              </v:textbox>
              <w10:wrap type="none"/>
            </v:shape>
            <v:shape style="position:absolute;left:3490;top:816;width:1114;height:177" type="#_x0000_t202" filled="false" stroked="false">
              <v:textbox inset="0,0,0,0">
                <w:txbxContent>
                  <w:p>
                    <w:pPr>
                      <w:spacing w:line="177" w:lineRule="exact" w:before="0"/>
                      <w:ind w:left="0" w:right="0" w:firstLine="0"/>
                      <w:jc w:val="left"/>
                      <w:rPr>
                        <w:rFonts w:ascii="Calibri"/>
                        <w:b/>
                        <w:sz w:val="17"/>
                      </w:rPr>
                    </w:pPr>
                    <w:r>
                      <w:rPr>
                        <w:rFonts w:ascii="Calibri"/>
                        <w:b/>
                        <w:sz w:val="17"/>
                      </w:rPr>
                      <w:t>BoE Policy Rate</w:t>
                    </w:r>
                  </w:p>
                </w:txbxContent>
              </v:textbox>
              <w10:wrap type="none"/>
            </v:shape>
            <v:shape style="position:absolute;left:1095;top:840;width:145;height:177" type="#_x0000_t202" filled="false" stroked="false">
              <v:textbox inset="0,0,0,0">
                <w:txbxContent>
                  <w:p>
                    <w:pPr>
                      <w:spacing w:line="177" w:lineRule="exact" w:before="0"/>
                      <w:ind w:left="0" w:right="0" w:firstLine="0"/>
                      <w:jc w:val="left"/>
                      <w:rPr>
                        <w:rFonts w:ascii="Calibri"/>
                        <w:b/>
                        <w:sz w:val="17"/>
                      </w:rPr>
                    </w:pPr>
                    <w:r>
                      <w:rPr>
                        <w:rFonts w:ascii="Calibri"/>
                        <w:b/>
                        <w:w w:val="100"/>
                        <w:sz w:val="17"/>
                      </w:rPr>
                      <w:t>%</w:t>
                    </w:r>
                  </w:p>
                </w:txbxContent>
              </v:textbox>
              <w10:wrap type="none"/>
            </v:shape>
            <v:shape style="position:absolute;left:724;top:615;width:107;height:177" type="#_x0000_t202" filled="false" stroked="false">
              <v:textbox inset="0,0,0,0">
                <w:txbxContent>
                  <w:p>
                    <w:pPr>
                      <w:spacing w:line="177" w:lineRule="exact" w:before="0"/>
                      <w:ind w:left="0" w:right="0" w:firstLine="0"/>
                      <w:jc w:val="left"/>
                      <w:rPr>
                        <w:rFonts w:ascii="Calibri"/>
                        <w:b/>
                        <w:sz w:val="17"/>
                      </w:rPr>
                    </w:pPr>
                    <w:r>
                      <w:rPr>
                        <w:rFonts w:ascii="Calibri"/>
                        <w:b/>
                        <w:w w:val="100"/>
                        <w:sz w:val="17"/>
                      </w:rPr>
                      <w:t>7</w:t>
                    </w:r>
                  </w:p>
                </w:txbxContent>
              </v:textbox>
              <w10:wrap type="none"/>
            </v:shape>
            <w10:wrap type="none"/>
          </v:group>
        </w:pict>
      </w:r>
      <w:r>
        <w:rPr/>
        <w:t>Figure 4. UK – Policy Rate and Household Deposit Rates, 1999-2019</w:t>
      </w:r>
    </w:p>
    <w:p>
      <w:pPr>
        <w:pStyle w:val="BodyText"/>
        <w:spacing w:before="3"/>
        <w:rPr>
          <w:b/>
          <w:sz w:val="19"/>
        </w:rPr>
      </w:pPr>
      <w:r>
        <w:rPr/>
        <w:br w:type="column"/>
      </w:r>
      <w:r>
        <w:rPr>
          <w:b/>
          <w:sz w:val="19"/>
        </w:rPr>
      </w:r>
    </w:p>
    <w:p>
      <w:pPr>
        <w:spacing w:line="355" w:lineRule="auto" w:before="1"/>
        <w:ind w:left="114" w:right="827" w:firstLine="0"/>
        <w:jc w:val="left"/>
        <w:rPr>
          <w:b/>
          <w:sz w:val="20"/>
        </w:rPr>
      </w:pPr>
      <w:r>
        <w:rPr/>
        <w:pict>
          <v:group style="position:absolute;margin-left:305.446991pt;margin-top:28.497177pt;width:259.75pt;height:176.5pt;mso-position-horizontal-relative:page;mso-position-vertical-relative:paragraph;z-index:-253555712" coordorigin="6109,570" coordsize="5195,3530">
            <v:rect style="position:absolute;left:6403;top:699;width:4696;height:2956" filled="false" stroked="true" strokeweight=".266pt" strokecolor="#000000">
              <v:stroke dashstyle="solid"/>
            </v:rect>
            <v:line style="position:absolute" from="6403,3655" to="6403,700" stroked="true" strokeweight=".266pt" strokecolor="#868686">
              <v:stroke dashstyle="solid"/>
            </v:line>
            <v:line style="position:absolute" from="6346,3655" to="6403,3655" stroked="true" strokeweight=".266pt" strokecolor="#868686">
              <v:stroke dashstyle="solid"/>
            </v:line>
            <v:line style="position:absolute" from="6346,3235" to="6403,3235" stroked="true" strokeweight=".266pt" strokecolor="#868686">
              <v:stroke dashstyle="solid"/>
            </v:line>
            <v:line style="position:absolute" from="6346,2809" to="6403,2809" stroked="true" strokeweight=".266pt" strokecolor="#868686">
              <v:stroke dashstyle="solid"/>
            </v:line>
            <v:line style="position:absolute" from="6346,2391" to="6403,2391" stroked="true" strokeweight=".266pt" strokecolor="#868686">
              <v:stroke dashstyle="solid"/>
            </v:line>
            <v:line style="position:absolute" from="6346,1965" to="6403,1965" stroked="true" strokeweight=".266pt" strokecolor="#868686">
              <v:stroke dashstyle="solid"/>
            </v:line>
            <v:line style="position:absolute" from="6346,1545" to="6403,1545" stroked="true" strokeweight=".266pt" strokecolor="#868686">
              <v:stroke dashstyle="solid"/>
            </v:line>
            <v:line style="position:absolute" from="6346,1120" to="6403,1120" stroked="true" strokeweight=".266pt" strokecolor="#868686">
              <v:stroke dashstyle="solid"/>
            </v:line>
            <v:line style="position:absolute" from="6346,700" to="6403,700" stroked="true" strokeweight=".266pt" strokecolor="#868686">
              <v:stroke dashstyle="solid"/>
            </v:line>
            <v:line style="position:absolute" from="6403,3655" to="11099,3655" stroked="true" strokeweight=".266pt" strokecolor="#868686">
              <v:stroke dashstyle="solid"/>
            </v:line>
            <v:shape style="position:absolute;left:6411;top:1227;width:4659;height:2325" coordorigin="6412,1228" coordsize="4659,2325" path="m6412,1542l6427,1542,6449,1648,6470,1648,6486,1752,6587,1752,6602,1648,6640,1648,6661,1542,6683,1438,6698,1438,6720,1228,6858,1228,6874,1332,6895,1332,6911,1542,6932,1648,6953,1752,6970,1752,6990,1863,7012,1968,7027,2177,7049,2493,7070,2707,7086,2707,7108,2813,7145,2813,7165,2707,7182,2707,7202,2603,7224,2493,7240,2493,7265,2493,7291,2493,7316,2493,7342,2493,7357,2493,7379,2387,7394,2283,7436,2283,7452,2387,7474,2387,7495,2493,7554,2493,7570,2603,7591,2603,7607,2707,7628,2813,7708,2813,7723,2707,7745,2603,7936,2603,7957,2493,7979,2387,7994,2387,8016,2283,8036,2177,8053,2177,8074,2073,8090,1968,8111,1863,8132,1863,8185,1863,8239,1863,8292,1863,8345,1863,8360,1863,8382,1752,8461,1752,8478,1863,8498,1968,8520,1968,8536,2177,8557,2387,8653,2387,8674,2707,8690,2707,8711,3023,8732,3233,8748,3233,8770,3448,8785,3552,8807,3552,8860,3552,8913,3552,8966,3552,9019,3552,9041,3552,9056,3448,9078,3343,9100,3343,9115,3233,10103,3233,10124,3343,10219,3343,10236,3448,10256,3448,10681,3448,10703,3343,10718,3343,10740,3233,10799,3233,10819,3127,10915,3127,10931,3023,10974,3023,10990,2917,11070,2917e" filled="false" stroked="true" strokeweight="1.062pt" strokecolor="#0000ff">
              <v:path arrowok="t"/>
              <v:stroke dashstyle="solid"/>
            </v:shape>
            <v:shape style="position:absolute;left:6411;top:2094;width:4659;height:1542" coordorigin="6412,2094" coordsize="4659,1542" path="m6412,2365l6449,2365,6470,2476,6486,2559,6508,2493,6565,2493,6587,2387,6661,2387,6683,2349,6698,2349,6720,2094,6858,2094,6874,2221,6895,2260,6911,2454,6932,2454,6953,2514,6970,2493,6990,2493,7012,2707,7027,3023,7049,3233,7070,3299,7086,3299,7108,3403,7123,3382,7165,3382,7182,3343,7240,3343,7261,3193,7283,3193,7554,3193,7570,3255,7591,3255,7607,3343,7628,3343,7957,3343,7979,3299,7994,3255,8036,3255,8053,3000,8090,3000,8111,2769,8148,2769,8170,2813,8191,2813,8215,2813,8239,2813,8262,2813,8286,2813,8303,2813,8323,2769,8382,2769,8404,2730,8441,2730,8461,2813,8498,2813,8520,2896,8536,3000,8653,3000,8674,3106,8690,3106,8711,3343,8732,3486,8748,3552,8770,3636,8785,3636,8858,3636,8932,3636,9005,3636,9078,3636,9100,3636,9115,3448,9328,3448,9349,3509,9370,3469,9386,3469,9425,3469,9463,3469,9502,3469,9540,3469,9562,3469,9582,3426,10103,3426,10124,3636,10219,3636,10236,3613,10256,3613,10894,3613,10915,3636,11048,3636,11070,3636e" filled="false" stroked="true" strokeweight="1.062pt" strokecolor="#ff00ff">
              <v:path arrowok="t"/>
              <v:stroke dashstyle="solid"/>
            </v:shape>
            <v:shape style="position:absolute;left:6411;top:1509;width:4659;height:2032" coordorigin="6412,1510" coordsize="4659,2032" path="m6412,2166l6427,2166,6449,2079,6470,2205,6486,2272,6508,2039,6528,2062,6545,1824,6565,2062,6587,1869,6624,1869,6640,1763,6661,1763,6683,1719,6698,1719,6720,1510,6740,1593,6757,1659,6836,1659,6858,1846,6874,2079,6895,2079,6911,2316,6932,2316,6953,2355,6970,2316,6990,2316,7012,2525,7027,2862,7049,3055,7070,3138,7086,3138,7108,3265,7123,3161,7145,3161,7165,3034,7182,3034,7202,2862,7224,2862,7436,2862,7452,2968,7495,2968,7511,3055,7554,3055,7570,3161,7591,3161,7607,3265,7628,3265,7649,3199,7666,3117,7686,3161,7708,3244,7723,3138,7745,3072,7766,3011,7782,3055,7819,3055,7841,2968,7861,3034,7878,3034,7898,3117,7957,3117,7979,2907,7994,2802,8036,2802,8053,2548,8090,2548,8111,2355,8148,2355,8170,2421,8191,2437,8207,2437,8228,2482,8249,2525,8266,2525,8286,2399,8303,2459,8323,2459,8345,2399,8360,2332,8382,2272,8404,2355,8419,2332,8441,2332,8461,2437,8478,2437,8498,2565,8520,2652,8536,2841,8573,2841,8594,2758,8653,2758,8674,2907,8690,2907,8711,3199,8732,3221,8748,3288,8770,3497,8785,3541,8807,3541,8851,3541,8894,3541,8938,3541,8982,3541,8998,3541,9019,3343,9041,3393,9056,3288,9078,3393,9157,3393,9173,3172,9269,3172,9290,3244,9312,3244,9328,3393,9349,3393,9370,3233,9386,3233,9407,3172,9481,3172,9503,3327,9524,3106,9540,3327,9562,3327,9644,3327,9726,3327,9808,3327,9890,3327,9912,3327,9928,3106,9949,3106,9965,3327,9986,3327,10007,3106,10103,3106,10124,3233,10140,3327,10177,3327,10199,3288,10219,3288,10236,3299,10256,3354,10294,3354,10315,3299,10337,3299,10375,3299,10414,3299,10452,3299,10490,3299,10506,3299,10528,3348,10644,3348,10661,3354,10819,3354,10836,3348,10931,3348,10952,3199,10990,3199,11011,3106,11070,3106e" filled="false" stroked="true" strokeweight="1.062pt" strokecolor="#66ff33">
              <v:path arrowok="t"/>
              <v:stroke dashstyle="solid"/>
            </v:shape>
            <v:line style="position:absolute" from="6964,869" to="7097,869" stroked="true" strokeweight="1.062pt" strokecolor="#0000ff">
              <v:stroke dashstyle="solid"/>
            </v:line>
            <v:line style="position:absolute" from="6964,1537" to="7097,1537" stroked="true" strokeweight="1.062pt" strokecolor="#66ff33">
              <v:stroke dashstyle="solid"/>
            </v:line>
            <v:rect style="position:absolute;left:6111;top:572;width:5189;height:3525" filled="false" stroked="true" strokeweight=".266pt" strokecolor="#868686">
              <v:stroke dashstyle="solid"/>
            </v:rect>
            <v:shape style="position:absolute;left:10711;top:2694;width:456;height:1066" coordorigin="10711,2694" coordsize="456,1066" path="m10711,2773l10717,2742,10733,2717,10757,2700,10787,2694,11092,2694,11121,2700,11145,2717,11161,2742,11167,2773,11167,3681,11161,3712,11145,3737,11121,3754,11092,3760,10787,3760,10757,3754,10733,3737,10717,3712,10711,3681,10711,2773xe" filled="false" stroked="true" strokeweight=".266pt" strokecolor="#000000">
              <v:path arrowok="t"/>
              <v:stroke dashstyle="solid"/>
            </v:shape>
            <v:shape style="position:absolute;left:10294;top:2471;width:381;height:231" type="#_x0000_t75" stroked="false">
              <v:imagedata r:id="rId12" o:title=""/>
            </v:shape>
            <v:shape style="position:absolute;left:6159;top:2729;width:5088;height:1254" type="#_x0000_t202" filled="false" stroked="false">
              <v:textbox inset="0,0,0,0">
                <w:txbxContent>
                  <w:p>
                    <w:pPr>
                      <w:spacing w:line="178" w:lineRule="exact" w:before="0"/>
                      <w:ind w:left="0" w:right="0" w:firstLine="0"/>
                      <w:jc w:val="left"/>
                      <w:rPr>
                        <w:rFonts w:ascii="Calibri"/>
                        <w:b/>
                        <w:sz w:val="17"/>
                      </w:rPr>
                    </w:pPr>
                    <w:r>
                      <w:rPr>
                        <w:rFonts w:ascii="Calibri"/>
                        <w:b/>
                        <w:w w:val="99"/>
                        <w:sz w:val="17"/>
                      </w:rPr>
                      <w:t>2</w:t>
                    </w:r>
                  </w:p>
                  <w:p>
                    <w:pPr>
                      <w:spacing w:line="240" w:lineRule="auto" w:before="8"/>
                      <w:rPr>
                        <w:rFonts w:ascii="Calibri"/>
                        <w:b/>
                        <w:sz w:val="17"/>
                      </w:rPr>
                    </w:pPr>
                  </w:p>
                  <w:p>
                    <w:pPr>
                      <w:spacing w:before="0"/>
                      <w:ind w:left="0" w:right="0" w:firstLine="0"/>
                      <w:jc w:val="left"/>
                      <w:rPr>
                        <w:rFonts w:ascii="Calibri"/>
                        <w:b/>
                        <w:sz w:val="17"/>
                      </w:rPr>
                    </w:pPr>
                    <w:r>
                      <w:rPr>
                        <w:rFonts w:ascii="Calibri"/>
                        <w:b/>
                        <w:w w:val="99"/>
                        <w:sz w:val="17"/>
                      </w:rPr>
                      <w:t>1</w:t>
                    </w:r>
                  </w:p>
                  <w:p>
                    <w:pPr>
                      <w:spacing w:line="240" w:lineRule="auto" w:before="7"/>
                      <w:rPr>
                        <w:rFonts w:ascii="Calibri"/>
                        <w:b/>
                        <w:sz w:val="17"/>
                      </w:rPr>
                    </w:pPr>
                  </w:p>
                  <w:p>
                    <w:pPr>
                      <w:spacing w:before="1"/>
                      <w:ind w:left="0" w:right="0" w:firstLine="0"/>
                      <w:jc w:val="left"/>
                      <w:rPr>
                        <w:rFonts w:ascii="Calibri"/>
                        <w:b/>
                        <w:sz w:val="17"/>
                      </w:rPr>
                    </w:pPr>
                    <w:r>
                      <w:rPr>
                        <w:rFonts w:ascii="Calibri"/>
                        <w:b/>
                        <w:w w:val="99"/>
                        <w:sz w:val="17"/>
                      </w:rPr>
                      <w:t>0</w:t>
                    </w:r>
                  </w:p>
                  <w:p>
                    <w:pPr>
                      <w:spacing w:line="206" w:lineRule="exact" w:before="23"/>
                      <w:ind w:left="81" w:right="0" w:firstLine="0"/>
                      <w:jc w:val="left"/>
                      <w:rPr>
                        <w:rFonts w:ascii="Calibri"/>
                        <w:b/>
                        <w:sz w:val="17"/>
                      </w:rPr>
                    </w:pPr>
                    <w:r>
                      <w:rPr>
                        <w:rFonts w:ascii="Calibri"/>
                        <w:b/>
                        <w:sz w:val="17"/>
                      </w:rPr>
                      <w:t>1999 2001 2003 2005 2007 2009 2011 2013 2015 2017 2019</w:t>
                    </w:r>
                  </w:p>
                </w:txbxContent>
              </v:textbox>
              <w10:wrap type="none"/>
            </v:shape>
            <v:shape style="position:absolute;left:9363;top:1846;width:1514;height:829" type="#_x0000_t202" filled="false" stroked="false">
              <v:textbox inset="0,0,0,0">
                <w:txbxContent>
                  <w:p>
                    <w:pPr>
                      <w:spacing w:line="178" w:lineRule="exact" w:before="0"/>
                      <w:ind w:left="0" w:right="0" w:firstLine="0"/>
                      <w:jc w:val="left"/>
                      <w:rPr>
                        <w:rFonts w:ascii="Calibri"/>
                        <w:b/>
                        <w:sz w:val="17"/>
                      </w:rPr>
                    </w:pPr>
                    <w:r>
                      <w:rPr>
                        <w:rFonts w:ascii="Calibri"/>
                        <w:b/>
                        <w:sz w:val="17"/>
                      </w:rPr>
                      <w:t>Household interest</w:t>
                    </w:r>
                  </w:p>
                  <w:p>
                    <w:pPr>
                      <w:spacing w:line="249" w:lineRule="auto" w:before="13"/>
                      <w:ind w:left="0" w:right="-5" w:firstLine="0"/>
                      <w:jc w:val="left"/>
                      <w:rPr>
                        <w:rFonts w:ascii="Calibri"/>
                        <w:b/>
                        <w:sz w:val="17"/>
                      </w:rPr>
                    </w:pPr>
                    <w:r>
                      <w:rPr>
                        <w:rFonts w:ascii="Calibri"/>
                        <w:b/>
                        <w:sz w:val="17"/>
                      </w:rPr>
                      <w:t>rates have not fully matched rising policy rate</w:t>
                    </w:r>
                  </w:p>
                </w:txbxContent>
              </v:textbox>
              <w10:wrap type="none"/>
            </v:shape>
            <v:shape style="position:absolute;left:6159;top:1883;width:107;height:601" type="#_x0000_t202" filled="false" stroked="false">
              <v:textbox inset="0,0,0,0">
                <w:txbxContent>
                  <w:p>
                    <w:pPr>
                      <w:spacing w:line="178" w:lineRule="exact" w:before="0"/>
                      <w:ind w:left="0" w:right="0" w:firstLine="0"/>
                      <w:jc w:val="left"/>
                      <w:rPr>
                        <w:rFonts w:ascii="Calibri"/>
                        <w:b/>
                        <w:sz w:val="17"/>
                      </w:rPr>
                    </w:pPr>
                    <w:r>
                      <w:rPr>
                        <w:rFonts w:ascii="Calibri"/>
                        <w:b/>
                        <w:w w:val="99"/>
                        <w:sz w:val="17"/>
                      </w:rPr>
                      <w:t>4</w:t>
                    </w:r>
                  </w:p>
                  <w:p>
                    <w:pPr>
                      <w:spacing w:line="240" w:lineRule="auto" w:before="8"/>
                      <w:rPr>
                        <w:rFonts w:ascii="Calibri"/>
                        <w:b/>
                        <w:sz w:val="17"/>
                      </w:rPr>
                    </w:pPr>
                  </w:p>
                  <w:p>
                    <w:pPr>
                      <w:spacing w:line="206" w:lineRule="exact" w:before="0"/>
                      <w:ind w:left="0" w:right="0" w:firstLine="0"/>
                      <w:jc w:val="left"/>
                      <w:rPr>
                        <w:rFonts w:ascii="Calibri"/>
                        <w:b/>
                        <w:sz w:val="17"/>
                      </w:rPr>
                    </w:pPr>
                    <w:r>
                      <w:rPr>
                        <w:rFonts w:ascii="Calibri"/>
                        <w:b/>
                        <w:w w:val="99"/>
                        <w:sz w:val="17"/>
                      </w:rPr>
                      <w:t>3</w:t>
                    </w:r>
                  </w:p>
                </w:txbxContent>
              </v:textbox>
              <w10:wrap type="none"/>
            </v:shape>
            <v:shape style="position:absolute;left:7114;top:1121;width:2437;height:513" type="#_x0000_t202" filled="false" stroked="false">
              <v:textbox inset="0,0,0,0">
                <w:txbxContent>
                  <w:p>
                    <w:pPr>
                      <w:spacing w:line="178" w:lineRule="exact" w:before="0"/>
                      <w:ind w:left="0" w:right="0" w:firstLine="0"/>
                      <w:jc w:val="left"/>
                      <w:rPr>
                        <w:rFonts w:ascii="Calibri"/>
                        <w:b/>
                        <w:sz w:val="17"/>
                      </w:rPr>
                    </w:pPr>
                    <w:r>
                      <w:rPr>
                        <w:rFonts w:ascii="Calibri"/>
                        <w:b/>
                        <w:sz w:val="17"/>
                      </w:rPr>
                      <w:t>90 Day Deposit Rate</w:t>
                    </w:r>
                  </w:p>
                  <w:p>
                    <w:pPr>
                      <w:spacing w:line="206" w:lineRule="exact" w:before="128"/>
                      <w:ind w:left="0" w:right="0" w:firstLine="0"/>
                      <w:jc w:val="left"/>
                      <w:rPr>
                        <w:rFonts w:ascii="Calibri"/>
                        <w:b/>
                        <w:sz w:val="17"/>
                      </w:rPr>
                    </w:pPr>
                    <w:r>
                      <w:rPr>
                        <w:rFonts w:ascii="Calibri"/>
                        <w:b/>
                        <w:sz w:val="17"/>
                      </w:rPr>
                      <w:t>1 Year Investment Certificate Rate</w:t>
                    </w:r>
                  </w:p>
                </w:txbxContent>
              </v:textbox>
              <w10:wrap type="none"/>
            </v:shape>
            <v:shape style="position:absolute;left:6159;top:1461;width:107;height:177" type="#_x0000_t202" filled="false" stroked="false">
              <v:textbox inset="0,0,0,0">
                <w:txbxContent>
                  <w:p>
                    <w:pPr>
                      <w:spacing w:line="177" w:lineRule="exact" w:before="0"/>
                      <w:ind w:left="0" w:right="0" w:firstLine="0"/>
                      <w:jc w:val="left"/>
                      <w:rPr>
                        <w:rFonts w:ascii="Calibri"/>
                        <w:b/>
                        <w:sz w:val="17"/>
                      </w:rPr>
                    </w:pPr>
                    <w:r>
                      <w:rPr>
                        <w:rFonts w:ascii="Calibri"/>
                        <w:b/>
                        <w:w w:val="99"/>
                        <w:sz w:val="17"/>
                      </w:rPr>
                      <w:t>5</w:t>
                    </w:r>
                  </w:p>
                </w:txbxContent>
              </v:textbox>
              <w10:wrap type="none"/>
            </v:shape>
            <v:shape style="position:absolute;left:6727;top:933;width:390;height:277" type="#_x0000_t202" filled="false" stroked="false">
              <v:textbox inset="0,0,0,0">
                <w:txbxContent>
                  <w:p>
                    <w:pPr>
                      <w:spacing w:line="178" w:lineRule="exact" w:before="0"/>
                      <w:ind w:left="0" w:right="0" w:firstLine="0"/>
                      <w:jc w:val="left"/>
                      <w:rPr>
                        <w:rFonts w:ascii="Times New Roman"/>
                        <w:sz w:val="17"/>
                      </w:rPr>
                    </w:pPr>
                    <w:r>
                      <w:rPr>
                        <w:rFonts w:ascii="Calibri"/>
                        <w:b/>
                        <w:sz w:val="17"/>
                      </w:rPr>
                      <w:t>%   </w:t>
                    </w:r>
                    <w:r>
                      <w:rPr>
                        <w:rFonts w:ascii="Times New Roman"/>
                        <w:w w:val="99"/>
                        <w:position w:val="-10"/>
                        <w:sz w:val="17"/>
                        <w:u w:val="thick" w:color="FF00FF"/>
                      </w:rPr>
                      <w:t> </w:t>
                    </w:r>
                    <w:r>
                      <w:rPr>
                        <w:rFonts w:ascii="Times New Roman"/>
                        <w:position w:val="-10"/>
                        <w:sz w:val="17"/>
                        <w:u w:val="thick" w:color="FF00FF"/>
                      </w:rPr>
                      <w:t> </w:t>
                    </w:r>
                  </w:p>
                </w:txbxContent>
              </v:textbox>
              <w10:wrap type="none"/>
            </v:shape>
            <v:shape style="position:absolute;left:6159;top:1038;width:107;height:177" type="#_x0000_t202" filled="false" stroked="false">
              <v:textbox inset="0,0,0,0">
                <w:txbxContent>
                  <w:p>
                    <w:pPr>
                      <w:spacing w:line="177" w:lineRule="exact" w:before="0"/>
                      <w:ind w:left="0" w:right="0" w:firstLine="0"/>
                      <w:jc w:val="left"/>
                      <w:rPr>
                        <w:rFonts w:ascii="Calibri"/>
                        <w:b/>
                        <w:sz w:val="17"/>
                      </w:rPr>
                    </w:pPr>
                    <w:r>
                      <w:rPr>
                        <w:rFonts w:ascii="Calibri"/>
                        <w:b/>
                        <w:w w:val="99"/>
                        <w:sz w:val="17"/>
                      </w:rPr>
                      <w:t>6</w:t>
                    </w:r>
                  </w:p>
                </w:txbxContent>
              </v:textbox>
              <w10:wrap type="none"/>
            </v:shape>
            <v:shape style="position:absolute;left:7114;top:785;width:1116;height:177" type="#_x0000_t202" filled="false" stroked="false">
              <v:textbox inset="0,0,0,0">
                <w:txbxContent>
                  <w:p>
                    <w:pPr>
                      <w:spacing w:line="177" w:lineRule="exact" w:before="0"/>
                      <w:ind w:left="0" w:right="0" w:firstLine="0"/>
                      <w:jc w:val="left"/>
                      <w:rPr>
                        <w:rFonts w:ascii="Calibri"/>
                        <w:b/>
                        <w:sz w:val="17"/>
                      </w:rPr>
                    </w:pPr>
                    <w:r>
                      <w:rPr>
                        <w:rFonts w:ascii="Calibri"/>
                        <w:b/>
                        <w:sz w:val="17"/>
                      </w:rPr>
                      <w:t>BoC Policy Rate</w:t>
                    </w:r>
                  </w:p>
                </w:txbxContent>
              </v:textbox>
              <w10:wrap type="none"/>
            </v:shape>
            <v:shape style="position:absolute;left:6159;top:615;width:107;height:177" type="#_x0000_t202" filled="false" stroked="false">
              <v:textbox inset="0,0,0,0">
                <w:txbxContent>
                  <w:p>
                    <w:pPr>
                      <w:spacing w:line="177" w:lineRule="exact" w:before="0"/>
                      <w:ind w:left="0" w:right="0" w:firstLine="0"/>
                      <w:jc w:val="left"/>
                      <w:rPr>
                        <w:rFonts w:ascii="Calibri"/>
                        <w:b/>
                        <w:sz w:val="17"/>
                      </w:rPr>
                    </w:pPr>
                    <w:r>
                      <w:rPr>
                        <w:rFonts w:ascii="Calibri"/>
                        <w:b/>
                        <w:w w:val="99"/>
                        <w:sz w:val="17"/>
                      </w:rPr>
                      <w:t>7</w:t>
                    </w:r>
                  </w:p>
                </w:txbxContent>
              </v:textbox>
              <w10:wrap type="none"/>
            </v:shape>
            <w10:wrap type="none"/>
          </v:group>
        </w:pict>
      </w:r>
      <w:r>
        <w:rPr>
          <w:b/>
          <w:sz w:val="20"/>
        </w:rPr>
        <w:t>Figure 5. Canada – Policy Rate and Household Deposit Rates, 1999-2019</w:t>
      </w:r>
    </w:p>
    <w:p>
      <w:pPr>
        <w:spacing w:after="0" w:line="355" w:lineRule="auto"/>
        <w:jc w:val="left"/>
        <w:rPr>
          <w:sz w:val="20"/>
        </w:rPr>
        <w:sectPr>
          <w:type w:val="continuous"/>
          <w:pgSz w:w="11910" w:h="16840"/>
          <w:pgMar w:top="1200" w:bottom="1540" w:left="560" w:right="540"/>
          <w:cols w:num="2" w:equalWidth="0">
            <w:col w:w="4921" w:space="515"/>
            <w:col w:w="5374"/>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sz w:val="25"/>
        </w:rPr>
      </w:pPr>
    </w:p>
    <w:p>
      <w:pPr>
        <w:spacing w:before="94"/>
        <w:ind w:left="574" w:right="0" w:firstLine="0"/>
        <w:jc w:val="left"/>
        <w:rPr>
          <w:sz w:val="16"/>
        </w:rPr>
      </w:pPr>
      <w:r>
        <w:rPr>
          <w:sz w:val="16"/>
        </w:rPr>
        <w:t>Sources: Eikon from Refinitiv and Bank of England.</w:t>
      </w:r>
    </w:p>
    <w:p>
      <w:pPr>
        <w:pStyle w:val="BodyText"/>
        <w:rPr>
          <w:sz w:val="18"/>
        </w:rPr>
      </w:pPr>
    </w:p>
    <w:p>
      <w:pPr>
        <w:pStyle w:val="BodyText"/>
        <w:spacing w:before="11"/>
        <w:rPr>
          <w:sz w:val="19"/>
        </w:rPr>
      </w:pPr>
    </w:p>
    <w:p>
      <w:pPr>
        <w:pStyle w:val="BodyText"/>
        <w:spacing w:line="360" w:lineRule="auto"/>
        <w:ind w:left="573" w:right="767"/>
      </w:pPr>
      <w:r>
        <w:rPr/>
        <w:t>In the UK, this normalisation of the spread between deposit rates and the policy rate is probably not over. If the policy rate continues to edge up in the next year or two, it would not be surprising if pass-through to deposit rates remains relatively low. For example, the average rate on interest bearing household sight deposits (around 50bp) is currently only about 25bp below Bank Rate, far less than the 220bp average spread in the precrisis period (and the 180bp average spread since 1870). Moreover, and this is a point I</w:t>
      </w:r>
    </w:p>
    <w:p>
      <w:pPr>
        <w:pStyle w:val="BodyText"/>
        <w:spacing w:before="4"/>
        <w:rPr>
          <w:sz w:val="22"/>
        </w:rPr>
      </w:pPr>
      <w:r>
        <w:rPr/>
        <w:pict>
          <v:shape style="position:absolute;margin-left:56.700001pt;margin-top:15.058901pt;width:144pt;height:.1pt;mso-position-horizontal-relative:page;mso-position-vertical-relative:paragraph;z-index:-251634688;mso-wrap-distance-left:0;mso-wrap-distance-right:0" coordorigin="1134,301" coordsize="2880,0" path="m1134,301l4014,301e" filled="false" stroked="true" strokeweight=".48001pt" strokecolor="#000000">
            <v:path arrowok="t"/>
            <v:stroke dashstyle="solid"/>
            <w10:wrap type="topAndBottom"/>
          </v:shape>
        </w:pict>
      </w:r>
    </w:p>
    <w:p>
      <w:pPr>
        <w:spacing w:line="186" w:lineRule="exact" w:before="51"/>
        <w:ind w:left="574" w:right="0" w:firstLine="0"/>
        <w:jc w:val="left"/>
        <w:rPr>
          <w:sz w:val="16"/>
        </w:rPr>
      </w:pPr>
      <w:r>
        <w:rPr>
          <w:position w:val="6"/>
          <w:sz w:val="10"/>
        </w:rPr>
        <w:t>10 </w:t>
      </w:r>
      <w:r>
        <w:rPr>
          <w:sz w:val="16"/>
        </w:rPr>
        <w:t>See Valadkhani and Anwar (2012), Driscoll and Judson (2013), and Popiel (2016).</w:t>
      </w:r>
    </w:p>
    <w:p>
      <w:pPr>
        <w:spacing w:line="186" w:lineRule="exact" w:before="0"/>
        <w:ind w:left="574" w:right="0" w:firstLine="0"/>
        <w:jc w:val="left"/>
        <w:rPr>
          <w:sz w:val="16"/>
        </w:rPr>
      </w:pPr>
      <w:r>
        <w:rPr>
          <w:position w:val="6"/>
          <w:sz w:val="10"/>
        </w:rPr>
        <w:t>11 </w:t>
      </w:r>
      <w:r>
        <w:rPr>
          <w:sz w:val="16"/>
        </w:rPr>
        <w:t>See Anderson </w:t>
      </w:r>
      <w:r>
        <w:rPr>
          <w:i/>
          <w:sz w:val="16"/>
        </w:rPr>
        <w:t>et al </w:t>
      </w:r>
      <w:r>
        <w:rPr>
          <w:sz w:val="16"/>
        </w:rPr>
        <w:t>(2017), Pašaličová (2018), and King and Yu (2018). See also Chart A on page V of August 2016 </w:t>
      </w:r>
      <w:r>
        <w:rPr>
          <w:i/>
          <w:sz w:val="16"/>
        </w:rPr>
        <w:t>Inflation Report</w:t>
      </w:r>
      <w:r>
        <w:rPr>
          <w:sz w:val="16"/>
        </w:rPr>
        <w:t>.</w:t>
      </w:r>
    </w:p>
    <w:p>
      <w:pPr>
        <w:spacing w:after="0" w:line="186" w:lineRule="exact"/>
        <w:jc w:val="left"/>
        <w:rPr>
          <w:sz w:val="16"/>
        </w:rPr>
        <w:sectPr>
          <w:type w:val="continuous"/>
          <w:pgSz w:w="11910" w:h="16840"/>
          <w:pgMar w:top="1200" w:bottom="1540" w:left="560" w:right="540"/>
        </w:sectPr>
      </w:pPr>
    </w:p>
    <w:p>
      <w:pPr>
        <w:pStyle w:val="BodyText"/>
        <w:spacing w:line="360" w:lineRule="auto" w:before="76"/>
        <w:ind w:left="573" w:right="622"/>
      </w:pPr>
      <w:r>
        <w:rPr/>
        <w:t>shall return to later on, banks in aggregate have ample deposit funding at present. To be sure, it is possible that the expansion of new deposit-taking institutions will lift interest rates for savers. But even if, as an illustration, we assume that the equilibrium spread between household sight deposit rates and the policy rate in coming years will be about 150bp – the smallest spread seen in 2000-07 – then sight deposit rates (currently 0.5% on average) would only start to rise in a significant way if the policy rate goes above 2% or so. Time deposit rates would probably be less constrained. But about 70% of household bank deposits (and 80% of PNFC deposits) are sight deposits rather than time deposits. Hence, if pass-through to sight deposit rates is low then pass-through to the overall average deposit rate would also be limited.</w:t>
      </w:r>
    </w:p>
    <w:p>
      <w:pPr>
        <w:pStyle w:val="BodyText"/>
        <w:rPr>
          <w:sz w:val="30"/>
        </w:rPr>
      </w:pPr>
    </w:p>
    <w:p>
      <w:pPr>
        <w:pStyle w:val="Heading1"/>
        <w:spacing w:before="1"/>
        <w:ind w:left="573"/>
      </w:pPr>
      <w:r>
        <w:rPr/>
        <w:t>Why have lending rates not responded fully to a rising policy rate?</w:t>
      </w:r>
    </w:p>
    <w:p>
      <w:pPr>
        <w:pStyle w:val="BodyText"/>
        <w:rPr>
          <w:b/>
          <w:sz w:val="22"/>
        </w:rPr>
      </w:pPr>
    </w:p>
    <w:p>
      <w:pPr>
        <w:pStyle w:val="BodyText"/>
        <w:spacing w:before="10"/>
        <w:rPr>
          <w:b/>
          <w:sz w:val="17"/>
        </w:rPr>
      </w:pPr>
    </w:p>
    <w:p>
      <w:pPr>
        <w:pStyle w:val="BodyText"/>
        <w:spacing w:line="360" w:lineRule="auto"/>
        <w:ind w:left="573" w:right="611"/>
      </w:pPr>
      <w:r>
        <w:rPr/>
        <w:t>Let me turn to lending rates. As noted, pass-through has been relatively low for a range of lending rates. But, given their importance to the economy, I am going to focus here on mortgage rates.</w:t>
      </w:r>
    </w:p>
    <w:p>
      <w:pPr>
        <w:pStyle w:val="BodyText"/>
        <w:spacing w:before="1"/>
        <w:rPr>
          <w:sz w:val="30"/>
        </w:rPr>
      </w:pPr>
    </w:p>
    <w:p>
      <w:pPr>
        <w:pStyle w:val="BodyText"/>
        <w:spacing w:line="360" w:lineRule="auto"/>
        <w:ind w:left="573" w:right="625"/>
      </w:pPr>
      <w:r>
        <w:rPr/>
        <w:t>Viewed against traditional metrics, this relative insensitivity of interest rates on new mortgages to a rising policy rate might seem unsustainable, with spreads appearing to be well below equilibrium. The way that banks price new loans to reflect costs and risks has always involved some judgement, but Figure 6 shows a stylised illustration of the traditional approach. The anchor is the policy rate (or swap rates for longer-term lending rates), plus the banks’ funding spread. Historically, banks have tended to use unsecured wholesale funding as the main measure of the marginal funding cost.</w:t>
      </w:r>
      <w:r>
        <w:rPr>
          <w:position w:val="7"/>
          <w:sz w:val="13"/>
        </w:rPr>
        <w:t>12 </w:t>
      </w:r>
      <w:r>
        <w:rPr/>
        <w:t>This is partly because it is a market in which it is possible to raise a large amount of funds relatively quickly and the cost is readily observable. These costs, plus liquidity costs, typically form the internal funds transfer price (FTP) set by the banks’ treasury functions, which is charged to business units that originate new loans (or ‘remunerates’ business units that raise deposits). The business unit then allocates extra layers to reflect admin costs, other balance sheet costs, and profit</w:t>
      </w:r>
      <w:r>
        <w:rPr>
          <w:spacing w:val="-3"/>
        </w:rPr>
        <w:t> </w:t>
      </w:r>
      <w:r>
        <w:rPr/>
        <w:t>margin.</w:t>
      </w:r>
    </w:p>
    <w:p>
      <w:pPr>
        <w:pStyle w:val="BodyText"/>
        <w:spacing w:before="7"/>
        <w:rPr>
          <w:sz w:val="29"/>
        </w:rPr>
      </w:pPr>
    </w:p>
    <w:p>
      <w:pPr>
        <w:pStyle w:val="BodyText"/>
        <w:spacing w:line="360" w:lineRule="auto"/>
        <w:ind w:left="573" w:right="754"/>
      </w:pPr>
      <w:r>
        <w:rPr/>
        <w:t>On average since 2004, new mortgage spreads have been 130-140bp above unsecured wholesale funding spreads (both against the relevant mix of riskless rates). However, with mortgage rates rising less than the policy rate (and swap rates), mortgage spreads (over riskless rates) have fallen from around 140bp in</w:t>
      </w:r>
    </w:p>
    <w:p>
      <w:pPr>
        <w:pStyle w:val="BodyText"/>
        <w:spacing w:line="360" w:lineRule="auto"/>
        <w:ind w:left="573" w:right="622"/>
      </w:pPr>
      <w:r>
        <w:rPr/>
        <w:t>mid-2017 to 100-110bp now, the lowest for over 10 years. Meanwhile, unsecured wholesale funding spreads have risen and now are actually slightly above mortgage spreads.</w:t>
      </w:r>
    </w:p>
    <w:p>
      <w:pPr>
        <w:pStyle w:val="BodyText"/>
        <w:spacing w:before="10"/>
        <w:rPr>
          <w:sz w:val="29"/>
        </w:rPr>
      </w:pPr>
    </w:p>
    <w:p>
      <w:pPr>
        <w:pStyle w:val="BodyText"/>
        <w:spacing w:line="360" w:lineRule="auto" w:before="1"/>
        <w:ind w:left="573" w:right="589"/>
      </w:pPr>
      <w:r>
        <w:rPr/>
        <w:t>Hence, if this traditional framework is still valid then, if recent levels of unsecured wholesale spreads persist, you would probably expect mortgage spreads to widen sharply. This would produce a significant tightening in domestic financial conditions even if the policy rate is stable.</w:t>
      </w:r>
    </w:p>
    <w:p>
      <w:pPr>
        <w:pStyle w:val="BodyText"/>
      </w:pPr>
    </w:p>
    <w:p>
      <w:pPr>
        <w:pStyle w:val="BodyText"/>
      </w:pPr>
    </w:p>
    <w:p>
      <w:pPr>
        <w:pStyle w:val="BodyText"/>
      </w:pPr>
    </w:p>
    <w:p>
      <w:pPr>
        <w:pStyle w:val="BodyText"/>
        <w:spacing w:before="3"/>
        <w:rPr>
          <w:sz w:val="25"/>
        </w:rPr>
      </w:pPr>
      <w:r>
        <w:rPr/>
        <w:pict>
          <v:shape style="position:absolute;margin-left:56.700001pt;margin-top:16.732021pt;width:144pt;height:.1pt;mso-position-horizontal-relative:page;mso-position-vertical-relative:paragraph;z-index:-251612160;mso-wrap-distance-left:0;mso-wrap-distance-right:0" coordorigin="1134,335" coordsize="2880,0" path="m1134,335l4014,335e" filled="false" stroked="true" strokeweight=".47998pt" strokecolor="#000000">
            <v:path arrowok="t"/>
            <v:stroke dashstyle="solid"/>
            <w10:wrap type="topAndBottom"/>
          </v:shape>
        </w:pict>
      </w:r>
    </w:p>
    <w:p>
      <w:pPr>
        <w:spacing w:before="51"/>
        <w:ind w:left="574" w:right="0" w:firstLine="0"/>
        <w:jc w:val="left"/>
        <w:rPr>
          <w:sz w:val="16"/>
        </w:rPr>
      </w:pPr>
      <w:r>
        <w:rPr>
          <w:position w:val="6"/>
          <w:sz w:val="10"/>
        </w:rPr>
        <w:t>12 </w:t>
      </w:r>
      <w:r>
        <w:rPr>
          <w:sz w:val="16"/>
        </w:rPr>
        <w:t>See Beau </w:t>
      </w:r>
      <w:r>
        <w:rPr>
          <w:i/>
          <w:sz w:val="16"/>
        </w:rPr>
        <w:t>et al </w:t>
      </w:r>
      <w:r>
        <w:rPr>
          <w:sz w:val="16"/>
        </w:rPr>
        <w:t>(2014).</w:t>
      </w:r>
    </w:p>
    <w:p>
      <w:pPr>
        <w:spacing w:after="0"/>
        <w:jc w:val="left"/>
        <w:rPr>
          <w:sz w:val="16"/>
        </w:rPr>
        <w:sectPr>
          <w:footerReference w:type="default" r:id="rId13"/>
          <w:pgSz w:w="11910" w:h="16840"/>
          <w:pgMar w:footer="1340" w:header="0" w:top="1540" w:bottom="1540" w:left="560" w:right="540"/>
        </w:sectPr>
      </w:pPr>
    </w:p>
    <w:p>
      <w:pPr>
        <w:pStyle w:val="Heading1"/>
        <w:spacing w:line="355" w:lineRule="auto" w:before="127"/>
        <w:ind w:right="22"/>
      </w:pPr>
      <w:r>
        <w:rPr/>
        <w:pict>
          <v:group style="position:absolute;margin-left:33.780499pt;margin-top:51.91074pt;width:243.75pt;height:175.5pt;mso-position-horizontal-relative:page;mso-position-vertical-relative:paragraph;z-index:-253535232" coordorigin="676,1038" coordsize="4875,3510">
            <v:shape style="position:absolute;left:1119;top:1182;width:4301;height:3125" coordorigin="1120,1182" coordsize="4301,3125" path="m5418,1182l1122,1182,1120,1185,1120,4305,1122,4307,5418,4307,5420,4305,1124,4305,1122,4301,1124,4301,1124,1188,1122,1188,1124,1185,5420,1185,5418,1182xm1124,4301l1122,4301,1124,4305,1124,4301xm5416,4301l1124,4301,1124,4305,5416,4305,5416,4301xm5416,1185l5416,4305,5418,4301,5420,4301,5420,1188,5418,1188,5416,1185xm5420,4301l5418,4301,5416,4305,5420,4305,5420,4301xm1124,1185l1122,1188,1124,1188,1124,1185xm5416,1185l1124,1185,1124,1188,5416,1188,5416,1185xm5420,1185l5416,1185,5418,1188,5420,1188,5420,1185xe" filled="true" fillcolor="#000000" stroked="false">
              <v:path arrowok="t"/>
              <v:fill type="solid"/>
            </v:shape>
            <v:shape style="position:absolute;left:1764;top:3522;width:864;height:785" coordorigin="1764,3522" coordsize="864,785" path="m2628,3525l2626,3522,1766,3522,1764,3525,1764,4305,1766,4307,2626,4307,2628,4305,2628,4301,2628,3527,2628,3525e" filled="true" fillcolor="#66ff33" stroked="false">
              <v:path arrowok="t"/>
              <v:fill type="solid"/>
            </v:shape>
            <v:shape style="position:absolute;left:1764;top:2742;width:864;height:785" coordorigin="1764,2742" coordsize="864,785" path="m2628,2745l2626,2742,1766,2742,1764,2745,1764,3525,1766,3527,2626,3527,2628,3525,2628,3522,2628,2747,2628,2745e" filled="true" fillcolor="#ff00ff" stroked="false">
              <v:path arrowok="t"/>
              <v:fill type="solid"/>
            </v:shape>
            <v:shape style="position:absolute;left:1764;top:2586;width:864;height:161" coordorigin="1764,2586" coordsize="864,161" path="m2628,2589l2626,2586,1766,2586,1764,2589,1764,2745,1766,2747,2626,2747,2628,2745,2628,2742,2628,2591,2628,2589e" filled="true" fillcolor="#00b0f0" stroked="false">
              <v:path arrowok="t"/>
              <v:fill type="solid"/>
            </v:shape>
            <v:rect style="position:absolute;left:1766;top:2510;width:860;height:78" filled="true" fillcolor="#bfbfbf" stroked="false">
              <v:fill type="solid"/>
            </v:rect>
            <v:shape style="position:absolute;left:1764;top:2507;width:864;height:84" coordorigin="1764,2507" coordsize="864,84" path="m2626,2507l1766,2507,1764,2511,1764,2589,1766,2591,2626,2591,2628,2589,1769,2589,1766,2586,1769,2586,1769,2513,1766,2513,1769,2511,2628,2511,2626,2507xm1769,2586l1766,2586,1769,2589,1769,2586xm2623,2586l1769,2586,1769,2589,2623,2589,2623,2586xm2623,2511l2623,2589,2626,2586,2628,2586,2628,2513,2626,2513,2623,2511xm2628,2586l2626,2586,2623,2589,2628,2589,2628,2586xm1769,2511l1766,2513,1769,2513,1769,2511xm2623,2511l1769,2511,1769,2513,2623,2513,2623,2511xm2628,2511l2623,2511,2626,2513,2628,2513,2628,2511xe" filled="true" fillcolor="#bfbfbf" stroked="false">
              <v:path arrowok="t"/>
              <v:fill type="solid"/>
            </v:shape>
            <v:rect style="position:absolute;left:1766;top:2354;width:860;height:156" filled="true" fillcolor="#4198af" stroked="false">
              <v:fill type="solid"/>
            </v:rect>
            <v:rect style="position:absolute;left:1766;top:1964;width:860;height:390" filled="true" fillcolor="#db843d" stroked="false">
              <v:fill type="solid"/>
            </v:rect>
            <v:rect style="position:absolute;left:1766;top:1574;width:860;height:390" filled="true" fillcolor="#93a9cf" stroked="false">
              <v:fill type="solid"/>
            </v:rect>
            <v:line style="position:absolute" from="1122,1185" to="1122,4305" stroked="true" strokeweight=".24001pt" strokecolor="#868686">
              <v:stroke dashstyle="solid"/>
            </v:line>
            <v:shape style="position:absolute;left:1070;top:1182;width:52;height:3125" coordorigin="1070,1182" coordsize="52,3125" path="m1122,4301l1070,4301,1070,4307,1122,4307,1122,4301m1122,3912l1070,3912,1070,3917,1122,3917,1122,3912m1122,3522l1070,3522,1070,3527,1122,3527,1122,3522m1122,3132l1070,3132,1070,3137,1122,3137,1122,3132m1122,2742l1070,2742,1070,2747,1122,2747,1122,2742m1122,2352l1070,2352,1070,2357,1122,2357,1122,2352m1122,1962l1070,1962,1070,1967,1122,1967,1122,1962m1122,1572l1070,1572,1070,1578,1122,1578,1122,1572m1122,1182l1070,1182,1070,1188,1122,1188,1122,1182e" filled="true" fillcolor="#868686" stroked="false">
              <v:path arrowok="t"/>
              <v:fill type="solid"/>
            </v:shape>
            <v:line style="position:absolute" from="1122,4304" to="5418,4304" stroked="true" strokeweight=".299990pt" strokecolor="#868686">
              <v:stroke dashstyle="solid"/>
            </v:line>
            <v:rect style="position:absolute;left:678;top:1040;width:4870;height:3506" filled="false" stroked="true" strokeweight=".239pt" strokecolor="#868686">
              <v:stroke dashstyle="solid"/>
            </v:rect>
            <v:shape style="position:absolute;left:2456;top:1673;width:413;height:2207" coordorigin="2456,1673" coordsize="413,2207" path="m2771,2677l2474,2677,2504,2658,2506,2657,2507,2655,2506,2653,2504,2651,2503,2651,2501,2652,2456,2681,2501,2709,2503,2710,2504,2710,2506,2707,2507,2706,2506,2704,2504,2703,2476,2685,2771,2685,2771,2677m2776,2399l2478,2399,2508,2380,2510,2379,2510,2376,2509,2375,2509,2373,2507,2373,2506,2374,2460,2403,2506,2431,2509,2431,2509,2429,2510,2428,2510,2425,2508,2424,2480,2406,2776,2406,2776,2399m2788,3060l2491,3060,2521,3041,2522,3040,2524,3037,2522,3036,2521,3034,2520,3034,2518,3035,2473,3064,2518,3093,2521,3093,2522,3090,2524,3089,2522,3087,2521,3085,2493,3067,2788,3067,2788,3060m2788,2164l2492,2164,2521,2145,2522,2145,2524,2142,2522,2140,2521,2139,2518,2139,2473,2167,2518,2196,2520,2197,2524,2194,2522,2191,2521,2190,2491,2171,2788,2171,2788,2164m2800,3846l2504,3846,2533,3827,2534,3827,2536,3825,2534,3822,2533,3821,2530,3821,2485,3850,2530,3879,2531,3880,2533,3879,2536,3876,2534,3874,2533,3873,2503,3853,2800,3853,2800,3846m2810,1699l2513,1699,2544,1680,2545,1679,2545,1675,2544,1673,2542,1673,2540,1674,2496,1702,2540,1731,2542,1732,2544,1732,2545,1729,2545,1726,2544,1725,2513,1705,2810,1705,2810,1699m2869,2556l2572,2556,2603,2537,2604,2536,2604,2532,2603,2530,2600,2530,2599,2531,2555,2560,2599,2587,2600,2589,2603,2589,2604,2586,2604,2583,2603,2581,2574,2563,2869,2563,2869,2556e" filled="true" fillcolor="#000000" stroked="false">
              <v:path arrowok="t"/>
              <v:fill type="solid"/>
            </v:shape>
            <v:shape style="position:absolute;left:4210;top:2611;width:275;height:1655" coordorigin="4211,2611" coordsize="275,1655" path="m4211,2611l4264,2613,4308,2619,4337,2627,4348,2637,4348,3413,4359,3423,4388,3431,4432,3436,4486,3438,4432,3440,4388,3446,4359,3454,4348,3463,4348,4241,4337,4251,4308,4259,4264,4264,4211,4266e" filled="false" stroked="true" strokeweight=".319pt" strokecolor="#000000">
              <v:path arrowok="t"/>
              <v:stroke dashstyle="solid"/>
            </v:shape>
            <v:shape style="position:absolute;left:2515;top:1555;width:1496;height:60" coordorigin="2515,1555" coordsize="1496,60" path="m4004,1583l4003,1583,4003,1589,3993,1589,3962,1608,3961,1609,3961,1613,3962,1614,3965,1615,3966,1614,4005,1589,4004,1589,4004,1589,4003,1589,3998,1586,4004,1586,4004,1583xm3992,1582l2515,1582,2515,1589,3993,1589,3998,1586,3992,1582xm4005,1582l4004,1582,4004,1589,4005,1589,4010,1585,4005,1582xm4003,1583l3998,1586,4003,1589,4003,1583xm3965,1555l3962,1557,3961,1558,3961,1561,3962,1563,3998,1586,4003,1583,4004,1583,4004,1582,4005,1582,3966,1557,3965,1555xe" filled="true" fillcolor="#000000" stroked="false">
              <v:path arrowok="t"/>
              <v:fill type="solid"/>
            </v:shape>
            <v:shape style="position:absolute;left:770;top:4223;width:225;height:176" type="#_x0000_t202" filled="false" stroked="false">
              <v:textbox inset="0,0,0,0">
                <w:txbxContent>
                  <w:p>
                    <w:pPr>
                      <w:spacing w:line="176" w:lineRule="exact" w:before="0"/>
                      <w:ind w:left="0" w:right="0" w:firstLine="0"/>
                      <w:jc w:val="left"/>
                      <w:rPr>
                        <w:rFonts w:ascii="Calibri"/>
                        <w:b/>
                        <w:sz w:val="17"/>
                      </w:rPr>
                    </w:pPr>
                    <w:r>
                      <w:rPr>
                        <w:rFonts w:ascii="Calibri"/>
                        <w:b/>
                        <w:sz w:val="17"/>
                      </w:rPr>
                      <w:t>0.0</w:t>
                    </w:r>
                  </w:p>
                </w:txbxContent>
              </v:textbox>
              <w10:wrap type="none"/>
            </v:shape>
            <v:shape style="position:absolute;left:2838;top:3762;width:998;height:176" type="#_x0000_t202" filled="false" stroked="false">
              <v:textbox inset="0,0,0,0">
                <w:txbxContent>
                  <w:p>
                    <w:pPr>
                      <w:spacing w:line="176" w:lineRule="exact" w:before="0"/>
                      <w:ind w:left="0" w:right="0" w:firstLine="0"/>
                      <w:jc w:val="left"/>
                      <w:rPr>
                        <w:rFonts w:ascii="Calibri"/>
                        <w:b/>
                        <w:sz w:val="17"/>
                      </w:rPr>
                    </w:pPr>
                    <w:r>
                      <w:rPr>
                        <w:rFonts w:ascii="Calibri"/>
                        <w:b/>
                        <w:w w:val="95"/>
                        <w:sz w:val="17"/>
                      </w:rPr>
                      <w:t>Reference rate</w:t>
                    </w:r>
                  </w:p>
                </w:txbxContent>
              </v:textbox>
              <w10:wrap type="none"/>
            </v:shape>
            <v:shape style="position:absolute;left:770;top:3833;width:225;height:176" type="#_x0000_t202" filled="false" stroked="false">
              <v:textbox inset="0,0,0,0">
                <w:txbxContent>
                  <w:p>
                    <w:pPr>
                      <w:spacing w:line="176" w:lineRule="exact" w:before="0"/>
                      <w:ind w:left="0" w:right="0" w:firstLine="0"/>
                      <w:jc w:val="left"/>
                      <w:rPr>
                        <w:rFonts w:ascii="Calibri"/>
                        <w:b/>
                        <w:sz w:val="17"/>
                      </w:rPr>
                    </w:pPr>
                    <w:r>
                      <w:rPr>
                        <w:rFonts w:ascii="Calibri"/>
                        <w:b/>
                        <w:sz w:val="17"/>
                      </w:rPr>
                      <w:t>0.5</w:t>
                    </w:r>
                  </w:p>
                </w:txbxContent>
              </v:textbox>
              <w10:wrap type="none"/>
            </v:shape>
            <v:shape style="position:absolute;left:4651;top:2978;width:548;height:606" type="#_x0000_t202" filled="false" stroked="false">
              <v:textbox inset="0,0,0,0">
                <w:txbxContent>
                  <w:p>
                    <w:pPr>
                      <w:spacing w:line="177" w:lineRule="exact" w:before="0"/>
                      <w:ind w:left="0" w:right="0" w:firstLine="0"/>
                      <w:jc w:val="left"/>
                      <w:rPr>
                        <w:rFonts w:ascii="Calibri"/>
                        <w:b/>
                        <w:sz w:val="17"/>
                      </w:rPr>
                    </w:pPr>
                    <w:r>
                      <w:rPr>
                        <w:rFonts w:ascii="Calibri"/>
                        <w:b/>
                        <w:sz w:val="17"/>
                      </w:rPr>
                      <w:t>Funds</w:t>
                    </w:r>
                  </w:p>
                  <w:p>
                    <w:pPr>
                      <w:spacing w:line="247" w:lineRule="auto" w:before="8"/>
                      <w:ind w:left="0" w:right="0" w:firstLine="0"/>
                      <w:jc w:val="left"/>
                      <w:rPr>
                        <w:rFonts w:ascii="Calibri"/>
                        <w:b/>
                        <w:sz w:val="17"/>
                      </w:rPr>
                    </w:pPr>
                    <w:r>
                      <w:rPr>
                        <w:rFonts w:ascii="Calibri"/>
                        <w:b/>
                        <w:w w:val="90"/>
                        <w:sz w:val="17"/>
                      </w:rPr>
                      <w:t>transfer </w:t>
                    </w:r>
                    <w:r>
                      <w:rPr>
                        <w:rFonts w:ascii="Calibri"/>
                        <w:b/>
                        <w:sz w:val="17"/>
                      </w:rPr>
                      <w:t>price</w:t>
                    </w:r>
                  </w:p>
                </w:txbxContent>
              </v:textbox>
              <w10:wrap type="none"/>
            </v:shape>
            <v:shape style="position:absolute;left:770;top:3443;width:225;height:176" type="#_x0000_t202" filled="false" stroked="false">
              <v:textbox inset="0,0,0,0">
                <w:txbxContent>
                  <w:p>
                    <w:pPr>
                      <w:spacing w:line="176" w:lineRule="exact" w:before="0"/>
                      <w:ind w:left="0" w:right="0" w:firstLine="0"/>
                      <w:jc w:val="left"/>
                      <w:rPr>
                        <w:rFonts w:ascii="Calibri"/>
                        <w:b/>
                        <w:sz w:val="17"/>
                      </w:rPr>
                    </w:pPr>
                    <w:r>
                      <w:rPr>
                        <w:rFonts w:ascii="Calibri"/>
                        <w:b/>
                        <w:sz w:val="17"/>
                      </w:rPr>
                      <w:t>1.0</w:t>
                    </w:r>
                  </w:p>
                </w:txbxContent>
              </v:textbox>
              <w10:wrap type="none"/>
            </v:shape>
            <v:shape style="position:absolute;left:2818;top:2954;width:1259;height:391" type="#_x0000_t202" filled="false" stroked="false">
              <v:textbox inset="0,0,0,0">
                <w:txbxContent>
                  <w:p>
                    <w:pPr>
                      <w:spacing w:line="177" w:lineRule="exact" w:before="0"/>
                      <w:ind w:left="0" w:right="0" w:firstLine="0"/>
                      <w:jc w:val="left"/>
                      <w:rPr>
                        <w:rFonts w:ascii="Calibri"/>
                        <w:b/>
                        <w:sz w:val="17"/>
                      </w:rPr>
                    </w:pPr>
                    <w:r>
                      <w:rPr>
                        <w:rFonts w:ascii="Calibri"/>
                        <w:b/>
                        <w:w w:val="95"/>
                        <w:sz w:val="17"/>
                      </w:rPr>
                      <w:t>Wholesale funding</w:t>
                    </w:r>
                  </w:p>
                  <w:p>
                    <w:pPr>
                      <w:spacing w:line="206" w:lineRule="exact" w:before="7"/>
                      <w:ind w:left="0" w:right="0" w:firstLine="0"/>
                      <w:jc w:val="left"/>
                      <w:rPr>
                        <w:rFonts w:ascii="Calibri"/>
                        <w:b/>
                        <w:sz w:val="17"/>
                      </w:rPr>
                    </w:pPr>
                    <w:r>
                      <w:rPr>
                        <w:rFonts w:ascii="Calibri"/>
                        <w:b/>
                        <w:sz w:val="17"/>
                      </w:rPr>
                      <w:t>spread</w:t>
                    </w:r>
                  </w:p>
                </w:txbxContent>
              </v:textbox>
              <w10:wrap type="none"/>
            </v:shape>
            <v:shape style="position:absolute;left:770;top:3053;width:225;height:176" type="#_x0000_t202" filled="false" stroked="false">
              <v:textbox inset="0,0,0,0">
                <w:txbxContent>
                  <w:p>
                    <w:pPr>
                      <w:spacing w:line="176" w:lineRule="exact" w:before="0"/>
                      <w:ind w:left="0" w:right="0" w:firstLine="0"/>
                      <w:jc w:val="left"/>
                      <w:rPr>
                        <w:rFonts w:ascii="Calibri"/>
                        <w:b/>
                        <w:sz w:val="17"/>
                      </w:rPr>
                    </w:pPr>
                    <w:r>
                      <w:rPr>
                        <w:rFonts w:ascii="Calibri"/>
                        <w:b/>
                        <w:sz w:val="17"/>
                      </w:rPr>
                      <w:t>1.5</w:t>
                    </w:r>
                  </w:p>
                </w:txbxContent>
              </v:textbox>
              <w10:wrap type="none"/>
            </v:shape>
            <v:shape style="position:absolute;left:2977;top:2603;width:1165;height:176" type="#_x0000_t202" filled="false" stroked="false">
              <v:textbox inset="0,0,0,0">
                <w:txbxContent>
                  <w:p>
                    <w:pPr>
                      <w:spacing w:line="176" w:lineRule="exact" w:before="0"/>
                      <w:ind w:left="0" w:right="0" w:firstLine="0"/>
                      <w:jc w:val="left"/>
                      <w:rPr>
                        <w:rFonts w:ascii="Calibri"/>
                        <w:b/>
                        <w:sz w:val="17"/>
                      </w:rPr>
                    </w:pPr>
                    <w:r>
                      <w:rPr>
                        <w:rFonts w:ascii="Calibri"/>
                        <w:b/>
                        <w:sz w:val="17"/>
                      </w:rPr>
                      <w:t>st</w:t>
                    </w:r>
                    <w:r>
                      <w:rPr>
                        <w:rFonts w:ascii="Calibri"/>
                        <w:b/>
                        <w:spacing w:val="-22"/>
                        <w:sz w:val="17"/>
                      </w:rPr>
                      <w:t> </w:t>
                    </w:r>
                    <w:r>
                      <w:rPr>
                        <w:rFonts w:ascii="Calibri"/>
                        <w:b/>
                        <w:sz w:val="17"/>
                      </w:rPr>
                      <w:t>of</w:t>
                    </w:r>
                    <w:r>
                      <w:rPr>
                        <w:rFonts w:ascii="Calibri"/>
                        <w:b/>
                        <w:spacing w:val="-22"/>
                        <w:sz w:val="17"/>
                      </w:rPr>
                      <w:t> </w:t>
                    </w:r>
                    <w:r>
                      <w:rPr>
                        <w:rFonts w:ascii="Calibri"/>
                        <w:b/>
                        <w:sz w:val="17"/>
                      </w:rPr>
                      <w:t>liquid</w:t>
                    </w:r>
                    <w:r>
                      <w:rPr>
                        <w:rFonts w:ascii="Calibri"/>
                        <w:b/>
                        <w:spacing w:val="-21"/>
                        <w:sz w:val="17"/>
                      </w:rPr>
                      <w:t> </w:t>
                    </w:r>
                    <w:r>
                      <w:rPr>
                        <w:rFonts w:ascii="Calibri"/>
                        <w:b/>
                        <w:sz w:val="17"/>
                      </w:rPr>
                      <w:t>assets</w:t>
                    </w:r>
                  </w:p>
                </w:txbxContent>
              </v:textbox>
              <w10:wrap type="none"/>
            </v:shape>
            <v:shape style="position:absolute;left:2806;top:2486;width:1143;height:293" type="#_x0000_t202" filled="false" stroked="false">
              <v:textbox inset="0,0,0,0">
                <w:txbxContent>
                  <w:p>
                    <w:pPr>
                      <w:spacing w:line="194" w:lineRule="auto" w:before="0"/>
                      <w:ind w:left="0" w:right="0" w:firstLine="0"/>
                      <w:jc w:val="left"/>
                      <w:rPr>
                        <w:rFonts w:ascii="Calibri"/>
                        <w:b/>
                        <w:sz w:val="17"/>
                      </w:rPr>
                    </w:pPr>
                    <w:r>
                      <w:rPr>
                        <w:rFonts w:ascii="Calibri"/>
                        <w:b/>
                        <w:position w:val="-11"/>
                        <w:sz w:val="17"/>
                      </w:rPr>
                      <w:t>Co</w:t>
                    </w:r>
                    <w:r>
                      <w:rPr>
                        <w:rFonts w:ascii="Calibri"/>
                        <w:b/>
                        <w:spacing w:val="-15"/>
                        <w:position w:val="-11"/>
                        <w:sz w:val="17"/>
                      </w:rPr>
                      <w:t> </w:t>
                    </w:r>
                    <w:r>
                      <w:rPr>
                        <w:rFonts w:ascii="Calibri"/>
                        <w:b/>
                        <w:sz w:val="17"/>
                      </w:rPr>
                      <w:t>Expected</w:t>
                    </w:r>
                    <w:r>
                      <w:rPr>
                        <w:rFonts w:ascii="Calibri"/>
                        <w:b/>
                        <w:spacing w:val="-24"/>
                        <w:sz w:val="17"/>
                      </w:rPr>
                      <w:t> </w:t>
                    </w:r>
                    <w:r>
                      <w:rPr>
                        <w:rFonts w:ascii="Calibri"/>
                        <w:b/>
                        <w:sz w:val="17"/>
                      </w:rPr>
                      <w:t>loss</w:t>
                    </w:r>
                  </w:p>
                </w:txbxContent>
              </v:textbox>
              <w10:wrap type="none"/>
            </v:shape>
            <v:shape style="position:absolute;left:770;top:2663;width:225;height:176" type="#_x0000_t202" filled="false" stroked="false">
              <v:textbox inset="0,0,0,0">
                <w:txbxContent>
                  <w:p>
                    <w:pPr>
                      <w:spacing w:line="176" w:lineRule="exact" w:before="0"/>
                      <w:ind w:left="0" w:right="0" w:firstLine="0"/>
                      <w:jc w:val="left"/>
                      <w:rPr>
                        <w:rFonts w:ascii="Calibri"/>
                        <w:b/>
                        <w:sz w:val="17"/>
                      </w:rPr>
                    </w:pPr>
                    <w:r>
                      <w:rPr>
                        <w:rFonts w:ascii="Calibri"/>
                        <w:b/>
                        <w:sz w:val="17"/>
                      </w:rPr>
                      <w:t>2.0</w:t>
                    </w:r>
                  </w:p>
                </w:txbxContent>
              </v:textbox>
              <w10:wrap type="none"/>
            </v:shape>
            <v:shape style="position:absolute;left:2806;top:2082;width:1534;height:427" type="#_x0000_t202" filled="false" stroked="false">
              <v:textbox inset="0,0,0,0">
                <w:txbxContent>
                  <w:p>
                    <w:pPr>
                      <w:spacing w:line="177" w:lineRule="exact" w:before="0"/>
                      <w:ind w:left="20" w:right="0" w:firstLine="0"/>
                      <w:jc w:val="left"/>
                      <w:rPr>
                        <w:rFonts w:ascii="Calibri"/>
                        <w:b/>
                        <w:sz w:val="17"/>
                      </w:rPr>
                    </w:pPr>
                    <w:r>
                      <w:rPr>
                        <w:rFonts w:ascii="Calibri"/>
                        <w:b/>
                        <w:w w:val="95"/>
                        <w:sz w:val="17"/>
                      </w:rPr>
                      <w:t>Admin and other costs</w:t>
                    </w:r>
                  </w:p>
                  <w:p>
                    <w:pPr>
                      <w:spacing w:line="206" w:lineRule="exact" w:before="43"/>
                      <w:ind w:left="0" w:right="0" w:firstLine="0"/>
                      <w:jc w:val="left"/>
                      <w:rPr>
                        <w:rFonts w:ascii="Calibri"/>
                        <w:b/>
                        <w:sz w:val="17"/>
                      </w:rPr>
                    </w:pPr>
                    <w:r>
                      <w:rPr>
                        <w:rFonts w:ascii="Calibri"/>
                        <w:b/>
                        <w:sz w:val="17"/>
                      </w:rPr>
                      <w:t>Capital charge</w:t>
                    </w:r>
                  </w:p>
                </w:txbxContent>
              </v:textbox>
              <w10:wrap type="none"/>
            </v:shape>
            <v:shape style="position:absolute;left:770;top:1883;width:225;height:566" type="#_x0000_t202" filled="false" stroked="false">
              <v:textbox inset="0,0,0,0">
                <w:txbxContent>
                  <w:p>
                    <w:pPr>
                      <w:spacing w:line="177" w:lineRule="exact" w:before="0"/>
                      <w:ind w:left="0" w:right="0" w:firstLine="0"/>
                      <w:jc w:val="left"/>
                      <w:rPr>
                        <w:rFonts w:ascii="Calibri"/>
                        <w:b/>
                        <w:sz w:val="17"/>
                      </w:rPr>
                    </w:pPr>
                    <w:r>
                      <w:rPr>
                        <w:rFonts w:ascii="Calibri"/>
                        <w:b/>
                        <w:sz w:val="17"/>
                      </w:rPr>
                      <w:t>3.0</w:t>
                    </w:r>
                  </w:p>
                  <w:p>
                    <w:pPr>
                      <w:spacing w:line="240" w:lineRule="auto" w:before="11"/>
                      <w:rPr>
                        <w:rFonts w:ascii="Calibri"/>
                        <w:b/>
                        <w:sz w:val="14"/>
                      </w:rPr>
                    </w:pPr>
                  </w:p>
                  <w:p>
                    <w:pPr>
                      <w:spacing w:line="206" w:lineRule="exact" w:before="0"/>
                      <w:ind w:left="0" w:right="0" w:firstLine="0"/>
                      <w:jc w:val="left"/>
                      <w:rPr>
                        <w:rFonts w:ascii="Calibri"/>
                        <w:b/>
                        <w:sz w:val="17"/>
                      </w:rPr>
                    </w:pPr>
                    <w:r>
                      <w:rPr>
                        <w:rFonts w:ascii="Calibri"/>
                        <w:b/>
                        <w:sz w:val="17"/>
                      </w:rPr>
                      <w:t>2.5</w:t>
                    </w:r>
                  </w:p>
                </w:txbxContent>
              </v:textbox>
              <w10:wrap type="none"/>
            </v:shape>
            <v:shape style="position:absolute;left:2818;top:1636;width:591;height:176" type="#_x0000_t202" filled="false" stroked="false">
              <v:textbox inset="0,0,0,0">
                <w:txbxContent>
                  <w:p>
                    <w:pPr>
                      <w:spacing w:line="176" w:lineRule="exact" w:before="0"/>
                      <w:ind w:left="0" w:right="0" w:firstLine="0"/>
                      <w:jc w:val="left"/>
                      <w:rPr>
                        <w:rFonts w:ascii="Calibri" w:hAnsi="Calibri"/>
                        <w:b/>
                        <w:sz w:val="17"/>
                      </w:rPr>
                    </w:pPr>
                    <w:r>
                      <w:rPr>
                        <w:rFonts w:ascii="Calibri" w:hAnsi="Calibri"/>
                        <w:b/>
                        <w:w w:val="95"/>
                        <w:sz w:val="17"/>
                      </w:rPr>
                      <w:t>Mark‐up</w:t>
                    </w:r>
                  </w:p>
                </w:txbxContent>
              </v:textbox>
              <w10:wrap type="none"/>
            </v:shape>
            <v:shape style="position:absolute;left:4066;top:1499;width:1203;height:176" type="#_x0000_t202" filled="false" stroked="false">
              <v:textbox inset="0,0,0,0">
                <w:txbxContent>
                  <w:p>
                    <w:pPr>
                      <w:spacing w:line="176" w:lineRule="exact" w:before="0"/>
                      <w:ind w:left="0" w:right="0" w:firstLine="0"/>
                      <w:jc w:val="left"/>
                      <w:rPr>
                        <w:rFonts w:ascii="Calibri"/>
                        <w:b/>
                        <w:sz w:val="17"/>
                      </w:rPr>
                    </w:pPr>
                    <w:r>
                      <w:rPr>
                        <w:rFonts w:ascii="Calibri"/>
                        <w:b/>
                        <w:w w:val="95"/>
                        <w:sz w:val="17"/>
                      </w:rPr>
                      <w:t>3.5% Lending rate</w:t>
                    </w:r>
                  </w:p>
                </w:txbxContent>
              </v:textbox>
              <w10:wrap type="none"/>
            </v:shape>
            <v:shape style="position:absolute;left:1275;top:1362;width:137;height:176" type="#_x0000_t202" filled="false" stroked="false">
              <v:textbox inset="0,0,0,0">
                <w:txbxContent>
                  <w:p>
                    <w:pPr>
                      <w:spacing w:line="176" w:lineRule="exact" w:before="0"/>
                      <w:ind w:left="0" w:right="0" w:firstLine="0"/>
                      <w:jc w:val="left"/>
                      <w:rPr>
                        <w:rFonts w:ascii="Calibri"/>
                        <w:b/>
                        <w:sz w:val="17"/>
                      </w:rPr>
                    </w:pPr>
                    <w:r>
                      <w:rPr>
                        <w:rFonts w:ascii="Calibri"/>
                        <w:b/>
                        <w:w w:val="93"/>
                        <w:sz w:val="17"/>
                      </w:rPr>
                      <w:t>%</w:t>
                    </w:r>
                  </w:p>
                </w:txbxContent>
              </v:textbox>
              <w10:wrap type="none"/>
            </v:shape>
            <v:shape style="position:absolute;left:770;top:1494;width:225;height:176" type="#_x0000_t202" filled="false" stroked="false">
              <v:textbox inset="0,0,0,0">
                <w:txbxContent>
                  <w:p>
                    <w:pPr>
                      <w:spacing w:line="176" w:lineRule="exact" w:before="0"/>
                      <w:ind w:left="0" w:right="0" w:firstLine="0"/>
                      <w:jc w:val="left"/>
                      <w:rPr>
                        <w:rFonts w:ascii="Calibri"/>
                        <w:b/>
                        <w:sz w:val="17"/>
                      </w:rPr>
                    </w:pPr>
                    <w:r>
                      <w:rPr>
                        <w:rFonts w:ascii="Calibri"/>
                        <w:b/>
                        <w:sz w:val="17"/>
                      </w:rPr>
                      <w:t>3.5</w:t>
                    </w:r>
                  </w:p>
                </w:txbxContent>
              </v:textbox>
              <w10:wrap type="none"/>
            </v:shape>
            <v:shape style="position:absolute;left:770;top:1104;width:225;height:176" type="#_x0000_t202" filled="false" stroked="false">
              <v:textbox inset="0,0,0,0">
                <w:txbxContent>
                  <w:p>
                    <w:pPr>
                      <w:spacing w:line="176" w:lineRule="exact" w:before="0"/>
                      <w:ind w:left="0" w:right="0" w:firstLine="0"/>
                      <w:jc w:val="left"/>
                      <w:rPr>
                        <w:rFonts w:ascii="Calibri"/>
                        <w:b/>
                        <w:sz w:val="17"/>
                      </w:rPr>
                    </w:pPr>
                    <w:r>
                      <w:rPr>
                        <w:rFonts w:ascii="Calibri"/>
                        <w:b/>
                        <w:sz w:val="17"/>
                      </w:rPr>
                      <w:t>4.0</w:t>
                    </w:r>
                  </w:p>
                </w:txbxContent>
              </v:textbox>
              <w10:wrap type="none"/>
            </v:shape>
            <w10:wrap type="none"/>
          </v:group>
        </w:pict>
      </w:r>
      <w:r>
        <w:rPr/>
        <w:t>Figure 6. UK – Stylised Decomposition of Traditional Model for Setting Interest Rates on New Mortgage Loans</w:t>
      </w:r>
    </w:p>
    <w:p>
      <w:pPr>
        <w:spacing w:line="355" w:lineRule="auto" w:before="127"/>
        <w:ind w:left="114" w:right="567" w:firstLine="0"/>
        <w:jc w:val="left"/>
        <w:rPr>
          <w:b/>
          <w:sz w:val="20"/>
        </w:rPr>
      </w:pPr>
      <w:r>
        <w:rPr/>
        <w:br w:type="column"/>
      </w:r>
      <w:r>
        <w:rPr>
          <w:b/>
          <w:sz w:val="20"/>
        </w:rPr>
        <w:t>Figure 7. UK – Mortgage Spreads and Banks’ Unsecured Wholesale Funding Spreads, 2004-2019</w:t>
      </w:r>
    </w:p>
    <w:p>
      <w:pPr>
        <w:spacing w:after="0" w:line="355" w:lineRule="auto"/>
        <w:jc w:val="left"/>
        <w:rPr>
          <w:sz w:val="20"/>
        </w:rPr>
        <w:sectPr>
          <w:footerReference w:type="default" r:id="rId14"/>
          <w:pgSz w:w="11910" w:h="16840"/>
          <w:pgMar w:footer="1340" w:header="0" w:top="1600" w:bottom="1540" w:left="560" w:right="540"/>
          <w:cols w:num="2" w:equalWidth="0">
            <w:col w:w="5146" w:space="128"/>
            <w:col w:w="5536"/>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28"/>
        </w:rPr>
      </w:pPr>
    </w:p>
    <w:p>
      <w:pPr>
        <w:spacing w:line="360" w:lineRule="auto" w:before="95"/>
        <w:ind w:left="573" w:right="1056" w:firstLine="0"/>
        <w:jc w:val="left"/>
        <w:rPr>
          <w:sz w:val="16"/>
        </w:rPr>
      </w:pPr>
      <w:r>
        <w:rPr/>
        <w:pict>
          <v:group style="position:absolute;margin-left:297.287994pt;margin-top:-171.477768pt;width:258.1500pt;height:176.45pt;mso-position-horizontal-relative:page;mso-position-vertical-relative:paragraph;z-index:251732992" coordorigin="5946,-3430" coordsize="5163,3529">
            <v:rect style="position:absolute;left:6381;top:-3301;width:4529;height:2955" filled="false" stroked="true" strokeweight=".264pt" strokecolor="#000000">
              <v:stroke dashstyle="solid"/>
            </v:rect>
            <v:line style="position:absolute" from="6382,-347" to="6382,-3301" stroked="true" strokeweight=".264pt" strokecolor="#868686">
              <v:stroke dashstyle="solid"/>
            </v:line>
            <v:line style="position:absolute" from="6329,-347" to="6382,-347" stroked="true" strokeweight=".264pt" strokecolor="#868686">
              <v:stroke dashstyle="solid"/>
            </v:line>
            <v:line style="position:absolute" from="6329,-837" to="6382,-837" stroked="true" strokeweight=".264pt" strokecolor="#868686">
              <v:stroke dashstyle="solid"/>
            </v:line>
            <v:line style="position:absolute" from="6329,-1329" to="6382,-1329" stroked="true" strokeweight=".264pt" strokecolor="#868686">
              <v:stroke dashstyle="solid"/>
            </v:line>
            <v:line style="position:absolute" from="6329,-1820" to="6382,-1820" stroked="true" strokeweight=".264pt" strokecolor="#868686">
              <v:stroke dashstyle="solid"/>
            </v:line>
            <v:line style="position:absolute" from="6329,-2317" to="6382,-2317" stroked="true" strokeweight=".264pt" strokecolor="#868686">
              <v:stroke dashstyle="solid"/>
            </v:line>
            <v:line style="position:absolute" from="6329,-2809" to="6382,-2809" stroked="true" strokeweight=".264pt" strokecolor="#868686">
              <v:stroke dashstyle="solid"/>
            </v:line>
            <v:line style="position:absolute" from="6329,-3301" to="6382,-3301" stroked="true" strokeweight=".264pt" strokecolor="#868686">
              <v:stroke dashstyle="solid"/>
            </v:line>
            <v:line style="position:absolute" from="6382,-589" to="10910,-589" stroked="true" strokeweight=".264pt" strokecolor="#868686">
              <v:stroke dashstyle="solid"/>
            </v:line>
            <v:shape style="position:absolute;left:6421;top:-2221;width:4450;height:1603" coordorigin="6421,-2221" coordsize="4450,1603" path="m6421,-669l6442,-669,6479,-670,6505,-669,6532,-666,6569,-659,6590,-642,6617,-647,6643,-642,6738,-642,6764,-653,6791,-659,6811,-653,6846,-644,6875,-642,6904,-642,6938,-642,6965,-636,6985,-631,7060,-631,7086,-625,7112,-631,7134,-631,7160,-625,7207,-625,7235,-619,7269,-618,7304,-619,7334,-619,7381,-619,7408,-625,7434,-663,7456,-757,7482,-780,7508,-752,7530,-901,7555,-867,7582,-929,7603,-1073,7630,-1349,7656,-1073,7678,-935,7704,-1022,7730,-1133,7757,-1160,7777,-1491,7804,-1249,7830,-1122,7852,-1183,7878,-1293,7904,-1470,7925,-1669,7951,-1635,7978,-1663,7999,-1569,8026,-1332,8052,-1205,8074,-1260,8100,-1172,8126,-1160,8153,-1160,8173,-1145,8200,-1215,8226,-1266,8248,-1249,8274,-1393,8300,-1476,8321,-1481,8347,-1315,8374,-1271,8395,-1243,8422,-1232,8448,-1398,8468,-1464,8495,-1353,8521,-1326,8543,-1238,8569,-1243,8596,-1349,8622,-1393,8644,-1635,8670,-1922,8696,-1956,8717,-2055,8743,-2221,8770,-1967,8791,-1752,8818,-1525,8844,-1481,8864,-1491,8891,-1497,8917,-1343,8939,-1183,8965,-1073,8992,-939,9018,-929,9038,-950,9065,-923,9091,-945,9113,-912,9139,-939,9166,-890,9187,-995,9214,-984,9240,-884,9260,-929,9287,-912,9313,-929,9335,-945,9361,-923,9388,-923,9414,-918,9434,-879,9461,-818,9487,-840,9509,-829,9535,-801,9562,-812,9583,-785,9610,-746,9636,-729,9656,-774,9683,-735,9709,-774,9731,-807,9757,-807,9784,-863,9804,-918,9830,-890,9857,-962,9883,-956,9905,-907,9931,-912,9958,-923,9978,-1028,10004,-1062,10031,-1045,10052,-1017,10079,-1050,10105,-1089,10127,-967,10153,-945,10180,-1001,10200,-984,10226,-979,10253,-967,10279,-918,10301,-907,10327,-895,10354,-863,10374,-857,10427,-780,10448,-812,10475,-797,10501,-785,10522,-791,10548,-785,10574,-785,10596,-846,10649,-901,10670,-962,10697,-973,10723,-962,10750,-1007,10770,-1011,10796,-1155,10823,-1338,10844,-1287,10871,-1166e" filled="false" stroked="true" strokeweight="1.056pt" strokecolor="#0000ff">
              <v:path arrowok="t"/>
              <v:stroke dashstyle="solid"/>
            </v:shape>
            <v:shape style="position:absolute;left:6394;top:-2895;width:4476;height:2132" coordorigin="6395,-2894" coordsize="4476,2132" path="m6395,-1083l6421,-1083,6442,-1050,6468,-1034,6494,-984,6516,-1045,6542,-1028,6569,-929,6590,-945,6617,-973,6643,-939,6664,-956,6690,-923,6716,-895,6738,-884,6764,-918,6791,-912,6811,-907,6838,-884,6864,-857,6890,-873,6912,-846,6965,-923,6985,-907,7012,-923,7038,-873,7060,-857,7086,-867,7112,-846,7134,-857,7160,-840,7187,-867,7207,-818,7234,-852,7260,-818,7286,-763,7308,-801,7334,-852,7361,-824,7381,-791,7408,-807,7434,-846,7456,-962,7482,-1007,7508,-1050,7530,-1155,7555,-1183,7582,-1227,7603,-1172,7630,-1293,7656,-1701,7678,-1735,7704,-1718,7730,-1735,7757,-1729,7777,-1746,7804,-2187,7830,-2425,7852,-2635,7878,-2690,7904,-2834,7925,-2867,7951,-2790,7978,-2779,7999,-2801,8026,-2807,8052,-2811,8074,-2894,8100,-2894,8126,-2580,8153,-2601,8173,-2519,8200,-2574,8226,-2607,8248,-2607,8274,-2624,8300,-2629,8321,-2635,8347,-2601,8374,-2618,8395,-2580,8422,-2525,8448,-2475,8468,-2475,8495,-2393,8521,-2408,8543,-2397,8569,-2448,8596,-2414,8622,-2387,8644,-2431,8670,-2425,8696,-2420,8717,-2475,8743,-2541,8770,-2580,8791,-2552,8818,-2563,8844,-2624,8864,-2673,8891,-2712,8939,-2712,8965,-2684,8992,-2646,9018,-2629,9038,-2591,9065,-2448,9091,-2408,9113,-2420,9139,-2420,9166,-2325,9187,-2232,9214,-2221,9240,-2149,9260,-2094,9287,-2094,9313,-2077,9335,-2000,9361,-1608,9388,-1625,9414,-1608,9434,-1658,9461,-1641,9487,-1580,9509,-1553,9535,-1586,9562,-1563,9583,-1514,9610,-1525,9636,-1542,9656,-1574,9683,-1487,9709,-1481,9731,-1476,9757,-1409,9784,-1349,9804,-1321,9830,-1359,9857,-1365,9883,-1370,9905,-1349,9931,-1332,9958,-1398,9978,-1514,10004,-1470,10031,-1448,10052,-1459,10079,-1453,10105,-1542,10127,-1531,10153,-1487,10180,-1425,10200,-1365,10226,-1349,10253,-1353,10279,-1343,10301,-1304,10327,-1332,10354,-1326,10374,-1304,10400,-1249,10427,-1266,10448,-1155,10475,-1149,10501,-1160,10522,-1139,10548,-1083,10574,-1011,10596,-1017,10622,-1083,10649,-1139,10670,-1139,10697,-1128,10723,-1111,10750,-1077,10770,-1056,10796,-1083,10823,-1100,10844,-1105,10871,-1122e" filled="false" stroked="true" strokeweight="1.056pt" strokecolor="#ff00ff">
              <v:path arrowok="t"/>
              <v:stroke dashstyle="solid"/>
            </v:shape>
            <v:line style="position:absolute" from="6468,-2989" to="6606,-2989" stroked="true" strokeweight="1.056pt" strokecolor="#0000ff">
              <v:stroke dashstyle="solid"/>
            </v:line>
            <v:line style="position:absolute" from="6468,-2039" to="6606,-2039" stroked="true" strokeweight="1.056pt" strokecolor="#ff00ff">
              <v:stroke dashstyle="solid"/>
            </v:line>
            <v:rect style="position:absolute;left:5948;top:-3427;width:5158;height:3524" filled="false" stroked="true" strokeweight=".264pt" strokecolor="#868686">
              <v:stroke dashstyle="solid"/>
            </v:rect>
            <v:shape style="position:absolute;left:10398;top:-1893;width:603;height:1226" coordorigin="10398,-1892" coordsize="603,1226" path="m10398,-1279l10402,-1378,10413,-1473,10432,-1561,10456,-1641,10486,-1712,10521,-1774,10561,-1824,10650,-1884,10699,-1892,10748,-1884,10837,-1824,10877,-1774,10912,-1712,10942,-1641,10967,-1561,10985,-1473,10996,-1378,11000,-1279,10996,-1180,10985,-1085,10967,-997,10942,-917,10912,-846,10877,-785,10837,-735,10748,-675,10699,-667,10650,-675,10561,-735,10521,-785,10486,-846,10456,-917,10432,-997,10413,-1085,10402,-1180,10398,-1279xe" filled="false" stroked="true" strokeweight=".264pt" strokecolor="#385d8a">
              <v:path arrowok="t"/>
              <v:stroke dashstyle="shortdot"/>
            </v:shape>
            <v:shape style="position:absolute;left:10238;top:-1906;width:248;height:137" type="#_x0000_t75" stroked="false">
              <v:imagedata r:id="rId15" o:title=""/>
            </v:shape>
            <v:shape style="position:absolute;left:5959;top:-1412;width:4786;height:1394" type="#_x0000_t202" filled="false" stroked="false">
              <v:textbox inset="0,0,0,0">
                <w:txbxContent>
                  <w:p>
                    <w:pPr>
                      <w:spacing w:line="165" w:lineRule="exact" w:before="0"/>
                      <w:ind w:left="51" w:right="0" w:firstLine="0"/>
                      <w:jc w:val="left"/>
                      <w:rPr>
                        <w:rFonts w:ascii="Calibri"/>
                        <w:b/>
                        <w:sz w:val="17"/>
                      </w:rPr>
                    </w:pPr>
                    <w:r>
                      <w:rPr>
                        <w:rFonts w:ascii="Calibri"/>
                        <w:b/>
                        <w:sz w:val="17"/>
                      </w:rPr>
                      <w:t>1.5</w:t>
                    </w:r>
                  </w:p>
                  <w:p>
                    <w:pPr>
                      <w:spacing w:line="194" w:lineRule="exact" w:before="0"/>
                      <w:ind w:left="490" w:right="0" w:firstLine="0"/>
                      <w:jc w:val="left"/>
                      <w:rPr>
                        <w:rFonts w:ascii="Calibri"/>
                        <w:b/>
                        <w:sz w:val="17"/>
                      </w:rPr>
                    </w:pPr>
                    <w:r>
                      <w:rPr>
                        <w:rFonts w:ascii="Calibri"/>
                        <w:b/>
                        <w:sz w:val="17"/>
                      </w:rPr>
                      <w:t>pp</w:t>
                    </w:r>
                  </w:p>
                  <w:p>
                    <w:pPr>
                      <w:spacing w:before="104"/>
                      <w:ind w:left="51" w:right="0" w:firstLine="0"/>
                      <w:jc w:val="left"/>
                      <w:rPr>
                        <w:rFonts w:ascii="Calibri"/>
                        <w:b/>
                        <w:sz w:val="17"/>
                      </w:rPr>
                    </w:pPr>
                    <w:r>
                      <w:rPr>
                        <w:rFonts w:ascii="Calibri"/>
                        <w:b/>
                        <w:sz w:val="17"/>
                      </w:rPr>
                      <w:t>0.5</w:t>
                    </w:r>
                  </w:p>
                  <w:p>
                    <w:pPr>
                      <w:spacing w:line="240" w:lineRule="auto" w:before="6"/>
                      <w:rPr>
                        <w:rFonts w:ascii="Calibri"/>
                        <w:b/>
                        <w:sz w:val="23"/>
                      </w:rPr>
                    </w:pPr>
                  </w:p>
                  <w:p>
                    <w:pPr>
                      <w:spacing w:before="0"/>
                      <w:ind w:left="0" w:right="0" w:firstLine="0"/>
                      <w:jc w:val="left"/>
                      <w:rPr>
                        <w:rFonts w:ascii="Calibri" w:hAnsi="Calibri"/>
                        <w:b/>
                        <w:sz w:val="17"/>
                      </w:rPr>
                    </w:pPr>
                    <w:r>
                      <w:rPr>
                        <w:rFonts w:ascii="Calibri" w:hAnsi="Calibri"/>
                        <w:b/>
                        <w:sz w:val="17"/>
                      </w:rPr>
                      <w:t>‐0.5</w:t>
                    </w:r>
                  </w:p>
                  <w:p>
                    <w:pPr>
                      <w:tabs>
                        <w:tab w:pos="859" w:val="left" w:leader="none"/>
                        <w:tab w:pos="1453" w:val="left" w:leader="none"/>
                        <w:tab w:pos="2046" w:val="left" w:leader="none"/>
                        <w:tab w:pos="2640" w:val="left" w:leader="none"/>
                        <w:tab w:pos="3234" w:val="left" w:leader="none"/>
                        <w:tab w:pos="3827" w:val="left" w:leader="none"/>
                        <w:tab w:pos="4421" w:val="left" w:leader="none"/>
                      </w:tabs>
                      <w:spacing w:line="206" w:lineRule="exact" w:before="22"/>
                      <w:ind w:left="265" w:right="0" w:firstLine="0"/>
                      <w:jc w:val="left"/>
                      <w:rPr>
                        <w:rFonts w:ascii="Calibri"/>
                        <w:b/>
                        <w:sz w:val="17"/>
                      </w:rPr>
                    </w:pPr>
                    <w:r>
                      <w:rPr>
                        <w:rFonts w:ascii="Calibri"/>
                        <w:b/>
                        <w:sz w:val="17"/>
                      </w:rPr>
                      <w:t>2004</w:t>
                      <w:tab/>
                      <w:t>2006</w:t>
                      <w:tab/>
                      <w:t>2008</w:t>
                      <w:tab/>
                      <w:t>2010</w:t>
                      <w:tab/>
                      <w:t>2012</w:t>
                      <w:tab/>
                      <w:t>2014</w:t>
                      <w:tab/>
                      <w:t>2016</w:t>
                      <w:tab/>
                      <w:t>2018</w:t>
                    </w:r>
                  </w:p>
                </w:txbxContent>
              </v:textbox>
              <w10:wrap type="none"/>
            </v:shape>
            <v:shape style="position:absolute;left:6620;top:-2122;width:1124;height:608" type="#_x0000_t202" filled="false" stroked="false">
              <v:textbox inset="0,0,0,0">
                <w:txbxContent>
                  <w:p>
                    <w:pPr>
                      <w:spacing w:line="178" w:lineRule="exact" w:before="0"/>
                      <w:ind w:left="0" w:right="0" w:firstLine="0"/>
                      <w:jc w:val="left"/>
                      <w:rPr>
                        <w:rFonts w:ascii="Calibri"/>
                        <w:b/>
                        <w:sz w:val="17"/>
                      </w:rPr>
                    </w:pPr>
                    <w:r>
                      <w:rPr>
                        <w:rFonts w:ascii="Calibri"/>
                        <w:b/>
                        <w:sz w:val="17"/>
                      </w:rPr>
                      <w:t>Average Spread</w:t>
                    </w:r>
                  </w:p>
                  <w:p>
                    <w:pPr>
                      <w:spacing w:line="249" w:lineRule="auto" w:before="8"/>
                      <w:ind w:left="0" w:right="0" w:firstLine="0"/>
                      <w:jc w:val="left"/>
                      <w:rPr>
                        <w:rFonts w:ascii="Calibri"/>
                        <w:b/>
                        <w:sz w:val="17"/>
                      </w:rPr>
                    </w:pPr>
                    <w:r>
                      <w:rPr>
                        <w:rFonts w:ascii="Calibri"/>
                        <w:b/>
                        <w:sz w:val="17"/>
                      </w:rPr>
                      <w:t>on New </w:t>
                    </w:r>
                    <w:r>
                      <w:rPr>
                        <w:rFonts w:ascii="Calibri"/>
                        <w:b/>
                        <w:w w:val="95"/>
                        <w:sz w:val="17"/>
                      </w:rPr>
                      <w:t>Mortgages</w:t>
                    </w:r>
                  </w:p>
                </w:txbxContent>
              </v:textbox>
              <w10:wrap type="none"/>
            </v:shape>
            <v:shape style="position:absolute;left:6010;top:-1905;width:238;height:177" type="#_x0000_t202" filled="false" stroked="false">
              <v:textbox inset="0,0,0,0">
                <w:txbxContent>
                  <w:p>
                    <w:pPr>
                      <w:spacing w:line="177" w:lineRule="exact" w:before="0"/>
                      <w:ind w:left="0" w:right="0" w:firstLine="0"/>
                      <w:jc w:val="left"/>
                      <w:rPr>
                        <w:rFonts w:ascii="Calibri"/>
                        <w:b/>
                        <w:sz w:val="17"/>
                      </w:rPr>
                    </w:pPr>
                    <w:r>
                      <w:rPr>
                        <w:rFonts w:ascii="Calibri"/>
                        <w:b/>
                        <w:sz w:val="17"/>
                      </w:rPr>
                      <w:t>2.5</w:t>
                    </w:r>
                  </w:p>
                </w:txbxContent>
              </v:textbox>
              <w10:wrap type="none"/>
            </v:shape>
            <v:shape style="position:absolute;left:9700;top:-2552;width:1003;height:614" type="#_x0000_t202" filled="false" stroked="false">
              <v:textbox inset="0,0,0,0">
                <w:txbxContent>
                  <w:p>
                    <w:pPr>
                      <w:spacing w:line="178" w:lineRule="exact" w:before="0"/>
                      <w:ind w:left="0" w:right="0" w:firstLine="0"/>
                      <w:jc w:val="left"/>
                      <w:rPr>
                        <w:rFonts w:ascii="Calibri"/>
                        <w:b/>
                        <w:sz w:val="17"/>
                      </w:rPr>
                    </w:pPr>
                    <w:r>
                      <w:rPr>
                        <w:rFonts w:ascii="Calibri"/>
                        <w:b/>
                        <w:sz w:val="17"/>
                      </w:rPr>
                      <w:t>Can</w:t>
                    </w:r>
                  </w:p>
                  <w:p>
                    <w:pPr>
                      <w:spacing w:line="249" w:lineRule="auto" w:before="13"/>
                      <w:ind w:left="0" w:right="-6" w:firstLine="0"/>
                      <w:jc w:val="left"/>
                      <w:rPr>
                        <w:rFonts w:ascii="Calibri"/>
                        <w:b/>
                        <w:sz w:val="17"/>
                      </w:rPr>
                    </w:pPr>
                    <w:r>
                      <w:rPr>
                        <w:rFonts w:ascii="Calibri"/>
                        <w:b/>
                        <w:sz w:val="17"/>
                      </w:rPr>
                      <w:t>divergence be sustained?</w:t>
                    </w:r>
                  </w:p>
                </w:txbxContent>
              </v:textbox>
              <w10:wrap type="none"/>
            </v:shape>
            <v:shape style="position:absolute;left:6010;top:-2398;width:238;height:177" type="#_x0000_t202" filled="false" stroked="false">
              <v:textbox inset="0,0,0,0">
                <w:txbxContent>
                  <w:p>
                    <w:pPr>
                      <w:spacing w:line="177" w:lineRule="exact" w:before="0"/>
                      <w:ind w:left="0" w:right="0" w:firstLine="0"/>
                      <w:jc w:val="left"/>
                      <w:rPr>
                        <w:rFonts w:ascii="Calibri"/>
                        <w:b/>
                        <w:sz w:val="17"/>
                      </w:rPr>
                    </w:pPr>
                    <w:r>
                      <w:rPr>
                        <w:rFonts w:ascii="Calibri"/>
                        <w:b/>
                        <w:sz w:val="17"/>
                      </w:rPr>
                      <w:t>3.5</w:t>
                    </w:r>
                  </w:p>
                </w:txbxContent>
              </v:textbox>
              <w10:wrap type="none"/>
            </v:shape>
            <v:shape style="position:absolute;left:6620;top:-3070;width:1109;height:608" type="#_x0000_t202" filled="false" stroked="false">
              <v:textbox inset="0,0,0,0">
                <w:txbxContent>
                  <w:p>
                    <w:pPr>
                      <w:spacing w:line="178" w:lineRule="exact" w:before="0"/>
                      <w:ind w:left="0" w:right="0" w:firstLine="0"/>
                      <w:jc w:val="left"/>
                      <w:rPr>
                        <w:rFonts w:ascii="Calibri"/>
                        <w:b/>
                        <w:sz w:val="17"/>
                      </w:rPr>
                    </w:pPr>
                    <w:r>
                      <w:rPr>
                        <w:rFonts w:ascii="Calibri"/>
                        <w:b/>
                        <w:sz w:val="17"/>
                      </w:rPr>
                      <w:t>Unsecured</w:t>
                    </w:r>
                  </w:p>
                  <w:p>
                    <w:pPr>
                      <w:spacing w:line="249" w:lineRule="auto" w:before="8"/>
                      <w:ind w:left="0" w:right="-8" w:firstLine="0"/>
                      <w:jc w:val="left"/>
                      <w:rPr>
                        <w:rFonts w:ascii="Calibri"/>
                        <w:b/>
                        <w:sz w:val="17"/>
                      </w:rPr>
                    </w:pPr>
                    <w:r>
                      <w:rPr>
                        <w:rFonts w:ascii="Calibri"/>
                        <w:b/>
                        <w:sz w:val="17"/>
                      </w:rPr>
                      <w:t>Wholesale Funding Spread</w:t>
                    </w:r>
                  </w:p>
                </w:txbxContent>
              </v:textbox>
              <w10:wrap type="none"/>
            </v:shape>
            <v:shape style="position:absolute;left:6010;top:-2892;width:238;height:177" type="#_x0000_t202" filled="false" stroked="false">
              <v:textbox inset="0,0,0,0">
                <w:txbxContent>
                  <w:p>
                    <w:pPr>
                      <w:spacing w:line="177" w:lineRule="exact" w:before="0"/>
                      <w:ind w:left="0" w:right="0" w:firstLine="0"/>
                      <w:jc w:val="left"/>
                      <w:rPr>
                        <w:rFonts w:ascii="Calibri"/>
                        <w:b/>
                        <w:sz w:val="17"/>
                      </w:rPr>
                    </w:pPr>
                    <w:r>
                      <w:rPr>
                        <w:rFonts w:ascii="Calibri"/>
                        <w:b/>
                        <w:sz w:val="17"/>
                      </w:rPr>
                      <w:t>4.5</w:t>
                    </w:r>
                  </w:p>
                </w:txbxContent>
              </v:textbox>
              <w10:wrap type="none"/>
            </v:shape>
            <v:shape style="position:absolute;left:6010;top:-3385;width:238;height:177" type="#_x0000_t202" filled="false" stroked="false">
              <v:textbox inset="0,0,0,0">
                <w:txbxContent>
                  <w:p>
                    <w:pPr>
                      <w:spacing w:line="177" w:lineRule="exact" w:before="0"/>
                      <w:ind w:left="0" w:right="0" w:firstLine="0"/>
                      <w:jc w:val="left"/>
                      <w:rPr>
                        <w:rFonts w:ascii="Calibri"/>
                        <w:b/>
                        <w:sz w:val="17"/>
                      </w:rPr>
                    </w:pPr>
                    <w:r>
                      <w:rPr>
                        <w:rFonts w:ascii="Calibri"/>
                        <w:b/>
                        <w:sz w:val="17"/>
                      </w:rPr>
                      <w:t>5.5</w:t>
                    </w:r>
                  </w:p>
                </w:txbxContent>
              </v:textbox>
              <w10:wrap type="none"/>
            </v:shape>
            <w10:wrap type="none"/>
          </v:group>
        </w:pict>
      </w:r>
      <w:r>
        <w:rPr>
          <w:sz w:val="16"/>
        </w:rPr>
        <w:t>Note: In the right chart, wholesale spreads are an average of Opco and Holdco measures, relative to Libor. Mortgage spreads are measured by a weighted average of various mortgage rates against an appropriate mix of Bank Rate and swap rates.</w:t>
      </w:r>
    </w:p>
    <w:p>
      <w:pPr>
        <w:spacing w:before="0"/>
        <w:ind w:left="573" w:right="0" w:firstLine="0"/>
        <w:jc w:val="left"/>
        <w:rPr>
          <w:sz w:val="16"/>
        </w:rPr>
      </w:pPr>
      <w:r>
        <w:rPr>
          <w:sz w:val="16"/>
        </w:rPr>
        <w:t>Source: Bank of England.</w:t>
      </w:r>
    </w:p>
    <w:p>
      <w:pPr>
        <w:pStyle w:val="BodyText"/>
        <w:rPr>
          <w:sz w:val="18"/>
        </w:rPr>
      </w:pPr>
    </w:p>
    <w:p>
      <w:pPr>
        <w:pStyle w:val="BodyText"/>
        <w:spacing w:before="10"/>
        <w:rPr>
          <w:sz w:val="19"/>
        </w:rPr>
      </w:pPr>
    </w:p>
    <w:p>
      <w:pPr>
        <w:pStyle w:val="BodyText"/>
        <w:spacing w:line="360" w:lineRule="auto"/>
        <w:ind w:left="574" w:right="1767"/>
      </w:pPr>
      <w:r>
        <w:rPr/>
        <w:t>However, in my view, this assumption that lending spreads are currently far below equilibrium is questionable.</w:t>
      </w:r>
    </w:p>
    <w:p>
      <w:pPr>
        <w:pStyle w:val="BodyText"/>
        <w:rPr>
          <w:sz w:val="30"/>
        </w:rPr>
      </w:pPr>
    </w:p>
    <w:p>
      <w:pPr>
        <w:pStyle w:val="BodyText"/>
        <w:spacing w:line="360" w:lineRule="auto"/>
        <w:ind w:left="574" w:right="721"/>
      </w:pPr>
      <w:r>
        <w:rPr/>
        <w:t>UK banks prefunded last year ahead of Brexit uncertainties and hence may not immediately need to borrow at this higher spread on unsecured wholesale funding.</w:t>
      </w:r>
    </w:p>
    <w:p>
      <w:pPr>
        <w:pStyle w:val="BodyText"/>
        <w:spacing w:before="8"/>
        <w:rPr>
          <w:sz w:val="29"/>
        </w:rPr>
      </w:pPr>
    </w:p>
    <w:p>
      <w:pPr>
        <w:pStyle w:val="BodyText"/>
        <w:spacing w:line="360" w:lineRule="auto"/>
        <w:ind w:left="573" w:right="744"/>
      </w:pPr>
      <w:r>
        <w:rPr/>
        <w:t>More fundamentally, as discussed in the latest </w:t>
      </w:r>
      <w:r>
        <w:rPr>
          <w:i/>
        </w:rPr>
        <w:t>Inflation Report</w:t>
      </w:r>
      <w:r>
        <w:rPr/>
        <w:t>,</w:t>
      </w:r>
      <w:r>
        <w:rPr>
          <w:position w:val="7"/>
          <w:sz w:val="13"/>
        </w:rPr>
        <w:t>13 </w:t>
      </w:r>
      <w:r>
        <w:rPr/>
        <w:t>changes in the mix of banks’ liabilities mean that the traditional approach, based on unsecured funding spreads, may no longer be valid. Changes in liquidity regulation since the financial crisis have encouraged banks to have more deposits and less</w:t>
      </w:r>
    </w:p>
    <w:p>
      <w:pPr>
        <w:pStyle w:val="BodyText"/>
        <w:spacing w:line="360" w:lineRule="auto"/>
        <w:ind w:left="574" w:right="610"/>
      </w:pPr>
      <w:r>
        <w:rPr/>
        <w:t>short-term wholesale debt. Moreover, private savings surged after the financial crisis, so that deposit growth outpaced credit growth. As a result, the major UK banks in aggregate have eliminated their customer funding gap, which peaked at over £300bn (20% of annual GDP) in 2008-09. In aggregate, mortgage lending – indeed all lending to households and PNFCs – is now largely backed by deposit liabilities rather than reliant on wholesale funding. In turn, the proportion of banks’ balance sheets accounted for by wholesale funding has fallen from over 40% in 2008 to below 25% in 2017, and unsecured wholesale funding has shrunk even more sharply – with some shift to secured forms of wholesale funding (eg covered bonds).</w:t>
      </w:r>
    </w:p>
    <w:p>
      <w:pPr>
        <w:pStyle w:val="BodyText"/>
        <w:spacing w:before="11"/>
        <w:rPr>
          <w:sz w:val="29"/>
        </w:rPr>
      </w:pPr>
    </w:p>
    <w:p>
      <w:pPr>
        <w:pStyle w:val="BodyText"/>
        <w:spacing w:line="360" w:lineRule="auto"/>
        <w:ind w:left="574" w:right="666" w:hanging="1"/>
      </w:pPr>
      <w:r>
        <w:rPr/>
        <w:t>Consistent with this shift from a wholesale-funded to retail-funded model, recent supervisory intelligence suggests that UK banks now place less emphasis on wholesale unsecured funding in their FTP models, and consider a broader range of strategic considerations in setting interest rates. For instance, among</w:t>
      </w:r>
    </w:p>
    <w:p>
      <w:pPr>
        <w:pStyle w:val="BodyText"/>
      </w:pPr>
    </w:p>
    <w:p>
      <w:pPr>
        <w:pStyle w:val="BodyText"/>
        <w:rPr>
          <w:sz w:val="18"/>
        </w:rPr>
      </w:pPr>
      <w:r>
        <w:rPr/>
        <w:pict>
          <v:shape style="position:absolute;margin-left:56.700001pt;margin-top:12.571475pt;width:144pt;height:.1pt;mso-position-horizontal-relative:page;mso-position-vertical-relative:paragraph;z-index:-251611136;mso-wrap-distance-left:0;mso-wrap-distance-right:0" coordorigin="1134,251" coordsize="2880,0" path="m1134,251l4014,251e" filled="false" stroked="true" strokeweight=".47998pt" strokecolor="#000000">
            <v:path arrowok="t"/>
            <v:stroke dashstyle="solid"/>
            <w10:wrap type="topAndBottom"/>
          </v:shape>
        </w:pict>
      </w:r>
    </w:p>
    <w:p>
      <w:pPr>
        <w:spacing w:before="51"/>
        <w:ind w:left="574" w:right="0" w:firstLine="0"/>
        <w:jc w:val="left"/>
        <w:rPr>
          <w:sz w:val="16"/>
        </w:rPr>
      </w:pPr>
      <w:r>
        <w:rPr>
          <w:position w:val="6"/>
          <w:sz w:val="10"/>
        </w:rPr>
        <w:t>13 </w:t>
      </w:r>
      <w:r>
        <w:rPr>
          <w:sz w:val="16"/>
        </w:rPr>
        <w:t>See box ‘Bank funding costs and loan pricing’ on page 7 of February 2019 </w:t>
      </w:r>
      <w:r>
        <w:rPr>
          <w:i/>
          <w:sz w:val="16"/>
        </w:rPr>
        <w:t>Inflation Report</w:t>
      </w:r>
      <w:r>
        <w:rPr>
          <w:sz w:val="16"/>
        </w:rPr>
        <w:t>.</w:t>
      </w:r>
    </w:p>
    <w:p>
      <w:pPr>
        <w:spacing w:after="0"/>
        <w:jc w:val="left"/>
        <w:rPr>
          <w:sz w:val="16"/>
        </w:rPr>
        <w:sectPr>
          <w:type w:val="continuous"/>
          <w:pgSz w:w="11910" w:h="16840"/>
          <w:pgMar w:top="1200" w:bottom="1540" w:left="560" w:right="540"/>
        </w:sectPr>
      </w:pPr>
    </w:p>
    <w:p>
      <w:pPr>
        <w:pStyle w:val="BodyText"/>
        <w:spacing w:line="360" w:lineRule="auto" w:before="76"/>
        <w:ind w:left="574" w:right="577" w:hanging="1"/>
      </w:pPr>
      <w:r>
        <w:rPr/>
        <w:t>ring-fenced banks, which account for the bulk of lending to UK households and non-financial companies, most use blended funding measures reflecting wholesale secured funding (e.g. covered bonds), and unsecured funding costs, as well as fixed-rate deposits. Some lenders include sight deposits in their marginal funding cost estimate, while others take account of the cost of deposit funding through, for example, management overlays.</w:t>
      </w:r>
    </w:p>
    <w:p>
      <w:pPr>
        <w:pStyle w:val="BodyText"/>
      </w:pPr>
    </w:p>
    <w:p>
      <w:pPr>
        <w:spacing w:after="0"/>
        <w:sectPr>
          <w:footerReference w:type="default" r:id="rId16"/>
          <w:pgSz w:w="11910" w:h="16840"/>
          <w:pgMar w:footer="1340" w:header="0" w:top="1540" w:bottom="1540" w:left="560" w:right="540"/>
        </w:sectPr>
      </w:pPr>
    </w:p>
    <w:p>
      <w:pPr>
        <w:pStyle w:val="BodyText"/>
        <w:spacing w:before="8"/>
        <w:rPr>
          <w:sz w:val="19"/>
        </w:rPr>
      </w:pPr>
    </w:p>
    <w:p>
      <w:pPr>
        <w:pStyle w:val="Heading1"/>
        <w:spacing w:line="355" w:lineRule="auto"/>
        <w:ind w:right="21"/>
      </w:pPr>
      <w:r>
        <w:rPr/>
        <w:pict>
          <v:group style="position:absolute;margin-left:33.780998pt;margin-top:28.579653pt;width:242.25pt;height:175.45pt;mso-position-horizontal-relative:page;mso-position-vertical-relative:paragraph;z-index:-253517824" coordorigin="676,572" coordsize="4845,3509">
            <v:shape style="position:absolute;left:1072;top:697;width:4198;height:2945" coordorigin="1073,698" coordsize="4198,2945" path="m5268,698l1075,698,1073,700,1073,3640,1075,3642,5268,3642,5270,3640,1078,3640,1075,3638,1078,3638,1078,702,1075,702,1078,700,5270,700,5268,698xm1078,3638l1075,3638,1078,3640,1078,3638xm5266,3638l1078,3638,1078,3640,5266,3640,5266,3638xm5266,700l5266,3640,5268,3638,5270,3638,5270,702,5268,702,5266,700xm5270,3638l5268,3638,5266,3640,5270,3640,5270,3638xm1078,700l1075,702,1078,702,1078,700xm5266,700l1078,700,1078,702,5266,702,5266,700xm5270,700l5266,700,5268,702,5270,702,5270,700xe" filled="true" fillcolor="#000000" stroked="false">
              <v:path arrowok="t"/>
              <v:fill type="solid"/>
            </v:shape>
            <v:line style="position:absolute" from="1075,700" to="1075,3640" stroked="true" strokeweight=".23999pt" strokecolor="#868686">
              <v:stroke dashstyle="solid"/>
            </v:line>
            <v:shape style="position:absolute;left:1026;top:697;width:50;height:2945" coordorigin="1026,698" coordsize="50,2945" path="m1075,3638l1026,3638,1026,3642,1075,3642,1075,3638m1075,3392l1026,3392,1026,3398,1075,3398,1075,3392m1075,3148l1026,3148,1026,3153,1075,3153,1075,3148m1075,2902l1026,2902,1026,2908,1075,2908,1075,2902m1075,2657l1026,2657,1026,2663,1075,2663,1075,2657m1075,2412l1026,2412,1026,2417,1075,2417,1075,2412m1075,2168l1026,2168,1026,2174,1075,2174,1075,2168m1075,1923l1026,1923,1026,1928,1075,1928,1075,1923m1075,1678l1026,1678,1026,1683,1075,1683,1075,1678m1075,1432l1026,1432,1026,1438,1075,1438,1075,1432m1075,1188l1026,1188,1026,1193,1075,1193,1075,1188m1075,942l1026,942,1026,947,1075,947,1075,942m1075,698l1026,698,1026,702,1075,702,1075,698e" filled="true" fillcolor="#868686" stroked="false">
              <v:path arrowok="t"/>
              <v:fill type="solid"/>
            </v:shape>
            <v:shape style="position:absolute;left:1082;top:904;width:4145;height:1454" type="#_x0000_t75" stroked="false">
              <v:imagedata r:id="rId17" o:title=""/>
            </v:shape>
            <v:shape style="position:absolute;left:1075;top:2882;width:4193;height:706" type="#_x0000_t75" stroked="false">
              <v:imagedata r:id="rId18" o:title=""/>
            </v:shape>
            <v:rect style="position:absolute;left:678;top:573;width:4840;height:3504" filled="false" stroked="true" strokeweight=".238pt" strokecolor="#868686">
              <v:stroke dashstyle="solid"/>
            </v:rect>
            <v:shape style="position:absolute;left:3872;top:2523;width:54;height:340" coordorigin="3872,2524" coordsize="54,340" path="m3876,2808l3874,2811,3872,2813,3874,2814,3900,2864,3904,2856,3896,2856,3896,2843,3880,2811,3878,2810,3876,2808xm3899,2849l3896,2855,3896,2856,3902,2856,3902,2855,3899,2849xm3923,2808l3920,2810,3920,2811,3902,2844,3902,2856,3904,2856,3925,2814,3926,2813,3926,2811,3924,2810,3923,2808xm3896,2843l3896,2855,3899,2849,3896,2843xm3902,2844l3899,2849,3902,2855,3902,2855,3902,2844xm3902,2524l3896,2524,3896,2843,3899,2849,3902,2844,3902,2524xe" filled="true" fillcolor="#000000" stroked="false">
              <v:path arrowok="t"/>
              <v:fill type="solid"/>
            </v:shape>
            <v:shape style="position:absolute;left:932;top:3786;width:4367;height:176" type="#_x0000_t202" filled="false" stroked="false">
              <v:textbox inset="0,0,0,0">
                <w:txbxContent>
                  <w:p>
                    <w:pPr>
                      <w:tabs>
                        <w:tab w:pos="670" w:val="left" w:leader="none"/>
                        <w:tab w:pos="1341" w:val="left" w:leader="none"/>
                        <w:tab w:pos="2012" w:val="left" w:leader="none"/>
                        <w:tab w:pos="2682" w:val="left" w:leader="none"/>
                        <w:tab w:pos="3353" w:val="left" w:leader="none"/>
                        <w:tab w:pos="4024" w:val="left" w:leader="none"/>
                      </w:tabs>
                      <w:spacing w:line="176" w:lineRule="exact" w:before="0"/>
                      <w:ind w:left="0" w:right="0" w:firstLine="0"/>
                      <w:jc w:val="left"/>
                      <w:rPr>
                        <w:rFonts w:ascii="Calibri"/>
                        <w:b/>
                        <w:sz w:val="17"/>
                      </w:rPr>
                    </w:pPr>
                    <w:r>
                      <w:rPr>
                        <w:rFonts w:ascii="Calibri"/>
                        <w:b/>
                        <w:sz w:val="17"/>
                      </w:rPr>
                      <w:t>1988</w:t>
                      <w:tab/>
                      <w:t>1993</w:t>
                      <w:tab/>
                      <w:t>1998</w:t>
                      <w:tab/>
                      <w:t>2003</w:t>
                      <w:tab/>
                      <w:t>2008</w:t>
                      <w:tab/>
                      <w:t>2013</w:t>
                      <w:tab/>
                    </w:r>
                    <w:r>
                      <w:rPr>
                        <w:rFonts w:ascii="Calibri"/>
                        <w:b/>
                        <w:w w:val="95"/>
                        <w:sz w:val="17"/>
                      </w:rPr>
                      <w:t>2018</w:t>
                    </w:r>
                  </w:p>
                </w:txbxContent>
              </v:textbox>
              <w10:wrap type="none"/>
            </v:shape>
            <v:shape style="position:absolute;left:3238;top:2128;width:1553;height:392" type="#_x0000_t202" filled="false" stroked="false">
              <v:textbox inset="0,0,0,0">
                <w:txbxContent>
                  <w:p>
                    <w:pPr>
                      <w:spacing w:line="178" w:lineRule="exact" w:before="0"/>
                      <w:ind w:left="0" w:right="0" w:firstLine="0"/>
                      <w:jc w:val="left"/>
                      <w:rPr>
                        <w:rFonts w:ascii="Calibri"/>
                        <w:b/>
                        <w:sz w:val="17"/>
                      </w:rPr>
                    </w:pPr>
                    <w:r>
                      <w:rPr>
                        <w:rFonts w:ascii="Calibri"/>
                        <w:b/>
                        <w:sz w:val="17"/>
                      </w:rPr>
                      <w:t>Bank Funding Gap</w:t>
                    </w:r>
                  </w:p>
                  <w:p>
                    <w:pPr>
                      <w:spacing w:line="206" w:lineRule="exact" w:before="8"/>
                      <w:ind w:left="0" w:right="0" w:firstLine="0"/>
                      <w:jc w:val="left"/>
                      <w:rPr>
                        <w:rFonts w:ascii="Calibri"/>
                        <w:b/>
                        <w:sz w:val="17"/>
                      </w:rPr>
                    </w:pPr>
                    <w:r>
                      <w:rPr>
                        <w:rFonts w:ascii="Calibri"/>
                        <w:b/>
                        <w:w w:val="95"/>
                        <w:sz w:val="17"/>
                      </w:rPr>
                      <w:t>(Lending Less</w:t>
                    </w:r>
                    <w:r>
                      <w:rPr>
                        <w:rFonts w:ascii="Calibri"/>
                        <w:b/>
                        <w:spacing w:val="-25"/>
                        <w:w w:val="95"/>
                        <w:sz w:val="17"/>
                      </w:rPr>
                      <w:t> </w:t>
                    </w:r>
                    <w:r>
                      <w:rPr>
                        <w:rFonts w:ascii="Calibri"/>
                        <w:b/>
                        <w:w w:val="95"/>
                        <w:sz w:val="17"/>
                      </w:rPr>
                      <w:t>Deposits)</w:t>
                    </w:r>
                  </w:p>
                </w:txbxContent>
              </v:textbox>
              <w10:wrap type="none"/>
            </v:shape>
            <v:shape style="position:absolute;left:1160;top:1595;width:136;height:176" type="#_x0000_t202" filled="false" stroked="false">
              <v:textbox inset="0,0,0,0">
                <w:txbxContent>
                  <w:p>
                    <w:pPr>
                      <w:spacing w:line="176" w:lineRule="exact" w:before="0"/>
                      <w:ind w:left="0" w:right="0" w:firstLine="0"/>
                      <w:jc w:val="left"/>
                      <w:rPr>
                        <w:rFonts w:ascii="Calibri"/>
                        <w:b/>
                        <w:sz w:val="17"/>
                      </w:rPr>
                    </w:pPr>
                    <w:r>
                      <w:rPr>
                        <w:rFonts w:ascii="Calibri"/>
                        <w:b/>
                        <w:w w:val="93"/>
                        <w:sz w:val="17"/>
                      </w:rPr>
                      <w:t>%</w:t>
                    </w:r>
                  </w:p>
                </w:txbxContent>
              </v:textbox>
              <w10:wrap type="none"/>
            </v:shape>
            <v:shape style="position:absolute;left:1274;top:804;width:2222;height:574" type="#_x0000_t202" filled="false" stroked="false">
              <v:textbox inset="0,0,0,0">
                <w:txbxContent>
                  <w:p>
                    <w:pPr>
                      <w:spacing w:line="178" w:lineRule="exact" w:before="0"/>
                      <w:ind w:left="0" w:right="0" w:firstLine="0"/>
                      <w:jc w:val="left"/>
                      <w:rPr>
                        <w:rFonts w:ascii="Calibri"/>
                        <w:b/>
                        <w:sz w:val="17"/>
                      </w:rPr>
                    </w:pPr>
                    <w:r>
                      <w:rPr>
                        <w:rFonts w:ascii="Calibri"/>
                        <w:b/>
                        <w:w w:val="95"/>
                        <w:sz w:val="17"/>
                      </w:rPr>
                      <w:t>Deposits</w:t>
                    </w:r>
                    <w:r>
                      <w:rPr>
                        <w:rFonts w:ascii="Calibri"/>
                        <w:b/>
                        <w:spacing w:val="-11"/>
                        <w:w w:val="95"/>
                        <w:sz w:val="17"/>
                      </w:rPr>
                      <w:t> </w:t>
                    </w:r>
                    <w:r>
                      <w:rPr>
                        <w:rFonts w:ascii="Calibri"/>
                        <w:b/>
                        <w:w w:val="95"/>
                        <w:sz w:val="17"/>
                      </w:rPr>
                      <w:t>from</w:t>
                    </w:r>
                    <w:r>
                      <w:rPr>
                        <w:rFonts w:ascii="Calibri"/>
                        <w:b/>
                        <w:spacing w:val="-10"/>
                        <w:w w:val="95"/>
                        <w:sz w:val="17"/>
                      </w:rPr>
                      <w:t> </w:t>
                    </w:r>
                    <w:r>
                      <w:rPr>
                        <w:rFonts w:ascii="Calibri"/>
                        <w:b/>
                        <w:w w:val="95"/>
                        <w:sz w:val="17"/>
                      </w:rPr>
                      <w:t>H'Holds</w:t>
                    </w:r>
                    <w:r>
                      <w:rPr>
                        <w:rFonts w:ascii="Calibri"/>
                        <w:b/>
                        <w:spacing w:val="-10"/>
                        <w:w w:val="95"/>
                        <w:sz w:val="17"/>
                      </w:rPr>
                      <w:t> </w:t>
                    </w:r>
                    <w:r>
                      <w:rPr>
                        <w:rFonts w:ascii="Calibri"/>
                        <w:b/>
                        <w:w w:val="95"/>
                        <w:sz w:val="17"/>
                      </w:rPr>
                      <w:t>and</w:t>
                    </w:r>
                    <w:r>
                      <w:rPr>
                        <w:rFonts w:ascii="Calibri"/>
                        <w:b/>
                        <w:spacing w:val="-11"/>
                        <w:w w:val="95"/>
                        <w:sz w:val="17"/>
                      </w:rPr>
                      <w:t> </w:t>
                    </w:r>
                    <w:r>
                      <w:rPr>
                        <w:rFonts w:ascii="Calibri"/>
                        <w:b/>
                        <w:w w:val="95"/>
                        <w:sz w:val="17"/>
                      </w:rPr>
                      <w:t>PNFCs</w:t>
                    </w:r>
                  </w:p>
                  <w:p>
                    <w:pPr>
                      <w:spacing w:line="240" w:lineRule="auto" w:before="6"/>
                      <w:rPr>
                        <w:rFonts w:ascii="Calibri"/>
                        <w:b/>
                        <w:sz w:val="15"/>
                      </w:rPr>
                    </w:pPr>
                  </w:p>
                  <w:p>
                    <w:pPr>
                      <w:spacing w:line="206" w:lineRule="exact" w:before="0"/>
                      <w:ind w:left="0" w:right="0" w:firstLine="0"/>
                      <w:jc w:val="left"/>
                      <w:rPr>
                        <w:rFonts w:ascii="Calibri"/>
                        <w:b/>
                        <w:sz w:val="17"/>
                      </w:rPr>
                    </w:pPr>
                    <w:r>
                      <w:rPr>
                        <w:rFonts w:ascii="Calibri"/>
                        <w:b/>
                        <w:sz w:val="17"/>
                      </w:rPr>
                      <w:t>Lending to H'Holds and PNFCs</w:t>
                    </w:r>
                  </w:p>
                </w:txbxContent>
              </v:textbox>
              <w10:wrap type="none"/>
            </v:shape>
            <v:shape style="position:absolute;left:1125;top:593;width:164;height:195" type="#_x0000_t202" filled="false" stroked="false">
              <v:textbox inset="0,0,0,0">
                <w:txbxContent>
                  <w:p>
                    <w:pPr>
                      <w:spacing w:line="194" w:lineRule="exact" w:before="0"/>
                      <w:ind w:left="0" w:right="0" w:firstLine="0"/>
                      <w:jc w:val="left"/>
                      <w:rPr>
                        <w:rFonts w:ascii="Times New Roman"/>
                        <w:sz w:val="17"/>
                      </w:rPr>
                    </w:pPr>
                    <w:r>
                      <w:rPr>
                        <w:rFonts w:ascii="Times New Roman"/>
                        <w:w w:val="93"/>
                        <w:sz w:val="17"/>
                        <w:u w:val="single" w:color="FF00FF"/>
                      </w:rPr>
                      <w:t> </w:t>
                    </w:r>
                    <w:r>
                      <w:rPr>
                        <w:rFonts w:ascii="Times New Roman"/>
                        <w:spacing w:val="19"/>
                        <w:sz w:val="17"/>
                        <w:u w:val="single" w:color="FF00FF"/>
                      </w:rPr>
                      <w:t> </w:t>
                    </w:r>
                  </w:p>
                </w:txbxContent>
              </v:textbox>
              <w10:wrap type="none"/>
            </v:shape>
            <v:shape style="position:absolute;left:687;top:618;width:262;height:3116" type="#_x0000_t202" filled="false" stroked="false">
              <v:textbox inset="0,0,0,0">
                <w:txbxContent>
                  <w:p>
                    <w:pPr>
                      <w:spacing w:line="178" w:lineRule="exact" w:before="0"/>
                      <w:ind w:left="0" w:right="18" w:firstLine="0"/>
                      <w:jc w:val="right"/>
                      <w:rPr>
                        <w:rFonts w:ascii="Calibri"/>
                        <w:b/>
                        <w:sz w:val="17"/>
                      </w:rPr>
                    </w:pPr>
                    <w:r>
                      <w:rPr>
                        <w:rFonts w:ascii="Calibri"/>
                        <w:b/>
                        <w:spacing w:val="-1"/>
                        <w:w w:val="90"/>
                        <w:sz w:val="17"/>
                      </w:rPr>
                      <w:t>110</w:t>
                    </w:r>
                  </w:p>
                  <w:p>
                    <w:pPr>
                      <w:spacing w:before="37"/>
                      <w:ind w:left="0" w:right="18" w:firstLine="0"/>
                      <w:jc w:val="right"/>
                      <w:rPr>
                        <w:rFonts w:ascii="Calibri"/>
                        <w:b/>
                        <w:sz w:val="17"/>
                      </w:rPr>
                    </w:pPr>
                    <w:r>
                      <w:rPr>
                        <w:rFonts w:ascii="Calibri"/>
                        <w:b/>
                        <w:spacing w:val="-1"/>
                        <w:w w:val="90"/>
                        <w:sz w:val="17"/>
                      </w:rPr>
                      <w:t>100</w:t>
                    </w:r>
                  </w:p>
                  <w:p>
                    <w:pPr>
                      <w:spacing w:before="37"/>
                      <w:ind w:left="0" w:right="18" w:firstLine="0"/>
                      <w:jc w:val="right"/>
                      <w:rPr>
                        <w:rFonts w:ascii="Calibri"/>
                        <w:b/>
                        <w:sz w:val="17"/>
                      </w:rPr>
                    </w:pPr>
                    <w:r>
                      <w:rPr>
                        <w:rFonts w:ascii="Calibri"/>
                        <w:b/>
                        <w:w w:val="90"/>
                        <w:sz w:val="17"/>
                      </w:rPr>
                      <w:t>90</w:t>
                    </w:r>
                  </w:p>
                  <w:p>
                    <w:pPr>
                      <w:spacing w:before="39"/>
                      <w:ind w:left="0" w:right="18" w:firstLine="0"/>
                      <w:jc w:val="right"/>
                      <w:rPr>
                        <w:rFonts w:ascii="Calibri"/>
                        <w:b/>
                        <w:sz w:val="17"/>
                      </w:rPr>
                    </w:pPr>
                    <w:r>
                      <w:rPr>
                        <w:rFonts w:ascii="Calibri"/>
                        <w:b/>
                        <w:w w:val="90"/>
                        <w:sz w:val="17"/>
                      </w:rPr>
                      <w:t>80</w:t>
                    </w:r>
                  </w:p>
                  <w:p>
                    <w:pPr>
                      <w:spacing w:before="37"/>
                      <w:ind w:left="0" w:right="18" w:firstLine="0"/>
                      <w:jc w:val="right"/>
                      <w:rPr>
                        <w:rFonts w:ascii="Calibri"/>
                        <w:b/>
                        <w:sz w:val="17"/>
                      </w:rPr>
                    </w:pPr>
                    <w:r>
                      <w:rPr>
                        <w:rFonts w:ascii="Calibri"/>
                        <w:b/>
                        <w:w w:val="90"/>
                        <w:sz w:val="17"/>
                      </w:rPr>
                      <w:t>70</w:t>
                    </w:r>
                  </w:p>
                  <w:p>
                    <w:pPr>
                      <w:spacing w:before="37"/>
                      <w:ind w:left="0" w:right="18" w:firstLine="0"/>
                      <w:jc w:val="right"/>
                      <w:rPr>
                        <w:rFonts w:ascii="Calibri"/>
                        <w:b/>
                        <w:sz w:val="17"/>
                      </w:rPr>
                    </w:pPr>
                    <w:r>
                      <w:rPr>
                        <w:rFonts w:ascii="Calibri"/>
                        <w:b/>
                        <w:w w:val="90"/>
                        <w:sz w:val="17"/>
                      </w:rPr>
                      <w:t>60</w:t>
                    </w:r>
                  </w:p>
                  <w:p>
                    <w:pPr>
                      <w:spacing w:before="38"/>
                      <w:ind w:left="0" w:right="18" w:firstLine="0"/>
                      <w:jc w:val="right"/>
                      <w:rPr>
                        <w:rFonts w:ascii="Calibri"/>
                        <w:b/>
                        <w:sz w:val="17"/>
                      </w:rPr>
                    </w:pPr>
                    <w:r>
                      <w:rPr>
                        <w:rFonts w:ascii="Calibri"/>
                        <w:b/>
                        <w:w w:val="90"/>
                        <w:sz w:val="17"/>
                      </w:rPr>
                      <w:t>50</w:t>
                    </w:r>
                  </w:p>
                  <w:p>
                    <w:pPr>
                      <w:spacing w:before="37"/>
                      <w:ind w:left="0" w:right="18" w:firstLine="0"/>
                      <w:jc w:val="right"/>
                      <w:rPr>
                        <w:rFonts w:ascii="Calibri"/>
                        <w:b/>
                        <w:sz w:val="17"/>
                      </w:rPr>
                    </w:pPr>
                    <w:r>
                      <w:rPr>
                        <w:rFonts w:ascii="Calibri"/>
                        <w:b/>
                        <w:w w:val="90"/>
                        <w:sz w:val="17"/>
                      </w:rPr>
                      <w:t>40</w:t>
                    </w:r>
                  </w:p>
                  <w:p>
                    <w:pPr>
                      <w:spacing w:before="37"/>
                      <w:ind w:left="0" w:right="18" w:firstLine="0"/>
                      <w:jc w:val="right"/>
                      <w:rPr>
                        <w:rFonts w:ascii="Calibri"/>
                        <w:b/>
                        <w:sz w:val="17"/>
                      </w:rPr>
                    </w:pPr>
                    <w:r>
                      <w:rPr>
                        <w:rFonts w:ascii="Calibri"/>
                        <w:b/>
                        <w:w w:val="90"/>
                        <w:sz w:val="17"/>
                      </w:rPr>
                      <w:t>30</w:t>
                    </w:r>
                  </w:p>
                  <w:p>
                    <w:pPr>
                      <w:spacing w:before="37"/>
                      <w:ind w:left="0" w:right="18" w:firstLine="0"/>
                      <w:jc w:val="right"/>
                      <w:rPr>
                        <w:rFonts w:ascii="Calibri"/>
                        <w:b/>
                        <w:sz w:val="17"/>
                      </w:rPr>
                    </w:pPr>
                    <w:r>
                      <w:rPr>
                        <w:rFonts w:ascii="Calibri"/>
                        <w:b/>
                        <w:w w:val="90"/>
                        <w:sz w:val="17"/>
                      </w:rPr>
                      <w:t>20</w:t>
                    </w:r>
                  </w:p>
                  <w:p>
                    <w:pPr>
                      <w:spacing w:before="39"/>
                      <w:ind w:left="0" w:right="18" w:firstLine="0"/>
                      <w:jc w:val="right"/>
                      <w:rPr>
                        <w:rFonts w:ascii="Calibri"/>
                        <w:b/>
                        <w:sz w:val="17"/>
                      </w:rPr>
                    </w:pPr>
                    <w:r>
                      <w:rPr>
                        <w:rFonts w:ascii="Calibri"/>
                        <w:b/>
                        <w:w w:val="90"/>
                        <w:sz w:val="17"/>
                      </w:rPr>
                      <w:t>10</w:t>
                    </w:r>
                  </w:p>
                  <w:p>
                    <w:pPr>
                      <w:spacing w:before="37"/>
                      <w:ind w:left="0" w:right="18" w:firstLine="0"/>
                      <w:jc w:val="right"/>
                      <w:rPr>
                        <w:rFonts w:ascii="Calibri"/>
                        <w:b/>
                        <w:sz w:val="17"/>
                      </w:rPr>
                    </w:pPr>
                    <w:r>
                      <w:rPr>
                        <w:rFonts w:ascii="Calibri"/>
                        <w:b/>
                        <w:w w:val="93"/>
                        <w:sz w:val="17"/>
                      </w:rPr>
                      <w:t>0</w:t>
                    </w:r>
                  </w:p>
                  <w:p>
                    <w:pPr>
                      <w:spacing w:line="206" w:lineRule="exact" w:before="38"/>
                      <w:ind w:left="0" w:right="18" w:firstLine="0"/>
                      <w:jc w:val="right"/>
                      <w:rPr>
                        <w:rFonts w:ascii="Calibri" w:hAnsi="Calibri"/>
                        <w:b/>
                        <w:sz w:val="17"/>
                      </w:rPr>
                    </w:pPr>
                    <w:r>
                      <w:rPr>
                        <w:rFonts w:ascii="Calibri" w:hAnsi="Calibri"/>
                        <w:b/>
                        <w:spacing w:val="-1"/>
                        <w:w w:val="90"/>
                        <w:sz w:val="17"/>
                      </w:rPr>
                      <w:t>‐10</w:t>
                    </w:r>
                  </w:p>
                </w:txbxContent>
              </v:textbox>
              <w10:wrap type="none"/>
            </v:shape>
            <w10:wrap type="none"/>
          </v:group>
        </w:pict>
      </w:r>
      <w:r>
        <w:rPr/>
        <w:t>Figure 8. UK – Banks’ Deposits, Lending, and Customer Funding Gap, Pct of GDP, 1988-2018</w:t>
      </w:r>
    </w:p>
    <w:p>
      <w:pPr>
        <w:pStyle w:val="BodyText"/>
        <w:spacing w:before="8"/>
        <w:rPr>
          <w:b/>
          <w:sz w:val="19"/>
        </w:rPr>
      </w:pPr>
      <w:r>
        <w:rPr/>
        <w:br w:type="column"/>
      </w:r>
      <w:r>
        <w:rPr>
          <w:b/>
          <w:sz w:val="19"/>
        </w:rPr>
      </w:r>
    </w:p>
    <w:p>
      <w:pPr>
        <w:spacing w:line="355" w:lineRule="auto" w:before="0"/>
        <w:ind w:left="114" w:right="219" w:firstLine="0"/>
        <w:jc w:val="left"/>
        <w:rPr>
          <w:b/>
          <w:sz w:val="20"/>
        </w:rPr>
      </w:pPr>
      <w:r>
        <w:rPr/>
        <w:pict>
          <v:group style="position:absolute;margin-left:300.353485pt;margin-top:28.572153pt;width:257.25pt;height:175.5pt;mso-position-horizontal-relative:page;mso-position-vertical-relative:paragraph;z-index:-253511680" coordorigin="6007,571" coordsize="5145,3510">
            <v:shape style="position:absolute;left:6489;top:707;width:4541;height:2994" coordorigin="6490,707" coordsize="4541,2994" path="m11028,707l6492,707,6490,711,6490,3699,6492,3701,11028,3701,11030,3699,6496,3699,6492,3695,6496,3695,6496,713,6492,713,6496,711,11030,711,11028,707xm6496,3695l6492,3695,6496,3699,6496,3695xm11026,3695l6496,3695,6496,3699,11026,3699,11026,3695xm11026,711l11026,3699,11028,3695,11030,3695,11030,713,11028,713,11026,711xm11030,3695l11028,3695,11026,3699,11030,3699,11030,3695xm6496,711l6492,713,6496,713,6496,711xm11026,711l6496,711,6496,713,11026,713,11026,711xm11030,711l11026,711,11028,713,11030,713,11030,711xe" filled="true" fillcolor="#000000" stroked="false">
              <v:path arrowok="t"/>
              <v:fill type="solid"/>
            </v:shape>
            <v:shape style="position:absolute;left:6594;top:2667;width:4332;height:1034" coordorigin="6594,2668" coordsize="4332,1034" path="m6739,2686l6737,2684,6598,2684,6594,2686,6594,3699,6598,3701,6737,3701,6739,3699,6739,3695,6739,2688,6739,2686m7088,2670l7086,2668,6946,2668,6943,2670,6943,3699,6946,3701,7086,3701,7088,3699,7088,3695,7088,2673,7088,2670m7438,2687l7435,2684,7295,2684,7292,2687,7292,3699,7295,3701,7435,3701,7438,3699,7438,3695,7438,2690,7438,2687m7786,2714l7783,2710,7644,2710,7642,2714,7642,3699,7644,3701,7783,3701,7786,3699,7786,3695,7786,2716,7786,2714m8135,2973l8132,2970,7992,2970,7990,2973,7990,3699,7992,3701,8132,3701,8135,3699,8135,3695,8135,2975,8135,2973m8484,3017l8482,3014,8341,3014,8339,3017,8339,3699,8341,3701,8482,3701,8484,3699,8484,3695,8484,3020,8484,3017m8833,3058l8831,3056,8690,3056,8688,3058,8688,3699,8690,3701,8831,3701,8833,3699,8833,3695,8833,3060,8833,3058m9181,3261l9179,3258,9040,3258,9037,3261,9037,3699,9040,3701,9179,3701,9181,3699,9181,3695,9181,3264,9181,3261m9530,3323l9528,3321,9388,3321,9385,3323,9385,3699,9388,3701,9528,3701,9530,3699,9530,3695,9530,3327,9530,3323m9880,3279l9877,3276,9737,3276,9734,3279,9734,3699,9737,3701,9877,3701,9880,3699,9880,3695,9880,3281,9880,3279m10229,3376l10225,3374,10086,3374,10084,3376,10084,3699,10086,3701,10225,3701,10229,3699,10229,3695,10229,3380,10229,3376m10577,3404l10574,3401,10435,3401,10432,3404,10432,3699,10435,3701,10574,3701,10577,3699,10577,3695,10577,3406,10577,3404m10926,3443l10924,3441,10783,3441,10781,3443,10781,3699,10783,3701,10924,3701,10926,3699,10926,3695,10926,3446,10926,3443e" filled="true" fillcolor="#0000ff" stroked="false">
              <v:path arrowok="t"/>
              <v:fill type="solid"/>
            </v:shape>
            <v:shape style="position:absolute;left:6594;top:798;width:4332;height:2648" coordorigin="6594,798" coordsize="4332,2648" path="m6739,975l6737,972,6598,972,6594,975,6594,2686,6598,2688,6737,2688,6739,2686,6739,2684,6739,977,6739,975m7088,863l7086,861,6946,861,6943,863,6943,2670,6946,2673,7086,2673,7088,2670,7088,2668,7088,866,7088,863m7438,826l7435,822,7295,822,7292,826,7292,2687,7295,2690,7435,2690,7438,2687,7438,2684,7438,828,7438,826m7786,801l7783,798,7644,798,7642,801,7642,2714,7644,2716,7783,2716,7786,2714,7786,2710,7786,803,7786,801m8135,1092l8132,1090,7992,1090,7990,1092,7990,2973,7992,2975,8132,2975,8135,2973,8135,2970,8135,1095,8135,1092m8484,1228l8482,1224,8341,1224,8339,1228,8339,3017,8341,3020,8482,3020,8484,3017,8484,3014,8484,1230,8484,1228m8833,1335l8831,1332,8690,1332,8688,1335,8688,3058,8690,3060,8831,3060,8833,3058,8833,3056,8833,1337,8833,1335m9181,1468l9179,1466,9040,1466,9037,1468,9037,3261,9040,3264,9179,3264,9181,3261,9181,3258,9181,1470,9181,1468m9530,1845l9528,1842,9388,1842,9385,1845,9385,3323,9388,3327,9528,3327,9530,3323,9530,3321,9530,1847,9530,1845m9880,1870l9877,1868,9737,1868,9734,1870,9734,3279,9737,3281,9877,3281,9880,3279,9880,3276,9880,1874,9880,1870m10229,2030l10225,2027,10086,2027,10084,2030,10084,3376,10086,3380,10225,3380,10229,3376,10229,3374,10229,2032,10229,2030m10577,2114l10574,2111,10435,2111,10432,2114,10432,3404,10435,3406,10574,3406,10577,3404,10577,3401,10577,2117,10577,2114m10926,2154l10924,2152,10783,2152,10781,2154,10781,3443,10783,3446,10924,3446,10926,3443,10926,3441,10926,2157,10926,2154e" filled="true" fillcolor="#ff00ff" stroked="false">
              <v:path arrowok="t"/>
              <v:fill type="solid"/>
            </v:shape>
            <v:line style="position:absolute" from="6493,711" to="6493,3754" stroked="true" strokeweight=".299990pt" strokecolor="#868686">
              <v:stroke dashstyle="solid"/>
            </v:line>
            <v:shape style="position:absolute;left:6438;top:707;width:54;height:2994" coordorigin="6438,707" coordsize="54,2994" path="m6492,3695l6438,3695,6438,3701,6492,3701,6492,3695m6492,3363l6438,3363,6438,3369,6492,3369,6492,3363m6492,3032l6438,3032,6438,3036,6492,3036,6492,3032m6492,2699l6438,2699,6438,2704,6492,2704,6492,2699m6492,2368l6438,2368,6438,2373,6492,2373,6492,2368m6492,2036l6438,2036,6438,2042,6492,2042,6492,2036m6492,1703l6438,1703,6438,1709,6492,1709,6492,1703m6492,1372l6438,1372,6438,1377,6492,1377,6492,1372m6492,1040l6438,1040,6438,1044,6492,1044,6492,1040m6492,707l6438,707,6438,713,6492,713,6492,707e" filled="true" fillcolor="#868686" stroked="false">
              <v:path arrowok="t"/>
              <v:fill type="solid"/>
            </v:shape>
            <v:line style="position:absolute" from="6492,3698" to="11028,3698" stroked="true" strokeweight=".299990pt" strokecolor="#868686">
              <v:stroke dashstyle="solid"/>
            </v:line>
            <v:shape style="position:absolute;left:6838;top:3698;width:4192;height:56" coordorigin="6839,3699" coordsize="4192,56" path="m6844,3699l6839,3699,6839,3754,6844,3754,6844,3699m7193,3699l7188,3699,7188,3754,7193,3754,7193,3699m7542,3699l7537,3699,7537,3754,7542,3754,7542,3699m7890,3699l7885,3699,7885,3754,7890,3754,7890,3699m8239,3699l8234,3699,8234,3754,8239,3754,8239,3699m8588,3699l8584,3699,8584,3754,8588,3754,8588,3699m8938,3699l8932,3699,8932,3754,8938,3754,8938,3699m9286,3699l9281,3699,9281,3754,9286,3754,9286,3699m9635,3699l9630,3699,9630,3754,9635,3754,9635,3699m9984,3699l9979,3699,9979,3754,9984,3754,9984,3699m10333,3699l10327,3699,10327,3754,10333,3754,10333,3699m10681,3699l10676,3699,10676,3754,10681,3754,10681,3699m11030,3699l11026,3699,11026,3754,11030,3754,11030,3699e" filled="true" fillcolor="#868686" stroked="false">
              <v:path arrowok="t"/>
              <v:fill type="solid"/>
            </v:shape>
            <v:shape style="position:absolute;left:9156;top:753;width:99;height:102" coordorigin="9156,754" coordsize="99,102" path="m9254,756l9252,754,9158,754,9156,756,9156,852,9158,856,9252,856,9254,852,9254,850,9254,759,9254,756e" filled="true" fillcolor="#ff00ff" stroked="false">
              <v:path arrowok="t"/>
              <v:fill type="solid"/>
            </v:shape>
            <v:shape style="position:absolute;left:9156;top:1309;width:99;height:102" coordorigin="9156,1310" coordsize="99,102" path="m9254,1312l9252,1310,9158,1310,9156,1312,9156,1409,9158,1412,9252,1412,9254,1409,9254,1406,9254,1314,9254,1312e" filled="true" fillcolor="#0000ff" stroked="false">
              <v:path arrowok="t"/>
              <v:fill type="solid"/>
            </v:shape>
            <v:rect style="position:absolute;left:6009;top:573;width:5140;height:3504" filled="false" stroked="true" strokeweight=".253pt" strokecolor="#868686">
              <v:stroke dashstyle="solid"/>
            </v:rect>
            <v:shape style="position:absolute;left:6165;top:1278;width:4880;height:2743" type="#_x0000_t202" filled="false" stroked="false">
              <v:textbox inset="0,0,0,0">
                <w:txbxContent>
                  <w:p>
                    <w:pPr>
                      <w:tabs>
                        <w:tab w:pos="3129" w:val="left" w:leader="none"/>
                      </w:tabs>
                      <w:spacing w:line="188" w:lineRule="exact" w:before="0"/>
                      <w:ind w:left="0" w:right="0" w:firstLine="0"/>
                      <w:jc w:val="left"/>
                      <w:rPr>
                        <w:rFonts w:ascii="Calibri" w:hAnsi="Calibri"/>
                        <w:b/>
                        <w:sz w:val="17"/>
                      </w:rPr>
                    </w:pPr>
                    <w:r>
                      <w:rPr>
                        <w:rFonts w:ascii="Calibri" w:hAnsi="Calibri"/>
                        <w:b/>
                        <w:sz w:val="17"/>
                      </w:rPr>
                      <w:t>35</w:t>
                      <w:tab/>
                    </w:r>
                    <w:r>
                      <w:rPr>
                        <w:rFonts w:ascii="Calibri" w:hAnsi="Calibri"/>
                        <w:b/>
                        <w:position w:val="1"/>
                        <w:sz w:val="17"/>
                      </w:rPr>
                      <w:t>Short‐term</w:t>
                    </w:r>
                    <w:r>
                      <w:rPr>
                        <w:rFonts w:ascii="Calibri" w:hAnsi="Calibri"/>
                        <w:b/>
                        <w:spacing w:val="-4"/>
                        <w:position w:val="1"/>
                        <w:sz w:val="17"/>
                      </w:rPr>
                      <w:t> </w:t>
                    </w:r>
                    <w:r>
                      <w:rPr>
                        <w:rFonts w:ascii="Calibri" w:hAnsi="Calibri"/>
                        <w:b/>
                        <w:position w:val="1"/>
                        <w:sz w:val="17"/>
                      </w:rPr>
                      <w:t>unsecured</w:t>
                    </w:r>
                  </w:p>
                  <w:p>
                    <w:pPr>
                      <w:spacing w:line="166" w:lineRule="exact" w:before="0"/>
                      <w:ind w:left="3129" w:right="0" w:firstLine="0"/>
                      <w:jc w:val="left"/>
                      <w:rPr>
                        <w:rFonts w:ascii="Calibri"/>
                        <w:b/>
                        <w:sz w:val="17"/>
                      </w:rPr>
                    </w:pPr>
                    <w:r>
                      <w:rPr>
                        <w:rFonts w:ascii="Calibri"/>
                        <w:b/>
                        <w:sz w:val="17"/>
                      </w:rPr>
                      <w:t>wholesale funding</w:t>
                    </w:r>
                  </w:p>
                  <w:p>
                    <w:pPr>
                      <w:spacing w:line="169" w:lineRule="exact" w:before="0"/>
                      <w:ind w:left="0" w:right="0" w:firstLine="0"/>
                      <w:jc w:val="left"/>
                      <w:rPr>
                        <w:rFonts w:ascii="Calibri"/>
                        <w:b/>
                        <w:sz w:val="17"/>
                      </w:rPr>
                    </w:pPr>
                    <w:r>
                      <w:rPr>
                        <w:rFonts w:ascii="Calibri"/>
                        <w:b/>
                        <w:sz w:val="17"/>
                      </w:rPr>
                      <w:t>30</w:t>
                    </w:r>
                  </w:p>
                  <w:p>
                    <w:pPr>
                      <w:spacing w:before="125"/>
                      <w:ind w:left="0" w:right="0" w:firstLine="0"/>
                      <w:jc w:val="left"/>
                      <w:rPr>
                        <w:rFonts w:ascii="Calibri"/>
                        <w:b/>
                        <w:sz w:val="17"/>
                      </w:rPr>
                    </w:pPr>
                    <w:r>
                      <w:rPr>
                        <w:rFonts w:ascii="Calibri"/>
                        <w:b/>
                        <w:sz w:val="17"/>
                      </w:rPr>
                      <w:t>25</w:t>
                    </w:r>
                  </w:p>
                  <w:p>
                    <w:pPr>
                      <w:spacing w:before="124"/>
                      <w:ind w:left="0" w:right="0" w:firstLine="0"/>
                      <w:jc w:val="left"/>
                      <w:rPr>
                        <w:rFonts w:ascii="Calibri"/>
                        <w:b/>
                        <w:sz w:val="17"/>
                      </w:rPr>
                    </w:pPr>
                    <w:r>
                      <w:rPr>
                        <w:rFonts w:ascii="Calibri"/>
                        <w:b/>
                        <w:sz w:val="17"/>
                      </w:rPr>
                      <w:t>20</w:t>
                    </w:r>
                  </w:p>
                  <w:p>
                    <w:pPr>
                      <w:spacing w:before="124"/>
                      <w:ind w:left="0" w:right="0" w:firstLine="0"/>
                      <w:jc w:val="left"/>
                      <w:rPr>
                        <w:rFonts w:ascii="Calibri"/>
                        <w:b/>
                        <w:sz w:val="17"/>
                      </w:rPr>
                    </w:pPr>
                    <w:r>
                      <w:rPr>
                        <w:rFonts w:ascii="Calibri"/>
                        <w:b/>
                        <w:sz w:val="17"/>
                      </w:rPr>
                      <w:t>15</w:t>
                    </w:r>
                  </w:p>
                  <w:p>
                    <w:pPr>
                      <w:spacing w:before="125"/>
                      <w:ind w:left="0" w:right="0" w:firstLine="0"/>
                      <w:jc w:val="left"/>
                      <w:rPr>
                        <w:rFonts w:ascii="Calibri"/>
                        <w:b/>
                        <w:sz w:val="17"/>
                      </w:rPr>
                    </w:pPr>
                    <w:r>
                      <w:rPr>
                        <w:rFonts w:ascii="Calibri"/>
                        <w:b/>
                        <w:sz w:val="17"/>
                      </w:rPr>
                      <w:t>10</w:t>
                    </w:r>
                  </w:p>
                  <w:p>
                    <w:pPr>
                      <w:spacing w:before="125"/>
                      <w:ind w:left="85" w:right="0" w:firstLine="0"/>
                      <w:jc w:val="left"/>
                      <w:rPr>
                        <w:rFonts w:ascii="Calibri"/>
                        <w:b/>
                        <w:sz w:val="17"/>
                      </w:rPr>
                    </w:pPr>
                    <w:r>
                      <w:rPr>
                        <w:rFonts w:ascii="Calibri"/>
                        <w:b/>
                        <w:w w:val="99"/>
                        <w:sz w:val="17"/>
                      </w:rPr>
                      <w:t>5</w:t>
                    </w:r>
                  </w:p>
                  <w:p>
                    <w:pPr>
                      <w:spacing w:before="124"/>
                      <w:ind w:left="85" w:right="0" w:firstLine="0"/>
                      <w:jc w:val="left"/>
                      <w:rPr>
                        <w:rFonts w:ascii="Calibri"/>
                        <w:b/>
                        <w:sz w:val="17"/>
                      </w:rPr>
                    </w:pPr>
                    <w:r>
                      <w:rPr>
                        <w:rFonts w:ascii="Calibri"/>
                        <w:b/>
                        <w:w w:val="99"/>
                        <w:sz w:val="17"/>
                      </w:rPr>
                      <w:t>0</w:t>
                    </w:r>
                  </w:p>
                  <w:p>
                    <w:pPr>
                      <w:tabs>
                        <w:tab w:pos="1028" w:val="left" w:leader="none"/>
                        <w:tab w:pos="1726" w:val="left" w:leader="none"/>
                        <w:tab w:pos="2424" w:val="left" w:leader="none"/>
                        <w:tab w:pos="3122" w:val="left" w:leader="none"/>
                        <w:tab w:pos="3819" w:val="left" w:leader="none"/>
                        <w:tab w:pos="4518" w:val="left" w:leader="none"/>
                      </w:tabs>
                      <w:spacing w:line="206" w:lineRule="exact" w:before="21"/>
                      <w:ind w:left="331" w:right="0" w:firstLine="0"/>
                      <w:jc w:val="left"/>
                      <w:rPr>
                        <w:rFonts w:ascii="Calibri"/>
                        <w:b/>
                        <w:sz w:val="17"/>
                      </w:rPr>
                    </w:pPr>
                    <w:r>
                      <w:rPr>
                        <w:rFonts w:ascii="Calibri"/>
                        <w:b/>
                        <w:sz w:val="17"/>
                      </w:rPr>
                      <w:t>2005</w:t>
                      <w:tab/>
                      <w:t>2007</w:t>
                      <w:tab/>
                      <w:t>2009</w:t>
                      <w:tab/>
                      <w:t>2011</w:t>
                      <w:tab/>
                      <w:t>2013</w:t>
                      <w:tab/>
                      <w:t>2015</w:t>
                      <w:tab/>
                      <w:t>2017</w:t>
                    </w:r>
                  </w:p>
                </w:txbxContent>
              </v:textbox>
              <w10:wrap type="none"/>
            </v:shape>
            <v:shape style="position:absolute;left:9295;top:722;width:1493;height:391" type="#_x0000_t202" filled="false" stroked="false">
              <v:textbox inset="0,0,0,0">
                <w:txbxContent>
                  <w:p>
                    <w:pPr>
                      <w:spacing w:line="178" w:lineRule="exact" w:before="0"/>
                      <w:ind w:left="0" w:right="0" w:firstLine="0"/>
                      <w:jc w:val="left"/>
                      <w:rPr>
                        <w:rFonts w:ascii="Calibri" w:hAnsi="Calibri"/>
                        <w:b/>
                        <w:sz w:val="17"/>
                      </w:rPr>
                    </w:pPr>
                    <w:r>
                      <w:rPr>
                        <w:rFonts w:ascii="Calibri" w:hAnsi="Calibri"/>
                        <w:b/>
                        <w:sz w:val="17"/>
                      </w:rPr>
                      <w:t>Long‐term wholesale</w:t>
                    </w:r>
                  </w:p>
                  <w:p>
                    <w:pPr>
                      <w:spacing w:line="206" w:lineRule="exact" w:before="7"/>
                      <w:ind w:left="0" w:right="0" w:firstLine="0"/>
                      <w:jc w:val="left"/>
                      <w:rPr>
                        <w:rFonts w:ascii="Calibri"/>
                        <w:b/>
                        <w:sz w:val="17"/>
                      </w:rPr>
                    </w:pPr>
                    <w:r>
                      <w:rPr>
                        <w:rFonts w:ascii="Calibri"/>
                        <w:b/>
                        <w:sz w:val="17"/>
                      </w:rPr>
                      <w:t>funding</w:t>
                    </w:r>
                  </w:p>
                </w:txbxContent>
              </v:textbox>
              <w10:wrap type="none"/>
            </v:shape>
            <v:shape style="position:absolute;left:6165;top:960;width:191;height:176" type="#_x0000_t202" filled="false" stroked="false">
              <v:textbox inset="0,0,0,0">
                <w:txbxContent>
                  <w:p>
                    <w:pPr>
                      <w:spacing w:line="176" w:lineRule="exact" w:before="0"/>
                      <w:ind w:left="0" w:right="0" w:firstLine="0"/>
                      <w:jc w:val="left"/>
                      <w:rPr>
                        <w:rFonts w:ascii="Calibri"/>
                        <w:b/>
                        <w:sz w:val="17"/>
                      </w:rPr>
                    </w:pPr>
                    <w:r>
                      <w:rPr>
                        <w:rFonts w:ascii="Calibri"/>
                        <w:b/>
                        <w:sz w:val="17"/>
                      </w:rPr>
                      <w:t>40</w:t>
                    </w:r>
                  </w:p>
                </w:txbxContent>
              </v:textbox>
              <w10:wrap type="none"/>
            </v:shape>
            <v:shape style="position:absolute;left:6547;top:806;width:143;height:176" type="#_x0000_t202" filled="false" stroked="false">
              <v:textbox inset="0,0,0,0">
                <w:txbxContent>
                  <w:p>
                    <w:pPr>
                      <w:spacing w:line="176" w:lineRule="exact" w:before="0"/>
                      <w:ind w:left="0" w:right="0" w:firstLine="0"/>
                      <w:jc w:val="left"/>
                      <w:rPr>
                        <w:rFonts w:ascii="Calibri"/>
                        <w:b/>
                        <w:sz w:val="17"/>
                      </w:rPr>
                    </w:pPr>
                    <w:r>
                      <w:rPr>
                        <w:rFonts w:ascii="Calibri"/>
                        <w:b/>
                        <w:w w:val="99"/>
                        <w:sz w:val="17"/>
                      </w:rPr>
                      <w:t>%</w:t>
                    </w:r>
                  </w:p>
                </w:txbxContent>
              </v:textbox>
              <w10:wrap type="none"/>
            </v:shape>
            <v:shape style="position:absolute;left:6165;top:629;width:191;height:176" type="#_x0000_t202" filled="false" stroked="false">
              <v:textbox inset="0,0,0,0">
                <w:txbxContent>
                  <w:p>
                    <w:pPr>
                      <w:spacing w:line="176" w:lineRule="exact" w:before="0"/>
                      <w:ind w:left="0" w:right="0" w:firstLine="0"/>
                      <w:jc w:val="left"/>
                      <w:rPr>
                        <w:rFonts w:ascii="Calibri"/>
                        <w:b/>
                        <w:sz w:val="17"/>
                      </w:rPr>
                    </w:pPr>
                    <w:r>
                      <w:rPr>
                        <w:rFonts w:ascii="Calibri"/>
                        <w:b/>
                        <w:sz w:val="17"/>
                      </w:rPr>
                      <w:t>45</w:t>
                    </w:r>
                  </w:p>
                </w:txbxContent>
              </v:textbox>
              <w10:wrap type="none"/>
            </v:shape>
            <w10:wrap type="none"/>
          </v:group>
        </w:pict>
      </w:r>
      <w:r>
        <w:rPr>
          <w:b/>
          <w:sz w:val="20"/>
        </w:rPr>
        <w:t>Figure 9. UK – Banks’ Wholesale Funding as Pct Total Balance Sheet, 2005-17</w:t>
      </w:r>
    </w:p>
    <w:p>
      <w:pPr>
        <w:spacing w:after="0" w:line="355" w:lineRule="auto"/>
        <w:jc w:val="left"/>
        <w:rPr>
          <w:sz w:val="20"/>
        </w:rPr>
        <w:sectPr>
          <w:type w:val="continuous"/>
          <w:pgSz w:w="11910" w:h="16840"/>
          <w:pgMar w:top="1200" w:bottom="1540" w:left="560" w:right="540"/>
          <w:cols w:num="2" w:equalWidth="0">
            <w:col w:w="4601" w:space="732"/>
            <w:col w:w="5477"/>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5"/>
        </w:rPr>
      </w:pPr>
    </w:p>
    <w:p>
      <w:pPr>
        <w:spacing w:line="360" w:lineRule="auto" w:before="94"/>
        <w:ind w:left="574" w:right="788" w:firstLine="0"/>
        <w:jc w:val="left"/>
        <w:rPr>
          <w:sz w:val="16"/>
        </w:rPr>
      </w:pPr>
      <w:r>
        <w:rPr>
          <w:sz w:val="16"/>
        </w:rPr>
        <w:t>Note: Data in left chart are break-adjusted. For the right chart (which was shown in the February 2019 </w:t>
      </w:r>
      <w:r>
        <w:rPr>
          <w:i/>
          <w:sz w:val="16"/>
        </w:rPr>
        <w:t>Inflation Report</w:t>
      </w:r>
      <w:r>
        <w:rPr>
          <w:sz w:val="16"/>
        </w:rPr>
        <w:t>), wholesale funding comprises deposits by banks, debt securities and subordinated liabilities but excludes repo. Long-term wholesale funding has residual contractual maturity of greater than three months. Balance sheet total excludes derivatives and liabilities to customers under investment and insurance contracts. Sources: Published accounts and BoE calculations.</w:t>
      </w:r>
    </w:p>
    <w:p>
      <w:pPr>
        <w:pStyle w:val="BodyText"/>
        <w:rPr>
          <w:sz w:val="18"/>
        </w:rPr>
      </w:pPr>
    </w:p>
    <w:p>
      <w:pPr>
        <w:pStyle w:val="BodyText"/>
        <w:rPr>
          <w:sz w:val="18"/>
        </w:rPr>
      </w:pPr>
    </w:p>
    <w:p>
      <w:pPr>
        <w:pStyle w:val="BodyText"/>
        <w:rPr>
          <w:sz w:val="24"/>
        </w:rPr>
      </w:pPr>
    </w:p>
    <w:p>
      <w:pPr>
        <w:pStyle w:val="BodyText"/>
        <w:spacing w:line="360" w:lineRule="auto"/>
        <w:ind w:left="574" w:right="1132" w:hanging="1"/>
      </w:pPr>
      <w:r>
        <w:rPr/>
        <w:t>All this implies that, in estimating the equilibrium level of lending spreads, we should focus on the gap between mortgage and deposit rates at least as much as the gap from mortgages to wholesale funding costs.</w:t>
      </w:r>
    </w:p>
    <w:p>
      <w:pPr>
        <w:pStyle w:val="BodyText"/>
        <w:rPr>
          <w:sz w:val="30"/>
        </w:rPr>
      </w:pPr>
    </w:p>
    <w:p>
      <w:pPr>
        <w:pStyle w:val="BodyText"/>
        <w:spacing w:line="360" w:lineRule="auto"/>
        <w:ind w:left="574" w:right="611"/>
      </w:pPr>
      <w:r>
        <w:rPr/>
        <w:t>Judged against deposit rates, spreads on new mortgages appear a little on the low side, but not dramatically so. Partial pass-through of a rising policy rate to deposit rates implies that partial pass-through to mortgage rates may be sustainable. For example, the spread between the average new mortgage rate (just above 2.1%) and the average interest rate on household and PNFC deposits (just above 0.5%) is around 160bp.</w:t>
      </w:r>
      <w:r>
        <w:rPr>
          <w:position w:val="7"/>
          <w:sz w:val="13"/>
        </w:rPr>
        <w:t>14 </w:t>
      </w:r>
      <w:r>
        <w:rPr/>
        <w:t>This proxy for net interest margins (NIMs) is only about 15bp below the average of 2004-07, and a similar amount below the average since 2013. This spread is much lower than in 2008-12. However, that was an exceptional period of severe financial strains and risk aversion, and is unlikely to be a valid benchmark for more normal times. It is probably more relevant that this spread is similar to the average of the last two years</w:t>
      </w:r>
    </w:p>
    <w:p>
      <w:pPr>
        <w:pStyle w:val="BodyText"/>
      </w:pPr>
    </w:p>
    <w:p>
      <w:pPr>
        <w:pStyle w:val="BodyText"/>
      </w:pPr>
      <w:r>
        <w:rPr/>
        <w:pict>
          <v:shape style="position:absolute;margin-left:56.700001pt;margin-top:13.726137pt;width:144pt;height:.1pt;mso-position-horizontal-relative:page;mso-position-vertical-relative:paragraph;z-index:-251582464;mso-wrap-distance-left:0;mso-wrap-distance-right:0" coordorigin="1134,275" coordsize="2880,0" path="m1134,275l4014,275e" filled="false" stroked="true" strokeweight=".48001pt" strokecolor="#000000">
            <v:path arrowok="t"/>
            <v:stroke dashstyle="solid"/>
            <w10:wrap type="topAndBottom"/>
          </v:shape>
        </w:pict>
      </w:r>
    </w:p>
    <w:p>
      <w:pPr>
        <w:spacing w:before="51"/>
        <w:ind w:left="574" w:right="812" w:firstLine="0"/>
        <w:jc w:val="left"/>
        <w:rPr>
          <w:sz w:val="16"/>
        </w:rPr>
      </w:pPr>
      <w:r>
        <w:rPr>
          <w:position w:val="6"/>
          <w:sz w:val="10"/>
        </w:rPr>
        <w:t>14 </w:t>
      </w:r>
      <w:r>
        <w:rPr>
          <w:sz w:val="16"/>
        </w:rPr>
        <w:t>This is only a rough guide to trends in net interest margins on deposit-funded mortgage lending, because it does not allow for the effect of swapping fixed rate mortgages to floating rate assets.</w:t>
      </w:r>
    </w:p>
    <w:p>
      <w:pPr>
        <w:spacing w:after="0"/>
        <w:jc w:val="left"/>
        <w:rPr>
          <w:sz w:val="16"/>
        </w:rPr>
        <w:sectPr>
          <w:type w:val="continuous"/>
          <w:pgSz w:w="11910" w:h="16840"/>
          <w:pgMar w:top="1200" w:bottom="1540" w:left="560" w:right="540"/>
        </w:sectPr>
      </w:pPr>
    </w:p>
    <w:p>
      <w:pPr>
        <w:pStyle w:val="BodyText"/>
        <w:spacing w:line="360" w:lineRule="auto" w:before="76"/>
        <w:ind w:left="573" w:right="655"/>
      </w:pPr>
      <w:r>
        <w:rPr/>
        <w:t>and has not changed much since the policy rate started to rise in late-2017, with mortgage rates and deposit rates both rising less than the policy rate and swap rates.</w:t>
      </w:r>
    </w:p>
    <w:p>
      <w:pPr>
        <w:spacing w:after="0" w:line="360" w:lineRule="auto"/>
        <w:sectPr>
          <w:footerReference w:type="default" r:id="rId19"/>
          <w:pgSz w:w="11910" w:h="16840"/>
          <w:pgMar w:footer="1340" w:header="0" w:top="1540" w:bottom="1540" w:left="560" w:right="540"/>
        </w:sectPr>
      </w:pPr>
    </w:p>
    <w:p>
      <w:pPr>
        <w:pStyle w:val="Heading1"/>
        <w:spacing w:line="355" w:lineRule="auto" w:before="111"/>
        <w:ind w:right="22"/>
      </w:pPr>
      <w:r>
        <w:rPr/>
        <w:pict>
          <v:group style="position:absolute;margin-left:33.773998pt;margin-top:34.124363pt;width:256.5pt;height:182.25pt;mso-position-horizontal-relative:page;mso-position-vertical-relative:paragraph;z-index:-253502464" coordorigin="675,682" coordsize="5130,3645">
            <v:shape style="position:absolute;left:1150;top:839;width:4451;height:3107" coordorigin="1151,840" coordsize="4451,3107" path="m5599,840l1153,840,1151,842,1151,3944,1153,3947,5599,3947,5602,3944,1156,3944,1153,3942,1156,3942,1156,845,1153,845,1156,842,5602,842,5599,840xm1156,3942l1153,3942,1156,3944,1156,3942xm5597,3942l1156,3942,1156,3944,5597,3944,5597,3942xm5597,842l5597,3944,5599,3942,5602,3942,5602,845,5599,845,5597,842xm5602,3942l5599,3942,5597,3944,5602,3944,5602,3942xm1156,842l1153,845,1156,845,1156,842xm5597,842l1156,842,1156,845,5597,845,5597,842xm5602,842l5597,842,5599,845,5602,845,5602,842xe" filled="true" fillcolor="#000000" stroked="false">
              <v:path arrowok="t"/>
              <v:fill type="solid"/>
            </v:shape>
            <v:shape style="position:absolute;left:1165;top:1250;width:4421;height:2520" coordorigin="1165,1250" coordsize="4421,2520" path="m5267,3750l5046,3750,5070,3770,5243,3770,5267,3750xm5586,3370l4014,3370,4039,3410,4063,3410,4088,3430,4112,3430,4138,3470,4162,3470,4186,3490,4211,3510,4235,3510,4260,3530,4333,3530,4358,3550,4555,3550,4579,3590,4678,3590,4702,3610,4751,3610,4776,3630,4825,3630,4849,3650,4874,3650,4898,3670,4924,3670,4948,3710,4973,3730,4997,3750,5464,3750,5488,3730,5537,3730,5562,3710,5586,3710,5586,3370xm5586,3710l5562,3710,5586,3730,5586,3710xm4506,3570l4457,3570,4481,3590,4506,3570xm4555,3550l4408,3550,4432,3570,4506,3570,4530,3590,4555,3550xm4333,3530l4284,3530,4309,3550,4333,3530xm2933,3370l2860,3370,2885,3390,2909,3390,2933,3370xm5586,3250l3768,3250,3793,3270,3817,3270,3842,3290,3866,3290,3892,3310,3916,3330,3941,3350,3965,3350,3990,3390,4014,3370,5586,3370,5586,3250xm3350,3310l2761,3310,2786,3350,2810,3370,2982,3370,3007,3350,3277,3350,3302,3330,3326,3330,3350,3310xm3056,3350l3007,3350,3031,3370,3056,3350xm3130,3350l3056,3350,3080,3370,3106,3370,3130,3350xm3080,2250l2540,2250,2564,2270,2590,2470,2614,2830,2639,3050,2663,3150,2688,3230,2712,3270,2737,3310,3425,3310,3449,3290,3523,3290,3547,3270,3596,3270,3622,3250,5586,3250,5586,3110,5218,3110,5206,3090,5144,3090,5119,3050,4997,3050,4973,3010,4948,2990,4924,2990,4898,2950,4874,2930,4849,2930,4825,2890,4776,2890,4751,2850,4702,2850,4678,2830,4628,2830,4603,2810,4506,2810,4481,2790,4457,2770,4432,2730,4408,2710,4382,2630,4374,2610,4039,2610,4014,2590,3990,2550,3965,2550,3941,2530,3916,2510,3892,2490,3875,2450,3474,2450,3449,2410,3425,2410,3412,2390,3228,2390,3204,2350,3179,2330,3155,2290,3130,2270,3106,2270,3080,2250xm3695,3250l3646,3250,3671,3270,3695,3250xm5586,3010l5365,3010,5341,3030,5316,3050,5267,3050,5243,3070,5218,3110,5586,3110,5586,3010xm5194,3070l5168,3070,5144,3090,5206,3090,5194,3070xm5046,3010l5021,3030,4997,3050,5070,3050,5046,3010xm1214,1910l1189,1950,1165,1990,1165,2830,1189,2790,1214,2750,1238,2730,1262,2690,1288,2610,1312,2510,1337,2470,1361,2410,1435,2410,1459,2390,2012,2390,2024,2370,2050,2330,2074,2270,2098,2270,2123,2250,2147,2250,2172,2170,2196,2150,2221,2110,2245,2070,2633,2070,2614,1930,1238,1930,1214,1910xm4088,2590l4063,2610,4112,2610,4088,2590xm4309,2530l4260,2530,4235,2550,4211,2570,4186,2590,4162,2590,4138,2610,4374,2610,4358,2570,4333,2550,4309,2530xm2012,2390l1607,2390,1632,2430,1656,2470,1680,2490,1705,2490,1729,2510,1902,2510,1926,2490,1951,2430,1975,2430,2000,2410,2012,2390xm3498,2430l3474,2450,3523,2450,3498,2430xm3695,2250l3671,2270,3646,2270,3622,2290,3596,2350,3572,2350,3547,2410,3523,2450,3875,2450,3866,2430,3842,2410,3817,2390,3793,2330,3768,2310,3720,2290,3695,2250xm3350,2250l3302,2250,3277,2310,3253,2350,3228,2390,3412,2390,3400,2370,3376,2310,3350,2250xm2515,2250l2418,2250,2442,2290,2467,2270,2491,2270,2515,2250xm2633,2070l2270,2070,2294,2090,2320,2090,2344,2150,2369,2190,2393,2250,2958,2250,2933,2230,2909,2150,2688,2150,2671,2110,2639,2110,2633,2070xm3007,2230l2982,2250,3031,2250,3007,2230xm2810,2030l2786,2070,2737,2070,2712,2110,2688,2150,2909,2150,2885,2130,2860,2050,2836,2050,2810,2030xm2663,2090l2639,2110,2671,2110,2663,2090xm1435,1590l1361,1590,1337,1650,1312,1690,1288,1770,1262,1870,1238,1930,2614,1930,2602,1790,1705,1790,1680,1770,1656,1750,1632,1670,1607,1610,1459,1610,1435,1590xm1828,1750l1778,1750,1754,1770,1729,1790,2602,1790,2601,1770,1853,1770,1828,1750xm2294,1290l2270,1310,2245,1330,2221,1350,2196,1430,2172,1470,2147,1510,2123,1530,2098,1550,2074,1550,2050,1590,2024,1630,2000,1650,1975,1670,1951,1670,1926,1690,1902,1750,1877,1770,2601,1770,2590,1630,2568,1390,2418,1390,2393,1370,2369,1350,2344,1330,2320,1310,2294,1290xm1583,1590l1484,1590,1459,1610,1607,1610,1583,1590xm2540,1250l2515,1250,2467,1330,2442,1390,2568,1390,2564,1350,2540,1250xe" filled="true" fillcolor="#b9cde5" stroked="false">
              <v:path arrowok="t"/>
              <v:fill type="solid"/>
            </v:shape>
            <v:line style="position:absolute" from="1153,842" to="1153,4002" stroked="true" strokeweight=".24001pt" strokecolor="#868686">
              <v:stroke dashstyle="solid"/>
            </v:line>
            <v:shape style="position:absolute;left:1099;top:839;width:54;height:3107" coordorigin="1099,840" coordsize="54,3107" path="m1153,3942l1099,3942,1099,3947,1153,3947,1153,3942m1153,3499l1099,3499,1099,3504,1153,3504,1153,3499m1153,3055l1099,3055,1099,3061,1153,3061,1153,3055m1153,2612l1099,2612,1099,2618,1153,2618,1153,2612m1153,2168l1099,2168,1099,2174,1153,2174,1153,2168m1153,1725l1099,1725,1099,1731,1153,1731,1153,1725m1153,1283l1099,1283,1099,1289,1153,1289,1153,1283m1153,840l1099,840,1099,845,1153,845,1153,840e" filled="true" fillcolor="#868686" stroked="false">
              <v:path arrowok="t"/>
              <v:fill type="solid"/>
            </v:shape>
            <v:line style="position:absolute" from="1153,3944" to="5599,3944" stroked="true" strokeweight=".23999pt" strokecolor="#868686">
              <v:stroke dashstyle="solid"/>
            </v:line>
            <v:shape style="position:absolute;left:1740;top:3944;width:3542;height:58" coordorigin="1740,3944" coordsize="3542,58" path="m1745,3944l1740,3944,1740,4002,1745,4002,1745,3944m2334,3944l2329,3944,2329,4002,2334,4002,2334,3944m2923,3944l2918,3944,2918,4002,2923,4002,2923,3944m3514,3944l3509,3944,3509,4002,3514,4002,3514,3944m4103,3944l4098,3944,4098,4002,4103,4002,4103,3944m4692,3944l4687,3944,4687,4002,4692,4002,4692,3944m5281,3944l5276,3944,5276,4002,5281,4002,5281,3944e" filled="true" fillcolor="#868686" stroked="false">
              <v:path arrowok="t"/>
              <v:fill type="solid"/>
            </v:shape>
            <v:shape style="position:absolute;left:1153;top:1235;width:4445;height:2610" type="#_x0000_t75" stroked="false">
              <v:imagedata r:id="rId20" o:title=""/>
            </v:shape>
            <v:rect style="position:absolute;left:678;top:685;width:5124;height:3640" filled="false" stroked="true" strokeweight=".252pt" strokecolor="#868686">
              <v:stroke dashstyle="solid"/>
            </v:rect>
            <v:shape style="position:absolute;left:1795;top:1624;width:2700;height:1414" coordorigin="1795,1625" coordsize="2700,1414" path="m1852,2579l1827,2534,1823,2527,1796,2579,1795,2581,1796,2583,1798,2585,1801,2585,1802,2582,1819,2550,1826,2960,1832,2960,1827,2548,1846,2582,1848,2585,1850,2583,1852,2582,1852,2579m3008,2048l3006,2048,3005,2047,3002,2047,3001,2049,2983,2084,2983,1625,2977,1625,2977,2084,2958,2049,2958,2047,2956,2047,2954,2048,2952,2048,2952,2051,2953,2053,2980,2103,2984,2096,3007,2053,3008,2051,3008,2048m4495,2987l4494,2984,4492,2982,4489,2982,4488,2984,4470,3017,4477,2303,4470,2303,4463,3018,4445,2983,4442,2981,4440,2982,4439,2983,4439,2987,4466,3038,4470,3031,4494,2988,4495,2987e" filled="true" fillcolor="#000000" stroked="false">
              <v:path arrowok="t"/>
              <v:fill type="solid"/>
            </v:shape>
            <v:shape style="position:absolute;left:912;top:3859;width:4572;height:421" type="#_x0000_t202" filled="false" stroked="false">
              <v:textbox inset="0,0,0,0">
                <w:txbxContent>
                  <w:p>
                    <w:pPr>
                      <w:spacing w:line="185" w:lineRule="exact" w:before="0"/>
                      <w:ind w:left="0" w:right="0" w:firstLine="0"/>
                      <w:jc w:val="left"/>
                      <w:rPr>
                        <w:rFonts w:ascii="Calibri"/>
                        <w:b/>
                        <w:sz w:val="18"/>
                      </w:rPr>
                    </w:pPr>
                    <w:r>
                      <w:rPr>
                        <w:rFonts w:ascii="Calibri"/>
                        <w:b/>
                        <w:w w:val="93"/>
                        <w:sz w:val="18"/>
                      </w:rPr>
                      <w:t>0</w:t>
                    </w:r>
                  </w:p>
                  <w:p>
                    <w:pPr>
                      <w:tabs>
                        <w:tab w:pos="672" w:val="left" w:leader="none"/>
                        <w:tab w:pos="1262" w:val="left" w:leader="none"/>
                        <w:tab w:pos="1851" w:val="left" w:leader="none"/>
                        <w:tab w:pos="2441" w:val="left" w:leader="none"/>
                        <w:tab w:pos="3030" w:val="left" w:leader="none"/>
                        <w:tab w:pos="3621" w:val="left" w:leader="none"/>
                        <w:tab w:pos="4210" w:val="left" w:leader="none"/>
                      </w:tabs>
                      <w:spacing w:line="217" w:lineRule="exact" w:before="18"/>
                      <w:ind w:left="82" w:right="0" w:firstLine="0"/>
                      <w:jc w:val="left"/>
                      <w:rPr>
                        <w:rFonts w:ascii="Calibri"/>
                        <w:b/>
                        <w:sz w:val="18"/>
                      </w:rPr>
                    </w:pPr>
                    <w:r>
                      <w:rPr>
                        <w:rFonts w:ascii="Calibri"/>
                        <w:b/>
                        <w:sz w:val="18"/>
                      </w:rPr>
                      <w:t>2004</w:t>
                      <w:tab/>
                      <w:t>2006</w:t>
                      <w:tab/>
                      <w:t>2008</w:t>
                      <w:tab/>
                      <w:t>2010</w:t>
                      <w:tab/>
                      <w:t>2012</w:t>
                      <w:tab/>
                      <w:t>2014</w:t>
                      <w:tab/>
                      <w:t>2016</w:t>
                      <w:tab/>
                    </w:r>
                    <w:r>
                      <w:rPr>
                        <w:rFonts w:ascii="Calibri"/>
                        <w:b/>
                        <w:w w:val="95"/>
                        <w:sz w:val="18"/>
                      </w:rPr>
                      <w:t>2018</w:t>
                    </w:r>
                  </w:p>
                </w:txbxContent>
              </v:textbox>
              <w10:wrap type="none"/>
            </v:shape>
            <v:shape style="position:absolute;left:1252;top:3103;width:1171;height:630" type="#_x0000_t202" filled="false" stroked="false">
              <v:textbox inset="0,0,0,0">
                <w:txbxContent>
                  <w:p>
                    <w:pPr>
                      <w:spacing w:line="185" w:lineRule="exact" w:before="0"/>
                      <w:ind w:left="0" w:right="0" w:firstLine="0"/>
                      <w:jc w:val="left"/>
                      <w:rPr>
                        <w:rFonts w:ascii="Calibri"/>
                        <w:b/>
                        <w:sz w:val="18"/>
                      </w:rPr>
                    </w:pPr>
                    <w:r>
                      <w:rPr>
                        <w:rFonts w:ascii="Calibri"/>
                        <w:b/>
                        <w:w w:val="95"/>
                        <w:sz w:val="18"/>
                      </w:rPr>
                      <w:t>Average Rate on</w:t>
                    </w:r>
                  </w:p>
                  <w:p>
                    <w:pPr>
                      <w:spacing w:line="244" w:lineRule="auto" w:before="3"/>
                      <w:ind w:left="0" w:right="0" w:firstLine="0"/>
                      <w:jc w:val="left"/>
                      <w:rPr>
                        <w:rFonts w:ascii="Calibri"/>
                        <w:b/>
                        <w:sz w:val="18"/>
                      </w:rPr>
                    </w:pPr>
                    <w:r>
                      <w:rPr>
                        <w:rFonts w:ascii="Calibri"/>
                        <w:b/>
                        <w:w w:val="95"/>
                        <w:sz w:val="18"/>
                      </w:rPr>
                      <w:t>Household and PNFC Deposits</w:t>
                    </w:r>
                  </w:p>
                </w:txbxContent>
              </v:textbox>
              <w10:wrap type="none"/>
            </v:shape>
            <v:shape style="position:absolute;left:912;top:2973;width:106;height:627" type="#_x0000_t202" filled="false" stroked="false">
              <v:textbox inset="0,0,0,0">
                <w:txbxContent>
                  <w:p>
                    <w:pPr>
                      <w:spacing w:line="185" w:lineRule="exact" w:before="0"/>
                      <w:ind w:left="0" w:right="0" w:firstLine="0"/>
                      <w:jc w:val="left"/>
                      <w:rPr>
                        <w:rFonts w:ascii="Calibri"/>
                        <w:b/>
                        <w:sz w:val="18"/>
                      </w:rPr>
                    </w:pPr>
                    <w:r>
                      <w:rPr>
                        <w:rFonts w:ascii="Calibri"/>
                        <w:b/>
                        <w:w w:val="93"/>
                        <w:sz w:val="18"/>
                      </w:rPr>
                      <w:t>2</w:t>
                    </w:r>
                  </w:p>
                  <w:p>
                    <w:pPr>
                      <w:spacing w:line="240" w:lineRule="auto" w:before="4"/>
                      <w:rPr>
                        <w:rFonts w:ascii="Calibri"/>
                        <w:b/>
                        <w:sz w:val="18"/>
                      </w:rPr>
                    </w:pPr>
                  </w:p>
                  <w:p>
                    <w:pPr>
                      <w:spacing w:line="217" w:lineRule="exact" w:before="0"/>
                      <w:ind w:left="0" w:right="0" w:firstLine="0"/>
                      <w:jc w:val="left"/>
                      <w:rPr>
                        <w:rFonts w:ascii="Calibri"/>
                        <w:b/>
                        <w:sz w:val="18"/>
                      </w:rPr>
                    </w:pPr>
                    <w:r>
                      <w:rPr>
                        <w:rFonts w:ascii="Calibri"/>
                        <w:b/>
                        <w:w w:val="93"/>
                        <w:sz w:val="18"/>
                      </w:rPr>
                      <w:t>1</w:t>
                    </w:r>
                  </w:p>
                </w:txbxContent>
              </v:textbox>
              <w10:wrap type="none"/>
            </v:shape>
            <v:shape style="position:absolute;left:912;top:1643;width:4498;height:1070" type="#_x0000_t202" filled="false" stroked="false">
              <v:textbox inset="0,0,0,0">
                <w:txbxContent>
                  <w:p>
                    <w:pPr>
                      <w:tabs>
                        <w:tab w:pos="3183" w:val="left" w:leader="none"/>
                      </w:tabs>
                      <w:spacing w:line="194" w:lineRule="exact" w:before="0"/>
                      <w:ind w:left="0" w:right="0" w:firstLine="0"/>
                      <w:jc w:val="left"/>
                      <w:rPr>
                        <w:rFonts w:ascii="Calibri"/>
                        <w:b/>
                        <w:sz w:val="18"/>
                      </w:rPr>
                    </w:pPr>
                    <w:r>
                      <w:rPr>
                        <w:rFonts w:ascii="Calibri"/>
                        <w:b/>
                        <w:position w:val="1"/>
                        <w:sz w:val="18"/>
                      </w:rPr>
                      <w:t>5</w:t>
                      <w:tab/>
                    </w:r>
                    <w:r>
                      <w:rPr>
                        <w:rFonts w:ascii="Calibri"/>
                        <w:b/>
                        <w:sz w:val="18"/>
                      </w:rPr>
                      <w:t>Spread</w:t>
                    </w:r>
                    <w:r>
                      <w:rPr>
                        <w:rFonts w:ascii="Calibri"/>
                        <w:b/>
                        <w:spacing w:val="-8"/>
                        <w:sz w:val="18"/>
                      </w:rPr>
                      <w:t> </w:t>
                    </w:r>
                    <w:r>
                      <w:rPr>
                        <w:rFonts w:ascii="Calibri"/>
                        <w:b/>
                        <w:sz w:val="18"/>
                      </w:rPr>
                      <w:t>from</w:t>
                    </w:r>
                  </w:p>
                  <w:p>
                    <w:pPr>
                      <w:spacing w:line="216" w:lineRule="exact" w:before="4"/>
                      <w:ind w:left="3183" w:right="0" w:firstLine="0"/>
                      <w:jc w:val="left"/>
                      <w:rPr>
                        <w:rFonts w:ascii="Calibri"/>
                        <w:b/>
                        <w:sz w:val="18"/>
                      </w:rPr>
                    </w:pPr>
                    <w:r>
                      <w:rPr>
                        <w:rFonts w:ascii="Calibri"/>
                        <w:b/>
                        <w:w w:val="95"/>
                        <w:sz w:val="18"/>
                      </w:rPr>
                      <w:t>Mortgage Rates</w:t>
                    </w:r>
                    <w:r>
                      <w:rPr>
                        <w:rFonts w:ascii="Calibri"/>
                        <w:b/>
                        <w:spacing w:val="-24"/>
                        <w:w w:val="95"/>
                        <w:sz w:val="18"/>
                      </w:rPr>
                      <w:t> </w:t>
                    </w:r>
                    <w:r>
                      <w:rPr>
                        <w:rFonts w:ascii="Calibri"/>
                        <w:b/>
                        <w:w w:val="95"/>
                        <w:sz w:val="18"/>
                      </w:rPr>
                      <w:t>to</w:t>
                    </w:r>
                  </w:p>
                  <w:p>
                    <w:pPr>
                      <w:tabs>
                        <w:tab w:pos="3183" w:val="left" w:leader="none"/>
                      </w:tabs>
                      <w:spacing w:line="226" w:lineRule="exact" w:before="0"/>
                      <w:ind w:left="0" w:right="0" w:firstLine="0"/>
                      <w:jc w:val="left"/>
                      <w:rPr>
                        <w:rFonts w:ascii="Calibri"/>
                        <w:b/>
                        <w:sz w:val="18"/>
                      </w:rPr>
                    </w:pPr>
                    <w:r>
                      <w:rPr>
                        <w:rFonts w:ascii="Calibri"/>
                        <w:b/>
                        <w:position w:val="1"/>
                        <w:sz w:val="18"/>
                      </w:rPr>
                      <w:t>4</w:t>
                      <w:tab/>
                    </w:r>
                    <w:r>
                      <w:rPr>
                        <w:rFonts w:ascii="Calibri"/>
                        <w:b/>
                        <w:sz w:val="18"/>
                      </w:rPr>
                      <w:t>Deposit</w:t>
                    </w:r>
                    <w:r>
                      <w:rPr>
                        <w:rFonts w:ascii="Calibri"/>
                        <w:b/>
                        <w:spacing w:val="-11"/>
                        <w:sz w:val="18"/>
                      </w:rPr>
                      <w:t> </w:t>
                    </w:r>
                    <w:r>
                      <w:rPr>
                        <w:rFonts w:ascii="Calibri"/>
                        <w:b/>
                        <w:sz w:val="18"/>
                      </w:rPr>
                      <w:t>Rates</w:t>
                    </w:r>
                  </w:p>
                  <w:p>
                    <w:pPr>
                      <w:spacing w:line="240" w:lineRule="auto" w:before="5"/>
                      <w:rPr>
                        <w:rFonts w:ascii="Calibri"/>
                        <w:b/>
                        <w:sz w:val="17"/>
                      </w:rPr>
                    </w:pPr>
                  </w:p>
                  <w:p>
                    <w:pPr>
                      <w:spacing w:line="217" w:lineRule="exact" w:before="0"/>
                      <w:ind w:left="0" w:right="0" w:firstLine="0"/>
                      <w:jc w:val="left"/>
                      <w:rPr>
                        <w:rFonts w:ascii="Calibri"/>
                        <w:b/>
                        <w:sz w:val="18"/>
                      </w:rPr>
                    </w:pPr>
                    <w:r>
                      <w:rPr>
                        <w:rFonts w:ascii="Calibri"/>
                        <w:b/>
                        <w:w w:val="93"/>
                        <w:sz w:val="18"/>
                      </w:rPr>
                      <w:t>3</w:t>
                    </w:r>
                  </w:p>
                </w:txbxContent>
              </v:textbox>
              <w10:wrap type="none"/>
            </v:shape>
            <v:shape style="position:absolute;left:2790;top:1113;width:1173;height:406" type="#_x0000_t202" filled="false" stroked="false">
              <v:textbox inset="0,0,0,0">
                <w:txbxContent>
                  <w:p>
                    <w:pPr>
                      <w:spacing w:line="185" w:lineRule="exact" w:before="0"/>
                      <w:ind w:left="0" w:right="0" w:firstLine="0"/>
                      <w:jc w:val="left"/>
                      <w:rPr>
                        <w:rFonts w:ascii="Calibri"/>
                        <w:b/>
                        <w:sz w:val="18"/>
                      </w:rPr>
                    </w:pPr>
                    <w:r>
                      <w:rPr>
                        <w:rFonts w:ascii="Calibri"/>
                        <w:b/>
                        <w:w w:val="95"/>
                        <w:sz w:val="18"/>
                      </w:rPr>
                      <w:t>Average Rate on</w:t>
                    </w:r>
                  </w:p>
                  <w:p>
                    <w:pPr>
                      <w:spacing w:line="217" w:lineRule="exact" w:before="3"/>
                      <w:ind w:left="0" w:right="0" w:firstLine="0"/>
                      <w:jc w:val="left"/>
                      <w:rPr>
                        <w:rFonts w:ascii="Calibri"/>
                        <w:b/>
                        <w:sz w:val="18"/>
                      </w:rPr>
                    </w:pPr>
                    <w:r>
                      <w:rPr>
                        <w:rFonts w:ascii="Calibri"/>
                        <w:b/>
                        <w:w w:val="95"/>
                        <w:sz w:val="18"/>
                      </w:rPr>
                      <w:t>New Mortgages</w:t>
                    </w:r>
                  </w:p>
                </w:txbxContent>
              </v:textbox>
              <w10:wrap type="none"/>
            </v:shape>
            <v:shape style="position:absolute;left:912;top:1200;width:106;height:183" type="#_x0000_t202" filled="false" stroked="false">
              <v:textbox inset="0,0,0,0">
                <w:txbxContent>
                  <w:p>
                    <w:pPr>
                      <w:spacing w:line="183" w:lineRule="exact" w:before="0"/>
                      <w:ind w:left="0" w:right="0" w:firstLine="0"/>
                      <w:jc w:val="left"/>
                      <w:rPr>
                        <w:rFonts w:ascii="Calibri"/>
                        <w:b/>
                        <w:sz w:val="18"/>
                      </w:rPr>
                    </w:pPr>
                    <w:r>
                      <w:rPr>
                        <w:rFonts w:ascii="Calibri"/>
                        <w:b/>
                        <w:w w:val="93"/>
                        <w:sz w:val="18"/>
                      </w:rPr>
                      <w:t>6</w:t>
                    </w:r>
                  </w:p>
                </w:txbxContent>
              </v:textbox>
              <w10:wrap type="none"/>
            </v:shape>
            <v:shape style="position:absolute;left:912;top:705;width:4548;height:435" type="#_x0000_t202" filled="false" stroked="false">
              <v:textbox inset="0,0,0,0">
                <w:txbxContent>
                  <w:p>
                    <w:pPr>
                      <w:tabs>
                        <w:tab w:pos="3290" w:val="left" w:leader="none"/>
                      </w:tabs>
                      <w:spacing w:line="198" w:lineRule="exact" w:before="21"/>
                      <w:ind w:left="0" w:right="0" w:firstLine="0"/>
                      <w:jc w:val="left"/>
                      <w:rPr>
                        <w:rFonts w:ascii="Times New Roman"/>
                        <w:sz w:val="18"/>
                      </w:rPr>
                    </w:pPr>
                    <w:r>
                      <w:rPr>
                        <w:rFonts w:ascii="Calibri"/>
                        <w:b/>
                        <w:position w:val="-2"/>
                        <w:sz w:val="18"/>
                      </w:rPr>
                      <w:t>7</w:t>
                      <w:tab/>
                    </w:r>
                    <w:r>
                      <w:rPr>
                        <w:rFonts w:ascii="Times New Roman"/>
                        <w:w w:val="97"/>
                        <w:sz w:val="18"/>
                        <w:u w:val="thick" w:color="FF00FF"/>
                      </w:rPr>
                      <w:t> </w:t>
                    </w:r>
                    <w:r>
                      <w:rPr>
                        <w:rFonts w:ascii="Times New Roman"/>
                        <w:spacing w:val="21"/>
                        <w:sz w:val="18"/>
                        <w:u w:val="thick" w:color="FF00FF"/>
                      </w:rPr>
                      <w:t> </w:t>
                    </w:r>
                  </w:p>
                  <w:p>
                    <w:pPr>
                      <w:tabs>
                        <w:tab w:pos="3449" w:val="left" w:leader="none"/>
                      </w:tabs>
                      <w:spacing w:line="215" w:lineRule="exact" w:before="0"/>
                      <w:ind w:left="353" w:right="0" w:firstLine="0"/>
                      <w:jc w:val="left"/>
                      <w:rPr>
                        <w:rFonts w:ascii="Calibri"/>
                        <w:b/>
                        <w:sz w:val="18"/>
                      </w:rPr>
                    </w:pPr>
                    <w:r>
                      <w:rPr>
                        <w:rFonts w:ascii="Calibri"/>
                        <w:b/>
                        <w:position w:val="2"/>
                        <w:sz w:val="18"/>
                      </w:rPr>
                      <w:t>%</w:t>
                      <w:tab/>
                    </w:r>
                    <w:r>
                      <w:rPr>
                        <w:rFonts w:ascii="Calibri"/>
                        <w:b/>
                        <w:w w:val="95"/>
                        <w:sz w:val="18"/>
                      </w:rPr>
                      <w:t>BoE Policy</w:t>
                    </w:r>
                    <w:r>
                      <w:rPr>
                        <w:rFonts w:ascii="Calibri"/>
                        <w:b/>
                        <w:spacing w:val="-18"/>
                        <w:w w:val="95"/>
                        <w:sz w:val="18"/>
                      </w:rPr>
                      <w:t> </w:t>
                    </w:r>
                    <w:r>
                      <w:rPr>
                        <w:rFonts w:ascii="Calibri"/>
                        <w:b/>
                        <w:w w:val="95"/>
                        <w:sz w:val="18"/>
                      </w:rPr>
                      <w:t>Rate</w:t>
                    </w:r>
                  </w:p>
                </w:txbxContent>
              </v:textbox>
              <w10:wrap type="none"/>
            </v:shape>
            <w10:wrap type="none"/>
          </v:group>
        </w:pict>
      </w:r>
      <w:r>
        <w:rPr/>
        <w:t>Figure 10. UK – Average Interest Rates on Bank Deposits and New Mortgages, 2004-19</w:t>
      </w:r>
    </w:p>
    <w:p>
      <w:pPr>
        <w:spacing w:line="355" w:lineRule="auto" w:before="111"/>
        <w:ind w:left="114" w:right="184" w:firstLine="0"/>
        <w:jc w:val="left"/>
        <w:rPr>
          <w:b/>
          <w:sz w:val="20"/>
        </w:rPr>
      </w:pPr>
      <w:r>
        <w:rPr/>
        <w:br w:type="column"/>
      </w:r>
      <w:r>
        <w:rPr>
          <w:b/>
          <w:sz w:val="20"/>
        </w:rPr>
        <w:t>Figure 11. UK – Spreads Between Mortgage Rates and Average Deposit Rates, 2004-19</w:t>
      </w:r>
    </w:p>
    <w:p>
      <w:pPr>
        <w:spacing w:after="0" w:line="355" w:lineRule="auto"/>
        <w:jc w:val="left"/>
        <w:rPr>
          <w:sz w:val="20"/>
        </w:rPr>
        <w:sectPr>
          <w:type w:val="continuous"/>
          <w:pgSz w:w="11910" w:h="16840"/>
          <w:pgMar w:top="1200" w:bottom="1540" w:left="560" w:right="540"/>
          <w:cols w:num="2" w:equalWidth="0">
            <w:col w:w="4680" w:space="666"/>
            <w:col w:w="5464"/>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5"/>
        </w:rPr>
      </w:pPr>
    </w:p>
    <w:p>
      <w:pPr>
        <w:spacing w:before="95"/>
        <w:ind w:left="574" w:right="0" w:firstLine="0"/>
        <w:jc w:val="left"/>
        <w:rPr>
          <w:sz w:val="16"/>
        </w:rPr>
      </w:pPr>
      <w:r>
        <w:rPr/>
        <w:pict>
          <v:group style="position:absolute;margin-left:301.069pt;margin-top:-181.196777pt;width:266.55pt;height:182.25pt;mso-position-horizontal-relative:page;mso-position-vertical-relative:paragraph;z-index:-253496320" coordorigin="6021,-3624" coordsize="5331,3645">
            <v:shape style="position:absolute;left:6417;top:-3493;width:4797;height:3059" coordorigin="6418,-3493" coordsize="4797,3059" path="m11212,-3493l6420,-3493,6419,-3492,6418,-3489,6418,-437,6420,-434,11212,-434,11214,-437,6424,-437,6420,-440,6424,-440,6424,-3487,6420,-3487,6424,-3489,11214,-3489,11213,-3492,11212,-3493xm6424,-440l6420,-440,6424,-437,6424,-440xm11209,-440l6424,-440,6424,-437,11209,-437,11209,-440xm11209,-3489l11209,-437,11212,-440,11214,-440,11214,-3487,11212,-3487,11209,-3489xm11214,-440l11212,-440,11209,-437,11214,-437,11214,-440xm6424,-3489l6420,-3487,6424,-3487,6424,-3489xm11209,-3489l6424,-3489,6424,-3487,11209,-3487,11209,-3489xm11214,-3489l11209,-3489,11212,-3487,11214,-3487,11214,-3489xe" filled="true" fillcolor="#000000" stroked="false">
              <v:path arrowok="t"/>
              <v:fill type="solid"/>
            </v:shape>
            <v:shape style="position:absolute;left:6693;top:-2281;width:2770;height:1847" coordorigin="6694,-2281" coordsize="2770,1847" path="m7068,-2279l7066,-2281,6697,-2281,6694,-2279,6694,-437,6697,-434,7066,-434,7068,-437,7068,-440,7068,-2276,7068,-2279m9463,-1496l9461,-1499,9092,-1499,9090,-1496,9090,-437,9092,-434,9461,-434,9463,-437,9463,-440,9463,-1493,9463,-1496e" filled="true" fillcolor="#ff00ff" stroked="false">
              <v:path arrowok="t"/>
              <v:fill type="solid"/>
            </v:shape>
            <v:shape style="position:absolute;left:7063;top:-3219;width:2769;height:2784" coordorigin="7063,-3218" coordsize="2769,2784" path="m7438,-2448l7436,-2450,7434,-2451,7066,-2451,7064,-2450,7063,-2448,7063,-437,7066,-434,7434,-434,7438,-437,7438,-440,7438,-2445,7438,-2448m9832,-3216l9829,-3218,9461,-3218,9458,-3216,9458,-437,9461,-434,9829,-434,9832,-437,9832,-440,9832,-3213,9832,-3216e" filled="true" fillcolor="#ffc000" stroked="false">
              <v:path arrowok="t"/>
              <v:fill type="solid"/>
            </v:shape>
            <v:shape style="position:absolute;left:7431;top:-2707;width:2769;height:2273" coordorigin="7432,-2707" coordsize="2769,2273" path="m7805,-2705l7802,-2707,7434,-2707,7432,-2705,7432,-437,7434,-434,7802,-434,7805,-437,7805,-440,7805,-2701,7805,-2705m10200,-1819l10198,-1821,9829,-1821,9827,-1819,9827,-437,9829,-434,10198,-434,10200,-437,10200,-440,10200,-1817,10200,-1819e" filled="true" fillcolor="#66ff33" stroked="false">
              <v:path arrowok="t"/>
              <v:fill type="solid"/>
            </v:shape>
            <v:rect style="position:absolute;left:7802;top:-2487;width:369;height:2050" filled="true" fillcolor="#8eb4e3" stroked="false">
              <v:fill type="solid"/>
            </v:rect>
            <v:shape style="position:absolute;left:7800;top:-2490;width:375;height:2056" coordorigin="7800,-2490" coordsize="375,2056" path="m8171,-2490l7802,-2490,7800,-2486,7800,-437,7802,-434,8171,-434,8174,-437,7805,-437,7802,-440,7805,-440,7805,-2484,7802,-2484,7805,-2486,8174,-2486,8171,-2490xm7805,-440l7802,-440,7805,-437,7805,-440xm8168,-440l7805,-440,7805,-437,8168,-437,8168,-440xm8168,-2486l8168,-437,8171,-440,8174,-440,8174,-2484,8171,-2484,8168,-2486xm8174,-440l8171,-440,8168,-437,8174,-437,8174,-440xm7805,-2486l7802,-2484,7805,-2484,7805,-2486xm8168,-2486l7805,-2486,7805,-2484,8168,-2484,8168,-2486xm8174,-2486l8168,-2486,8171,-2484,8174,-2484,8174,-2486xe" filled="true" fillcolor="#b9cde5" stroked="false">
              <v:path arrowok="t"/>
              <v:fill type="solid"/>
            </v:shape>
            <v:rect style="position:absolute;left:10197;top:-1073;width:369;height:636" filled="true" fillcolor="#8eb4e3" stroked="false">
              <v:fill type="solid"/>
            </v:rect>
            <v:shape style="position:absolute;left:10195;top:-1075;width:374;height:641" coordorigin="10195,-1075" coordsize="374,641" path="m10566,-1075l10198,-1075,10195,-1073,10195,-437,10198,-434,10566,-434,10568,-437,10200,-437,10198,-440,10200,-440,10200,-1070,10198,-1070,10200,-1073,10568,-1073,10566,-1075xm10200,-440l10198,-440,10200,-437,10200,-440xm10564,-440l10200,-440,10200,-437,10564,-437,10564,-440xm10564,-1073l10564,-437,10566,-440,10568,-440,10568,-1070,10566,-1070,10564,-1073xm10568,-440l10566,-440,10564,-437,10568,-437,10568,-440xm10200,-1073l10198,-1070,10200,-1070,10200,-1073xm10564,-1073l10200,-1073,10200,-1070,10564,-1070,10564,-1073xm10568,-1073l10564,-1073,10566,-1070,10568,-1070,10568,-1073xe" filled="true" fillcolor="#b9cde5" stroked="false">
              <v:path arrowok="t"/>
              <v:fill type="solid"/>
            </v:shape>
            <v:shape style="position:absolute;left:8168;top:-2119;width:2770;height:1685" coordorigin="8168,-2119" coordsize="2770,1685" path="m8542,-2117l8539,-2119,8171,-2119,8168,-2117,8168,-437,8171,-434,8539,-434,8542,-437,8542,-440,8542,-2114,8542,-2117m10938,-999l10936,-1003,10566,-1003,10564,-999,10564,-437,10566,-434,10936,-434,10938,-437,10938,-440,10938,-997,10938,-999e" filled="true" fillcolor="#0000ff" stroked="false">
              <v:path arrowok="t"/>
              <v:fill type="solid"/>
            </v:shape>
            <v:line style="position:absolute" from="6421,-3489" to="6421,-437" stroked="true" strokeweight=".30002pt" strokecolor="#868686">
              <v:stroke dashstyle="solid"/>
            </v:line>
            <v:shape style="position:absolute;left:6366;top:-3493;width:54;height:3059" coordorigin="6366,-3493" coordsize="54,3059" path="m6420,-440l6366,-440,6366,-434,6420,-434,6420,-440m6420,-745l6366,-745,6366,-739,6420,-739,6420,-745m6420,-1050l6366,-1050,6366,-1045,6420,-1045,6420,-1050m6420,-1356l6366,-1356,6366,-1351,6420,-1351,6420,-1356m6420,-1661l6366,-1661,6366,-1656,6420,-1656,6420,-1661m6420,-1967l6366,-1967,6366,-1961,6420,-1961,6420,-1967m6420,-2271l6366,-2271,6366,-2265,6420,-2265,6420,-2271m6420,-2577l6366,-2577,6366,-2571,6420,-2571,6420,-2577m6420,-2882l6366,-2882,6366,-2876,6420,-2876,6420,-2882m6420,-3187l6366,-3187,6366,-3182,6420,-3182,6420,-3187m6420,-3493l6366,-3493,6366,-3487,6420,-3487,6420,-3493e" filled="true" fillcolor="#868686" stroked="false">
              <v:path arrowok="t"/>
              <v:fill type="solid"/>
            </v:shape>
            <v:line style="position:absolute" from="6420,-437" to="11212,-437" stroked="true" strokeweight=".30005pt" strokecolor="#868686">
              <v:stroke dashstyle="solid"/>
            </v:line>
            <v:shape style="position:absolute;left:6475;top:-3427;width:101;height:107" coordorigin="6475,-3427" coordsize="101,107" path="m6576,-3423l6574,-3427,6479,-3427,6475,-3423,6475,-3324,6479,-3320,6574,-3320,6576,-3324,6576,-3326,6576,-3421,6576,-3423e" filled="true" fillcolor="#ff00ff" stroked="false">
              <v:path arrowok="t"/>
              <v:fill type="solid"/>
            </v:shape>
            <v:shape style="position:absolute;left:8012;top:-3427;width:101;height:107" coordorigin="8012,-3427" coordsize="101,107" path="m8113,-3423l8111,-3427,8015,-3427,8012,-3423,8012,-3324,8015,-3320,8111,-3320,8113,-3324,8113,-3326,8113,-3421,8113,-3423e" filled="true" fillcolor="#ffc000" stroked="false">
              <v:path arrowok="t"/>
              <v:fill type="solid"/>
            </v:shape>
            <v:shape style="position:absolute;left:6475;top:-3159;width:101;height:106" coordorigin="6475,-3158" coordsize="101,106" path="m6576,-3156l6574,-3158,6479,-3158,6475,-3156,6475,-3055,6479,-3053,6574,-3053,6576,-3055,6576,-3057,6576,-3152,6576,-3156e" filled="true" fillcolor="#66ff33" stroked="false">
              <v:path arrowok="t"/>
              <v:fill type="solid"/>
            </v:shape>
            <v:rect style="position:absolute;left:8014;top:-3156;width:96;height:101" filled="true" fillcolor="#8eb4e3" stroked="false">
              <v:fill type="solid"/>
            </v:rect>
            <v:shape style="position:absolute;left:8012;top:-3159;width:101;height:106" coordorigin="8012,-3158" coordsize="101,106" path="m8111,-3158l8015,-3158,8012,-3156,8012,-3055,8015,-3053,8111,-3053,8113,-3055,8017,-3055,8015,-3057,8017,-3057,8017,-3152,8015,-3152,8017,-3156,8113,-3156,8111,-3158xm8017,-3057l8015,-3057,8017,-3055,8017,-3057xm8108,-3057l8017,-3057,8017,-3055,8108,-3055,8108,-3057xm8108,-3156l8108,-3055,8111,-3057,8113,-3057,8113,-3152,8111,-3152,8108,-3156xm8113,-3057l8111,-3057,8108,-3055,8113,-3055,8113,-3057xm8017,-3156l8015,-3152,8017,-3152,8017,-3156xm8108,-3156l8017,-3156,8017,-3152,8108,-3152,8108,-3156xm8113,-3156l8108,-3156,8111,-3152,8113,-3152,8113,-3156xe" filled="true" fillcolor="#b9cde5" stroked="false">
              <v:path arrowok="t"/>
              <v:fill type="solid"/>
            </v:shape>
            <v:shape style="position:absolute;left:6475;top:-2889;width:101;height:106" coordorigin="6475,-2888" coordsize="101,106" path="m6576,-2886l6574,-2888,6479,-2888,6475,-2886,6475,-2785,6479,-2783,6574,-2783,6576,-2785,6576,-2789,6576,-2883,6576,-2886e" filled="true" fillcolor="#0000ff" stroked="false">
              <v:path arrowok="t"/>
              <v:fill type="solid"/>
            </v:shape>
            <v:rect style="position:absolute;left:6024;top:-3622;width:5326;height:3640" filled="false" stroked="true" strokeweight=".262pt" strokecolor="#868686">
              <v:stroke dashstyle="solid"/>
            </v:rect>
            <v:shape style="position:absolute;left:6645;top:-284;width:3963;height:183" type="#_x0000_t202" filled="false" stroked="false">
              <v:textbox inset="0,0,0,0">
                <w:txbxContent>
                  <w:p>
                    <w:pPr>
                      <w:tabs>
                        <w:tab w:pos="2791" w:val="left" w:leader="none"/>
                      </w:tabs>
                      <w:spacing w:line="183" w:lineRule="exact" w:before="0"/>
                      <w:ind w:left="0" w:right="0" w:firstLine="0"/>
                      <w:jc w:val="left"/>
                      <w:rPr>
                        <w:rFonts w:ascii="Calibri"/>
                        <w:b/>
                        <w:sz w:val="18"/>
                      </w:rPr>
                    </w:pPr>
                    <w:r>
                      <w:rPr>
                        <w:rFonts w:ascii="Calibri"/>
                        <w:b/>
                        <w:sz w:val="18"/>
                      </w:rPr>
                      <w:t>All</w:t>
                    </w:r>
                    <w:r>
                      <w:rPr>
                        <w:rFonts w:ascii="Calibri"/>
                        <w:b/>
                        <w:spacing w:val="-15"/>
                        <w:sz w:val="18"/>
                      </w:rPr>
                      <w:t> </w:t>
                    </w:r>
                    <w:r>
                      <w:rPr>
                        <w:rFonts w:ascii="Calibri"/>
                        <w:b/>
                        <w:sz w:val="18"/>
                      </w:rPr>
                      <w:t>Outstanding</w:t>
                    </w:r>
                    <w:r>
                      <w:rPr>
                        <w:rFonts w:ascii="Calibri"/>
                        <w:b/>
                        <w:spacing w:val="-15"/>
                        <w:sz w:val="18"/>
                      </w:rPr>
                      <w:t> </w:t>
                    </w:r>
                    <w:r>
                      <w:rPr>
                        <w:rFonts w:ascii="Calibri"/>
                        <w:b/>
                        <w:sz w:val="18"/>
                      </w:rPr>
                      <w:t>Mortgages</w:t>
                      <w:tab/>
                      <w:t>New</w:t>
                    </w:r>
                    <w:r>
                      <w:rPr>
                        <w:rFonts w:ascii="Calibri"/>
                        <w:b/>
                        <w:spacing w:val="-25"/>
                        <w:sz w:val="18"/>
                      </w:rPr>
                      <w:t> </w:t>
                    </w:r>
                    <w:r>
                      <w:rPr>
                        <w:rFonts w:ascii="Calibri"/>
                        <w:b/>
                        <w:sz w:val="18"/>
                      </w:rPr>
                      <w:t>Mortgages</w:t>
                    </w:r>
                  </w:p>
                </w:txbxContent>
              </v:textbox>
              <w10:wrap type="none"/>
            </v:shape>
            <v:shape style="position:absolute;left:6470;top:-2411;width:208;height:183" type="#_x0000_t202" filled="false" stroked="false">
              <v:textbox inset="0,0,0,0">
                <w:txbxContent>
                  <w:p>
                    <w:pPr>
                      <w:spacing w:line="183" w:lineRule="exact" w:before="0"/>
                      <w:ind w:left="0" w:right="0" w:firstLine="0"/>
                      <w:jc w:val="left"/>
                      <w:rPr>
                        <w:rFonts w:ascii="Calibri"/>
                        <w:b/>
                        <w:sz w:val="18"/>
                      </w:rPr>
                    </w:pPr>
                    <w:r>
                      <w:rPr>
                        <w:rFonts w:ascii="Calibri"/>
                        <w:b/>
                        <w:sz w:val="18"/>
                      </w:rPr>
                      <w:t>pp</w:t>
                    </w:r>
                  </w:p>
                </w:txbxContent>
              </v:textbox>
              <w10:wrap type="none"/>
            </v:shape>
            <v:shape style="position:absolute;left:8156;top:-3459;width:1242;height:452" type="#_x0000_t202" filled="false" stroked="false">
              <v:textbox inset="0,0,0,0">
                <w:txbxContent>
                  <w:p>
                    <w:pPr>
                      <w:spacing w:line="185" w:lineRule="exact" w:before="0"/>
                      <w:ind w:left="0" w:right="0" w:firstLine="0"/>
                      <w:jc w:val="left"/>
                      <w:rPr>
                        <w:rFonts w:ascii="Calibri" w:hAnsi="Calibri"/>
                        <w:b/>
                        <w:sz w:val="18"/>
                      </w:rPr>
                    </w:pPr>
                    <w:r>
                      <w:rPr>
                        <w:rFonts w:ascii="Calibri" w:hAnsi="Calibri"/>
                        <w:b/>
                        <w:w w:val="95"/>
                        <w:sz w:val="18"/>
                      </w:rPr>
                      <w:t>2008‐12</w:t>
                    </w:r>
                    <w:r>
                      <w:rPr>
                        <w:rFonts w:ascii="Calibri" w:hAnsi="Calibri"/>
                        <w:b/>
                        <w:spacing w:val="25"/>
                        <w:w w:val="95"/>
                        <w:sz w:val="18"/>
                      </w:rPr>
                      <w:t> </w:t>
                    </w:r>
                    <w:r>
                      <w:rPr>
                        <w:rFonts w:ascii="Calibri" w:hAnsi="Calibri"/>
                        <w:b/>
                        <w:w w:val="95"/>
                        <w:sz w:val="18"/>
                      </w:rPr>
                      <w:t>Average</w:t>
                    </w:r>
                  </w:p>
                  <w:p>
                    <w:pPr>
                      <w:spacing w:line="217" w:lineRule="exact" w:before="49"/>
                      <w:ind w:left="0" w:right="0" w:firstLine="0"/>
                      <w:jc w:val="left"/>
                      <w:rPr>
                        <w:rFonts w:ascii="Calibri" w:hAnsi="Calibri"/>
                        <w:b/>
                        <w:sz w:val="18"/>
                      </w:rPr>
                    </w:pPr>
                    <w:r>
                      <w:rPr>
                        <w:rFonts w:ascii="Calibri" w:hAnsi="Calibri"/>
                        <w:b/>
                        <w:w w:val="95"/>
                        <w:sz w:val="18"/>
                      </w:rPr>
                      <w:t>2017‐18</w:t>
                    </w:r>
                    <w:r>
                      <w:rPr>
                        <w:rFonts w:ascii="Calibri" w:hAnsi="Calibri"/>
                        <w:b/>
                        <w:spacing w:val="25"/>
                        <w:w w:val="95"/>
                        <w:sz w:val="18"/>
                      </w:rPr>
                      <w:t> </w:t>
                    </w:r>
                    <w:r>
                      <w:rPr>
                        <w:rFonts w:ascii="Calibri" w:hAnsi="Calibri"/>
                        <w:b/>
                        <w:w w:val="95"/>
                        <w:sz w:val="18"/>
                      </w:rPr>
                      <w:t>Average</w:t>
                    </w:r>
                  </w:p>
                </w:txbxContent>
              </v:textbox>
              <w10:wrap type="none"/>
            </v:shape>
            <v:shape style="position:absolute;left:6619;top:-3459;width:1242;height:721" type="#_x0000_t202" filled="false" stroked="false">
              <v:textbox inset="0,0,0,0">
                <w:txbxContent>
                  <w:p>
                    <w:pPr>
                      <w:spacing w:line="185" w:lineRule="exact" w:before="0"/>
                      <w:ind w:left="0" w:right="0" w:firstLine="0"/>
                      <w:jc w:val="left"/>
                      <w:rPr>
                        <w:rFonts w:ascii="Calibri" w:hAnsi="Calibri"/>
                        <w:b/>
                        <w:sz w:val="18"/>
                      </w:rPr>
                    </w:pPr>
                    <w:r>
                      <w:rPr>
                        <w:rFonts w:ascii="Calibri" w:hAnsi="Calibri"/>
                        <w:b/>
                        <w:w w:val="95"/>
                        <w:sz w:val="18"/>
                      </w:rPr>
                      <w:t>2004‐07</w:t>
                    </w:r>
                    <w:r>
                      <w:rPr>
                        <w:rFonts w:ascii="Calibri" w:hAnsi="Calibri"/>
                        <w:b/>
                        <w:spacing w:val="25"/>
                        <w:w w:val="95"/>
                        <w:sz w:val="18"/>
                      </w:rPr>
                      <w:t> </w:t>
                    </w:r>
                    <w:r>
                      <w:rPr>
                        <w:rFonts w:ascii="Calibri" w:hAnsi="Calibri"/>
                        <w:b/>
                        <w:w w:val="95"/>
                        <w:sz w:val="18"/>
                      </w:rPr>
                      <w:t>Average</w:t>
                    </w:r>
                  </w:p>
                  <w:p>
                    <w:pPr>
                      <w:spacing w:line="270" w:lineRule="atLeast" w:before="0"/>
                      <w:ind w:left="0" w:right="8" w:firstLine="0"/>
                      <w:jc w:val="left"/>
                      <w:rPr>
                        <w:rFonts w:ascii="Calibri" w:hAnsi="Calibri"/>
                        <w:b/>
                        <w:sz w:val="18"/>
                      </w:rPr>
                    </w:pPr>
                    <w:r>
                      <w:rPr>
                        <w:rFonts w:ascii="Calibri" w:hAnsi="Calibri"/>
                        <w:b/>
                        <w:sz w:val="18"/>
                      </w:rPr>
                      <w:t>2013‐16</w:t>
                    </w:r>
                    <w:r>
                      <w:rPr>
                        <w:rFonts w:ascii="Calibri" w:hAnsi="Calibri"/>
                        <w:b/>
                        <w:spacing w:val="-22"/>
                        <w:sz w:val="18"/>
                      </w:rPr>
                      <w:t> </w:t>
                    </w:r>
                    <w:r>
                      <w:rPr>
                        <w:rFonts w:ascii="Calibri" w:hAnsi="Calibri"/>
                        <w:b/>
                        <w:spacing w:val="-3"/>
                        <w:sz w:val="18"/>
                      </w:rPr>
                      <w:t>Average </w:t>
                    </w:r>
                    <w:r>
                      <w:rPr>
                        <w:rFonts w:ascii="Calibri" w:hAnsi="Calibri"/>
                        <w:b/>
                        <w:sz w:val="18"/>
                      </w:rPr>
                      <w:t>Latest</w:t>
                    </w:r>
                    <w:r>
                      <w:rPr>
                        <w:rFonts w:ascii="Calibri" w:hAnsi="Calibri"/>
                        <w:b/>
                        <w:spacing w:val="-19"/>
                        <w:sz w:val="18"/>
                      </w:rPr>
                      <w:t> </w:t>
                    </w:r>
                    <w:r>
                      <w:rPr>
                        <w:rFonts w:ascii="Calibri" w:hAnsi="Calibri"/>
                        <w:b/>
                        <w:sz w:val="18"/>
                      </w:rPr>
                      <w:t>(Jan</w:t>
                    </w:r>
                    <w:r>
                      <w:rPr>
                        <w:rFonts w:ascii="Calibri" w:hAnsi="Calibri"/>
                        <w:b/>
                        <w:spacing w:val="-19"/>
                        <w:sz w:val="18"/>
                      </w:rPr>
                      <w:t> </w:t>
                    </w:r>
                    <w:r>
                      <w:rPr>
                        <w:rFonts w:ascii="Calibri" w:hAnsi="Calibri"/>
                        <w:b/>
                        <w:spacing w:val="-3"/>
                        <w:sz w:val="18"/>
                      </w:rPr>
                      <w:t>2019)</w:t>
                    </w:r>
                  </w:p>
                </w:txbxContent>
              </v:textbox>
              <w10:wrap type="none"/>
            </v:shape>
            <v:shape style="position:absolute;left:6034;top:-3575;width:245;height:3237" type="#_x0000_t202" filled="false" stroked="false">
              <v:textbox inset="0,0,0,0">
                <w:txbxContent>
                  <w:p>
                    <w:pPr>
                      <w:spacing w:line="185" w:lineRule="exact" w:before="0"/>
                      <w:ind w:left="0" w:right="0" w:firstLine="0"/>
                      <w:jc w:val="left"/>
                      <w:rPr>
                        <w:rFonts w:ascii="Calibri"/>
                        <w:b/>
                        <w:sz w:val="18"/>
                      </w:rPr>
                    </w:pPr>
                    <w:r>
                      <w:rPr>
                        <w:rFonts w:ascii="Calibri"/>
                        <w:b/>
                        <w:sz w:val="18"/>
                      </w:rPr>
                      <w:t>2.4</w:t>
                    </w:r>
                  </w:p>
                  <w:p>
                    <w:pPr>
                      <w:spacing w:before="85"/>
                      <w:ind w:left="0" w:right="0" w:firstLine="0"/>
                      <w:jc w:val="left"/>
                      <w:rPr>
                        <w:rFonts w:ascii="Calibri"/>
                        <w:b/>
                        <w:sz w:val="18"/>
                      </w:rPr>
                    </w:pPr>
                    <w:r>
                      <w:rPr>
                        <w:rFonts w:ascii="Calibri"/>
                        <w:b/>
                        <w:sz w:val="18"/>
                      </w:rPr>
                      <w:t>2.3</w:t>
                    </w:r>
                  </w:p>
                  <w:p>
                    <w:pPr>
                      <w:spacing w:before="86"/>
                      <w:ind w:left="0" w:right="0" w:firstLine="0"/>
                      <w:jc w:val="left"/>
                      <w:rPr>
                        <w:rFonts w:ascii="Calibri"/>
                        <w:b/>
                        <w:sz w:val="18"/>
                      </w:rPr>
                    </w:pPr>
                    <w:r>
                      <w:rPr>
                        <w:rFonts w:ascii="Calibri"/>
                        <w:b/>
                        <w:sz w:val="18"/>
                      </w:rPr>
                      <w:t>2.2</w:t>
                    </w:r>
                  </w:p>
                  <w:p>
                    <w:pPr>
                      <w:spacing w:before="85"/>
                      <w:ind w:left="0" w:right="0" w:firstLine="0"/>
                      <w:jc w:val="left"/>
                      <w:rPr>
                        <w:rFonts w:ascii="Calibri"/>
                        <w:b/>
                        <w:sz w:val="18"/>
                      </w:rPr>
                    </w:pPr>
                    <w:r>
                      <w:rPr>
                        <w:rFonts w:ascii="Calibri"/>
                        <w:b/>
                        <w:sz w:val="18"/>
                      </w:rPr>
                      <w:t>2.1</w:t>
                    </w:r>
                  </w:p>
                  <w:p>
                    <w:pPr>
                      <w:spacing w:before="86"/>
                      <w:ind w:left="0" w:right="0" w:firstLine="0"/>
                      <w:jc w:val="left"/>
                      <w:rPr>
                        <w:rFonts w:ascii="Calibri"/>
                        <w:b/>
                        <w:sz w:val="18"/>
                      </w:rPr>
                    </w:pPr>
                    <w:r>
                      <w:rPr>
                        <w:rFonts w:ascii="Calibri"/>
                        <w:b/>
                        <w:sz w:val="18"/>
                      </w:rPr>
                      <w:t>2.0</w:t>
                    </w:r>
                  </w:p>
                  <w:p>
                    <w:pPr>
                      <w:spacing w:before="85"/>
                      <w:ind w:left="0" w:right="0" w:firstLine="0"/>
                      <w:jc w:val="left"/>
                      <w:rPr>
                        <w:rFonts w:ascii="Calibri"/>
                        <w:b/>
                        <w:sz w:val="18"/>
                      </w:rPr>
                    </w:pPr>
                    <w:r>
                      <w:rPr>
                        <w:rFonts w:ascii="Calibri"/>
                        <w:b/>
                        <w:sz w:val="18"/>
                      </w:rPr>
                      <w:t>1.9</w:t>
                    </w:r>
                  </w:p>
                  <w:p>
                    <w:pPr>
                      <w:spacing w:before="87"/>
                      <w:ind w:left="0" w:right="0" w:firstLine="0"/>
                      <w:jc w:val="left"/>
                      <w:rPr>
                        <w:rFonts w:ascii="Calibri"/>
                        <w:b/>
                        <w:sz w:val="18"/>
                      </w:rPr>
                    </w:pPr>
                    <w:r>
                      <w:rPr>
                        <w:rFonts w:ascii="Calibri"/>
                        <w:b/>
                        <w:sz w:val="18"/>
                      </w:rPr>
                      <w:t>1.8</w:t>
                    </w:r>
                  </w:p>
                  <w:p>
                    <w:pPr>
                      <w:spacing w:before="85"/>
                      <w:ind w:left="0" w:right="0" w:firstLine="0"/>
                      <w:jc w:val="left"/>
                      <w:rPr>
                        <w:rFonts w:ascii="Calibri"/>
                        <w:b/>
                        <w:sz w:val="18"/>
                      </w:rPr>
                    </w:pPr>
                    <w:r>
                      <w:rPr>
                        <w:rFonts w:ascii="Calibri"/>
                        <w:b/>
                        <w:sz w:val="18"/>
                      </w:rPr>
                      <w:t>1.7</w:t>
                    </w:r>
                  </w:p>
                  <w:p>
                    <w:pPr>
                      <w:spacing w:before="86"/>
                      <w:ind w:left="0" w:right="0" w:firstLine="0"/>
                      <w:jc w:val="left"/>
                      <w:rPr>
                        <w:rFonts w:ascii="Calibri"/>
                        <w:b/>
                        <w:sz w:val="18"/>
                      </w:rPr>
                    </w:pPr>
                    <w:r>
                      <w:rPr>
                        <w:rFonts w:ascii="Calibri"/>
                        <w:b/>
                        <w:sz w:val="18"/>
                      </w:rPr>
                      <w:t>1.6</w:t>
                    </w:r>
                  </w:p>
                  <w:p>
                    <w:pPr>
                      <w:spacing w:before="85"/>
                      <w:ind w:left="0" w:right="0" w:firstLine="0"/>
                      <w:jc w:val="left"/>
                      <w:rPr>
                        <w:rFonts w:ascii="Calibri"/>
                        <w:b/>
                        <w:sz w:val="18"/>
                      </w:rPr>
                    </w:pPr>
                    <w:r>
                      <w:rPr>
                        <w:rFonts w:ascii="Calibri"/>
                        <w:b/>
                        <w:sz w:val="18"/>
                      </w:rPr>
                      <w:t>1.5</w:t>
                    </w:r>
                  </w:p>
                  <w:p>
                    <w:pPr>
                      <w:spacing w:line="217" w:lineRule="exact" w:before="86"/>
                      <w:ind w:left="0" w:right="0" w:firstLine="0"/>
                      <w:jc w:val="left"/>
                      <w:rPr>
                        <w:rFonts w:ascii="Calibri"/>
                        <w:b/>
                        <w:sz w:val="18"/>
                      </w:rPr>
                    </w:pPr>
                    <w:r>
                      <w:rPr>
                        <w:rFonts w:ascii="Calibri"/>
                        <w:b/>
                        <w:sz w:val="18"/>
                      </w:rPr>
                      <w:t>1.4</w:t>
                    </w:r>
                  </w:p>
                </w:txbxContent>
              </v:textbox>
              <w10:wrap type="none"/>
            </v:shape>
            <w10:wrap type="none"/>
          </v:group>
        </w:pict>
      </w:r>
      <w:r>
        <w:rPr>
          <w:sz w:val="16"/>
        </w:rPr>
        <w:t>Note: Figures use BoE effective rates data, weighted for different types of household and PNFC deposits. Source: Bank of England.</w:t>
      </w:r>
    </w:p>
    <w:p>
      <w:pPr>
        <w:pStyle w:val="BodyText"/>
        <w:rPr>
          <w:sz w:val="18"/>
        </w:rPr>
      </w:pPr>
    </w:p>
    <w:p>
      <w:pPr>
        <w:pStyle w:val="BodyText"/>
        <w:rPr>
          <w:sz w:val="18"/>
        </w:rPr>
      </w:pPr>
    </w:p>
    <w:p>
      <w:pPr>
        <w:pStyle w:val="BodyText"/>
        <w:rPr>
          <w:sz w:val="18"/>
        </w:rPr>
      </w:pPr>
    </w:p>
    <w:p>
      <w:pPr>
        <w:pStyle w:val="BodyText"/>
        <w:spacing w:before="160"/>
        <w:ind w:left="573"/>
      </w:pPr>
      <w:r>
        <w:rPr/>
        <w:t>Of course, I would not argue that unsecured wholesale funding costs can never affect mortgage rates.</w:t>
      </w:r>
    </w:p>
    <w:p>
      <w:pPr>
        <w:pStyle w:val="BodyText"/>
        <w:rPr>
          <w:sz w:val="22"/>
        </w:rPr>
      </w:pPr>
    </w:p>
    <w:p>
      <w:pPr>
        <w:pStyle w:val="BodyText"/>
        <w:rPr>
          <w:sz w:val="18"/>
        </w:rPr>
      </w:pPr>
    </w:p>
    <w:p>
      <w:pPr>
        <w:pStyle w:val="BodyText"/>
        <w:spacing w:line="357" w:lineRule="auto" w:before="1"/>
        <w:ind w:left="574" w:right="743" w:hanging="1"/>
        <w:rPr>
          <w:sz w:val="13"/>
        </w:rPr>
      </w:pPr>
      <w:r>
        <w:rPr/>
        <w:t>At some point, retail deposits might shift into non-deposit liabilities, while banks facing more expensive wholesale funding might bid more for deposits. This may be especially likely if wholesale funding costs are pushed up by strong credit demand (and hence a rising bank funding gap), or general competition for funds across the economy.</w:t>
      </w:r>
      <w:r>
        <w:rPr>
          <w:position w:val="7"/>
          <w:sz w:val="13"/>
        </w:rPr>
        <w:t>15</w:t>
      </w:r>
    </w:p>
    <w:p>
      <w:pPr>
        <w:pStyle w:val="BodyText"/>
        <w:spacing w:before="5"/>
        <w:rPr>
          <w:sz w:val="30"/>
        </w:rPr>
      </w:pPr>
    </w:p>
    <w:p>
      <w:pPr>
        <w:pStyle w:val="BodyText"/>
        <w:spacing w:line="360" w:lineRule="auto"/>
        <w:ind w:left="574" w:right="822"/>
      </w:pPr>
      <w:r>
        <w:rPr/>
        <w:t>But at present credit growth remains subdued. Moreover, the rise in unsecured spreads over the last year has not been mirrored in other wholesale markets (eg covered bonds). It appears to reflect some risk aversion among investors, partly Brexit-related, and changes in the resolution regime for UK banks. These factors are probably less likely to affect deposit rates.</w:t>
      </w:r>
    </w:p>
    <w:p>
      <w:pPr>
        <w:pStyle w:val="BodyText"/>
        <w:rPr>
          <w:sz w:val="30"/>
        </w:rPr>
      </w:pPr>
    </w:p>
    <w:p>
      <w:pPr>
        <w:pStyle w:val="BodyText"/>
        <w:spacing w:line="360" w:lineRule="auto"/>
        <w:ind w:left="574" w:right="633"/>
      </w:pPr>
      <w:r>
        <w:rPr/>
        <w:t>Results from the BoE </w:t>
      </w:r>
      <w:r>
        <w:rPr>
          <w:i/>
        </w:rPr>
        <w:t>Credit Conditions Survey </w:t>
      </w:r>
      <w:r>
        <w:rPr/>
        <w:t>are consistent with this. Even with the rise in unsecured wholesale spreads, banks expect mortgage lending spreads to fall further in coming months. Similarly, since around 2014, changes in wholesale funding spreads have not had much impact on lenders’ expectations for mortgage availability. Indeed, the survey suggests that competitive pressures are likely to continue to lead to easier mortgage availability in coming months.</w:t>
      </w:r>
    </w:p>
    <w:p>
      <w:pPr>
        <w:pStyle w:val="BodyText"/>
      </w:pPr>
    </w:p>
    <w:p>
      <w:pPr>
        <w:pStyle w:val="BodyText"/>
      </w:pPr>
    </w:p>
    <w:p>
      <w:pPr>
        <w:pStyle w:val="BodyText"/>
      </w:pPr>
    </w:p>
    <w:p>
      <w:pPr>
        <w:pStyle w:val="BodyText"/>
        <w:spacing w:before="4"/>
        <w:rPr>
          <w:sz w:val="22"/>
        </w:rPr>
      </w:pPr>
      <w:r>
        <w:rPr/>
        <w:pict>
          <v:shape style="position:absolute;margin-left:56.700001pt;margin-top:15.059877pt;width:144pt;height:.1pt;mso-position-horizontal-relative:page;mso-position-vertical-relative:paragraph;z-index:-251568128;mso-wrap-distance-left:0;mso-wrap-distance-right:0" coordorigin="1134,301" coordsize="2880,0" path="m1134,301l4014,301e" filled="false" stroked="true" strokeweight=".48001pt" strokecolor="#000000">
            <v:path arrowok="t"/>
            <v:stroke dashstyle="solid"/>
            <w10:wrap type="topAndBottom"/>
          </v:shape>
        </w:pict>
      </w:r>
    </w:p>
    <w:p>
      <w:pPr>
        <w:spacing w:before="51"/>
        <w:ind w:left="574" w:right="624" w:firstLine="0"/>
        <w:jc w:val="left"/>
        <w:rPr>
          <w:sz w:val="16"/>
        </w:rPr>
      </w:pPr>
      <w:r>
        <w:rPr>
          <w:position w:val="6"/>
          <w:sz w:val="10"/>
        </w:rPr>
        <w:t>15 </w:t>
      </w:r>
      <w:r>
        <w:rPr>
          <w:sz w:val="16"/>
        </w:rPr>
        <w:t>Conversely, Erikson and Vestin (2019) argue (based on data for Sweden) that a negative policy rate can pull down mortgage rates by dragging wholesale funding costs below zero even if deposit rates are constrained around zero.</w:t>
      </w:r>
    </w:p>
    <w:p>
      <w:pPr>
        <w:spacing w:after="0"/>
        <w:jc w:val="left"/>
        <w:rPr>
          <w:sz w:val="16"/>
        </w:rPr>
        <w:sectPr>
          <w:type w:val="continuous"/>
          <w:pgSz w:w="11910" w:h="16840"/>
          <w:pgMar w:top="1200" w:bottom="1540" w:left="560" w:right="540"/>
        </w:sectPr>
      </w:pPr>
    </w:p>
    <w:p>
      <w:pPr>
        <w:pStyle w:val="Heading1"/>
        <w:spacing w:line="355" w:lineRule="auto" w:before="127"/>
        <w:ind w:right="22"/>
      </w:pPr>
      <w:r>
        <w:rPr/>
        <w:pict>
          <v:group style="position:absolute;margin-left:33.768501pt;margin-top:68.938736pt;width:267.75pt;height:191.2pt;mso-position-horizontal-relative:page;mso-position-vertical-relative:paragraph;z-index:-253485056" coordorigin="675,1379" coordsize="5355,3824">
            <v:shape style="position:absolute;left:1080;top:1515;width:4824;height:3210" coordorigin="1080,1516" coordsize="4824,3210" path="m5902,1516l1082,1516,1080,1518,1080,4723,1082,4726,5902,4726,5904,4723,1085,4723,1082,4720,1085,4720,1085,1522,1082,1522,1085,1518,5904,1518,5902,1516xm1085,4720l1082,4720,1085,4723,1085,4720xm5898,4720l1085,4720,1085,4723,5898,4723,5898,4720xm5898,1518l5898,4723,5902,4720,5904,4720,5904,1522,5902,1522,5898,1518xm5904,4720l5902,4720,5898,4723,5904,4723,5904,4720xm1085,1518l1082,1522,1085,1522,1085,1518xm5898,1518l1085,1518,1085,1522,5898,1522,5898,1518xm5904,1518l5898,1518,5902,1522,5904,1522,5904,1518xe" filled="true" fillcolor="#000000" stroked="false">
              <v:path arrowok="t"/>
              <v:fill type="solid"/>
            </v:shape>
            <v:line style="position:absolute" from="1082,1518" to="1082,4723" stroked="true" strokeweight=".23999pt" strokecolor="#868686">
              <v:stroke dashstyle="solid"/>
            </v:line>
            <v:shape style="position:absolute;left:1027;top:1515;width:56;height:3211" coordorigin="1027,1516" coordsize="56,3211" path="m1082,4720l1027,4720,1027,4726,1082,4726,1082,4720m1082,4186l1027,4186,1027,4192,1082,4192,1082,4186m1082,3652l1027,3652,1027,3658,1082,3658,1082,3652m1082,3118l1027,3118,1027,3124,1082,3124,1082,3118m1082,2584l1027,2584,1027,2590,1082,2590,1082,2584m1082,2051l1027,2051,1027,2056,1082,2056,1082,2051m1082,1516l1027,1516,1027,1522,1082,1522,1082,1516e" filled="true" fillcolor="#868686" stroked="false">
              <v:path arrowok="t"/>
              <v:fill type="solid"/>
            </v:shape>
            <v:line style="position:absolute" from="1082,2587" to="5900,2587" stroked="true" strokeweight=".299990pt" strokecolor="#868686">
              <v:stroke dashstyle="solid"/>
            </v:line>
            <v:shape style="position:absolute;left:1672;top:1709;width:4156;height:1840" coordorigin="1673,1709" coordsize="4156,1840" path="m1686,3133l1680,3137,1675,3141,1673,3148,1676,3155,1848,3507,1849,3510,1852,3513,1855,3513,2027,3547,2030,3549,2034,3547,2036,3544,2052,3527,2021,3527,2025,3522,1889,3496,1867,3496,1859,3490,1864,3490,1694,3142,1692,3136,1686,3133xm2025,3522l2021,3527,2030,3523,2025,3522xm2200,3340l2196,3341,2194,3345,2025,3522,2030,3523,2021,3527,2052,3527,2205,3366,2201,3365,2209,3361,2373,3361,2373,3361,2203,3341,2200,3340xm1859,3490l1867,3496,1865,3491,1859,3490xm1865,3491l1867,3496,1889,3496,1865,3491xm1864,3490l1859,3490,1865,3491,1864,3490xm2373,3361l2209,3361,2205,3366,2372,3385,2377,3385,2432,3363,2370,3363,2373,3361xm2209,3361l2201,3365,2205,3366,2209,3361xm2373,3361l2370,3363,2375,3361,2373,3361xm2540,3294l2373,3361,2375,3361,2370,3363,2432,3363,2549,3315,2550,3315,2551,3313,2578,3294,2539,3294,2540,3294xm2542,3293l2540,3294,2539,3294,2542,3293xm2579,3293l2542,3293,2539,3294,2578,3294,2579,3293xm2718,3167l2714,3167,2712,3169,2540,3294,2542,3293,2579,3293,2719,3192,2714,3190,2724,3189,2770,3189,2722,3168,2718,3167xm2770,3189l2724,3189,2719,3192,2886,3262,2890,3264,2894,3263,2898,3259,2913,3243,2882,3243,2887,3238,2770,3189xm2887,3238l2882,3243,2893,3240,2887,3238xm3422,2668l3398,2668,3227,2856,2960,3155,2887,3238,2893,3240,2882,3243,2913,3243,2994,3151,3242,2873,3414,2685,3414,2683,3416,2681,3422,2668xm2724,3189l2714,3190,2719,3192,2724,3189xm4625,2788l4601,2788,4602,2790,4602,2790,4774,3168,4775,3172,4778,3174,4783,3175,4955,3179,4957,3179,4958,3178,5010,3157,4793,3157,4783,3151,4790,3151,4625,2788xm4783,3151l4793,3157,4790,3152,4783,3151xm4790,3152l4793,3157,5010,3157,5016,3155,4951,3155,4951,3155,4790,3152xm4951,3155l4951,3155,4955,3155,4951,3155xm5121,3089l4951,3155,4955,3155,5016,3155,5130,3109,5131,3109,5134,3107,5151,3090,5119,3090,5121,3089xm4790,3151l4783,3151,4790,3152,4790,3151xm5123,3088l5121,3089,5119,3090,5123,3088xm5153,3088l5123,3088,5119,3090,5151,3090,5153,3088xm5291,2925l5121,3089,5123,3088,5153,3088,5306,2940,5308,2940,5309,2939,5309,2937,5313,2927,5290,2927,5291,2925xm5292,2923l5291,2925,5290,2927,5292,2923xm5315,2923l5292,2923,5290,2927,5313,2927,5315,2923xm5633,2261l5462,2537,5461,2537,5461,2538,5291,2925,5292,2923,5315,2923,5480,2549,5481,2549,5652,2273,5653,2272,5653,2271,5656,2262,5633,2262,5633,2261xm4602,2790l4602,2790,4602,2790,4602,2790xm4601,2788l4602,2790,4602,2790,4601,2788xm4110,2049l4085,2049,4096,2055,4089,2056,4258,2356,4430,2597,4602,2790,4601,2788,4625,2788,4620,2777,4620,2776,4618,2773,4447,2583,4276,2343,4110,2049xm3744,2243l3576,2275,3572,2275,3570,2278,3568,2281,3396,2670,3398,2668,3422,2668,3585,2298,3580,2298,3588,2292,3610,2292,3752,2265,3755,2265,3756,2263,3758,2262,3776,2244,3743,2244,3744,2243xm5481,2549l5480,2549,5480,2550,5481,2549xm3588,2292l3580,2298,3586,2297,3588,2292xm3586,2297l3580,2298,3585,2298,3586,2297xm3610,2292l3588,2292,3586,2297,3610,2292xm5634,2260l5633,2261,5633,2262,5634,2260xm5657,2260l5634,2260,5633,2262,5656,2262,5657,2260xm5813,1709l5807,1711,5806,1719,5633,2261,5634,2260,5657,2260,5826,1726,5828,1720,5825,1713,5819,1710,5813,1709xm3749,2242l3744,2243,3743,2244,3749,2242xm3778,2242l3749,2242,3743,2244,3776,2244,3778,2242xm4097,2029l4092,2031,3920,2064,3918,2064,3917,2065,3914,2067,3744,2243,3749,2242,3778,2242,3927,2088,3924,2088,3930,2085,3942,2085,4089,2056,4085,2049,4110,2049,4103,2035,4100,2032,4097,2029xm3930,2085l3924,2088,3927,2088,3930,2085xm3927,2088l3924,2088,3927,2088,3927,2088xm3942,2085l3930,2085,3927,2088,3942,2085xm4085,2049l4089,2056,4096,2055,4085,2049xe" filled="true" fillcolor="#ff00ff" stroked="false">
              <v:path arrowok="t"/>
              <v:fill type="solid"/>
            </v:shape>
            <v:shape style="position:absolute;left:1672;top:2099;width:4155;height:2104" coordorigin="1673,2099" coordsize="4155,2104" path="m2020,3744l1850,3868,1848,3870,1848,3871,1676,4182,1673,4188,1674,4195,1680,4199,1685,4203,1692,4200,1694,4194,1864,3888,1864,3888,1866,3885,1868,3885,2035,3761,2039,3757,2045,3745,2020,3745,2020,3744xm1866,3885l1864,3888,1864,3888,1866,3885xm1864,3888l1864,3888,1864,3888,1864,3888xm1868,3885l1866,3885,1864,3888,1868,3885xm2023,3742l2020,3744,2020,3745,2023,3742xm2046,3742l2023,3742,2020,3745,2045,3745,2046,3742xm2539,3041l2368,3160,2366,3160,2365,3161,2365,3162,2194,3391,2192,3391,2192,3393,2020,3744,2023,3742,2046,3742,2211,3406,2210,3406,2382,3177,2385,3177,2551,3061,2552,3061,2552,3060,2571,3042,2538,3042,2539,3041xm2212,3405l2210,3406,2211,3406,2212,3405xm2385,3177l2382,3177,2380,3180,2385,3177xm2736,2887l2708,2887,2725,2889,2715,2898,2881,3159,2882,3162,2886,3165,2890,3165,3062,3157,3064,3157,3121,3145,2899,3145,2890,3141,2896,3140,2736,2887xm3349,3121l3236,3121,3234,3122,3404,3157,3408,3159,3413,3156,3415,3153,3425,3138,3397,3138,3401,3132,3349,3121xm2896,3140l2890,3141,2899,3145,2896,3140xm3236,3099l3232,3099,3060,3133,3061,3133,2896,3140,2899,3145,3121,3145,3234,3122,3232,3121,3349,3121,3236,3099xm3401,3132l3397,3138,3408,3133,3401,3132xm3918,2738l3749,2760,3746,2760,3744,2761,3572,2884,3571,2884,3569,2886,3401,3132,3408,3133,3397,3138,3425,3138,3585,2903,3583,2903,3753,2784,3751,2784,3756,2782,3769,2782,3924,2761,3926,2761,3928,2760,3964,2739,3917,2739,3918,2738xm3236,3121l3232,3121,3234,3122,3236,3121xm2723,2868l2716,2868,2711,2871,2538,3042,2571,3042,2715,2898,2708,2887,2736,2887,2726,2873,2725,2871,2723,2868xm4647,2857l4604,2857,4613,2859,4608,2860,4777,2970,4780,2971,4783,2973,4786,2971,4861,2950,4788,2950,4781,2949,4785,2948,4647,2857xm4785,2948l4781,2949,4788,2950,4785,2948xm5123,2882l4954,2898,4954,2899,4952,2899,4785,2948,4788,2950,4861,2950,4957,2922,4956,2922,5128,2905,5130,2905,5132,2904,5134,2903,5153,2885,5119,2885,5123,2882xm4115,2657l4086,2657,4099,2659,4091,2664,4259,2881,4260,2884,4262,2885,4266,2885,4438,2907,4441,2907,4527,2883,4436,2883,4438,2882,4307,2866,4276,2866,4268,2861,4272,2861,4115,2657xm3587,2901l3583,2903,3585,2903,3587,2901xm2708,2887l2715,2898,2725,2889,2708,2887xm5125,2881l5123,2882,5119,2885,5125,2881xm5156,2881l5125,2881,5119,2885,5153,2885,5156,2881xm4438,2882l4436,2883,4440,2883,4438,2882xm4610,2835l4608,2836,4438,2882,4440,2883,4527,2883,4608,2860,4604,2857,4647,2857,4616,2837,4614,2836,4610,2835xm5819,2099l5812,2099,5807,2104,5635,2315,5464,2520,5292,2721,5123,2882,5125,2881,5156,2881,5306,2739,5479,2537,5651,2332,5824,2121,5827,2116,5827,2107,5822,2104,5819,2099xm4268,2861l4276,2866,4272,2861,4268,2861xm4272,2861l4276,2866,4307,2866,4272,2861xm4272,2861l4268,2861,4272,2861,4272,2861xm4604,2857l4608,2860,4613,2859,4604,2857xm3756,2782l3751,2784,3753,2784,3756,2782xm3753,2784l3751,2784,3753,2784,3753,2784xm3769,2782l3756,2782,3753,2784,3769,2782xm3920,2737l3918,2738,3917,2739,3920,2737xm3966,2737l3920,2737,3917,2739,3964,2739,3966,2737xm4093,2635l4088,2639,3918,2738,3920,2737,3966,2737,4091,2664,4086,2657,4115,2657,4103,2641,4099,2637,4093,2635xm4086,2657l4091,2664,4099,2659,4086,2657xe" filled="true" fillcolor="#0000ff" stroked="false">
              <v:path arrowok="t"/>
              <v:fill type="solid"/>
            </v:shape>
            <v:shape style="position:absolute;left:1666;top:2601;width:4162;height:1028" coordorigin="1667,2602" coordsize="4162,1028" path="m5828,2937l5826,2929,5820,2927,5692,2861,5689,2860,5661,2845,5647,2838,5646,2838,5645,2837,5644,2837,5472,2825,5468,2825,5466,2826,5464,2829,5298,3009,5158,2905,5132,2886,5129,2884,5124,2884,5120,2886,4955,3022,4813,2910,4807,2905,4789,2891,4787,2889,4782,2889,4611,2903,4450,2813,4444,2809,4446,2813,4287,2622,4274,2607,4272,2603,4267,2602,4264,2603,4094,2666,3980,2628,3925,2610,3920,2609,3914,2611,3912,2616,3742,2967,3572,3081,3403,3187,3401,3189,3403,3187,3239,3184,3087,3001,3084,2998,3070,2981,3066,2977,3062,2977,2917,2957,2891,2953,2719,2937,2716,2935,2713,2937,2536,3113,2365,3395,2198,3605,2036,3598,2036,3598,1867,3193,1703,2711,1703,2673,1667,2673,1667,2712,1680,2712,1847,3202,2018,3615,2021,3618,2024,3622,2028,3622,2201,3629,2204,3629,2208,3628,2210,3625,2223,3610,2382,3412,2553,3129,2555,3126,2721,2961,2888,2977,3055,3001,3226,3203,3230,3208,3234,3208,3406,3211,3408,3211,3409,3210,3412,3210,3446,3189,3583,3101,3756,2985,3758,2985,3760,2982,3760,2981,3765,2969,3768,2964,3928,2637,4091,2689,4098,2689,4160,2667,4264,2628,4430,2829,4433,2831,4434,2831,4606,2926,4607,2927,4609,2928,4612,2927,4780,2913,4949,3046,4952,3049,4957,3049,4961,3046,4984,3027,5127,2911,5293,3035,5298,3037,5303,3037,5306,3034,5323,3016,5476,2849,5641,2861,5810,2949,5816,2951,5822,2949,5826,2943,5828,2937e" filled="true" fillcolor="#66ff33" stroked="false">
              <v:path arrowok="t"/>
              <v:fill type="solid"/>
            </v:shape>
            <v:rect style="position:absolute;left:1666;top:2672;width:36;height:40" filled="false" stroked="true" strokeweight=".263pt" strokecolor="#66ff33">
              <v:stroke dashstyle="solid"/>
            </v:rect>
            <v:rect style="position:absolute;left:1838;top:3176;width:38;height:41" filled="true" fillcolor="#66ff33" stroked="false">
              <v:fill type="solid"/>
            </v:rect>
            <v:rect style="position:absolute;left:1838;top:3176;width:38;height:41" filled="false" stroked="true" strokeweight=".263pt" strokecolor="#66ff33">
              <v:stroke dashstyle="solid"/>
            </v:rect>
            <v:rect style="position:absolute;left:2010;top:3589;width:38;height:40" filled="true" fillcolor="#66ff33" stroked="false">
              <v:fill type="solid"/>
            </v:rect>
            <v:rect style="position:absolute;left:2010;top:3589;width:38;height:40" filled="false" stroked="true" strokeweight=".263pt" strokecolor="#66ff33">
              <v:stroke dashstyle="solid"/>
            </v:rect>
            <v:rect style="position:absolute;left:2182;top:3596;width:38;height:41" filled="true" fillcolor="#66ff33" stroked="false">
              <v:fill type="solid"/>
            </v:rect>
            <v:rect style="position:absolute;left:2182;top:3596;width:38;height:41" filled="false" stroked="true" strokeweight=".263pt" strokecolor="#66ff33">
              <v:stroke dashstyle="solid"/>
            </v:rect>
            <v:rect style="position:absolute;left:2354;top:3383;width:38;height:40" filled="true" fillcolor="#66ff33" stroked="false">
              <v:fill type="solid"/>
            </v:rect>
            <v:rect style="position:absolute;left:2354;top:3383;width:38;height:40" filled="false" stroked="true" strokeweight=".263pt" strokecolor="#66ff33">
              <v:stroke dashstyle="solid"/>
            </v:rect>
            <v:rect style="position:absolute;left:2526;top:3098;width:38;height:41" filled="true" fillcolor="#66ff33" stroked="false">
              <v:fill type="solid"/>
            </v:rect>
            <v:rect style="position:absolute;left:2526;top:3098;width:38;height:41" filled="false" stroked="true" strokeweight=".263pt" strokecolor="#66ff33">
              <v:stroke dashstyle="solid"/>
            </v:rect>
            <v:rect style="position:absolute;left:2698;top:2927;width:38;height:41" filled="true" fillcolor="#66ff33" stroked="false">
              <v:fill type="solid"/>
            </v:rect>
            <v:rect style="position:absolute;left:2698;top:2927;width:38;height:41" filled="false" stroked="true" strokeweight=".263pt" strokecolor="#66ff33">
              <v:stroke dashstyle="solid"/>
            </v:rect>
            <v:rect style="position:absolute;left:2870;top:2945;width:38;height:40" filled="true" fillcolor="#66ff33" stroked="false">
              <v:fill type="solid"/>
            </v:rect>
            <v:rect style="position:absolute;left:2870;top:2945;width:38;height:40" filled="false" stroked="true" strokeweight=".263pt" strokecolor="#66ff33">
              <v:stroke dashstyle="solid"/>
            </v:rect>
            <v:rect style="position:absolute;left:3043;top:2969;width:36;height:40" filled="true" fillcolor="#66ff33" stroked="false">
              <v:fill type="solid"/>
            </v:rect>
            <v:rect style="position:absolute;left:3043;top:2969;width:36;height:40" filled="false" stroked="true" strokeweight=".263pt" strokecolor="#66ff33">
              <v:stroke dashstyle="solid"/>
            </v:rect>
            <v:rect style="position:absolute;left:3214;top:3175;width:38;height:40" filled="true" fillcolor="#66ff33" stroked="false">
              <v:fill type="solid"/>
            </v:rect>
            <v:rect style="position:absolute;left:3214;top:3175;width:38;height:40" filled="false" stroked="true" strokeweight=".263pt" strokecolor="#66ff33">
              <v:stroke dashstyle="solid"/>
            </v:rect>
            <v:rect style="position:absolute;left:3387;top:3179;width:36;height:40" filled="true" fillcolor="#66ff33" stroked="false">
              <v:fill type="solid"/>
            </v:rect>
            <v:rect style="position:absolute;left:3387;top:3179;width:36;height:40" filled="false" stroked="true" strokeweight=".263pt" strokecolor="#66ff33">
              <v:stroke dashstyle="solid"/>
            </v:rect>
            <v:rect style="position:absolute;left:3559;top:3069;width:36;height:41" filled="true" fillcolor="#66ff33" stroked="false">
              <v:fill type="solid"/>
            </v:rect>
            <v:rect style="position:absolute;left:3559;top:3069;width:36;height:41" filled="false" stroked="true" strokeweight=".263pt" strokecolor="#66ff33">
              <v:stroke dashstyle="solid"/>
            </v:rect>
            <v:rect style="position:absolute;left:3732;top:2954;width:36;height:40" filled="true" fillcolor="#66ff33" stroked="false">
              <v:fill type="solid"/>
            </v:rect>
            <v:rect style="position:absolute;left:3732;top:2954;width:36;height:40" filled="false" stroked="true" strokeweight=".263pt" strokecolor="#66ff33">
              <v:stroke dashstyle="solid"/>
            </v:rect>
            <v:rect style="position:absolute;left:3903;top:2601;width:36;height:40" filled="true" fillcolor="#66ff33" stroked="false">
              <v:fill type="solid"/>
            </v:rect>
            <v:rect style="position:absolute;left:3903;top:2601;width:36;height:40" filled="false" stroked="true" strokeweight=".263pt" strokecolor="#66ff33">
              <v:stroke dashstyle="solid"/>
            </v:rect>
            <v:rect style="position:absolute;left:4075;top:2657;width:38;height:41" filled="true" fillcolor="#66ff33" stroked="false">
              <v:fill type="solid"/>
            </v:rect>
            <v:rect style="position:absolute;left:4075;top:2657;width:38;height:41" filled="false" stroked="true" strokeweight=".263pt" strokecolor="#66ff33">
              <v:stroke dashstyle="solid"/>
            </v:rect>
            <v:rect style="position:absolute;left:4248;top:2593;width:38;height:41" filled="true" fillcolor="#66ff33" stroked="false">
              <v:fill type="solid"/>
            </v:rect>
            <v:rect style="position:absolute;left:4248;top:2593;width:38;height:41" filled="false" stroked="true" strokeweight=".263pt" strokecolor="#66ff33">
              <v:stroke dashstyle="solid"/>
            </v:rect>
            <v:rect style="position:absolute;left:4419;top:2799;width:38;height:41" filled="true" fillcolor="#66ff33" stroked="false">
              <v:fill type="solid"/>
            </v:rect>
            <v:rect style="position:absolute;left:4419;top:2799;width:38;height:41" filled="false" stroked="true" strokeweight=".263pt" strokecolor="#66ff33">
              <v:stroke dashstyle="solid"/>
            </v:rect>
            <v:rect style="position:absolute;left:4591;top:2894;width:38;height:41" filled="true" fillcolor="#66ff33" stroked="false">
              <v:fill type="solid"/>
            </v:rect>
            <v:rect style="position:absolute;left:4591;top:2894;width:38;height:41" filled="false" stroked="true" strokeweight=".263pt" strokecolor="#66ff33">
              <v:stroke dashstyle="solid"/>
            </v:rect>
            <v:rect style="position:absolute;left:4764;top:2879;width:38;height:41" filled="true" fillcolor="#66ff33" stroked="false">
              <v:fill type="solid"/>
            </v:rect>
            <v:rect style="position:absolute;left:4764;top:2879;width:38;height:41" filled="false" stroked="true" strokeweight=".263pt" strokecolor="#66ff33">
              <v:stroke dashstyle="solid"/>
            </v:rect>
            <v:rect style="position:absolute;left:4935;top:3015;width:38;height:40" filled="true" fillcolor="#66ff33" stroked="false">
              <v:fill type="solid"/>
            </v:rect>
            <v:rect style="position:absolute;left:4935;top:3015;width:38;height:40" filled="false" stroked="true" strokeweight=".263pt" strokecolor="#66ff33">
              <v:stroke dashstyle="solid"/>
            </v:rect>
            <v:rect style="position:absolute;left:5107;top:2875;width:38;height:41" filled="true" fillcolor="#66ff33" stroked="false">
              <v:fill type="solid"/>
            </v:rect>
            <v:rect style="position:absolute;left:5107;top:2875;width:38;height:41" filled="false" stroked="true" strokeweight=".263pt" strokecolor="#66ff33">
              <v:stroke dashstyle="solid"/>
            </v:rect>
            <v:rect style="position:absolute;left:5280;top:3003;width:38;height:41" filled="true" fillcolor="#66ff33" stroked="false">
              <v:fill type="solid"/>
            </v:rect>
            <v:rect style="position:absolute;left:5280;top:3003;width:38;height:41" filled="false" stroked="true" strokeweight=".263pt" strokecolor="#66ff33">
              <v:stroke dashstyle="solid"/>
            </v:rect>
            <v:rect style="position:absolute;left:5451;top:2816;width:38;height:40" filled="true" fillcolor="#66ff33" stroked="false">
              <v:fill type="solid"/>
            </v:rect>
            <v:rect style="position:absolute;left:5451;top:2816;width:38;height:40" filled="false" stroked="true" strokeweight=".263pt" strokecolor="#66ff33">
              <v:stroke dashstyle="solid"/>
            </v:rect>
            <v:rect style="position:absolute;left:5624;top:2828;width:36;height:41" filled="true" fillcolor="#66ff33" stroked="false">
              <v:fill type="solid"/>
            </v:rect>
            <v:rect style="position:absolute;left:5624;top:2828;width:36;height:41" filled="false" stroked="true" strokeweight=".263pt" strokecolor="#66ff33">
              <v:stroke dashstyle="solid"/>
            </v:rect>
            <v:rect style="position:absolute;left:5797;top:2917;width:36;height:40" filled="true" fillcolor="#66ff33" stroked="false">
              <v:fill type="solid"/>
            </v:rect>
            <v:rect style="position:absolute;left:5797;top:2917;width:36;height:40" filled="false" stroked="true" strokeweight=".263pt" strokecolor="#66ff33">
              <v:stroke dashstyle="solid"/>
            </v:rect>
            <v:line style="position:absolute" from="2522,4019" to="2684,4019" stroked="true" strokeweight="1.2pt" strokecolor="#0000ff">
              <v:stroke dashstyle="solid"/>
            </v:line>
            <v:line style="position:absolute" from="2522,4337" to="2684,4337" stroked="true" strokeweight="1.2pt" strokecolor="#66ff33">
              <v:stroke dashstyle="solid"/>
            </v:line>
            <v:shape style="position:absolute;left:2581;top:4314;width:42;height:46" coordorigin="2581,4314" coordsize="42,46" path="m2623,4318l2621,4314,2585,4314,2581,4318,2581,4356,2585,4360,2621,4360,2623,4356,2623,4354,2623,4320,2623,4318e" filled="true" fillcolor="#66ff33" stroked="false">
              <v:path arrowok="t"/>
              <v:fill type="solid"/>
            </v:shape>
            <v:rect style="position:absolute;left:678;top:1381;width:5350;height:3819" filled="false" stroked="true" strokeweight=".263pt" strokecolor="#868686">
              <v:stroke dashstyle="solid"/>
            </v:rect>
            <v:shape style="position:absolute;left:2134;top:1657;width:917;height:1563" coordorigin="2135,1657" coordsize="917,1563" path="m2194,3162l2191,3161,2190,3160,2188,3161,2186,3162,2168,3197,2168,3205,2168,3210,2167,3210,2161,3210,2164,3205,2168,3205,2168,3197,2168,2908,2161,2908,2161,3199,2142,3162,2141,3161,2138,3160,2137,3161,2135,3162,2135,3165,2136,3166,2165,3220,2168,3213,2192,3166,2194,3165,2194,3162m3052,1713l3050,1711,3025,1665,3022,1657,2993,1711,2992,1713,2993,1715,2994,1716,2996,1717,2999,1715,3018,1680,3018,2262,3025,2262,3025,1680,3044,1715,3047,1717,3049,1716,3050,1715,3052,1713e" filled="true" fillcolor="#000000" stroked="false">
              <v:path arrowok="t"/>
              <v:fill type="solid"/>
            </v:shape>
            <v:shape style="position:absolute;left:991;top:4882;width:4507;height:192" type="#_x0000_t202" filled="false" stroked="false">
              <v:textbox inset="0,0,0,0">
                <w:txbxContent>
                  <w:p>
                    <w:pPr>
                      <w:tabs>
                        <w:tab w:pos="688" w:val="left" w:leader="none"/>
                        <w:tab w:pos="1376" w:val="left" w:leader="none"/>
                        <w:tab w:pos="2065" w:val="left" w:leader="none"/>
                        <w:tab w:pos="2754" w:val="left" w:leader="none"/>
                        <w:tab w:pos="3442" w:val="left" w:leader="none"/>
                        <w:tab w:pos="4131" w:val="left" w:leader="none"/>
                      </w:tabs>
                      <w:spacing w:line="192" w:lineRule="exact" w:before="0"/>
                      <w:ind w:left="0" w:right="0" w:firstLine="0"/>
                      <w:jc w:val="left"/>
                      <w:rPr>
                        <w:rFonts w:ascii="Calibri"/>
                        <w:b/>
                        <w:sz w:val="19"/>
                      </w:rPr>
                    </w:pPr>
                    <w:r>
                      <w:rPr>
                        <w:rFonts w:ascii="Calibri"/>
                        <w:b/>
                        <w:sz w:val="19"/>
                      </w:rPr>
                      <w:t>2012</w:t>
                      <w:tab/>
                      <w:t>2013</w:t>
                      <w:tab/>
                      <w:t>2014</w:t>
                      <w:tab/>
                      <w:t>2015</w:t>
                      <w:tab/>
                      <w:t>2016</w:t>
                      <w:tab/>
                      <w:t>2017</w:t>
                      <w:tab/>
                    </w:r>
                    <w:r>
                      <w:rPr>
                        <w:rFonts w:ascii="Calibri"/>
                        <w:b/>
                        <w:w w:val="95"/>
                        <w:sz w:val="19"/>
                      </w:rPr>
                      <w:t>2018</w:t>
                    </w:r>
                  </w:p>
                </w:txbxContent>
              </v:textbox>
              <w10:wrap type="none"/>
            </v:shape>
            <v:shape style="position:absolute;left:688;top:4633;width:252;height:192" type="#_x0000_t202" filled="false" stroked="false">
              <v:textbox inset="0,0,0,0">
                <w:txbxContent>
                  <w:p>
                    <w:pPr>
                      <w:spacing w:line="192" w:lineRule="exact" w:before="0"/>
                      <w:ind w:left="0" w:right="0" w:firstLine="0"/>
                      <w:jc w:val="left"/>
                      <w:rPr>
                        <w:rFonts w:ascii="Calibri" w:hAnsi="Calibri"/>
                        <w:b/>
                        <w:sz w:val="19"/>
                      </w:rPr>
                    </w:pPr>
                    <w:r>
                      <w:rPr>
                        <w:rFonts w:ascii="Calibri" w:hAnsi="Calibri"/>
                        <w:b/>
                        <w:w w:val="95"/>
                        <w:sz w:val="19"/>
                      </w:rPr>
                      <w:t>‐80</w:t>
                    </w:r>
                  </w:p>
                </w:txbxContent>
              </v:textbox>
              <w10:wrap type="none"/>
            </v:shape>
            <v:shape style="position:absolute;left:1207;top:4430;width:148;height:192" type="#_x0000_t202" filled="false" stroked="false">
              <v:textbox inset="0,0,0,0">
                <w:txbxContent>
                  <w:p>
                    <w:pPr>
                      <w:spacing w:line="192" w:lineRule="exact" w:before="0"/>
                      <w:ind w:left="0" w:right="0" w:firstLine="0"/>
                      <w:jc w:val="left"/>
                      <w:rPr>
                        <w:rFonts w:ascii="Calibri"/>
                        <w:b/>
                        <w:sz w:val="19"/>
                      </w:rPr>
                    </w:pPr>
                    <w:r>
                      <w:rPr>
                        <w:rFonts w:ascii="Calibri"/>
                        <w:b/>
                        <w:w w:val="92"/>
                        <w:sz w:val="19"/>
                      </w:rPr>
                      <w:t>%</w:t>
                    </w:r>
                  </w:p>
                </w:txbxContent>
              </v:textbox>
              <w10:wrap type="none"/>
            </v:shape>
            <v:shape style="position:absolute;left:2522;top:3538;width:3068;height:902" type="#_x0000_t202" filled="false" stroked="false">
              <v:textbox inset="0,0,0,0">
                <w:txbxContent>
                  <w:p>
                    <w:pPr>
                      <w:spacing w:before="35"/>
                      <w:ind w:left="165" w:right="0" w:hanging="166"/>
                      <w:jc w:val="left"/>
                      <w:rPr>
                        <w:rFonts w:ascii="Calibri"/>
                        <w:b/>
                        <w:sz w:val="19"/>
                      </w:rPr>
                    </w:pPr>
                    <w:r>
                      <w:rPr>
                        <w:rFonts w:ascii="Times New Roman"/>
                        <w:w w:val="92"/>
                        <w:position w:val="5"/>
                        <w:sz w:val="19"/>
                        <w:u w:val="thick" w:color="FF00FF"/>
                      </w:rPr>
                      <w:t> </w:t>
                    </w:r>
                    <w:r>
                      <w:rPr>
                        <w:rFonts w:ascii="Times New Roman"/>
                        <w:position w:val="5"/>
                        <w:sz w:val="19"/>
                        <w:u w:val="thick" w:color="FF00FF"/>
                      </w:rPr>
                      <w:t> </w:t>
                    </w:r>
                    <w:r>
                      <w:rPr>
                        <w:rFonts w:ascii="Times New Roman"/>
                        <w:spacing w:val="23"/>
                        <w:position w:val="5"/>
                        <w:sz w:val="19"/>
                        <w:u w:val="thick" w:color="FF00FF"/>
                      </w:rPr>
                      <w:t> </w:t>
                    </w:r>
                    <w:r>
                      <w:rPr>
                        <w:rFonts w:ascii="Calibri"/>
                        <w:b/>
                        <w:w w:val="95"/>
                        <w:sz w:val="19"/>
                      </w:rPr>
                      <w:t>Wholesale</w:t>
                    </w:r>
                    <w:r>
                      <w:rPr>
                        <w:rFonts w:ascii="Calibri"/>
                        <w:b/>
                        <w:spacing w:val="-18"/>
                        <w:w w:val="95"/>
                        <w:sz w:val="19"/>
                      </w:rPr>
                      <w:t> </w:t>
                    </w:r>
                    <w:r>
                      <w:rPr>
                        <w:rFonts w:ascii="Calibri"/>
                        <w:b/>
                        <w:w w:val="95"/>
                        <w:sz w:val="19"/>
                      </w:rPr>
                      <w:t>Funding</w:t>
                    </w:r>
                    <w:r>
                      <w:rPr>
                        <w:rFonts w:ascii="Calibri"/>
                        <w:b/>
                        <w:spacing w:val="-17"/>
                        <w:w w:val="95"/>
                        <w:sz w:val="19"/>
                      </w:rPr>
                      <w:t> </w:t>
                    </w:r>
                    <w:r>
                      <w:rPr>
                        <w:rFonts w:ascii="Calibri"/>
                        <w:b/>
                        <w:w w:val="95"/>
                        <w:sz w:val="19"/>
                      </w:rPr>
                      <w:t>Costs</w:t>
                    </w:r>
                    <w:r>
                      <w:rPr>
                        <w:rFonts w:ascii="Calibri"/>
                        <w:b/>
                        <w:spacing w:val="-18"/>
                        <w:w w:val="95"/>
                        <w:sz w:val="19"/>
                      </w:rPr>
                      <w:t> </w:t>
                    </w:r>
                    <w:r>
                      <w:rPr>
                        <w:rFonts w:ascii="Calibri"/>
                        <w:b/>
                        <w:w w:val="95"/>
                        <w:sz w:val="19"/>
                      </w:rPr>
                      <w:t>Last</w:t>
                    </w:r>
                    <w:r>
                      <w:rPr>
                        <w:rFonts w:ascii="Calibri"/>
                        <w:b/>
                        <w:spacing w:val="-17"/>
                        <w:w w:val="95"/>
                        <w:sz w:val="19"/>
                      </w:rPr>
                      <w:t> </w:t>
                    </w:r>
                    <w:r>
                      <w:rPr>
                        <w:rFonts w:ascii="Calibri"/>
                        <w:b/>
                        <w:w w:val="95"/>
                        <w:sz w:val="19"/>
                      </w:rPr>
                      <w:t>3</w:t>
                    </w:r>
                    <w:r>
                      <w:rPr>
                        <w:rFonts w:ascii="Calibri"/>
                        <w:b/>
                        <w:spacing w:val="-18"/>
                        <w:w w:val="95"/>
                        <w:sz w:val="19"/>
                      </w:rPr>
                      <w:t> </w:t>
                    </w:r>
                    <w:r>
                      <w:rPr>
                        <w:rFonts w:ascii="Calibri"/>
                        <w:b/>
                        <w:w w:val="95"/>
                        <w:sz w:val="19"/>
                      </w:rPr>
                      <w:t>Months</w:t>
                    </w:r>
                  </w:p>
                  <w:p>
                    <w:pPr>
                      <w:spacing w:line="310" w:lineRule="atLeast" w:before="9"/>
                      <w:ind w:left="165" w:right="-20" w:firstLine="0"/>
                      <w:jc w:val="left"/>
                      <w:rPr>
                        <w:rFonts w:ascii="Calibri"/>
                        <w:b/>
                        <w:sz w:val="19"/>
                      </w:rPr>
                    </w:pPr>
                    <w:r>
                      <w:rPr>
                        <w:rFonts w:ascii="Calibri"/>
                        <w:b/>
                        <w:w w:val="95"/>
                        <w:sz w:val="19"/>
                      </w:rPr>
                      <w:t>Internal Transfer Pricing Last 3 Months </w:t>
                    </w:r>
                    <w:r>
                      <w:rPr>
                        <w:rFonts w:ascii="Calibri"/>
                        <w:b/>
                        <w:sz w:val="19"/>
                      </w:rPr>
                      <w:t>Mortgage Spreads Next 3 Months</w:t>
                    </w:r>
                  </w:p>
                </w:txbxContent>
              </v:textbox>
              <w10:wrap type="none"/>
            </v:shape>
            <v:shape style="position:absolute;left:688;top:3031;width:252;height:1260" type="#_x0000_t202" filled="false" stroked="false">
              <v:textbox inset="0,0,0,0">
                <w:txbxContent>
                  <w:p>
                    <w:pPr>
                      <w:spacing w:line="195" w:lineRule="exact" w:before="0"/>
                      <w:ind w:left="0" w:right="0" w:firstLine="0"/>
                      <w:jc w:val="left"/>
                      <w:rPr>
                        <w:rFonts w:ascii="Calibri" w:hAnsi="Calibri"/>
                        <w:b/>
                        <w:sz w:val="19"/>
                      </w:rPr>
                    </w:pPr>
                    <w:r>
                      <w:rPr>
                        <w:rFonts w:ascii="Calibri" w:hAnsi="Calibri"/>
                        <w:b/>
                        <w:w w:val="95"/>
                        <w:sz w:val="19"/>
                      </w:rPr>
                      <w:t>‐20</w:t>
                    </w:r>
                  </w:p>
                  <w:p>
                    <w:pPr>
                      <w:spacing w:line="240" w:lineRule="auto" w:before="9"/>
                      <w:rPr>
                        <w:rFonts w:ascii="Calibri"/>
                        <w:b/>
                        <w:sz w:val="24"/>
                      </w:rPr>
                    </w:pPr>
                  </w:p>
                  <w:p>
                    <w:pPr>
                      <w:spacing w:before="0"/>
                      <w:ind w:left="0" w:right="0" w:firstLine="0"/>
                      <w:jc w:val="left"/>
                      <w:rPr>
                        <w:rFonts w:ascii="Calibri" w:hAnsi="Calibri"/>
                        <w:b/>
                        <w:sz w:val="19"/>
                      </w:rPr>
                    </w:pPr>
                    <w:r>
                      <w:rPr>
                        <w:rFonts w:ascii="Calibri" w:hAnsi="Calibri"/>
                        <w:b/>
                        <w:w w:val="95"/>
                        <w:sz w:val="19"/>
                      </w:rPr>
                      <w:t>‐40</w:t>
                    </w:r>
                  </w:p>
                  <w:p>
                    <w:pPr>
                      <w:spacing w:line="240" w:lineRule="auto" w:before="9"/>
                      <w:rPr>
                        <w:rFonts w:ascii="Calibri"/>
                        <w:b/>
                        <w:sz w:val="24"/>
                      </w:rPr>
                    </w:pPr>
                  </w:p>
                  <w:p>
                    <w:pPr>
                      <w:spacing w:line="229" w:lineRule="exact" w:before="0"/>
                      <w:ind w:left="0" w:right="0" w:firstLine="0"/>
                      <w:jc w:val="left"/>
                      <w:rPr>
                        <w:rFonts w:ascii="Calibri" w:hAnsi="Calibri"/>
                        <w:b/>
                        <w:sz w:val="19"/>
                      </w:rPr>
                    </w:pPr>
                    <w:r>
                      <w:rPr>
                        <w:rFonts w:ascii="Calibri" w:hAnsi="Calibri"/>
                        <w:b/>
                        <w:w w:val="95"/>
                        <w:sz w:val="19"/>
                      </w:rPr>
                      <w:t>‐60</w:t>
                    </w:r>
                  </w:p>
                </w:txbxContent>
              </v:textbox>
              <w10:wrap type="none"/>
            </v:shape>
            <v:shape style="position:absolute;left:1960;top:2683;width:470;height:192" type="#_x0000_t202" filled="false" stroked="false">
              <v:textbox inset="0,0,0,0">
                <w:txbxContent>
                  <w:p>
                    <w:pPr>
                      <w:spacing w:line="192" w:lineRule="exact" w:before="0"/>
                      <w:ind w:left="0" w:right="0" w:firstLine="0"/>
                      <w:jc w:val="left"/>
                      <w:rPr>
                        <w:rFonts w:ascii="Calibri"/>
                        <w:b/>
                        <w:sz w:val="19"/>
                      </w:rPr>
                    </w:pPr>
                    <w:r>
                      <w:rPr>
                        <w:rFonts w:ascii="Calibri"/>
                        <w:b/>
                        <w:w w:val="90"/>
                        <w:sz w:val="19"/>
                      </w:rPr>
                      <w:t>Lower</w:t>
                    </w:r>
                  </w:p>
                </w:txbxContent>
              </v:textbox>
              <w10:wrap type="none"/>
            </v:shape>
            <v:shape style="position:absolute;left:831;top:2497;width:109;height:192" type="#_x0000_t202" filled="false" stroked="false">
              <v:textbox inset="0,0,0,0">
                <w:txbxContent>
                  <w:p>
                    <w:pPr>
                      <w:spacing w:line="192" w:lineRule="exact" w:before="0"/>
                      <w:ind w:left="0" w:right="0" w:firstLine="0"/>
                      <w:jc w:val="left"/>
                      <w:rPr>
                        <w:rFonts w:ascii="Calibri"/>
                        <w:b/>
                        <w:sz w:val="19"/>
                      </w:rPr>
                    </w:pPr>
                    <w:r>
                      <w:rPr>
                        <w:rFonts w:ascii="Calibri"/>
                        <w:b/>
                        <w:w w:val="92"/>
                        <w:sz w:val="19"/>
                      </w:rPr>
                      <w:t>0</w:t>
                    </w:r>
                  </w:p>
                </w:txbxContent>
              </v:textbox>
              <w10:wrap type="none"/>
            </v:shape>
            <v:shape style="position:absolute;left:2484;top:1824;width:502;height:192" type="#_x0000_t202" filled="false" stroked="false">
              <v:textbox inset="0,0,0,0">
                <w:txbxContent>
                  <w:p>
                    <w:pPr>
                      <w:spacing w:line="192" w:lineRule="exact" w:before="0"/>
                      <w:ind w:left="0" w:right="0" w:firstLine="0"/>
                      <w:jc w:val="left"/>
                      <w:rPr>
                        <w:rFonts w:ascii="Calibri"/>
                        <w:b/>
                        <w:sz w:val="19"/>
                      </w:rPr>
                    </w:pPr>
                    <w:r>
                      <w:rPr>
                        <w:rFonts w:ascii="Calibri"/>
                        <w:b/>
                        <w:w w:val="90"/>
                        <w:sz w:val="19"/>
                      </w:rPr>
                      <w:t>Higher</w:t>
                    </w:r>
                  </w:p>
                </w:txbxContent>
              </v:textbox>
              <w10:wrap type="none"/>
            </v:shape>
            <v:shape style="position:absolute;left:742;top:1429;width:198;height:726" type="#_x0000_t202" filled="false" stroked="false">
              <v:textbox inset="0,0,0,0">
                <w:txbxContent>
                  <w:p>
                    <w:pPr>
                      <w:spacing w:line="195" w:lineRule="exact" w:before="0"/>
                      <w:ind w:left="0" w:right="0" w:firstLine="0"/>
                      <w:jc w:val="left"/>
                      <w:rPr>
                        <w:rFonts w:ascii="Calibri"/>
                        <w:b/>
                        <w:sz w:val="19"/>
                      </w:rPr>
                    </w:pPr>
                    <w:r>
                      <w:rPr>
                        <w:rFonts w:ascii="Calibri"/>
                        <w:b/>
                        <w:w w:val="95"/>
                        <w:sz w:val="19"/>
                      </w:rPr>
                      <w:t>40</w:t>
                    </w:r>
                  </w:p>
                  <w:p>
                    <w:pPr>
                      <w:spacing w:line="240" w:lineRule="auto" w:before="9"/>
                      <w:rPr>
                        <w:rFonts w:ascii="Calibri"/>
                        <w:b/>
                        <w:sz w:val="24"/>
                      </w:rPr>
                    </w:pPr>
                  </w:p>
                  <w:p>
                    <w:pPr>
                      <w:spacing w:line="229" w:lineRule="exact" w:before="0"/>
                      <w:ind w:left="0" w:right="0" w:firstLine="0"/>
                      <w:jc w:val="left"/>
                      <w:rPr>
                        <w:rFonts w:ascii="Calibri"/>
                        <w:b/>
                        <w:sz w:val="19"/>
                      </w:rPr>
                    </w:pPr>
                    <w:r>
                      <w:rPr>
                        <w:rFonts w:ascii="Calibri"/>
                        <w:b/>
                        <w:w w:val="95"/>
                        <w:sz w:val="19"/>
                      </w:rPr>
                      <w:t>20</w:t>
                    </w:r>
                  </w:p>
                </w:txbxContent>
              </v:textbox>
              <w10:wrap type="none"/>
            </v:shape>
            <w10:wrap type="none"/>
          </v:group>
        </w:pict>
      </w:r>
      <w:r>
        <w:rPr/>
        <w:t>Figure 12. UK – Net Balance of Banks Reporting Changes in Wholesale Funding Costs, Internal Transfer Pricing of Funds, and Expectations for Mortgage Lending Spreads, 2012-18</w:t>
      </w:r>
    </w:p>
    <w:p>
      <w:pPr>
        <w:spacing w:line="355" w:lineRule="auto" w:before="127"/>
        <w:ind w:left="114" w:right="655" w:firstLine="0"/>
        <w:jc w:val="left"/>
        <w:rPr>
          <w:b/>
          <w:sz w:val="20"/>
        </w:rPr>
      </w:pPr>
      <w:r>
        <w:rPr/>
        <w:br w:type="column"/>
      </w:r>
      <w:r>
        <w:rPr>
          <w:b/>
          <w:sz w:val="20"/>
        </w:rPr>
        <w:t>Figure 13. UK – Unsecured Wholesale Funding Spreads Have Less Effect on Mortgage Credit Availability, 2008-18</w:t>
      </w:r>
    </w:p>
    <w:p>
      <w:pPr>
        <w:spacing w:after="0" w:line="355" w:lineRule="auto"/>
        <w:jc w:val="left"/>
        <w:rPr>
          <w:sz w:val="20"/>
        </w:rPr>
        <w:sectPr>
          <w:footerReference w:type="default" r:id="rId21"/>
          <w:pgSz w:w="11910" w:h="16840"/>
          <w:pgMar w:footer="1340" w:header="0" w:top="1600" w:bottom="1540" w:left="560" w:right="540"/>
          <w:cols w:num="2" w:equalWidth="0">
            <w:col w:w="5424" w:space="162"/>
            <w:col w:w="5224"/>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15"/>
        </w:rPr>
      </w:pPr>
    </w:p>
    <w:p>
      <w:pPr>
        <w:spacing w:line="360" w:lineRule="auto" w:before="95"/>
        <w:ind w:left="573" w:right="745" w:firstLine="0"/>
        <w:jc w:val="left"/>
        <w:rPr>
          <w:sz w:val="16"/>
        </w:rPr>
      </w:pPr>
      <w:r>
        <w:rPr/>
        <w:pict>
          <v:group style="position:absolute;margin-left:312.952515pt;margin-top:-187.193314pt;width:249.6pt;height:191.45pt;mso-position-horizontal-relative:page;mso-position-vertical-relative:paragraph;z-index:251789312" coordorigin="6259,-3744" coordsize="4992,3829">
            <v:rect style="position:absolute;left:6679;top:-3622;width:4185;height:3213" filled="false" stroked="true" strokeweight=".255pt" strokecolor="#000000">
              <v:stroke dashstyle="solid"/>
            </v:rect>
            <v:shape style="position:absolute;left:0;top:6906;width:51;height:3213" coordorigin="0,6907" coordsize="51,3213" path="m10864,-409l10864,-3621m10864,-409l10914,-409e" filled="false" stroked="true" strokeweight=".255pt" strokecolor="#868686">
              <v:path arrowok="t"/>
              <v:stroke dashstyle="solid"/>
            </v:shape>
            <v:line style="position:absolute" from="10864,-769" to="10914,-769" stroked="true" strokeweight=".255pt" strokecolor="#868686">
              <v:stroke dashstyle="solid"/>
            </v:line>
            <v:line style="position:absolute" from="10864,-1128" to="10914,-1128" stroked="true" strokeweight=".255pt" strokecolor="#868686">
              <v:stroke dashstyle="solid"/>
            </v:line>
            <v:line style="position:absolute" from="10864,-1482" to="10914,-1482" stroked="true" strokeweight=".255pt" strokecolor="#868686">
              <v:stroke dashstyle="solid"/>
            </v:line>
            <v:line style="position:absolute" from="10864,-1842" to="10914,-1842" stroked="true" strokeweight=".255pt" strokecolor="#868686">
              <v:stroke dashstyle="solid"/>
            </v:line>
            <v:line style="position:absolute" from="10864,-2195" to="10914,-2195" stroked="true" strokeweight=".255pt" strokecolor="#868686">
              <v:stroke dashstyle="solid"/>
            </v:line>
            <v:line style="position:absolute" from="10864,-2555" to="10914,-2555" stroked="true" strokeweight=".255pt" strokecolor="#868686">
              <v:stroke dashstyle="solid"/>
            </v:line>
            <v:line style="position:absolute" from="10864,-2909" to="10914,-2909" stroked="true" strokeweight=".255pt" strokecolor="#868686">
              <v:stroke dashstyle="solid"/>
            </v:line>
            <v:line style="position:absolute" from="10864,-3267" to="10914,-3267" stroked="true" strokeweight=".255pt" strokecolor="#868686">
              <v:stroke dashstyle="solid"/>
            </v:line>
            <v:line style="position:absolute" from="10864,-3621" to="10914,-3621" stroked="true" strokeweight=".255pt" strokecolor="#868686">
              <v:stroke dashstyle="solid"/>
            </v:line>
            <v:line style="position:absolute" from="6679,-409" to="6679,-3621" stroked="true" strokeweight=".255pt" strokecolor="#868686">
              <v:stroke dashstyle="solid"/>
            </v:line>
            <v:line style="position:absolute" from="6629,-409" to="6679,-409" stroked="true" strokeweight=".255pt" strokecolor="#868686">
              <v:stroke dashstyle="solid"/>
            </v:line>
            <v:line style="position:absolute" from="6629,-769" to="6679,-769" stroked="true" strokeweight=".255pt" strokecolor="#868686">
              <v:stroke dashstyle="solid"/>
            </v:line>
            <v:line style="position:absolute" from="6629,-1128" to="6679,-1128" stroked="true" strokeweight=".255pt" strokecolor="#868686">
              <v:stroke dashstyle="solid"/>
            </v:line>
            <v:line style="position:absolute" from="6629,-1482" to="6679,-1482" stroked="true" strokeweight=".255pt" strokecolor="#868686">
              <v:stroke dashstyle="solid"/>
            </v:line>
            <v:line style="position:absolute" from="6629,-1842" to="6679,-1842" stroked="true" strokeweight=".255pt" strokecolor="#868686">
              <v:stroke dashstyle="solid"/>
            </v:line>
            <v:line style="position:absolute" from="6629,-2195" to="6679,-2195" stroked="true" strokeweight=".255pt" strokecolor="#868686">
              <v:stroke dashstyle="solid"/>
            </v:line>
            <v:line style="position:absolute" from="6629,-2555" to="6679,-2555" stroked="true" strokeweight=".255pt" strokecolor="#868686">
              <v:stroke dashstyle="solid"/>
            </v:line>
            <v:line style="position:absolute" from="6629,-2909" to="6679,-2909" stroked="true" strokeweight=".255pt" strokecolor="#868686">
              <v:stroke dashstyle="solid"/>
            </v:line>
            <v:line style="position:absolute" from="6629,-3267" to="6679,-3267" stroked="true" strokeweight=".255pt" strokecolor="#868686">
              <v:stroke dashstyle="solid"/>
            </v:line>
            <v:line style="position:absolute" from="6629,-3621" to="6679,-3621" stroked="true" strokeweight=".255pt" strokecolor="#868686">
              <v:stroke dashstyle="solid"/>
            </v:line>
            <v:line style="position:absolute" from="6679,-1842" to="10864,-1842" stroked="true" strokeweight=".255pt" strokecolor="#868686">
              <v:stroke dashstyle="solid"/>
            </v:line>
            <v:shape style="position:absolute;left:6728;top:-2553;width:4086;height:1745" coordorigin="6728,-2552" coordsize="4086,1745" path="m6728,-2288l6820,-2192,6911,-2318,7003,-2150,7100,-2162,7192,-2396,7283,-1844,7375,-1820,7466,-1593,7564,-1611,7655,-1922,7747,-1952,7838,-2000,7936,-1748,8027,-2102,8119,-2552,8210,-2174,8308,-2030,8399,-1431,8491,-807,8582,-1095,8680,-1341,8771,-1599,8863,-1826,8954,-1832,9052,-1754,9143,-1730,9235,-1682,9326,-1694,9419,-1820,9516,-1940,9607,-1994,9698,-2060,9791,-2030,9888,-1910,9979,-1898,10070,-1772,10163,-1688,10260,-1658,10351,-1658,10442,-1724,10535,-1874,10632,-2000,10723,-2180,10814,-2222e" filled="false" stroked="true" strokeweight="1.019000pt" strokecolor="#0000ff">
              <v:path arrowok="t"/>
              <v:stroke dashstyle="solid"/>
            </v:shape>
            <v:shape style="position:absolute;left:7003;top:-2875;width:3720;height:1414" coordorigin="7003,-2875" coordsize="3720,1414" path="m7003,-2875l7100,-2468,7192,-2150,7283,-2054,7375,-1844,7466,-1766,7564,-1736,7655,-1826,7747,-1958,7838,-2114,7936,-2096,8027,-2156,8119,-2342,8210,-2420,8308,-2624,8399,-2360,8491,-1922,8582,-1676,8680,-1461,8771,-1545,8863,-1736,8954,-1802,9052,-1820,9143,-1820,9235,-1838,9326,-1838,9419,-1838,9516,-1838,9607,-1778,9698,-1778,9791,-1796,9888,-1814,9979,-1868,10070,-1892,10163,-1892,10260,-1874,10351,-1856,10442,-1784,10535,-1856,10632,-1862,10723,-1868e" filled="false" stroked="true" strokeweight="1.019000pt" strokecolor="#ff00ff">
              <v:path arrowok="t"/>
              <v:stroke dashstyle="dash"/>
            </v:shape>
            <v:rect style="position:absolute;left:6261;top:-3742;width:4979;height:3824" filled="false" stroked="true" strokeweight=".255pt" strokecolor="#868686">
              <v:stroke dashstyle="solid"/>
            </v:rect>
            <v:shape style="position:absolute;left:10173;top:-1650;width:311;height:282" type="#_x0000_t75" stroked="false">
              <v:imagedata r:id="rId22" o:title=""/>
            </v:shape>
            <v:shape style="position:absolute;left:7963;top:-2741;width:2890;height:1307" coordorigin="7963,-2741" coordsize="2890,1307" path="m10390,-2445l10396,-2481,10412,-2510,10437,-2529,10466,-2537,10776,-2537,10806,-2529,10830,-2510,10847,-2481,10853,-2445,10853,-1525,10847,-1489,10830,-1460,10806,-1441,10776,-1434,10466,-1434,10437,-1441,10412,-1460,10396,-1489,10390,-1525,10390,-2445xm7963,-2649l7969,-2685,7986,-2714,8011,-2733,8041,-2741,8350,-2741,8380,-2733,8405,-2714,8421,-2685,8428,-2649,8428,-1729,8421,-1693,8405,-1664,8380,-1645,8350,-1638,8041,-1638,8011,-1645,7986,-1664,7969,-1693,7963,-1729,7963,-2649xe" filled="false" stroked="true" strokeweight=".255pt" strokecolor="#000000">
              <v:path arrowok="t"/>
              <v:stroke dashstyle="shortdot"/>
            </v:shape>
            <v:shape style="position:absolute;left:7839;top:-1878;width:239;height:310" type="#_x0000_t75" stroked="false">
              <v:imagedata r:id="rId23" o:title=""/>
            </v:shape>
            <v:shape style="position:absolute;left:6562;top:-252;width:4071;height:192" type="#_x0000_t202" filled="false" stroked="false">
              <v:textbox inset="0,0,0,0">
                <w:txbxContent>
                  <w:p>
                    <w:pPr>
                      <w:tabs>
                        <w:tab w:pos="744" w:val="left" w:leader="none"/>
                        <w:tab w:pos="1486" w:val="left" w:leader="none"/>
                        <w:tab w:pos="2230" w:val="left" w:leader="none"/>
                        <w:tab w:pos="2975" w:val="left" w:leader="none"/>
                        <w:tab w:pos="3717" w:val="left" w:leader="none"/>
                      </w:tabs>
                      <w:spacing w:line="192" w:lineRule="exact" w:before="0"/>
                      <w:ind w:left="0" w:right="0" w:firstLine="0"/>
                      <w:jc w:val="left"/>
                      <w:rPr>
                        <w:rFonts w:ascii="Calibri"/>
                        <w:b/>
                        <w:sz w:val="19"/>
                      </w:rPr>
                    </w:pPr>
                    <w:r>
                      <w:rPr>
                        <w:rFonts w:ascii="Calibri"/>
                        <w:b/>
                        <w:w w:val="95"/>
                        <w:sz w:val="19"/>
                      </w:rPr>
                      <w:t>2008</w:t>
                      <w:tab/>
                      <w:t>2010</w:t>
                      <w:tab/>
                      <w:t>2012</w:t>
                      <w:tab/>
                      <w:t>2014</w:t>
                      <w:tab/>
                      <w:t>2016</w:t>
                      <w:tab/>
                    </w:r>
                    <w:r>
                      <w:rPr>
                        <w:rFonts w:ascii="Calibri"/>
                        <w:b/>
                        <w:w w:val="85"/>
                        <w:sz w:val="19"/>
                      </w:rPr>
                      <w:t>2018</w:t>
                    </w:r>
                  </w:p>
                </w:txbxContent>
              </v:textbox>
              <w10:wrap type="none"/>
            </v:shape>
            <v:shape style="position:absolute;left:11014;top:-1572;width:236;height:1263" type="#_x0000_t202" filled="false" stroked="false">
              <v:textbox inset="0,0,0,0">
                <w:txbxContent>
                  <w:p>
                    <w:pPr>
                      <w:spacing w:line="195" w:lineRule="exact" w:before="0"/>
                      <w:ind w:left="0" w:right="0" w:firstLine="0"/>
                      <w:jc w:val="left"/>
                      <w:rPr>
                        <w:rFonts w:ascii="Calibri" w:hAnsi="Calibri"/>
                        <w:b/>
                        <w:sz w:val="19"/>
                      </w:rPr>
                    </w:pPr>
                    <w:r>
                      <w:rPr>
                        <w:rFonts w:ascii="Calibri" w:hAnsi="Calibri"/>
                        <w:b/>
                        <w:w w:val="90"/>
                        <w:sz w:val="19"/>
                      </w:rPr>
                      <w:t>‐10</w:t>
                    </w:r>
                  </w:p>
                  <w:p>
                    <w:pPr>
                      <w:spacing w:before="125"/>
                      <w:ind w:left="0" w:right="0" w:firstLine="0"/>
                      <w:jc w:val="left"/>
                      <w:rPr>
                        <w:rFonts w:ascii="Calibri" w:hAnsi="Calibri"/>
                        <w:b/>
                        <w:sz w:val="19"/>
                      </w:rPr>
                    </w:pPr>
                    <w:r>
                      <w:rPr>
                        <w:rFonts w:ascii="Calibri" w:hAnsi="Calibri"/>
                        <w:b/>
                        <w:w w:val="90"/>
                        <w:sz w:val="19"/>
                      </w:rPr>
                      <w:t>‐20</w:t>
                    </w:r>
                  </w:p>
                  <w:p>
                    <w:pPr>
                      <w:spacing w:before="125"/>
                      <w:ind w:left="0" w:right="0" w:firstLine="0"/>
                      <w:jc w:val="left"/>
                      <w:rPr>
                        <w:rFonts w:ascii="Calibri" w:hAnsi="Calibri"/>
                        <w:b/>
                        <w:sz w:val="19"/>
                      </w:rPr>
                    </w:pPr>
                    <w:r>
                      <w:rPr>
                        <w:rFonts w:ascii="Calibri" w:hAnsi="Calibri"/>
                        <w:b/>
                        <w:w w:val="90"/>
                        <w:sz w:val="19"/>
                      </w:rPr>
                      <w:t>‐30</w:t>
                    </w:r>
                  </w:p>
                  <w:p>
                    <w:pPr>
                      <w:spacing w:line="229" w:lineRule="exact" w:before="124"/>
                      <w:ind w:left="0" w:right="0" w:firstLine="0"/>
                      <w:jc w:val="left"/>
                      <w:rPr>
                        <w:rFonts w:ascii="Calibri" w:hAnsi="Calibri"/>
                        <w:b/>
                        <w:sz w:val="19"/>
                      </w:rPr>
                    </w:pPr>
                    <w:r>
                      <w:rPr>
                        <w:rFonts w:ascii="Calibri" w:hAnsi="Calibri"/>
                        <w:b/>
                        <w:w w:val="90"/>
                        <w:sz w:val="19"/>
                      </w:rPr>
                      <w:t>‐40</w:t>
                    </w:r>
                  </w:p>
                </w:txbxContent>
              </v:textbox>
              <w10:wrap type="none"/>
            </v:shape>
            <v:shape style="position:absolute;left:9073;top:-1314;width:1443;height:666" type="#_x0000_t202" filled="false" stroked="false">
              <v:textbox inset="0,0,0,0">
                <w:txbxContent>
                  <w:p>
                    <w:pPr>
                      <w:spacing w:line="195" w:lineRule="exact" w:before="0"/>
                      <w:ind w:left="0" w:right="0" w:firstLine="0"/>
                      <w:jc w:val="left"/>
                      <w:rPr>
                        <w:rFonts w:ascii="Calibri"/>
                        <w:b/>
                        <w:sz w:val="19"/>
                      </w:rPr>
                    </w:pPr>
                    <w:r>
                      <w:rPr>
                        <w:rFonts w:ascii="Calibri"/>
                        <w:b/>
                        <w:w w:val="90"/>
                        <w:sz w:val="19"/>
                      </w:rPr>
                      <w:t>Now,</w:t>
                    </w:r>
                    <w:r>
                      <w:rPr>
                        <w:rFonts w:ascii="Calibri"/>
                        <w:b/>
                        <w:spacing w:val="-21"/>
                        <w:w w:val="90"/>
                        <w:sz w:val="19"/>
                      </w:rPr>
                      <w:t> </w:t>
                    </w:r>
                    <w:r>
                      <w:rPr>
                        <w:rFonts w:ascii="Calibri"/>
                        <w:b/>
                        <w:w w:val="90"/>
                        <w:sz w:val="19"/>
                      </w:rPr>
                      <w:t>higher</w:t>
                    </w:r>
                    <w:r>
                      <w:rPr>
                        <w:rFonts w:ascii="Calibri"/>
                        <w:b/>
                        <w:spacing w:val="-20"/>
                        <w:w w:val="90"/>
                        <w:sz w:val="19"/>
                      </w:rPr>
                      <w:t> </w:t>
                    </w:r>
                    <w:r>
                      <w:rPr>
                        <w:rFonts w:ascii="Calibri"/>
                        <w:b/>
                        <w:w w:val="90"/>
                        <w:sz w:val="19"/>
                      </w:rPr>
                      <w:t>funding</w:t>
                    </w:r>
                  </w:p>
                  <w:p>
                    <w:pPr>
                      <w:spacing w:line="242" w:lineRule="auto" w:before="8"/>
                      <w:ind w:left="0" w:right="10" w:firstLine="0"/>
                      <w:jc w:val="left"/>
                      <w:rPr>
                        <w:rFonts w:ascii="Calibri"/>
                        <w:b/>
                        <w:sz w:val="19"/>
                      </w:rPr>
                    </w:pPr>
                    <w:r>
                      <w:rPr>
                        <w:rFonts w:ascii="Calibri"/>
                        <w:b/>
                        <w:w w:val="85"/>
                        <w:sz w:val="19"/>
                      </w:rPr>
                      <w:t>spreads not affecting </w:t>
                    </w:r>
                    <w:r>
                      <w:rPr>
                        <w:rFonts w:ascii="Calibri"/>
                        <w:b/>
                        <w:w w:val="95"/>
                        <w:sz w:val="19"/>
                      </w:rPr>
                      <w:t>credit availability</w:t>
                    </w:r>
                  </w:p>
                </w:txbxContent>
              </v:textbox>
              <w10:wrap type="none"/>
            </v:shape>
            <v:shape style="position:absolute;left:6734;top:-1535;width:1270;height:899" type="#_x0000_t202" filled="false" stroked="false">
              <v:textbox inset="0,0,0,0">
                <w:txbxContent>
                  <w:p>
                    <w:pPr>
                      <w:spacing w:line="195" w:lineRule="exact" w:before="0"/>
                      <w:ind w:left="0" w:right="0" w:firstLine="0"/>
                      <w:jc w:val="left"/>
                      <w:rPr>
                        <w:rFonts w:ascii="Calibri" w:hAnsi="Calibri"/>
                        <w:b/>
                        <w:sz w:val="19"/>
                      </w:rPr>
                    </w:pPr>
                    <w:r>
                      <w:rPr>
                        <w:rFonts w:ascii="Calibri" w:hAnsi="Calibri"/>
                        <w:b/>
                        <w:w w:val="90"/>
                        <w:sz w:val="19"/>
                      </w:rPr>
                      <w:t>In</w:t>
                    </w:r>
                    <w:r>
                      <w:rPr>
                        <w:rFonts w:ascii="Calibri" w:hAnsi="Calibri"/>
                        <w:b/>
                        <w:spacing w:val="-23"/>
                        <w:w w:val="90"/>
                        <w:sz w:val="19"/>
                      </w:rPr>
                      <w:t> </w:t>
                    </w:r>
                    <w:r>
                      <w:rPr>
                        <w:rFonts w:ascii="Calibri" w:hAnsi="Calibri"/>
                        <w:b/>
                        <w:w w:val="90"/>
                        <w:sz w:val="19"/>
                      </w:rPr>
                      <w:t>2011‐12,</w:t>
                    </w:r>
                    <w:r>
                      <w:rPr>
                        <w:rFonts w:ascii="Calibri" w:hAnsi="Calibri"/>
                        <w:b/>
                        <w:spacing w:val="-19"/>
                        <w:w w:val="90"/>
                        <w:sz w:val="19"/>
                      </w:rPr>
                      <w:t> </w:t>
                    </w:r>
                    <w:r>
                      <w:rPr>
                        <w:rFonts w:ascii="Calibri" w:hAnsi="Calibri"/>
                        <w:b/>
                        <w:w w:val="90"/>
                        <w:sz w:val="19"/>
                      </w:rPr>
                      <w:t>higher</w:t>
                    </w:r>
                  </w:p>
                  <w:p>
                    <w:pPr>
                      <w:spacing w:line="242" w:lineRule="auto" w:before="8"/>
                      <w:ind w:left="0" w:right="11" w:firstLine="0"/>
                      <w:jc w:val="left"/>
                      <w:rPr>
                        <w:rFonts w:ascii="Calibri"/>
                        <w:b/>
                        <w:sz w:val="19"/>
                      </w:rPr>
                    </w:pPr>
                    <w:r>
                      <w:rPr>
                        <w:rFonts w:ascii="Calibri"/>
                        <w:b/>
                        <w:w w:val="95"/>
                        <w:sz w:val="19"/>
                      </w:rPr>
                      <w:t>funding spreads </w:t>
                    </w:r>
                    <w:r>
                      <w:rPr>
                        <w:rFonts w:ascii="Calibri"/>
                        <w:b/>
                        <w:w w:val="85"/>
                        <w:sz w:val="19"/>
                      </w:rPr>
                      <w:t>followed by worse </w:t>
                    </w:r>
                    <w:r>
                      <w:rPr>
                        <w:rFonts w:ascii="Calibri"/>
                        <w:b/>
                        <w:w w:val="90"/>
                        <w:sz w:val="19"/>
                      </w:rPr>
                      <w:t>credit availability</w:t>
                    </w:r>
                  </w:p>
                </w:txbxContent>
              </v:textbox>
              <w10:wrap type="none"/>
            </v:shape>
            <v:shape style="position:absolute;left:6272;top:-1572;width:281;height:1263" type="#_x0000_t202" filled="false" stroked="false">
              <v:textbox inset="0,0,0,0">
                <w:txbxContent>
                  <w:p>
                    <w:pPr>
                      <w:spacing w:line="195" w:lineRule="exact" w:before="0"/>
                      <w:ind w:left="0" w:right="0" w:firstLine="0"/>
                      <w:jc w:val="left"/>
                      <w:rPr>
                        <w:rFonts w:ascii="Calibri" w:hAnsi="Calibri"/>
                        <w:b/>
                        <w:sz w:val="19"/>
                      </w:rPr>
                    </w:pPr>
                    <w:r>
                      <w:rPr>
                        <w:rFonts w:ascii="Calibri" w:hAnsi="Calibri"/>
                        <w:b/>
                        <w:w w:val="90"/>
                        <w:sz w:val="19"/>
                      </w:rPr>
                      <w:t>‐0.2</w:t>
                    </w:r>
                  </w:p>
                  <w:p>
                    <w:pPr>
                      <w:spacing w:before="125"/>
                      <w:ind w:left="0" w:right="0" w:firstLine="0"/>
                      <w:jc w:val="left"/>
                      <w:rPr>
                        <w:rFonts w:ascii="Calibri" w:hAnsi="Calibri"/>
                        <w:b/>
                        <w:sz w:val="19"/>
                      </w:rPr>
                    </w:pPr>
                    <w:r>
                      <w:rPr>
                        <w:rFonts w:ascii="Calibri" w:hAnsi="Calibri"/>
                        <w:b/>
                        <w:w w:val="90"/>
                        <w:sz w:val="19"/>
                      </w:rPr>
                      <w:t>‐0.4</w:t>
                    </w:r>
                  </w:p>
                  <w:p>
                    <w:pPr>
                      <w:spacing w:before="125"/>
                      <w:ind w:left="0" w:right="0" w:firstLine="0"/>
                      <w:jc w:val="left"/>
                      <w:rPr>
                        <w:rFonts w:ascii="Calibri" w:hAnsi="Calibri"/>
                        <w:b/>
                        <w:sz w:val="19"/>
                      </w:rPr>
                    </w:pPr>
                    <w:r>
                      <w:rPr>
                        <w:rFonts w:ascii="Calibri" w:hAnsi="Calibri"/>
                        <w:b/>
                        <w:w w:val="90"/>
                        <w:sz w:val="19"/>
                      </w:rPr>
                      <w:t>‐0.6</w:t>
                    </w:r>
                  </w:p>
                  <w:p>
                    <w:pPr>
                      <w:spacing w:line="229" w:lineRule="exact" w:before="124"/>
                      <w:ind w:left="0" w:right="0" w:firstLine="0"/>
                      <w:jc w:val="left"/>
                      <w:rPr>
                        <w:rFonts w:ascii="Calibri" w:hAnsi="Calibri"/>
                        <w:b/>
                        <w:sz w:val="19"/>
                      </w:rPr>
                    </w:pPr>
                    <w:r>
                      <w:rPr>
                        <w:rFonts w:ascii="Calibri" w:hAnsi="Calibri"/>
                        <w:b/>
                        <w:w w:val="90"/>
                        <w:sz w:val="19"/>
                      </w:rPr>
                      <w:t>‐0.8</w:t>
                    </w:r>
                  </w:p>
                </w:txbxContent>
              </v:textbox>
              <w10:wrap type="none"/>
            </v:shape>
            <v:shape style="position:absolute;left:11014;top:-1928;width:103;height:192" type="#_x0000_t202" filled="false" stroked="false">
              <v:textbox inset="0,0,0,0">
                <w:txbxContent>
                  <w:p>
                    <w:pPr>
                      <w:spacing w:line="192" w:lineRule="exact" w:before="0"/>
                      <w:ind w:left="0" w:right="0" w:firstLine="0"/>
                      <w:jc w:val="left"/>
                      <w:rPr>
                        <w:rFonts w:ascii="Calibri"/>
                        <w:b/>
                        <w:sz w:val="19"/>
                      </w:rPr>
                    </w:pPr>
                    <w:r>
                      <w:rPr>
                        <w:rFonts w:ascii="Calibri"/>
                        <w:b/>
                        <w:w w:val="85"/>
                        <w:sz w:val="19"/>
                      </w:rPr>
                      <w:t>0</w:t>
                    </w:r>
                  </w:p>
                </w:txbxContent>
              </v:textbox>
              <w10:wrap type="none"/>
            </v:shape>
            <v:shape style="position:absolute;left:6321;top:-1928;width:230;height:192" type="#_x0000_t202" filled="false" stroked="false">
              <v:textbox inset="0,0,0,0">
                <w:txbxContent>
                  <w:p>
                    <w:pPr>
                      <w:spacing w:line="192" w:lineRule="exact" w:before="0"/>
                      <w:ind w:left="0" w:right="0" w:firstLine="0"/>
                      <w:jc w:val="left"/>
                      <w:rPr>
                        <w:rFonts w:ascii="Calibri"/>
                        <w:b/>
                        <w:sz w:val="19"/>
                      </w:rPr>
                    </w:pPr>
                    <w:r>
                      <w:rPr>
                        <w:rFonts w:ascii="Calibri"/>
                        <w:b/>
                        <w:w w:val="90"/>
                        <w:sz w:val="19"/>
                      </w:rPr>
                      <w:t>0.0</w:t>
                    </w:r>
                  </w:p>
                </w:txbxContent>
              </v:textbox>
              <w10:wrap type="none"/>
            </v:shape>
            <v:shape style="position:absolute;left:11014;top:-2285;width:184;height:192" type="#_x0000_t202" filled="false" stroked="false">
              <v:textbox inset="0,0,0,0">
                <w:txbxContent>
                  <w:p>
                    <w:pPr>
                      <w:spacing w:line="192" w:lineRule="exact" w:before="0"/>
                      <w:ind w:left="0" w:right="0" w:firstLine="0"/>
                      <w:jc w:val="left"/>
                      <w:rPr>
                        <w:rFonts w:ascii="Calibri"/>
                        <w:b/>
                        <w:sz w:val="19"/>
                      </w:rPr>
                    </w:pPr>
                    <w:r>
                      <w:rPr>
                        <w:rFonts w:ascii="Calibri"/>
                        <w:b/>
                        <w:w w:val="90"/>
                        <w:sz w:val="19"/>
                      </w:rPr>
                      <w:t>10</w:t>
                    </w:r>
                  </w:p>
                </w:txbxContent>
              </v:textbox>
              <w10:wrap type="none"/>
            </v:shape>
            <v:shape style="position:absolute;left:6321;top:-2285;width:230;height:192" type="#_x0000_t202" filled="false" stroked="false">
              <v:textbox inset="0,0,0,0">
                <w:txbxContent>
                  <w:p>
                    <w:pPr>
                      <w:spacing w:line="192" w:lineRule="exact" w:before="0"/>
                      <w:ind w:left="0" w:right="0" w:firstLine="0"/>
                      <w:jc w:val="left"/>
                      <w:rPr>
                        <w:rFonts w:ascii="Calibri"/>
                        <w:b/>
                        <w:sz w:val="19"/>
                      </w:rPr>
                    </w:pPr>
                    <w:r>
                      <w:rPr>
                        <w:rFonts w:ascii="Calibri"/>
                        <w:b/>
                        <w:w w:val="90"/>
                        <w:sz w:val="19"/>
                      </w:rPr>
                      <w:t>0.2</w:t>
                    </w:r>
                  </w:p>
                </w:txbxContent>
              </v:textbox>
              <w10:wrap type="none"/>
            </v:shape>
            <v:shape style="position:absolute;left:10968;top:-3712;width:231;height:1263" type="#_x0000_t202" filled="false" stroked="false">
              <v:textbox inset="0,0,0,0">
                <w:txbxContent>
                  <w:p>
                    <w:pPr>
                      <w:spacing w:line="195" w:lineRule="exact" w:before="0"/>
                      <w:ind w:left="46" w:right="0" w:firstLine="0"/>
                      <w:jc w:val="left"/>
                      <w:rPr>
                        <w:rFonts w:ascii="Calibri"/>
                        <w:b/>
                        <w:sz w:val="19"/>
                      </w:rPr>
                    </w:pPr>
                    <w:r>
                      <w:rPr>
                        <w:rFonts w:ascii="Calibri"/>
                        <w:b/>
                        <w:w w:val="90"/>
                        <w:sz w:val="19"/>
                      </w:rPr>
                      <w:t>50</w:t>
                    </w:r>
                  </w:p>
                  <w:p>
                    <w:pPr>
                      <w:spacing w:line="209" w:lineRule="exact" w:before="124"/>
                      <w:ind w:left="46" w:right="0" w:firstLine="0"/>
                      <w:jc w:val="left"/>
                      <w:rPr>
                        <w:rFonts w:ascii="Calibri"/>
                        <w:b/>
                        <w:sz w:val="19"/>
                      </w:rPr>
                    </w:pPr>
                    <w:r>
                      <w:rPr>
                        <w:rFonts w:ascii="Calibri"/>
                        <w:b/>
                        <w:w w:val="90"/>
                        <w:sz w:val="19"/>
                      </w:rPr>
                      <w:t>40</w:t>
                    </w:r>
                  </w:p>
                  <w:p>
                    <w:pPr>
                      <w:spacing w:line="175" w:lineRule="auto" w:before="26"/>
                      <w:ind w:left="46" w:right="3" w:hanging="47"/>
                      <w:jc w:val="left"/>
                      <w:rPr>
                        <w:rFonts w:ascii="Calibri"/>
                        <w:b/>
                        <w:sz w:val="19"/>
                      </w:rPr>
                    </w:pPr>
                    <w:r>
                      <w:rPr>
                        <w:rFonts w:ascii="Calibri"/>
                        <w:b/>
                        <w:w w:val="95"/>
                        <w:sz w:val="19"/>
                      </w:rPr>
                      <w:t>% </w:t>
                    </w:r>
                    <w:r>
                      <w:rPr>
                        <w:rFonts w:ascii="Calibri"/>
                        <w:b/>
                        <w:spacing w:val="-1"/>
                        <w:w w:val="85"/>
                        <w:sz w:val="19"/>
                      </w:rPr>
                      <w:t>30</w:t>
                    </w:r>
                  </w:p>
                  <w:p>
                    <w:pPr>
                      <w:spacing w:line="229" w:lineRule="exact" w:before="141"/>
                      <w:ind w:left="46" w:right="0" w:firstLine="0"/>
                      <w:jc w:val="left"/>
                      <w:rPr>
                        <w:rFonts w:ascii="Calibri"/>
                        <w:b/>
                        <w:sz w:val="19"/>
                      </w:rPr>
                    </w:pPr>
                    <w:r>
                      <w:rPr>
                        <w:rFonts w:ascii="Calibri"/>
                        <w:b/>
                        <w:w w:val="90"/>
                        <w:sz w:val="19"/>
                      </w:rPr>
                      <w:t>20</w:t>
                    </w:r>
                  </w:p>
                </w:txbxContent>
              </v:textbox>
              <w10:wrap type="none"/>
            </v:shape>
            <v:shape style="position:absolute;left:7028;top:-3175;width:3507;height:414" type="#_x0000_t202" filled="false" stroked="false">
              <v:textbox inset="0,0,0,0">
                <w:txbxContent>
                  <w:p>
                    <w:pPr>
                      <w:spacing w:line="249" w:lineRule="auto" w:before="0"/>
                      <w:ind w:left="190" w:right="12" w:hanging="191"/>
                      <w:jc w:val="left"/>
                      <w:rPr>
                        <w:rFonts w:ascii="Calibri"/>
                        <w:b/>
                        <w:sz w:val="17"/>
                      </w:rPr>
                    </w:pPr>
                    <w:r>
                      <w:rPr>
                        <w:rFonts w:ascii="Times New Roman"/>
                        <w:w w:val="86"/>
                        <w:sz w:val="17"/>
                        <w:u w:val="thick" w:color="FF00FF"/>
                      </w:rPr>
                      <w:t> </w:t>
                    </w:r>
                    <w:r>
                      <w:rPr>
                        <w:rFonts w:ascii="Times New Roman"/>
                        <w:sz w:val="17"/>
                        <w:u w:val="thick" w:color="FF00FF"/>
                      </w:rPr>
                      <w:t>  </w:t>
                    </w:r>
                    <w:r>
                      <w:rPr>
                        <w:rFonts w:ascii="Times New Roman"/>
                        <w:spacing w:val="3"/>
                        <w:sz w:val="17"/>
                        <w:u w:val="thick" w:color="FF00FF"/>
                      </w:rPr>
                      <w:t> </w:t>
                    </w:r>
                    <w:r>
                      <w:rPr>
                        <w:rFonts w:ascii="Times New Roman"/>
                        <w:spacing w:val="-20"/>
                        <w:sz w:val="17"/>
                      </w:rPr>
                      <w:t> </w:t>
                    </w:r>
                    <w:r>
                      <w:rPr>
                        <w:rFonts w:ascii="Calibri"/>
                        <w:b/>
                        <w:w w:val="90"/>
                        <w:sz w:val="17"/>
                      </w:rPr>
                      <w:t>Effect</w:t>
                    </w:r>
                    <w:r>
                      <w:rPr>
                        <w:rFonts w:ascii="Calibri"/>
                        <w:b/>
                        <w:spacing w:val="-15"/>
                        <w:w w:val="90"/>
                        <w:sz w:val="17"/>
                      </w:rPr>
                      <w:t> </w:t>
                    </w:r>
                    <w:r>
                      <w:rPr>
                        <w:rFonts w:ascii="Calibri"/>
                        <w:b/>
                        <w:w w:val="90"/>
                        <w:sz w:val="17"/>
                      </w:rPr>
                      <w:t>of</w:t>
                    </w:r>
                    <w:r>
                      <w:rPr>
                        <w:rFonts w:ascii="Calibri"/>
                        <w:b/>
                        <w:spacing w:val="-15"/>
                        <w:w w:val="90"/>
                        <w:sz w:val="17"/>
                      </w:rPr>
                      <w:t> </w:t>
                    </w:r>
                    <w:r>
                      <w:rPr>
                        <w:rFonts w:ascii="Calibri"/>
                        <w:b/>
                        <w:w w:val="90"/>
                        <w:sz w:val="17"/>
                      </w:rPr>
                      <w:t>Wholesale</w:t>
                    </w:r>
                    <w:r>
                      <w:rPr>
                        <w:rFonts w:ascii="Calibri"/>
                        <w:b/>
                        <w:spacing w:val="-15"/>
                        <w:w w:val="90"/>
                        <w:sz w:val="17"/>
                      </w:rPr>
                      <w:t> </w:t>
                    </w:r>
                    <w:r>
                      <w:rPr>
                        <w:rFonts w:ascii="Calibri"/>
                        <w:b/>
                        <w:w w:val="90"/>
                        <w:sz w:val="17"/>
                      </w:rPr>
                      <w:t>Spreads</w:t>
                    </w:r>
                    <w:r>
                      <w:rPr>
                        <w:rFonts w:ascii="Calibri"/>
                        <w:b/>
                        <w:spacing w:val="-14"/>
                        <w:w w:val="90"/>
                        <w:sz w:val="17"/>
                      </w:rPr>
                      <w:t> </w:t>
                    </w:r>
                    <w:r>
                      <w:rPr>
                        <w:rFonts w:ascii="Calibri"/>
                        <w:b/>
                        <w:w w:val="90"/>
                        <w:sz w:val="17"/>
                      </w:rPr>
                      <w:t>on</w:t>
                    </w:r>
                    <w:r>
                      <w:rPr>
                        <w:rFonts w:ascii="Calibri"/>
                        <w:b/>
                        <w:spacing w:val="-13"/>
                        <w:w w:val="90"/>
                        <w:sz w:val="17"/>
                      </w:rPr>
                      <w:t> </w:t>
                    </w:r>
                    <w:r>
                      <w:rPr>
                        <w:rFonts w:ascii="Calibri"/>
                        <w:b/>
                        <w:w w:val="90"/>
                        <w:sz w:val="17"/>
                      </w:rPr>
                      <w:t>Mortgage</w:t>
                    </w:r>
                    <w:r>
                      <w:rPr>
                        <w:rFonts w:ascii="Calibri"/>
                        <w:b/>
                        <w:spacing w:val="-17"/>
                        <w:w w:val="90"/>
                        <w:sz w:val="17"/>
                      </w:rPr>
                      <w:t> </w:t>
                    </w:r>
                    <w:r>
                      <w:rPr>
                        <w:rFonts w:ascii="Calibri"/>
                        <w:b/>
                        <w:w w:val="90"/>
                        <w:sz w:val="17"/>
                      </w:rPr>
                      <w:t>Availability </w:t>
                    </w:r>
                    <w:r>
                      <w:rPr>
                        <w:rFonts w:ascii="Calibri"/>
                        <w:b/>
                        <w:w w:val="95"/>
                        <w:sz w:val="17"/>
                      </w:rPr>
                      <w:t>(rise</w:t>
                    </w:r>
                    <w:r>
                      <w:rPr>
                        <w:rFonts w:ascii="Calibri"/>
                        <w:b/>
                        <w:spacing w:val="-11"/>
                        <w:w w:val="95"/>
                        <w:sz w:val="17"/>
                      </w:rPr>
                      <w:t> </w:t>
                    </w:r>
                    <w:r>
                      <w:rPr>
                        <w:rFonts w:ascii="Calibri"/>
                        <w:b/>
                        <w:w w:val="95"/>
                        <w:sz w:val="17"/>
                      </w:rPr>
                      <w:t>implies</w:t>
                    </w:r>
                    <w:r>
                      <w:rPr>
                        <w:rFonts w:ascii="Calibri"/>
                        <w:b/>
                        <w:spacing w:val="-12"/>
                        <w:w w:val="95"/>
                        <w:sz w:val="17"/>
                      </w:rPr>
                      <w:t> </w:t>
                    </w:r>
                    <w:r>
                      <w:rPr>
                        <w:rFonts w:ascii="Calibri"/>
                        <w:b/>
                        <w:w w:val="95"/>
                        <w:sz w:val="17"/>
                      </w:rPr>
                      <w:t>worse</w:t>
                    </w:r>
                    <w:r>
                      <w:rPr>
                        <w:rFonts w:ascii="Calibri"/>
                        <w:b/>
                        <w:spacing w:val="-13"/>
                        <w:w w:val="95"/>
                        <w:sz w:val="17"/>
                      </w:rPr>
                      <w:t> </w:t>
                    </w:r>
                    <w:r>
                      <w:rPr>
                        <w:rFonts w:ascii="Calibri"/>
                        <w:b/>
                        <w:w w:val="95"/>
                        <w:sz w:val="17"/>
                      </w:rPr>
                      <w:t>credit</w:t>
                    </w:r>
                    <w:r>
                      <w:rPr>
                        <w:rFonts w:ascii="Calibri"/>
                        <w:b/>
                        <w:spacing w:val="-11"/>
                        <w:w w:val="95"/>
                        <w:sz w:val="17"/>
                      </w:rPr>
                      <w:t> </w:t>
                    </w:r>
                    <w:r>
                      <w:rPr>
                        <w:rFonts w:ascii="Calibri"/>
                        <w:b/>
                        <w:w w:val="95"/>
                        <w:sz w:val="17"/>
                      </w:rPr>
                      <w:t>availability,</w:t>
                    </w:r>
                    <w:r>
                      <w:rPr>
                        <w:rFonts w:ascii="Calibri"/>
                        <w:b/>
                        <w:spacing w:val="-13"/>
                        <w:w w:val="95"/>
                        <w:sz w:val="17"/>
                      </w:rPr>
                      <w:t> </w:t>
                    </w:r>
                    <w:r>
                      <w:rPr>
                        <w:rFonts w:ascii="Calibri"/>
                        <w:b/>
                        <w:w w:val="95"/>
                        <w:sz w:val="17"/>
                      </w:rPr>
                      <w:t>right)</w:t>
                    </w:r>
                  </w:p>
                </w:txbxContent>
              </v:textbox>
              <w10:wrap type="none"/>
            </v:shape>
            <v:shape style="position:absolute;left:7219;top:-3581;width:3410;height:174" type="#_x0000_t202" filled="false" stroked="false">
              <v:textbox inset="0,0,0,0">
                <w:txbxContent>
                  <w:p>
                    <w:pPr>
                      <w:spacing w:line="174" w:lineRule="exact" w:before="0"/>
                      <w:ind w:left="0" w:right="0" w:firstLine="0"/>
                      <w:jc w:val="left"/>
                      <w:rPr>
                        <w:rFonts w:ascii="Calibri"/>
                        <w:b/>
                        <w:sz w:val="17"/>
                      </w:rPr>
                    </w:pPr>
                    <w:r>
                      <w:rPr>
                        <w:rFonts w:ascii="Calibri"/>
                        <w:b/>
                        <w:w w:val="90"/>
                        <w:sz w:val="17"/>
                      </w:rPr>
                      <w:t>Change</w:t>
                    </w:r>
                    <w:r>
                      <w:rPr>
                        <w:rFonts w:ascii="Calibri"/>
                        <w:b/>
                        <w:spacing w:val="-13"/>
                        <w:w w:val="90"/>
                        <w:sz w:val="17"/>
                      </w:rPr>
                      <w:t> </w:t>
                    </w:r>
                    <w:r>
                      <w:rPr>
                        <w:rFonts w:ascii="Calibri"/>
                        <w:b/>
                        <w:w w:val="90"/>
                        <w:sz w:val="17"/>
                      </w:rPr>
                      <w:t>in</w:t>
                    </w:r>
                    <w:r>
                      <w:rPr>
                        <w:rFonts w:ascii="Calibri"/>
                        <w:b/>
                        <w:spacing w:val="-14"/>
                        <w:w w:val="90"/>
                        <w:sz w:val="17"/>
                      </w:rPr>
                      <w:t> </w:t>
                    </w:r>
                    <w:r>
                      <w:rPr>
                        <w:rFonts w:ascii="Calibri"/>
                        <w:b/>
                        <w:w w:val="90"/>
                        <w:sz w:val="17"/>
                      </w:rPr>
                      <w:t>Unsecured</w:t>
                    </w:r>
                    <w:r>
                      <w:rPr>
                        <w:rFonts w:ascii="Calibri"/>
                        <w:b/>
                        <w:spacing w:val="-16"/>
                        <w:w w:val="90"/>
                        <w:sz w:val="17"/>
                      </w:rPr>
                      <w:t> </w:t>
                    </w:r>
                    <w:r>
                      <w:rPr>
                        <w:rFonts w:ascii="Calibri"/>
                        <w:b/>
                        <w:w w:val="90"/>
                        <w:sz w:val="17"/>
                      </w:rPr>
                      <w:t>Wholesale</w:t>
                    </w:r>
                    <w:r>
                      <w:rPr>
                        <w:rFonts w:ascii="Calibri"/>
                        <w:b/>
                        <w:spacing w:val="-15"/>
                        <w:w w:val="90"/>
                        <w:sz w:val="17"/>
                      </w:rPr>
                      <w:t> </w:t>
                    </w:r>
                    <w:r>
                      <w:rPr>
                        <w:rFonts w:ascii="Calibri"/>
                        <w:b/>
                        <w:w w:val="90"/>
                        <w:sz w:val="17"/>
                      </w:rPr>
                      <w:t>Funding</w:t>
                    </w:r>
                    <w:r>
                      <w:rPr>
                        <w:rFonts w:ascii="Calibri"/>
                        <w:b/>
                        <w:spacing w:val="-17"/>
                        <w:w w:val="90"/>
                        <w:sz w:val="17"/>
                      </w:rPr>
                      <w:t> </w:t>
                    </w:r>
                    <w:r>
                      <w:rPr>
                        <w:rFonts w:ascii="Calibri"/>
                        <w:b/>
                        <w:w w:val="90"/>
                        <w:sz w:val="17"/>
                      </w:rPr>
                      <w:t>Spreads</w:t>
                    </w:r>
                    <w:r>
                      <w:rPr>
                        <w:rFonts w:ascii="Calibri"/>
                        <w:b/>
                        <w:spacing w:val="-12"/>
                        <w:w w:val="90"/>
                        <w:sz w:val="17"/>
                      </w:rPr>
                      <w:t> </w:t>
                    </w:r>
                    <w:r>
                      <w:rPr>
                        <w:rFonts w:ascii="Calibri"/>
                        <w:b/>
                        <w:w w:val="90"/>
                        <w:sz w:val="17"/>
                      </w:rPr>
                      <w:t>(left)</w:t>
                    </w:r>
                  </w:p>
                </w:txbxContent>
              </v:textbox>
              <w10:wrap type="none"/>
            </v:shape>
            <v:shape style="position:absolute;left:7028;top:-3739;width:188;height:213" type="#_x0000_t202" filled="false" stroked="false">
              <v:textbox inset="0,0,0,0">
                <w:txbxContent>
                  <w:p>
                    <w:pPr>
                      <w:spacing w:line="212" w:lineRule="exact" w:before="0"/>
                      <w:ind w:left="0" w:right="0" w:firstLine="0"/>
                      <w:jc w:val="left"/>
                      <w:rPr>
                        <w:rFonts w:ascii="Times New Roman"/>
                        <w:sz w:val="19"/>
                      </w:rPr>
                    </w:pPr>
                    <w:r>
                      <w:rPr>
                        <w:rFonts w:ascii="Times New Roman"/>
                        <w:w w:val="85"/>
                        <w:sz w:val="19"/>
                        <w:u w:val="thick" w:color="0000FF"/>
                      </w:rPr>
                      <w:t> </w:t>
                    </w:r>
                    <w:r>
                      <w:rPr>
                        <w:rFonts w:ascii="Times New Roman"/>
                        <w:spacing w:val="-16"/>
                        <w:sz w:val="19"/>
                        <w:u w:val="thick" w:color="0000FF"/>
                      </w:rPr>
                      <w:t> </w:t>
                    </w:r>
                  </w:p>
                </w:txbxContent>
              </v:textbox>
              <w10:wrap type="none"/>
            </v:shape>
            <v:shape style="position:absolute;left:6321;top:-3712;width:301;height:1263" type="#_x0000_t202" filled="false" stroked="false">
              <v:textbox inset="0,0,0,0">
                <w:txbxContent>
                  <w:p>
                    <w:pPr>
                      <w:spacing w:line="161" w:lineRule="exact" w:before="0"/>
                      <w:ind w:left="0" w:right="0" w:firstLine="0"/>
                      <w:jc w:val="left"/>
                      <w:rPr>
                        <w:rFonts w:ascii="Calibri"/>
                        <w:b/>
                        <w:sz w:val="19"/>
                      </w:rPr>
                    </w:pPr>
                    <w:r>
                      <w:rPr>
                        <w:rFonts w:ascii="Calibri"/>
                        <w:b/>
                        <w:w w:val="95"/>
                        <w:sz w:val="19"/>
                      </w:rPr>
                      <w:t>1.0</w:t>
                    </w:r>
                  </w:p>
                  <w:p>
                    <w:pPr>
                      <w:spacing w:line="199" w:lineRule="auto" w:before="0"/>
                      <w:ind w:left="0" w:right="1" w:firstLine="108"/>
                      <w:jc w:val="left"/>
                      <w:rPr>
                        <w:rFonts w:ascii="Calibri"/>
                        <w:b/>
                        <w:sz w:val="19"/>
                      </w:rPr>
                    </w:pPr>
                    <w:r>
                      <w:rPr>
                        <w:rFonts w:ascii="Calibri"/>
                        <w:b/>
                        <w:spacing w:val="-1"/>
                        <w:w w:val="85"/>
                        <w:sz w:val="19"/>
                      </w:rPr>
                      <w:t>pp </w:t>
                    </w:r>
                    <w:r>
                      <w:rPr>
                        <w:rFonts w:ascii="Calibri"/>
                        <w:b/>
                        <w:w w:val="95"/>
                        <w:sz w:val="19"/>
                      </w:rPr>
                      <w:t>0.8</w:t>
                    </w:r>
                  </w:p>
                  <w:p>
                    <w:pPr>
                      <w:spacing w:before="129"/>
                      <w:ind w:left="0" w:right="0" w:firstLine="0"/>
                      <w:jc w:val="left"/>
                      <w:rPr>
                        <w:rFonts w:ascii="Calibri"/>
                        <w:b/>
                        <w:sz w:val="19"/>
                      </w:rPr>
                    </w:pPr>
                    <w:r>
                      <w:rPr>
                        <w:rFonts w:ascii="Calibri"/>
                        <w:b/>
                        <w:w w:val="95"/>
                        <w:sz w:val="19"/>
                      </w:rPr>
                      <w:t>0.6</w:t>
                    </w:r>
                  </w:p>
                  <w:p>
                    <w:pPr>
                      <w:spacing w:line="229" w:lineRule="exact" w:before="126"/>
                      <w:ind w:left="0" w:right="0" w:firstLine="0"/>
                      <w:jc w:val="left"/>
                      <w:rPr>
                        <w:rFonts w:ascii="Calibri"/>
                        <w:b/>
                        <w:sz w:val="19"/>
                      </w:rPr>
                    </w:pPr>
                    <w:r>
                      <w:rPr>
                        <w:rFonts w:ascii="Calibri"/>
                        <w:b/>
                        <w:w w:val="95"/>
                        <w:sz w:val="19"/>
                      </w:rPr>
                      <w:t>0.4</w:t>
                    </w:r>
                  </w:p>
                </w:txbxContent>
              </v:textbox>
              <w10:wrap type="none"/>
            </v:shape>
            <w10:wrap type="none"/>
          </v:group>
        </w:pict>
      </w:r>
      <w:r>
        <w:rPr>
          <w:sz w:val="16"/>
        </w:rPr>
        <w:t>Note: Both charts show 4-quarter averages. The series in the left chart are all net balances, as is the series for mortgage availability in the right chart. The left chart uses results from the BoE Credit Conditions and Bank Liabilities surveys, and the series on wholesale funding costs does not distinguish between secured and unsecured funding. Source: Bank of England.</w:t>
      </w:r>
    </w:p>
    <w:p>
      <w:pPr>
        <w:pStyle w:val="BodyText"/>
        <w:rPr>
          <w:sz w:val="18"/>
        </w:rPr>
      </w:pPr>
    </w:p>
    <w:p>
      <w:pPr>
        <w:pStyle w:val="BodyText"/>
        <w:rPr>
          <w:sz w:val="18"/>
        </w:rPr>
      </w:pPr>
    </w:p>
    <w:p>
      <w:pPr>
        <w:pStyle w:val="BodyText"/>
        <w:spacing w:before="1"/>
        <w:rPr>
          <w:sz w:val="24"/>
        </w:rPr>
      </w:pPr>
    </w:p>
    <w:p>
      <w:pPr>
        <w:pStyle w:val="Heading1"/>
        <w:ind w:left="573"/>
      </w:pPr>
      <w:r>
        <w:rPr/>
        <w:t>Deposit rate renormalisation likely to continue to cap lending rates</w:t>
      </w:r>
    </w:p>
    <w:p>
      <w:pPr>
        <w:pStyle w:val="BodyText"/>
        <w:rPr>
          <w:b/>
          <w:sz w:val="22"/>
        </w:rPr>
      </w:pPr>
    </w:p>
    <w:p>
      <w:pPr>
        <w:pStyle w:val="BodyText"/>
        <w:spacing w:before="10"/>
        <w:rPr>
          <w:b/>
          <w:sz w:val="17"/>
        </w:rPr>
      </w:pPr>
    </w:p>
    <w:p>
      <w:pPr>
        <w:pStyle w:val="BodyText"/>
        <w:spacing w:line="360" w:lineRule="auto"/>
        <w:ind w:left="574" w:right="1267" w:hanging="1"/>
      </w:pPr>
      <w:r>
        <w:rPr/>
        <w:t>Looking ahead, a background in which the policy rate is rising gently and deposit rate pass-through is relatively low might well continue to produce only limited upward pressure on new mortgage rates.</w:t>
      </w:r>
    </w:p>
    <w:p>
      <w:pPr>
        <w:pStyle w:val="BodyText"/>
        <w:spacing w:before="1"/>
        <w:rPr>
          <w:sz w:val="30"/>
        </w:rPr>
      </w:pPr>
    </w:p>
    <w:p>
      <w:pPr>
        <w:pStyle w:val="BodyText"/>
        <w:spacing w:line="357" w:lineRule="auto"/>
        <w:ind w:left="573" w:right="701"/>
        <w:rPr>
          <w:sz w:val="13"/>
        </w:rPr>
      </w:pPr>
      <w:r>
        <w:rPr/>
        <w:t>First of all, partial pass-through to deposit rates would allow lending rates to rise less than the policy rate (or swap rates) without further eroding NIMs on new mortgages. To be sure, margins on new mortgages are already relatively low, as noted above, with a recent external estimate putting the return on equity for new mortgage lending a little below 10%.</w:t>
      </w:r>
      <w:r>
        <w:rPr>
          <w:position w:val="7"/>
          <w:sz w:val="13"/>
        </w:rPr>
        <w:t>16 </w:t>
      </w:r>
      <w:r>
        <w:rPr/>
        <w:t>However, the ring-fencing of major UK banks may reinforce competitive pressure among lenders and hence keep NIMs on new mortgages below historic norms.</w:t>
      </w:r>
      <w:r>
        <w:rPr>
          <w:position w:val="7"/>
          <w:sz w:val="13"/>
        </w:rPr>
        <w:t>17</w:t>
      </w:r>
    </w:p>
    <w:p>
      <w:pPr>
        <w:pStyle w:val="BodyText"/>
        <w:spacing w:before="3"/>
        <w:rPr>
          <w:sz w:val="30"/>
        </w:rPr>
      </w:pPr>
    </w:p>
    <w:p>
      <w:pPr>
        <w:pStyle w:val="BodyText"/>
        <w:spacing w:line="360" w:lineRule="auto"/>
        <w:ind w:left="573" w:right="667"/>
      </w:pPr>
      <w:r>
        <w:rPr/>
        <w:t>Moreover, NIMs on existing mortgages – which generally exceed those on new mortgages – would probably benefit from a rising policy rate. Market intelligence suggests that lenders typically swap most fixed rate mortgages into floating rate assets. Hence, the yield on these mortgages (plus tracker and SVR mortgages) moves broadly in line with Bank Rate, plus the mortgage spread at origination. So partial pass-through of a rising policy rate to deposit rates implies widening NIMs on existing mortgages (for a deposit-funded mortgage lender), given that in effect most mortgage assets are variable rate. This so-called ‘back book’</w:t>
      </w:r>
    </w:p>
    <w:p>
      <w:pPr>
        <w:pStyle w:val="BodyText"/>
        <w:spacing w:before="11"/>
        <w:rPr>
          <w:sz w:val="8"/>
        </w:rPr>
      </w:pPr>
      <w:r>
        <w:rPr/>
        <w:pict>
          <v:shape style="position:absolute;margin-left:56.700001pt;margin-top:7.363325pt;width:144pt;height:.1pt;mso-position-horizontal-relative:page;mso-position-vertical-relative:paragraph;z-index:-251552768;mso-wrap-distance-left:0;mso-wrap-distance-right:0" coordorigin="1134,147" coordsize="2880,0" path="m1134,147l4014,147e" filled="false" stroked="true" strokeweight=".48001pt" strokecolor="#000000">
            <v:path arrowok="t"/>
            <v:stroke dashstyle="solid"/>
            <w10:wrap type="topAndBottom"/>
          </v:shape>
        </w:pict>
      </w:r>
    </w:p>
    <w:p>
      <w:pPr>
        <w:spacing w:before="51"/>
        <w:ind w:left="574" w:right="624" w:firstLine="0"/>
        <w:jc w:val="left"/>
        <w:rPr>
          <w:sz w:val="16"/>
        </w:rPr>
      </w:pPr>
      <w:r>
        <w:rPr>
          <w:position w:val="6"/>
          <w:sz w:val="10"/>
        </w:rPr>
        <w:t>16 </w:t>
      </w:r>
      <w:r>
        <w:rPr>
          <w:sz w:val="16"/>
        </w:rPr>
        <w:t>See Sinha </w:t>
      </w:r>
      <w:r>
        <w:rPr>
          <w:i/>
          <w:sz w:val="16"/>
        </w:rPr>
        <w:t>et al </w:t>
      </w:r>
      <w:r>
        <w:rPr>
          <w:sz w:val="16"/>
        </w:rPr>
        <w:t>(2019). The November 2017 </w:t>
      </w:r>
      <w:r>
        <w:rPr>
          <w:i/>
          <w:sz w:val="16"/>
        </w:rPr>
        <w:t>Financial Stability Report </w:t>
      </w:r>
      <w:r>
        <w:rPr>
          <w:sz w:val="16"/>
        </w:rPr>
        <w:t>estimated that the cost of equity for UK banks is around 11.5% on average. Recent FSRs report that the overall return on equity for UK banks has been below 10% for about ten years.</w:t>
      </w:r>
    </w:p>
    <w:p>
      <w:pPr>
        <w:spacing w:line="184" w:lineRule="exact" w:before="0"/>
        <w:ind w:left="574" w:right="0" w:firstLine="0"/>
        <w:jc w:val="left"/>
        <w:rPr>
          <w:sz w:val="16"/>
        </w:rPr>
      </w:pPr>
      <w:r>
        <w:rPr>
          <w:position w:val="6"/>
          <w:sz w:val="10"/>
        </w:rPr>
        <w:t>17 </w:t>
      </w:r>
      <w:r>
        <w:rPr>
          <w:sz w:val="16"/>
        </w:rPr>
        <w:t>See page 31 of the BoE June 2018 </w:t>
      </w:r>
      <w:r>
        <w:rPr>
          <w:i/>
          <w:sz w:val="16"/>
        </w:rPr>
        <w:t>Financial Stability Report </w:t>
      </w:r>
      <w:r>
        <w:rPr>
          <w:sz w:val="16"/>
        </w:rPr>
        <w:t>and Proudman (2018).</w:t>
      </w:r>
    </w:p>
    <w:p>
      <w:pPr>
        <w:spacing w:after="0" w:line="184" w:lineRule="exact"/>
        <w:jc w:val="left"/>
        <w:rPr>
          <w:sz w:val="16"/>
        </w:rPr>
        <w:sectPr>
          <w:type w:val="continuous"/>
          <w:pgSz w:w="11910" w:h="16840"/>
          <w:pgMar w:top="1200" w:bottom="1540" w:left="560" w:right="540"/>
        </w:sectPr>
      </w:pPr>
    </w:p>
    <w:p>
      <w:pPr>
        <w:pStyle w:val="BodyText"/>
        <w:spacing w:line="360" w:lineRule="auto" w:before="76"/>
        <w:ind w:left="574" w:right="587"/>
      </w:pPr>
      <w:r>
        <w:rPr/>
        <w:t>effect would allow banks to maintain overall NIMs on the stock of mortgage lending if Bank Rate is rising gently even if NIMs on new mortgages remain somewhat below average.</w:t>
      </w:r>
      <w:r>
        <w:rPr>
          <w:position w:val="7"/>
          <w:sz w:val="13"/>
        </w:rPr>
        <w:t>18 </w:t>
      </w:r>
      <w:r>
        <w:rPr/>
        <w:t>Indeed, BoE staff analysis suggests that if pass-through to deposit rates remains as low as recently, and/or if Bank Rate rises faster than once per year (and mortgages are deposit-funded), then banks’ aggregate net interest margins could be stable even if spreads (over riskless rates) on new mortgage loans fall further.</w:t>
      </w:r>
    </w:p>
    <w:p>
      <w:pPr>
        <w:pStyle w:val="BodyText"/>
        <w:spacing w:before="8"/>
        <w:rPr>
          <w:sz w:val="29"/>
        </w:rPr>
      </w:pPr>
    </w:p>
    <w:p>
      <w:pPr>
        <w:pStyle w:val="Heading1"/>
        <w:ind w:left="574"/>
      </w:pPr>
      <w:r>
        <w:rPr/>
        <w:t>Implications</w:t>
      </w:r>
    </w:p>
    <w:p>
      <w:pPr>
        <w:pStyle w:val="BodyText"/>
        <w:rPr>
          <w:b/>
          <w:sz w:val="22"/>
        </w:rPr>
      </w:pPr>
    </w:p>
    <w:p>
      <w:pPr>
        <w:pStyle w:val="BodyText"/>
        <w:spacing w:before="10"/>
        <w:rPr>
          <w:b/>
          <w:sz w:val="17"/>
        </w:rPr>
      </w:pPr>
    </w:p>
    <w:p>
      <w:pPr>
        <w:pStyle w:val="BodyText"/>
        <w:spacing w:line="360" w:lineRule="auto" w:before="1"/>
        <w:ind w:left="573" w:right="655"/>
      </w:pPr>
      <w:r>
        <w:rPr/>
        <w:t>Let me summarise the argument so far. Household deposit rates are unlikely to respond fully to policy rate hikes until the spread between deposit and policy rates has normalised further. With the funding gap closed, mortgage lending rates are now more sensitive to deposit rates and less sensitive to wholesale unsecured funding rates. Hence, for as long as deposit rates remain less sensitive to policy rate changes, rates on new mortgages may also respond by less than usual to changes in Bank Rate (and corresponding swap rates). The link from changes in the policy rate set by the MPC to changes in households’ deposit and lending rates is not permanently broken, but is likely to be less effective while the policy rate is very low.</w:t>
      </w:r>
    </w:p>
    <w:p>
      <w:pPr>
        <w:pStyle w:val="BodyText"/>
        <w:rPr>
          <w:sz w:val="30"/>
        </w:rPr>
      </w:pPr>
    </w:p>
    <w:p>
      <w:pPr>
        <w:pStyle w:val="BodyText"/>
        <w:spacing w:line="360" w:lineRule="auto"/>
        <w:ind w:left="573" w:right="600"/>
      </w:pPr>
      <w:r>
        <w:rPr/>
        <w:t>This has some general implications for monetary policy. Since the crisis, policymakers have had to pay more attention to the issue that there may be an effective lower bound (ELB) for the policy rate – not necessarily at zero – below which a further reduction generates no extra stimulus and may even be counter-productive.</w:t>
      </w:r>
      <w:r>
        <w:rPr>
          <w:position w:val="7"/>
          <w:sz w:val="13"/>
        </w:rPr>
        <w:t>19 </w:t>
      </w:r>
      <w:r>
        <w:rPr/>
        <w:t>However, as the policy rate approaches the ELB, there also may be a range in which policy rate changes have progressively less impact on banks’ deposit and lending rates. Close to the ELB, a lower policy rate would be reflected mainly in wider lending spreads (over riskless rates) rather than lower mortgage rates.</w:t>
      </w:r>
    </w:p>
    <w:p>
      <w:pPr>
        <w:pStyle w:val="BodyText"/>
        <w:spacing w:line="360" w:lineRule="auto"/>
        <w:ind w:left="574" w:right="999"/>
      </w:pPr>
      <w:r>
        <w:rPr/>
        <w:t>Conversely, a slight rise in the policy rate would produce narrower lending spreads. Lending and deposit rates would not move much either way.</w:t>
      </w:r>
    </w:p>
    <w:p>
      <w:pPr>
        <w:pStyle w:val="BodyText"/>
        <w:spacing w:before="6"/>
        <w:rPr>
          <w:sz w:val="29"/>
        </w:rPr>
      </w:pPr>
    </w:p>
    <w:p>
      <w:pPr>
        <w:pStyle w:val="BodyText"/>
        <w:spacing w:line="360" w:lineRule="auto" w:before="1"/>
        <w:ind w:left="574" w:right="585"/>
      </w:pPr>
      <w:r>
        <w:rPr/>
        <w:pict>
          <v:shape style="position:absolute;margin-left:56.700001pt;margin-top:177.72821pt;width:144pt;height:.1pt;mso-position-horizontal-relative:page;mso-position-vertical-relative:paragraph;z-index:-251526144;mso-wrap-distance-left:0;mso-wrap-distance-right:0" coordorigin="1134,3555" coordsize="2880,0" path="m1134,3555l4014,3555e" filled="false" stroked="true" strokeweight=".48001pt" strokecolor="#000000">
            <v:path arrowok="t"/>
            <v:stroke dashstyle="solid"/>
            <w10:wrap type="topAndBottom"/>
          </v:shape>
        </w:pict>
      </w:r>
      <w:r>
        <w:rPr/>
        <w:t>This is only part of the monetary transmission mechanism (MTM). But it is a fairly important part. BoE models suggest that monetary policy in the UK operates through four main channels: the exchange rate; cost of capital and non-housing wealth; the cashflow effect on households and their willingness to bring forward or delay purchases; and a housing channel. The latter two channels rely on the pass-through of policy rate changes to household interest rates. For example, a higher policy rate pushes up mortgage rates and hence weakens housing activity and house prices, reducing the value of households’ collateral (the housing channel). And the combined rise in deposit and mortgage rates squeezes consumer spending because the spending of people with a mortgage is more sensitive to interest rate changes than the spending of net savers (the cashflow channel), even if this effect is less marked than it used to be.</w:t>
      </w:r>
      <w:r>
        <w:rPr>
          <w:position w:val="7"/>
          <w:sz w:val="13"/>
        </w:rPr>
        <w:t>20 </w:t>
      </w:r>
      <w:r>
        <w:rPr/>
        <w:t>The Bank’s suite of models suggest that these two channels typically account for between a third and two thirds of the total</w:t>
      </w:r>
    </w:p>
    <w:p>
      <w:pPr>
        <w:spacing w:before="51"/>
        <w:ind w:left="573" w:right="624" w:firstLine="0"/>
        <w:jc w:val="left"/>
        <w:rPr>
          <w:sz w:val="16"/>
        </w:rPr>
      </w:pPr>
      <w:r>
        <w:rPr>
          <w:position w:val="6"/>
          <w:sz w:val="10"/>
        </w:rPr>
        <w:t>18 </w:t>
      </w:r>
      <w:r>
        <w:rPr>
          <w:sz w:val="16"/>
        </w:rPr>
        <w:t>For example, BoE staff analysis suggests that if Bank Rate rises once per year over the next three years, mortgages are backed by deposits, and pass-through to deposit rates is 60% (which is higher than recently), then the overall NIM for mortgage lenders will be stable if spreads on new mortgages (over riskless rates) are unchanged. Those results are simplified and some banks have so-called ‘structural hedges’ for some rate-insensitive deposits that will affect how NIMs will evolve as risk-free rates change.</w:t>
      </w:r>
    </w:p>
    <w:p>
      <w:pPr>
        <w:spacing w:line="182" w:lineRule="exact" w:before="0"/>
        <w:ind w:left="574" w:right="0" w:firstLine="0"/>
        <w:jc w:val="left"/>
        <w:rPr>
          <w:sz w:val="16"/>
        </w:rPr>
      </w:pPr>
      <w:r>
        <w:rPr>
          <w:position w:val="6"/>
          <w:sz w:val="10"/>
        </w:rPr>
        <w:t>19 </w:t>
      </w:r>
      <w:r>
        <w:rPr>
          <w:sz w:val="16"/>
        </w:rPr>
        <w:t>See Carney (2016), Brunnermeier and Koby (2019), Heider, Saidi and Schepens (2018), Eggertsson </w:t>
      </w:r>
      <w:r>
        <w:rPr>
          <w:i/>
          <w:sz w:val="16"/>
        </w:rPr>
        <w:t>et al </w:t>
      </w:r>
      <w:r>
        <w:rPr>
          <w:sz w:val="16"/>
        </w:rPr>
        <w:t>(2019).</w:t>
      </w:r>
    </w:p>
    <w:p>
      <w:pPr>
        <w:spacing w:line="186" w:lineRule="exact" w:before="0"/>
        <w:ind w:left="574" w:right="0" w:firstLine="0"/>
        <w:jc w:val="left"/>
        <w:rPr>
          <w:sz w:val="16"/>
        </w:rPr>
      </w:pPr>
      <w:r>
        <w:rPr>
          <w:position w:val="6"/>
          <w:sz w:val="10"/>
        </w:rPr>
        <w:t>20 </w:t>
      </w:r>
      <w:r>
        <w:rPr>
          <w:sz w:val="16"/>
        </w:rPr>
        <w:t>See Panigrahi, Rigg and Rockall (2018), and Gelos </w:t>
      </w:r>
      <w:r>
        <w:rPr>
          <w:i/>
          <w:sz w:val="16"/>
        </w:rPr>
        <w:t>et al </w:t>
      </w:r>
      <w:r>
        <w:rPr>
          <w:sz w:val="16"/>
        </w:rPr>
        <w:t>(2019).</w:t>
      </w:r>
    </w:p>
    <w:p>
      <w:pPr>
        <w:spacing w:after="0" w:line="186" w:lineRule="exact"/>
        <w:jc w:val="left"/>
        <w:rPr>
          <w:sz w:val="16"/>
        </w:rPr>
        <w:sectPr>
          <w:footerReference w:type="default" r:id="rId24"/>
          <w:pgSz w:w="11910" w:h="16840"/>
          <w:pgMar w:footer="1340" w:header="0" w:top="1540" w:bottom="1540" w:left="560" w:right="540"/>
        </w:sectPr>
      </w:pPr>
    </w:p>
    <w:p>
      <w:pPr>
        <w:pStyle w:val="BodyText"/>
        <w:spacing w:line="360" w:lineRule="auto" w:before="76"/>
        <w:ind w:left="574" w:right="689" w:hanging="1"/>
      </w:pPr>
      <w:r>
        <w:rPr/>
        <w:t>expected medium-term impact on output from policy rate changes, depending on how persistent the interest rate change is and the extent to which it is anticipated. If these channels are less effective, then the overall MTM also may be less effective than usual.</w:t>
      </w:r>
    </w:p>
    <w:p>
      <w:pPr>
        <w:pStyle w:val="BodyText"/>
        <w:rPr>
          <w:sz w:val="30"/>
        </w:rPr>
      </w:pPr>
    </w:p>
    <w:p>
      <w:pPr>
        <w:pStyle w:val="BodyText"/>
        <w:spacing w:line="360" w:lineRule="auto"/>
        <w:ind w:left="574" w:right="625"/>
        <w:rPr>
          <w:sz w:val="13"/>
        </w:rPr>
      </w:pPr>
      <w:r>
        <w:rPr/>
        <w:t>It is not possible to be precise about where the threshold for such a zone of reduced policy effectiveness might be. It probably starts when sight deposit rates reach or are close to their effective lower bound, and hence when the policy rate itself is clearly above the ELB. As a rough estimate, my guess is it that for the UK this might occur at a policy rate of roughly 2% or so, reflecting a near-zero floor for sight deposit rates plus an equilibrium spread of 150-200bp between household sight deposit rates and the policy rate.</w:t>
      </w:r>
      <w:r>
        <w:rPr>
          <w:position w:val="7"/>
          <w:sz w:val="13"/>
        </w:rPr>
        <w:t>21 </w:t>
      </w:r>
      <w:r>
        <w:rPr/>
        <w:t>The reduction in policy effectiveness may become more marked as the policy rate approaches the ELB and a higher share of deposit rates (eg time deposits) become constrained. Of course, this is still very uncertain and we are still learning about the effects of policy rate changes at low levels. But this issue may be a fairly regular occurrence given that the neutral policy rate is much lower than</w:t>
      </w:r>
      <w:r>
        <w:rPr>
          <w:spacing w:val="-24"/>
        </w:rPr>
        <w:t> </w:t>
      </w:r>
      <w:r>
        <w:rPr/>
        <w:t>previously.</w:t>
      </w:r>
      <w:r>
        <w:rPr>
          <w:position w:val="7"/>
          <w:sz w:val="13"/>
        </w:rPr>
        <w:t>22</w:t>
      </w:r>
    </w:p>
    <w:p>
      <w:pPr>
        <w:pStyle w:val="BodyText"/>
        <w:spacing w:before="4"/>
        <w:rPr>
          <w:sz w:val="29"/>
        </w:rPr>
      </w:pPr>
    </w:p>
    <w:p>
      <w:pPr>
        <w:pStyle w:val="Heading1"/>
        <w:ind w:left="574"/>
      </w:pPr>
      <w:r>
        <w:rPr/>
        <w:drawing>
          <wp:anchor distT="0" distB="0" distL="0" distR="0" allowOverlap="1" layoutInCell="1" locked="0" behindDoc="0" simplePos="0" relativeHeight="130">
            <wp:simplePos x="0" y="0"/>
            <wp:positionH relativeFrom="page">
              <wp:posOffset>1411224</wp:posOffset>
            </wp:positionH>
            <wp:positionV relativeFrom="paragraph">
              <wp:posOffset>215902</wp:posOffset>
            </wp:positionV>
            <wp:extent cx="4745934" cy="3096768"/>
            <wp:effectExtent l="0" t="0" r="0" b="0"/>
            <wp:wrapTopAndBottom/>
            <wp:docPr id="3" name="image10.png"/>
            <wp:cNvGraphicFramePr>
              <a:graphicFrameLocks noChangeAspect="1"/>
            </wp:cNvGraphicFramePr>
            <a:graphic>
              <a:graphicData uri="http://schemas.openxmlformats.org/drawingml/2006/picture">
                <pic:pic>
                  <pic:nvPicPr>
                    <pic:cNvPr id="4" name="image10.png"/>
                    <pic:cNvPicPr/>
                  </pic:nvPicPr>
                  <pic:blipFill>
                    <a:blip r:embed="rId26" cstate="print"/>
                    <a:stretch>
                      <a:fillRect/>
                    </a:stretch>
                  </pic:blipFill>
                  <pic:spPr>
                    <a:xfrm>
                      <a:off x="0" y="0"/>
                      <a:ext cx="4745934" cy="3096768"/>
                    </a:xfrm>
                    <a:prstGeom prst="rect">
                      <a:avLst/>
                    </a:prstGeom>
                  </pic:spPr>
                </pic:pic>
              </a:graphicData>
            </a:graphic>
          </wp:anchor>
        </w:drawing>
      </w:r>
      <w:r>
        <w:rPr/>
        <w:t>Figure 14. Stylised Illustration of Policy Rate, Mortgage Rates and Deposit Rates at Low Level</w:t>
      </w:r>
    </w:p>
    <w:p>
      <w:pPr>
        <w:pStyle w:val="BodyText"/>
        <w:spacing w:before="8"/>
        <w:rPr>
          <w:b/>
          <w:sz w:val="23"/>
        </w:rPr>
      </w:pPr>
    </w:p>
    <w:p>
      <w:pPr>
        <w:spacing w:line="360" w:lineRule="auto" w:before="1"/>
        <w:ind w:left="573" w:right="780" w:firstLine="0"/>
        <w:jc w:val="left"/>
        <w:rPr>
          <w:sz w:val="16"/>
        </w:rPr>
      </w:pPr>
      <w:r>
        <w:rPr>
          <w:sz w:val="16"/>
        </w:rPr>
        <w:t>Note: In the chart, the responsiveness of deposit and mortgage rates to changes in the policy rate is less while the policy rate is in the shaded area, and diminishes further in the bottom half of the shaded area. Source: Bank of England.</w:t>
      </w:r>
    </w:p>
    <w:p>
      <w:pPr>
        <w:pStyle w:val="BodyText"/>
        <w:rPr>
          <w:sz w:val="18"/>
        </w:rPr>
      </w:pPr>
    </w:p>
    <w:p>
      <w:pPr>
        <w:pStyle w:val="BodyText"/>
        <w:spacing w:line="360" w:lineRule="auto" w:before="137"/>
        <w:ind w:left="574" w:right="734" w:hanging="1"/>
      </w:pPr>
      <w:r>
        <w:rPr/>
        <w:t>I stress that if the monetary transmission mechanism is less effective at a low rate level – and this is still an ‘if’ – this will not prevent the MPC from achieving the inflation target over time. The MPC could allow for this issue by adjusting monetary policy slightly more actively (when the policy rate is low) in order to produce a desired impact on the economy. For example, if Bank Rate is at, say, 1.0% and the MPC want to add</w:t>
      </w:r>
    </w:p>
    <w:p>
      <w:pPr>
        <w:pStyle w:val="BodyText"/>
        <w:spacing w:before="1"/>
        <w:rPr>
          <w:sz w:val="21"/>
        </w:rPr>
      </w:pPr>
      <w:r>
        <w:rPr/>
        <w:pict>
          <v:shape style="position:absolute;margin-left:56.700001pt;margin-top:14.3652pt;width:144pt;height:.1pt;mso-position-horizontal-relative:page;mso-position-vertical-relative:paragraph;z-index:-251524096;mso-wrap-distance-left:0;mso-wrap-distance-right:0" coordorigin="1134,287" coordsize="2880,0" path="m1134,287l4014,287e" filled="false" stroked="true" strokeweight=".48001pt" strokecolor="#000000">
            <v:path arrowok="t"/>
            <v:stroke dashstyle="solid"/>
            <w10:wrap type="topAndBottom"/>
          </v:shape>
        </w:pict>
      </w:r>
    </w:p>
    <w:p>
      <w:pPr>
        <w:spacing w:line="186" w:lineRule="exact" w:before="51"/>
        <w:ind w:left="574" w:right="0" w:firstLine="0"/>
        <w:jc w:val="left"/>
        <w:rPr>
          <w:sz w:val="16"/>
        </w:rPr>
      </w:pPr>
      <w:r>
        <w:rPr>
          <w:position w:val="6"/>
          <w:sz w:val="10"/>
        </w:rPr>
        <w:t>21 </w:t>
      </w:r>
      <w:r>
        <w:rPr>
          <w:sz w:val="16"/>
        </w:rPr>
        <w:t>This spread averaged 220bp in the precrisis period, with a low of 150bp.</w:t>
      </w:r>
    </w:p>
    <w:p>
      <w:pPr>
        <w:spacing w:line="186" w:lineRule="exact" w:before="0"/>
        <w:ind w:left="574" w:right="0" w:firstLine="0"/>
        <w:jc w:val="left"/>
        <w:rPr>
          <w:sz w:val="16"/>
        </w:rPr>
      </w:pPr>
      <w:r>
        <w:rPr>
          <w:position w:val="6"/>
          <w:sz w:val="10"/>
        </w:rPr>
        <w:t>22 </w:t>
      </w:r>
      <w:r>
        <w:rPr>
          <w:sz w:val="16"/>
        </w:rPr>
        <w:t>See box on pages 39-43 of the August 2018 </w:t>
      </w:r>
      <w:r>
        <w:rPr>
          <w:i/>
          <w:sz w:val="16"/>
        </w:rPr>
        <w:t>Inflation Report</w:t>
      </w:r>
      <w:r>
        <w:rPr>
          <w:sz w:val="16"/>
        </w:rPr>
        <w:t>.</w:t>
      </w:r>
    </w:p>
    <w:p>
      <w:pPr>
        <w:spacing w:after="0" w:line="186" w:lineRule="exact"/>
        <w:jc w:val="left"/>
        <w:rPr>
          <w:sz w:val="16"/>
        </w:rPr>
        <w:sectPr>
          <w:footerReference w:type="default" r:id="rId25"/>
          <w:pgSz w:w="11910" w:h="16840"/>
          <w:pgMar w:footer="1340" w:header="0" w:top="1540" w:bottom="1540" w:left="560" w:right="540"/>
          <w:pgNumType w:start="12"/>
        </w:sectPr>
      </w:pPr>
    </w:p>
    <w:p>
      <w:pPr>
        <w:pStyle w:val="BodyText"/>
        <w:spacing w:line="360" w:lineRule="auto" w:before="76"/>
        <w:ind w:left="574" w:right="733"/>
        <w:rPr>
          <w:sz w:val="13"/>
        </w:rPr>
      </w:pPr>
      <w:r>
        <w:rPr/>
        <w:t>stimulus, it would be more appropriate to cut a bit further than usual, because each 25bp change in rates would have relatively less impact on the economy. The same point applies if the MPC want to tighten policy (at a low rate level). Moreover, lower interest rates could be reinforced by balance sheet policies. For example, TFS-type programmes could increase downward pressure on lending rates even if banks’ deposit rates are unchanged, while QE can provide extra stimulus if the policy rate is at the effective lower bound.</w:t>
      </w:r>
      <w:r>
        <w:rPr>
          <w:position w:val="7"/>
          <w:sz w:val="13"/>
        </w:rPr>
        <w:t>23</w:t>
      </w:r>
    </w:p>
    <w:p>
      <w:pPr>
        <w:pStyle w:val="BodyText"/>
        <w:spacing w:before="8"/>
        <w:rPr>
          <w:sz w:val="29"/>
        </w:rPr>
      </w:pPr>
    </w:p>
    <w:p>
      <w:pPr>
        <w:pStyle w:val="Heading1"/>
        <w:ind w:left="573"/>
      </w:pPr>
      <w:r>
        <w:rPr/>
        <w:t>The near-term outlook</w:t>
      </w:r>
    </w:p>
    <w:p>
      <w:pPr>
        <w:pStyle w:val="BodyText"/>
        <w:spacing w:line="690" w:lineRule="exact" w:before="95"/>
        <w:ind w:left="573" w:right="1079"/>
      </w:pPr>
      <w:r>
        <w:rPr/>
        <w:t>Let me finish with some brief comments on the near-term outlook for the economy and monetary policy. For most of the period since the Brexit referendum, the economy has grown at an underlying pace of</w:t>
      </w:r>
    </w:p>
    <w:p>
      <w:pPr>
        <w:pStyle w:val="BodyText"/>
        <w:spacing w:line="360" w:lineRule="auto" w:before="18"/>
        <w:ind w:left="573" w:right="634"/>
      </w:pPr>
      <w:r>
        <w:rPr/>
        <w:t>1½%- 2% YoY, with some variation from quarter to quarter due to erratic factors such as the weather. That pace of growth is modest by historic norms but slightly above potential. Brexit uncertainties have weighed on investment, but activity was supported by the relatively loose monetary stance here and, for much of that time, solid global growth. The output gap probably closed during 2018, with a clear pick up in pay growth during that year.</w:t>
      </w:r>
    </w:p>
    <w:p>
      <w:pPr>
        <w:pStyle w:val="BodyText"/>
        <w:spacing w:before="1"/>
        <w:rPr>
          <w:sz w:val="30"/>
        </w:rPr>
      </w:pPr>
    </w:p>
    <w:p>
      <w:pPr>
        <w:pStyle w:val="BodyText"/>
        <w:spacing w:line="360" w:lineRule="auto"/>
        <w:ind w:left="573" w:right="601"/>
      </w:pPr>
      <w:r>
        <w:rPr/>
        <w:t>However, with increased effects from Brexit uncertainties and softer global growth, the economy has recently slowed significantly. Business surveys have turned down markedly, with gloomy readings on output, orders and confidence. Despite the support from stronger real wage growth, consumer confidence has fallen below average, with a marked deterioration in consumers’ expectations for the general economy.</w:t>
      </w:r>
    </w:p>
    <w:p>
      <w:pPr>
        <w:pStyle w:val="BodyText"/>
        <w:rPr>
          <w:sz w:val="30"/>
        </w:rPr>
      </w:pPr>
    </w:p>
    <w:p>
      <w:pPr>
        <w:pStyle w:val="BodyText"/>
        <w:spacing w:line="360" w:lineRule="auto"/>
        <w:ind w:left="573" w:right="767"/>
      </w:pPr>
      <w:r>
        <w:rPr/>
        <w:t>Looking ahead, assuming we avoid a disruptive no-deal Brexit and the economy adjusts smoothly to an average of Brexit endstates, some of the current uncertainties in the UK are likely to fade. Moreover, global growth is likely to be underpinned by expectations of more accommodative monetary policies overseas.</w:t>
      </w:r>
    </w:p>
    <w:p>
      <w:pPr>
        <w:pStyle w:val="BodyText"/>
        <w:spacing w:line="360" w:lineRule="auto"/>
        <w:ind w:left="573" w:right="656"/>
      </w:pPr>
      <w:r>
        <w:rPr/>
        <w:t>Hence, conditioned on that Brexit assumption and the fiscal measures announced late last year, UK growth will probably strengthen again, such that the economy moves into excess demand over the next year or two. In that scenario, further UK monetary tightening – limited and gradual – probably will be needed over time.</w:t>
      </w:r>
    </w:p>
    <w:p>
      <w:pPr>
        <w:pStyle w:val="BodyText"/>
        <w:rPr>
          <w:sz w:val="30"/>
        </w:rPr>
      </w:pPr>
    </w:p>
    <w:p>
      <w:pPr>
        <w:pStyle w:val="BodyText"/>
        <w:spacing w:line="360" w:lineRule="auto"/>
        <w:ind w:left="573" w:right="667"/>
      </w:pPr>
      <w:r>
        <w:rPr/>
        <w:t>However, the possibility that monetary tightening might be needed in the future does not necessarily mean we need to tighten now. A range of alternative Brexit outcomes are possible, and these may have very different implications for the economy and monetary policy. Given that at present economic growth is probably not strong enough to create excess demand and inflation is reasonably well behaved, for now it makes sense to wait and to see how Brexit developments unfold. And as we have said before, the monetary policy response to Brexit, whatever form it takes, will not be automatic and could be in either direction. We will always act to achieve the 2% inflation target.</w:t>
      </w:r>
    </w:p>
    <w:p>
      <w:pPr>
        <w:pStyle w:val="BodyText"/>
        <w:spacing w:before="2"/>
        <w:rPr>
          <w:sz w:val="23"/>
        </w:rPr>
      </w:pPr>
      <w:r>
        <w:rPr/>
        <w:pict>
          <v:shape style="position:absolute;margin-left:56.700001pt;margin-top:15.554292pt;width:144pt;height:.1pt;mso-position-horizontal-relative:page;mso-position-vertical-relative:paragraph;z-index:-251523072;mso-wrap-distance-left:0;mso-wrap-distance-right:0" coordorigin="1134,311" coordsize="2880,0" path="m1134,311l4014,311e" filled="false" stroked="true" strokeweight=".48001pt" strokecolor="#000000">
            <v:path arrowok="t"/>
            <v:stroke dashstyle="solid"/>
            <w10:wrap type="topAndBottom"/>
          </v:shape>
        </w:pict>
      </w:r>
    </w:p>
    <w:p>
      <w:pPr>
        <w:spacing w:before="51"/>
        <w:ind w:left="574" w:right="624" w:firstLine="0"/>
        <w:jc w:val="left"/>
        <w:rPr>
          <w:sz w:val="16"/>
        </w:rPr>
      </w:pPr>
      <w:r>
        <w:rPr>
          <w:position w:val="6"/>
          <w:sz w:val="10"/>
        </w:rPr>
        <w:t>23 </w:t>
      </w:r>
      <w:r>
        <w:rPr>
          <w:sz w:val="16"/>
        </w:rPr>
        <w:t>The TFS probably also helped lower the effective lower bound for the policy rate. See Carney (2016), Shafik (2016), and Ginelli Nardi </w:t>
      </w:r>
      <w:r>
        <w:rPr>
          <w:i/>
          <w:sz w:val="16"/>
        </w:rPr>
        <w:t>et al </w:t>
      </w:r>
      <w:r>
        <w:rPr>
          <w:sz w:val="16"/>
        </w:rPr>
        <w:t>(2018). See also ECB (2017) and Eisenschmidt and Smets (2018) for discussion of the effects of non-conventional policies in the euro area.</w:t>
      </w:r>
    </w:p>
    <w:p>
      <w:pPr>
        <w:spacing w:after="0"/>
        <w:jc w:val="left"/>
        <w:rPr>
          <w:sz w:val="16"/>
        </w:rPr>
        <w:sectPr>
          <w:footerReference w:type="default" r:id="rId27"/>
          <w:pgSz w:w="11910" w:h="16840"/>
          <w:pgMar w:footer="1340" w:header="0" w:top="1540" w:bottom="1540" w:left="560" w:right="540"/>
          <w:pgNumType w:start="13"/>
        </w:sectPr>
      </w:pPr>
    </w:p>
    <w:p>
      <w:pPr>
        <w:spacing w:before="78"/>
        <w:ind w:left="574" w:right="0" w:firstLine="0"/>
        <w:jc w:val="left"/>
        <w:rPr>
          <w:b/>
          <w:sz w:val="24"/>
        </w:rPr>
      </w:pPr>
      <w:r>
        <w:rPr>
          <w:b/>
          <w:sz w:val="24"/>
        </w:rPr>
        <w:t>References</w:t>
      </w:r>
    </w:p>
    <w:p>
      <w:pPr>
        <w:pStyle w:val="BodyText"/>
        <w:rPr>
          <w:b/>
          <w:sz w:val="26"/>
        </w:rPr>
      </w:pPr>
    </w:p>
    <w:p>
      <w:pPr>
        <w:pStyle w:val="BodyText"/>
        <w:spacing w:before="9"/>
        <w:rPr>
          <w:b/>
          <w:sz w:val="21"/>
        </w:rPr>
      </w:pPr>
    </w:p>
    <w:p>
      <w:pPr>
        <w:spacing w:line="360" w:lineRule="auto" w:before="0"/>
        <w:ind w:left="574" w:right="1111" w:firstLine="0"/>
        <w:jc w:val="left"/>
        <w:rPr>
          <w:sz w:val="20"/>
        </w:rPr>
      </w:pPr>
      <w:r>
        <w:rPr>
          <w:b/>
          <w:sz w:val="20"/>
        </w:rPr>
        <w:t>Anderson, A, Ihrig, J, Styczynski, M and Weinbach, G (2017)</w:t>
      </w:r>
      <w:r>
        <w:rPr>
          <w:sz w:val="20"/>
        </w:rPr>
        <w:t>, ‘How have the Fed's three rate hikes passed through to selected short-term interest rates?’, </w:t>
      </w:r>
      <w:r>
        <w:rPr>
          <w:i/>
          <w:sz w:val="20"/>
        </w:rPr>
        <w:t>FEDS Notes</w:t>
      </w:r>
      <w:r>
        <w:rPr>
          <w:sz w:val="20"/>
        </w:rPr>
        <w:t>, Board of Governors of the Federal Reserve System, 2 June.</w:t>
      </w:r>
    </w:p>
    <w:p>
      <w:pPr>
        <w:pStyle w:val="BodyText"/>
        <w:rPr>
          <w:sz w:val="30"/>
        </w:rPr>
      </w:pPr>
    </w:p>
    <w:p>
      <w:pPr>
        <w:pStyle w:val="BodyText"/>
        <w:spacing w:line="360" w:lineRule="auto"/>
        <w:ind w:left="574" w:right="2066"/>
      </w:pPr>
      <w:r>
        <w:rPr>
          <w:b/>
        </w:rPr>
        <w:t>Bean, C (2013)</w:t>
      </w:r>
      <w:r>
        <w:rPr/>
        <w:t>, ‘Letter to Andrew Tyrie on negative interest rates’, available at </w:t>
      </w:r>
      <w:hyperlink r:id="rId28">
        <w:r>
          <w:rPr>
            <w:color w:val="0000FF"/>
            <w:u w:val="single" w:color="0000FF"/>
          </w:rPr>
          <w:t>https://www.bankofengland.co.uk/letter/2013/char</w:t>
        </w:r>
      </w:hyperlink>
      <w:r>
        <w:rPr>
          <w:color w:val="0000FF"/>
          <w:u w:val="single" w:color="0000FF"/>
        </w:rPr>
        <w:t>le</w:t>
      </w:r>
      <w:hyperlink r:id="rId28">
        <w:r>
          <w:rPr>
            <w:color w:val="0000FF"/>
            <w:u w:val="single" w:color="0000FF"/>
          </w:rPr>
          <w:t>s-bean-negative-intere</w:t>
        </w:r>
      </w:hyperlink>
      <w:r>
        <w:rPr>
          <w:color w:val="0000FF"/>
          <w:u w:val="single" w:color="0000FF"/>
        </w:rPr>
        <w:t>s</w:t>
      </w:r>
      <w:hyperlink r:id="rId28">
        <w:r>
          <w:rPr>
            <w:color w:val="0000FF"/>
            <w:u w:val="single" w:color="0000FF"/>
          </w:rPr>
          <w:t>t-rates-may-2</w:t>
        </w:r>
      </w:hyperlink>
      <w:r>
        <w:rPr>
          <w:color w:val="0000FF"/>
          <w:u w:val="single" w:color="0000FF"/>
        </w:rPr>
        <w:t>013</w:t>
      </w:r>
    </w:p>
    <w:p>
      <w:pPr>
        <w:pStyle w:val="BodyText"/>
        <w:spacing w:before="9"/>
        <w:rPr>
          <w:sz w:val="21"/>
        </w:rPr>
      </w:pPr>
    </w:p>
    <w:p>
      <w:pPr>
        <w:spacing w:line="360" w:lineRule="auto" w:before="94"/>
        <w:ind w:left="573" w:right="1078" w:firstLine="0"/>
        <w:jc w:val="left"/>
        <w:rPr>
          <w:sz w:val="20"/>
        </w:rPr>
      </w:pPr>
      <w:r>
        <w:rPr>
          <w:b/>
          <w:sz w:val="20"/>
        </w:rPr>
        <w:t>Beau, E, Hill, J, Hussain, T and Nixon, D (2014)</w:t>
      </w:r>
      <w:r>
        <w:rPr>
          <w:sz w:val="20"/>
        </w:rPr>
        <w:t>, ‘Bank funding costs: what are they, what determines them and why do they matter’, </w:t>
      </w:r>
      <w:r>
        <w:rPr>
          <w:i/>
          <w:sz w:val="20"/>
        </w:rPr>
        <w:t>Bank of England Quarterly Bulletin</w:t>
      </w:r>
      <w:r>
        <w:rPr>
          <w:sz w:val="20"/>
        </w:rPr>
        <w:t>, 2014 Q4, available at </w:t>
      </w:r>
      <w:hyperlink r:id="rId29">
        <w:r>
          <w:rPr>
            <w:color w:val="0000FF"/>
            <w:sz w:val="20"/>
            <w:u w:val="single" w:color="0000FF"/>
          </w:rPr>
          <w:t>https://www.bankofengland.co.uk/quarterly-bulletin/2014/q4/bank</w:t>
        </w:r>
      </w:hyperlink>
      <w:r>
        <w:rPr>
          <w:color w:val="0000FF"/>
          <w:sz w:val="20"/>
          <w:u w:val="single" w:color="0000FF"/>
        </w:rPr>
        <w:t>-funding</w:t>
      </w:r>
      <w:hyperlink r:id="rId29">
        <w:r>
          <w:rPr>
            <w:color w:val="0000FF"/>
            <w:sz w:val="20"/>
            <w:u w:val="single" w:color="0000FF"/>
          </w:rPr>
          <w:t>-costs-what-are-they-what-</w:t>
        </w:r>
      </w:hyperlink>
      <w:r>
        <w:rPr>
          <w:color w:val="0000FF"/>
          <w:sz w:val="20"/>
        </w:rPr>
        <w:t> </w:t>
      </w:r>
      <w:r>
        <w:rPr>
          <w:color w:val="0000FF"/>
          <w:sz w:val="20"/>
          <w:u w:val="single" w:color="0000FF"/>
        </w:rPr>
        <w:t>determines-them-and-why-do-they-matter</w:t>
      </w:r>
    </w:p>
    <w:p>
      <w:pPr>
        <w:pStyle w:val="BodyText"/>
        <w:spacing w:before="11"/>
        <w:rPr>
          <w:sz w:val="21"/>
        </w:rPr>
      </w:pPr>
    </w:p>
    <w:p>
      <w:pPr>
        <w:spacing w:before="94"/>
        <w:ind w:left="574" w:right="0" w:firstLine="0"/>
        <w:jc w:val="left"/>
        <w:rPr>
          <w:sz w:val="20"/>
        </w:rPr>
      </w:pPr>
      <w:r>
        <w:rPr>
          <w:b/>
          <w:sz w:val="20"/>
        </w:rPr>
        <w:t>Brunnermeier, M and Koby, Y (2019)</w:t>
      </w:r>
      <w:r>
        <w:rPr>
          <w:sz w:val="20"/>
        </w:rPr>
        <w:t>, ‘The reversal interest rate’, </w:t>
      </w:r>
      <w:r>
        <w:rPr>
          <w:i/>
          <w:sz w:val="20"/>
        </w:rPr>
        <w:t>Princeton University Working Paper</w:t>
      </w:r>
      <w:r>
        <w:rPr>
          <w:sz w:val="20"/>
        </w:rPr>
        <w:t>.</w:t>
      </w:r>
    </w:p>
    <w:p>
      <w:pPr>
        <w:pStyle w:val="BodyText"/>
        <w:rPr>
          <w:sz w:val="22"/>
        </w:rPr>
      </w:pPr>
    </w:p>
    <w:p>
      <w:pPr>
        <w:pStyle w:val="BodyText"/>
        <w:spacing w:before="11"/>
        <w:rPr>
          <w:sz w:val="17"/>
        </w:rPr>
      </w:pPr>
    </w:p>
    <w:p>
      <w:pPr>
        <w:pStyle w:val="BodyText"/>
        <w:spacing w:line="360" w:lineRule="auto"/>
        <w:ind w:left="574" w:right="755"/>
      </w:pPr>
      <w:r>
        <w:rPr>
          <w:b/>
        </w:rPr>
        <w:t>Carney, M (2016)</w:t>
      </w:r>
      <w:r>
        <w:rPr/>
        <w:t>, Opening remarks and Q&amp;A at the </w:t>
      </w:r>
      <w:r>
        <w:rPr>
          <w:i/>
        </w:rPr>
        <w:t>Inflation Report </w:t>
      </w:r>
      <w:r>
        <w:rPr/>
        <w:t>press conference, 4 August, available at </w:t>
      </w:r>
      <w:hyperlink r:id="rId30">
        <w:r>
          <w:rPr>
            <w:color w:val="0000FF"/>
            <w:u w:val="single" w:color="0000FF"/>
          </w:rPr>
          <w:t>https://www.bankofengland.co.uk/in</w:t>
        </w:r>
      </w:hyperlink>
      <w:r>
        <w:rPr>
          <w:color w:val="0000FF"/>
          <w:u w:val="single" w:color="0000FF"/>
        </w:rPr>
        <w:t>fl</w:t>
      </w:r>
      <w:hyperlink r:id="rId30">
        <w:r>
          <w:rPr>
            <w:color w:val="0000FF"/>
            <w:u w:val="single" w:color="0000FF"/>
          </w:rPr>
          <w:t>ation-report/2016/august-20</w:t>
        </w:r>
      </w:hyperlink>
      <w:r>
        <w:rPr>
          <w:color w:val="0000FF"/>
          <w:u w:val="single" w:color="0000FF"/>
        </w:rPr>
        <w:t>16</w:t>
      </w:r>
    </w:p>
    <w:p>
      <w:pPr>
        <w:pStyle w:val="BodyText"/>
        <w:spacing w:before="9"/>
        <w:rPr>
          <w:sz w:val="21"/>
        </w:rPr>
      </w:pPr>
    </w:p>
    <w:p>
      <w:pPr>
        <w:spacing w:line="360" w:lineRule="auto" w:before="94"/>
        <w:ind w:left="573" w:right="1123" w:firstLine="0"/>
        <w:jc w:val="left"/>
        <w:rPr>
          <w:sz w:val="20"/>
        </w:rPr>
      </w:pPr>
      <w:r>
        <w:rPr>
          <w:b/>
          <w:sz w:val="20"/>
        </w:rPr>
        <w:t>de Bondt, G (2002)</w:t>
      </w:r>
      <w:r>
        <w:rPr>
          <w:sz w:val="20"/>
        </w:rPr>
        <w:t>, ‘Retail bank interest rate pass-through: new evidence at the euro area level’, </w:t>
      </w:r>
      <w:r>
        <w:rPr>
          <w:i/>
          <w:sz w:val="20"/>
        </w:rPr>
        <w:t>ECB </w:t>
      </w:r>
      <w:r>
        <w:rPr>
          <w:i/>
          <w:sz w:val="20"/>
        </w:rPr>
        <w:t>Working Paper</w:t>
      </w:r>
      <w:r>
        <w:rPr>
          <w:sz w:val="20"/>
        </w:rPr>
        <w:t>, No. 136.</w:t>
      </w:r>
    </w:p>
    <w:p>
      <w:pPr>
        <w:pStyle w:val="BodyText"/>
        <w:spacing w:before="1"/>
        <w:rPr>
          <w:sz w:val="30"/>
        </w:rPr>
      </w:pPr>
    </w:p>
    <w:p>
      <w:pPr>
        <w:spacing w:line="360" w:lineRule="auto" w:before="0"/>
        <w:ind w:left="573" w:right="957" w:firstLine="0"/>
        <w:jc w:val="left"/>
        <w:rPr>
          <w:sz w:val="20"/>
        </w:rPr>
      </w:pPr>
      <w:r>
        <w:rPr>
          <w:b/>
          <w:sz w:val="20"/>
        </w:rPr>
        <w:t>Driscoll, J and Judson, R (2013)</w:t>
      </w:r>
      <w:r>
        <w:rPr>
          <w:sz w:val="20"/>
        </w:rPr>
        <w:t>, ‘Sticky deposit rates’, </w:t>
      </w:r>
      <w:r>
        <w:rPr>
          <w:i/>
          <w:sz w:val="20"/>
        </w:rPr>
        <w:t>Finance and Economics Discussion Series</w:t>
      </w:r>
      <w:r>
        <w:rPr>
          <w:sz w:val="20"/>
        </w:rPr>
        <w:t>, No. 2013-80, Board of Governors of the Federal Reserve System.</w:t>
      </w:r>
    </w:p>
    <w:p>
      <w:pPr>
        <w:pStyle w:val="BodyText"/>
        <w:spacing w:before="11"/>
        <w:rPr>
          <w:sz w:val="29"/>
        </w:rPr>
      </w:pPr>
    </w:p>
    <w:p>
      <w:pPr>
        <w:pStyle w:val="BodyText"/>
        <w:spacing w:line="360" w:lineRule="auto"/>
        <w:ind w:left="573" w:right="1257"/>
      </w:pPr>
      <w:r>
        <w:rPr>
          <w:b/>
        </w:rPr>
        <w:t>ECB (2017)</w:t>
      </w:r>
      <w:r>
        <w:rPr/>
        <w:t>, ‘MFI lending rates: pass-through in the time of non-standard monetary policy’, </w:t>
      </w:r>
      <w:r>
        <w:rPr>
          <w:i/>
        </w:rPr>
        <w:t>Economic </w:t>
      </w:r>
      <w:r>
        <w:rPr>
          <w:i/>
        </w:rPr>
        <w:t>Bulletin</w:t>
      </w:r>
      <w:r>
        <w:rPr/>
        <w:t>, European Central Bank, Issue 1.</w:t>
      </w:r>
    </w:p>
    <w:p>
      <w:pPr>
        <w:pStyle w:val="BodyText"/>
        <w:spacing w:before="11"/>
        <w:rPr>
          <w:sz w:val="29"/>
        </w:rPr>
      </w:pPr>
    </w:p>
    <w:p>
      <w:pPr>
        <w:spacing w:line="360" w:lineRule="auto" w:before="0"/>
        <w:ind w:left="573" w:right="924" w:firstLine="0"/>
        <w:jc w:val="left"/>
        <w:rPr>
          <w:sz w:val="20"/>
        </w:rPr>
      </w:pPr>
      <w:r>
        <w:rPr>
          <w:b/>
          <w:sz w:val="20"/>
        </w:rPr>
        <w:t>Eggertsson, G, Juelsrud, R, Summers, L and Wold, E (2019)</w:t>
      </w:r>
      <w:r>
        <w:rPr>
          <w:sz w:val="20"/>
        </w:rPr>
        <w:t>, ‘Negative nominal interest rates and the bank lending channel’, </w:t>
      </w:r>
      <w:r>
        <w:rPr>
          <w:i/>
          <w:sz w:val="20"/>
        </w:rPr>
        <w:t>NBER Working Paper</w:t>
      </w:r>
      <w:r>
        <w:rPr>
          <w:sz w:val="20"/>
        </w:rPr>
        <w:t>, 25416.</w:t>
      </w:r>
    </w:p>
    <w:p>
      <w:pPr>
        <w:pStyle w:val="BodyText"/>
        <w:rPr>
          <w:sz w:val="30"/>
        </w:rPr>
      </w:pPr>
    </w:p>
    <w:p>
      <w:pPr>
        <w:spacing w:line="360" w:lineRule="auto" w:before="1"/>
        <w:ind w:left="573" w:right="802" w:firstLine="0"/>
        <w:jc w:val="left"/>
        <w:rPr>
          <w:sz w:val="20"/>
        </w:rPr>
      </w:pPr>
      <w:r>
        <w:rPr>
          <w:b/>
          <w:sz w:val="20"/>
        </w:rPr>
        <w:t>Eisenschmidt, J and Smets, F (2018)</w:t>
      </w:r>
      <w:r>
        <w:rPr>
          <w:sz w:val="20"/>
        </w:rPr>
        <w:t>, ‘Negative interest rates: lessons from the euro area’, </w:t>
      </w:r>
      <w:r>
        <w:rPr>
          <w:i/>
          <w:sz w:val="20"/>
        </w:rPr>
        <w:t>ECB working </w:t>
      </w:r>
      <w:r>
        <w:rPr>
          <w:i/>
          <w:sz w:val="20"/>
        </w:rPr>
        <w:t>paper</w:t>
      </w:r>
      <w:r>
        <w:rPr>
          <w:sz w:val="20"/>
        </w:rPr>
        <w:t>.</w:t>
      </w:r>
    </w:p>
    <w:p>
      <w:pPr>
        <w:pStyle w:val="BodyText"/>
        <w:spacing w:before="10"/>
        <w:rPr>
          <w:sz w:val="29"/>
        </w:rPr>
      </w:pPr>
    </w:p>
    <w:p>
      <w:pPr>
        <w:spacing w:line="360" w:lineRule="auto" w:before="1"/>
        <w:ind w:left="573" w:right="1480" w:hanging="1"/>
        <w:jc w:val="left"/>
        <w:rPr>
          <w:sz w:val="20"/>
        </w:rPr>
      </w:pPr>
      <w:r>
        <w:rPr>
          <w:b/>
          <w:sz w:val="20"/>
        </w:rPr>
        <w:t>Erikson, H and Vestin, D (2019)</w:t>
      </w:r>
      <w:r>
        <w:rPr>
          <w:sz w:val="20"/>
        </w:rPr>
        <w:t>, ‘Pass-through at mildly negative policy rates: the Swedish case’, VoxEU.org, 22 January.</w:t>
      </w:r>
    </w:p>
    <w:p>
      <w:pPr>
        <w:spacing w:after="0" w:line="360" w:lineRule="auto"/>
        <w:jc w:val="left"/>
        <w:rPr>
          <w:sz w:val="20"/>
        </w:rPr>
        <w:sectPr>
          <w:pgSz w:w="11910" w:h="16840"/>
          <w:pgMar w:header="0" w:footer="1340" w:top="1540" w:bottom="1540" w:left="560" w:right="540"/>
        </w:sectPr>
      </w:pPr>
    </w:p>
    <w:p>
      <w:pPr>
        <w:spacing w:line="360" w:lineRule="auto" w:before="76"/>
        <w:ind w:left="573" w:right="1302" w:firstLine="0"/>
        <w:jc w:val="left"/>
        <w:rPr>
          <w:sz w:val="20"/>
        </w:rPr>
      </w:pPr>
      <w:r>
        <w:rPr>
          <w:b/>
          <w:sz w:val="20"/>
        </w:rPr>
        <w:t>Financial Conduct Authority (2018)</w:t>
      </w:r>
      <w:r>
        <w:rPr>
          <w:sz w:val="20"/>
        </w:rPr>
        <w:t>, ‘Price discrimination in the cash savings market: one rate, one solution?’, </w:t>
      </w:r>
      <w:r>
        <w:rPr>
          <w:i/>
          <w:sz w:val="20"/>
        </w:rPr>
        <w:t>FCA Occasional Paper</w:t>
      </w:r>
      <w:r>
        <w:rPr>
          <w:sz w:val="20"/>
        </w:rPr>
        <w:t>, No. 41.</w:t>
      </w:r>
    </w:p>
    <w:p>
      <w:pPr>
        <w:pStyle w:val="BodyText"/>
        <w:rPr>
          <w:sz w:val="30"/>
        </w:rPr>
      </w:pPr>
    </w:p>
    <w:p>
      <w:pPr>
        <w:spacing w:line="360" w:lineRule="auto" w:before="0"/>
        <w:ind w:left="574" w:right="1422" w:hanging="1"/>
        <w:jc w:val="left"/>
        <w:rPr>
          <w:sz w:val="20"/>
        </w:rPr>
      </w:pPr>
      <w:r>
        <w:rPr>
          <w:b/>
          <w:sz w:val="20"/>
        </w:rPr>
        <w:t>Gelos, G, Grinberg, F, Mancini-Griffoli, T, Khan, S, Narita, M and Rawat, U (2019)</w:t>
      </w:r>
      <w:r>
        <w:rPr>
          <w:sz w:val="20"/>
        </w:rPr>
        <w:t>, ‘Has higher household indebtedness weakened monetary policy transmission?’, </w:t>
      </w:r>
      <w:r>
        <w:rPr>
          <w:i/>
          <w:sz w:val="20"/>
        </w:rPr>
        <w:t>IMF Working Paper</w:t>
      </w:r>
      <w:r>
        <w:rPr>
          <w:sz w:val="20"/>
        </w:rPr>
        <w:t>, No. 19/11.</w:t>
      </w:r>
    </w:p>
    <w:p>
      <w:pPr>
        <w:pStyle w:val="BodyText"/>
        <w:rPr>
          <w:sz w:val="30"/>
        </w:rPr>
      </w:pPr>
    </w:p>
    <w:p>
      <w:pPr>
        <w:spacing w:line="360" w:lineRule="auto" w:before="0"/>
        <w:ind w:left="574" w:right="1089" w:firstLine="0"/>
        <w:jc w:val="left"/>
        <w:rPr>
          <w:sz w:val="20"/>
        </w:rPr>
      </w:pPr>
      <w:r>
        <w:rPr>
          <w:b/>
          <w:sz w:val="20"/>
        </w:rPr>
        <w:t>Gigineishvili, N (2011)</w:t>
      </w:r>
      <w:r>
        <w:rPr>
          <w:sz w:val="20"/>
        </w:rPr>
        <w:t>, ‘Determinants of interest rate pass-through: do macroeconomic conditions and financial market structure matter?’, </w:t>
      </w:r>
      <w:r>
        <w:rPr>
          <w:i/>
          <w:sz w:val="20"/>
        </w:rPr>
        <w:t>IMF Working Paper</w:t>
      </w:r>
      <w:r>
        <w:rPr>
          <w:sz w:val="20"/>
        </w:rPr>
        <w:t>, No. 11/176.</w:t>
      </w:r>
    </w:p>
    <w:p>
      <w:pPr>
        <w:pStyle w:val="BodyText"/>
        <w:spacing w:before="11"/>
        <w:rPr>
          <w:sz w:val="29"/>
        </w:rPr>
      </w:pPr>
    </w:p>
    <w:p>
      <w:pPr>
        <w:spacing w:line="360" w:lineRule="auto" w:before="0"/>
        <w:ind w:left="574" w:right="746" w:firstLine="0"/>
        <w:jc w:val="left"/>
        <w:rPr>
          <w:sz w:val="20"/>
        </w:rPr>
      </w:pPr>
      <w:r>
        <w:rPr>
          <w:b/>
          <w:sz w:val="20"/>
        </w:rPr>
        <w:t>Ginelli Nardi, B, Nwankwo, C and Meaning, J (2018)</w:t>
      </w:r>
      <w:r>
        <w:rPr>
          <w:sz w:val="20"/>
        </w:rPr>
        <w:t>, ‘The Term Funding Scheme: design, operation and impact’, </w:t>
      </w:r>
      <w:r>
        <w:rPr>
          <w:i/>
          <w:sz w:val="20"/>
        </w:rPr>
        <w:t>Bank of England Quarterly Bulletin</w:t>
      </w:r>
      <w:r>
        <w:rPr>
          <w:sz w:val="20"/>
        </w:rPr>
        <w:t>, 2018 Q4, available at </w:t>
      </w:r>
      <w:hyperlink r:id="rId31">
        <w:r>
          <w:rPr>
            <w:color w:val="0000FF"/>
            <w:sz w:val="20"/>
            <w:u w:val="single" w:color="0000FF"/>
          </w:rPr>
          <w:t>https://www.bankofengland.co.uk/quarterly-bulletin/2018/2018-q4</w:t>
        </w:r>
      </w:hyperlink>
      <w:r>
        <w:rPr>
          <w:color w:val="0000FF"/>
          <w:sz w:val="20"/>
          <w:u w:val="single" w:color="0000FF"/>
        </w:rPr>
        <w:t>/the-te</w:t>
      </w:r>
      <w:hyperlink r:id="rId31">
        <w:r>
          <w:rPr>
            <w:color w:val="0000FF"/>
            <w:sz w:val="20"/>
            <w:u w:val="single" w:color="0000FF"/>
          </w:rPr>
          <w:t>rm-funding-scheme-d</w:t>
        </w:r>
      </w:hyperlink>
      <w:r>
        <w:rPr>
          <w:color w:val="0000FF"/>
          <w:sz w:val="20"/>
          <w:u w:val="single" w:color="0000FF"/>
        </w:rPr>
        <w:t>e</w:t>
      </w:r>
      <w:hyperlink r:id="rId31">
        <w:r>
          <w:rPr>
            <w:color w:val="0000FF"/>
            <w:sz w:val="20"/>
            <w:u w:val="single" w:color="0000FF"/>
          </w:rPr>
          <w:t>sign-</w:t>
        </w:r>
      </w:hyperlink>
      <w:r>
        <w:rPr>
          <w:color w:val="0000FF"/>
          <w:sz w:val="20"/>
        </w:rPr>
        <w:t> </w:t>
      </w:r>
      <w:r>
        <w:rPr>
          <w:color w:val="0000FF"/>
          <w:sz w:val="20"/>
          <w:u w:val="single" w:color="0000FF"/>
        </w:rPr>
        <w:t>operation-and-impact</w:t>
      </w:r>
    </w:p>
    <w:p>
      <w:pPr>
        <w:pStyle w:val="BodyText"/>
        <w:spacing w:before="10"/>
        <w:rPr>
          <w:sz w:val="21"/>
        </w:rPr>
      </w:pPr>
    </w:p>
    <w:p>
      <w:pPr>
        <w:spacing w:before="94"/>
        <w:ind w:left="574" w:right="0" w:firstLine="0"/>
        <w:jc w:val="left"/>
        <w:rPr>
          <w:sz w:val="20"/>
        </w:rPr>
      </w:pPr>
      <w:r>
        <w:rPr>
          <w:b/>
          <w:sz w:val="20"/>
        </w:rPr>
        <w:t>Heider, F, Saidi, F and Schepens, G (2018)</w:t>
      </w:r>
      <w:r>
        <w:rPr>
          <w:sz w:val="20"/>
        </w:rPr>
        <w:t>, ‘Life below zero: bank lending under negative policy rates’,</w:t>
      </w:r>
    </w:p>
    <w:p>
      <w:pPr>
        <w:spacing w:before="115"/>
        <w:ind w:left="574" w:right="0" w:firstLine="0"/>
        <w:jc w:val="left"/>
        <w:rPr>
          <w:sz w:val="20"/>
        </w:rPr>
      </w:pPr>
      <w:r>
        <w:rPr>
          <w:i/>
          <w:sz w:val="20"/>
        </w:rPr>
        <w:t>ECB Working Paper</w:t>
      </w:r>
      <w:r>
        <w:rPr>
          <w:sz w:val="20"/>
        </w:rPr>
        <w:t>, No. 2173.</w:t>
      </w:r>
    </w:p>
    <w:p>
      <w:pPr>
        <w:pStyle w:val="BodyText"/>
        <w:rPr>
          <w:sz w:val="22"/>
        </w:rPr>
      </w:pPr>
    </w:p>
    <w:p>
      <w:pPr>
        <w:pStyle w:val="BodyText"/>
        <w:spacing w:before="11"/>
        <w:rPr>
          <w:sz w:val="17"/>
        </w:rPr>
      </w:pPr>
    </w:p>
    <w:p>
      <w:pPr>
        <w:spacing w:line="360" w:lineRule="auto" w:before="0"/>
        <w:ind w:left="573" w:right="924" w:firstLine="0"/>
        <w:jc w:val="left"/>
        <w:rPr>
          <w:sz w:val="20"/>
        </w:rPr>
      </w:pPr>
      <w:r>
        <w:rPr>
          <w:b/>
          <w:sz w:val="20"/>
        </w:rPr>
        <w:t>Hofmann, B and Mizen, P (2004)</w:t>
      </w:r>
      <w:r>
        <w:rPr>
          <w:sz w:val="20"/>
        </w:rPr>
        <w:t>, ‘Interest rate pass-through and monetary transmission: evidence from individual financial institutions’ retail rates’, </w:t>
      </w:r>
      <w:r>
        <w:rPr>
          <w:i/>
          <w:sz w:val="20"/>
        </w:rPr>
        <w:t>Economica</w:t>
      </w:r>
      <w:r>
        <w:rPr>
          <w:sz w:val="20"/>
        </w:rPr>
        <w:t>, 71: 99-123.</w:t>
      </w:r>
    </w:p>
    <w:p>
      <w:pPr>
        <w:pStyle w:val="BodyText"/>
        <w:spacing w:before="1"/>
        <w:rPr>
          <w:sz w:val="30"/>
        </w:rPr>
      </w:pPr>
    </w:p>
    <w:p>
      <w:pPr>
        <w:spacing w:line="360" w:lineRule="auto" w:before="0"/>
        <w:ind w:left="573" w:right="1268" w:firstLine="0"/>
        <w:jc w:val="left"/>
        <w:rPr>
          <w:sz w:val="20"/>
        </w:rPr>
      </w:pPr>
      <w:r>
        <w:rPr>
          <w:b/>
          <w:sz w:val="20"/>
        </w:rPr>
        <w:t>Hsu, C (2017)</w:t>
      </w:r>
      <w:r>
        <w:rPr>
          <w:sz w:val="20"/>
        </w:rPr>
        <w:t>, ‘The interest rate pass-through: an empirical study of seven Asian economies’, </w:t>
      </w:r>
      <w:r>
        <w:rPr>
          <w:i/>
          <w:sz w:val="20"/>
        </w:rPr>
        <w:t>Global </w:t>
      </w:r>
      <w:r>
        <w:rPr>
          <w:i/>
          <w:sz w:val="20"/>
        </w:rPr>
        <w:t>Journal of Business Research</w:t>
      </w:r>
      <w:r>
        <w:rPr>
          <w:sz w:val="20"/>
        </w:rPr>
        <w:t>, v. 11 (2) p. 1-10.</w:t>
      </w:r>
    </w:p>
    <w:p>
      <w:pPr>
        <w:pStyle w:val="BodyText"/>
        <w:spacing w:before="11"/>
        <w:rPr>
          <w:sz w:val="29"/>
        </w:rPr>
      </w:pPr>
    </w:p>
    <w:p>
      <w:pPr>
        <w:spacing w:line="360" w:lineRule="auto" w:before="0"/>
        <w:ind w:left="573" w:right="712" w:firstLine="0"/>
        <w:jc w:val="left"/>
        <w:rPr>
          <w:sz w:val="20"/>
        </w:rPr>
      </w:pPr>
      <w:r>
        <w:rPr>
          <w:b/>
          <w:sz w:val="20"/>
        </w:rPr>
        <w:t>King, T and Yu, J (2018)</w:t>
      </w:r>
      <w:r>
        <w:rPr>
          <w:sz w:val="20"/>
        </w:rPr>
        <w:t>, ‘How have banks responded to changes in the yield curve?’, </w:t>
      </w:r>
      <w:r>
        <w:rPr>
          <w:i/>
          <w:sz w:val="20"/>
        </w:rPr>
        <w:t>Chicago Fed Letter</w:t>
      </w:r>
      <w:r>
        <w:rPr>
          <w:sz w:val="20"/>
        </w:rPr>
        <w:t>, No. 406.</w:t>
      </w:r>
    </w:p>
    <w:p>
      <w:pPr>
        <w:pStyle w:val="BodyText"/>
        <w:rPr>
          <w:sz w:val="30"/>
        </w:rPr>
      </w:pPr>
    </w:p>
    <w:p>
      <w:pPr>
        <w:spacing w:line="360" w:lineRule="auto" w:before="1"/>
        <w:ind w:left="573" w:right="724" w:firstLine="0"/>
        <w:jc w:val="left"/>
        <w:rPr>
          <w:sz w:val="20"/>
        </w:rPr>
      </w:pPr>
      <w:r>
        <w:rPr>
          <w:b/>
          <w:sz w:val="20"/>
        </w:rPr>
        <w:t>Kok Sørensen, C and Werner, T (2006)</w:t>
      </w:r>
      <w:r>
        <w:rPr>
          <w:sz w:val="20"/>
        </w:rPr>
        <w:t>, ‘Bank interest rate pass-through in the euro area: a cross country comparison’, </w:t>
      </w:r>
      <w:r>
        <w:rPr>
          <w:i/>
          <w:sz w:val="20"/>
        </w:rPr>
        <w:t>ECB Working Paper</w:t>
      </w:r>
      <w:r>
        <w:rPr>
          <w:sz w:val="20"/>
        </w:rPr>
        <w:t>, No. 580.</w:t>
      </w:r>
    </w:p>
    <w:p>
      <w:pPr>
        <w:pStyle w:val="BodyText"/>
        <w:spacing w:before="10"/>
        <w:rPr>
          <w:sz w:val="29"/>
        </w:rPr>
      </w:pPr>
    </w:p>
    <w:p>
      <w:pPr>
        <w:spacing w:line="360" w:lineRule="auto" w:before="1"/>
        <w:ind w:left="573" w:right="579" w:firstLine="0"/>
        <w:jc w:val="left"/>
        <w:rPr>
          <w:sz w:val="20"/>
        </w:rPr>
      </w:pPr>
      <w:r>
        <w:rPr>
          <w:b/>
          <w:sz w:val="20"/>
        </w:rPr>
        <w:t>Kwapil, C and Scharler, J (2006)</w:t>
      </w:r>
      <w:r>
        <w:rPr>
          <w:sz w:val="20"/>
        </w:rPr>
        <w:t>, ‘Limited pass-through from policy to retail interest rates: empirical evidence and macroeconomic implications’, </w:t>
      </w:r>
      <w:r>
        <w:rPr>
          <w:i/>
          <w:sz w:val="20"/>
        </w:rPr>
        <w:t>Monetary Policy &amp; the Economy</w:t>
      </w:r>
      <w:r>
        <w:rPr>
          <w:sz w:val="20"/>
        </w:rPr>
        <w:t>, Oesterreichische Nationalbank, issue 4, pages 26-36.</w:t>
      </w:r>
    </w:p>
    <w:p>
      <w:pPr>
        <w:pStyle w:val="BodyText"/>
        <w:spacing w:before="11"/>
        <w:rPr>
          <w:sz w:val="29"/>
        </w:rPr>
      </w:pPr>
    </w:p>
    <w:p>
      <w:pPr>
        <w:spacing w:line="360" w:lineRule="auto" w:before="0"/>
        <w:ind w:left="573" w:right="587" w:firstLine="0"/>
        <w:jc w:val="left"/>
        <w:rPr>
          <w:sz w:val="20"/>
        </w:rPr>
      </w:pPr>
      <w:r>
        <w:rPr>
          <w:b/>
          <w:sz w:val="20"/>
        </w:rPr>
        <w:t>Panigrahi, L, Rigg, H and Rockall, E (2018)</w:t>
      </w:r>
      <w:r>
        <w:rPr>
          <w:sz w:val="20"/>
        </w:rPr>
        <w:t>, ‘The financial position of British households: evidence from the 2018 NMG Consulting survey’, </w:t>
      </w:r>
      <w:r>
        <w:rPr>
          <w:i/>
          <w:sz w:val="20"/>
        </w:rPr>
        <w:t>Bank of England Quarterly Bulletin</w:t>
      </w:r>
      <w:r>
        <w:rPr>
          <w:sz w:val="20"/>
        </w:rPr>
        <w:t>, 2018 Q4, available at </w:t>
      </w:r>
      <w:hyperlink r:id="rId32">
        <w:r>
          <w:rPr>
            <w:color w:val="0000FF"/>
            <w:spacing w:val="-1"/>
            <w:sz w:val="20"/>
            <w:u w:val="single" w:color="0000FF"/>
          </w:rPr>
          <w:t>https://www.bankofengland.co.uk/quarterly-bulletin/2018/2018-q4/the-fina</w:t>
        </w:r>
      </w:hyperlink>
      <w:r>
        <w:rPr>
          <w:color w:val="0000FF"/>
          <w:spacing w:val="-1"/>
          <w:sz w:val="20"/>
          <w:u w:val="single" w:color="0000FF"/>
        </w:rPr>
        <w:t>ncial-po</w:t>
      </w:r>
      <w:hyperlink r:id="rId32">
        <w:r>
          <w:rPr>
            <w:color w:val="0000FF"/>
            <w:spacing w:val="-1"/>
            <w:sz w:val="20"/>
            <w:u w:val="single" w:color="0000FF"/>
          </w:rPr>
          <w:t>sition-of-british-households-</w:t>
        </w:r>
      </w:hyperlink>
      <w:r>
        <w:rPr>
          <w:color w:val="0000FF"/>
          <w:spacing w:val="-1"/>
          <w:sz w:val="20"/>
        </w:rPr>
        <w:t> </w:t>
      </w:r>
      <w:r>
        <w:rPr>
          <w:color w:val="0000FF"/>
          <w:sz w:val="20"/>
          <w:u w:val="single" w:color="0000FF"/>
        </w:rPr>
        <w:t>evidence-from-the-2018-nmg-consulting-survey</w:t>
      </w:r>
    </w:p>
    <w:p>
      <w:pPr>
        <w:spacing w:after="0" w:line="360" w:lineRule="auto"/>
        <w:jc w:val="left"/>
        <w:rPr>
          <w:sz w:val="20"/>
        </w:rPr>
        <w:sectPr>
          <w:pgSz w:w="11910" w:h="16840"/>
          <w:pgMar w:header="0" w:footer="1340" w:top="1540" w:bottom="1540" w:left="560" w:right="540"/>
        </w:sectPr>
      </w:pPr>
    </w:p>
    <w:p>
      <w:pPr>
        <w:pStyle w:val="BodyText"/>
        <w:spacing w:line="360" w:lineRule="auto" w:before="76"/>
        <w:ind w:left="574" w:right="1011"/>
      </w:pPr>
      <w:r>
        <w:rPr>
          <w:b/>
        </w:rPr>
        <w:t>Pašaličová, R (2018)</w:t>
      </w:r>
      <w:r>
        <w:rPr/>
        <w:t>, ‘The impact of the CNB’s interest rate hikes on client rates’, Czech National Bank Inflation Report – II/2018.</w:t>
      </w:r>
    </w:p>
    <w:p>
      <w:pPr>
        <w:pStyle w:val="BodyText"/>
        <w:rPr>
          <w:sz w:val="30"/>
        </w:rPr>
      </w:pPr>
    </w:p>
    <w:p>
      <w:pPr>
        <w:spacing w:line="360" w:lineRule="auto" w:before="0"/>
        <w:ind w:left="574" w:right="1345" w:firstLine="0"/>
        <w:jc w:val="left"/>
        <w:rPr>
          <w:sz w:val="20"/>
        </w:rPr>
      </w:pPr>
      <w:r>
        <w:rPr>
          <w:b/>
          <w:sz w:val="20"/>
        </w:rPr>
        <w:t>Popiel, M (2016)</w:t>
      </w:r>
      <w:r>
        <w:rPr>
          <w:sz w:val="20"/>
        </w:rPr>
        <w:t>, ‘Interest rate pass-through: a nonlinear vector error-correction approach’, </w:t>
      </w:r>
      <w:r>
        <w:rPr>
          <w:i/>
          <w:sz w:val="20"/>
        </w:rPr>
        <w:t>Queen’s </w:t>
      </w:r>
      <w:r>
        <w:rPr>
          <w:i/>
          <w:sz w:val="20"/>
        </w:rPr>
        <w:t>Economics Department Working Paper</w:t>
      </w:r>
      <w:r>
        <w:rPr>
          <w:sz w:val="20"/>
        </w:rPr>
        <w:t>, No. 1352.</w:t>
      </w:r>
    </w:p>
    <w:p>
      <w:pPr>
        <w:pStyle w:val="BodyText"/>
        <w:rPr>
          <w:sz w:val="30"/>
        </w:rPr>
      </w:pPr>
    </w:p>
    <w:p>
      <w:pPr>
        <w:pStyle w:val="BodyText"/>
        <w:spacing w:line="360" w:lineRule="auto"/>
        <w:ind w:left="574" w:right="933"/>
      </w:pPr>
      <w:r>
        <w:rPr>
          <w:b/>
        </w:rPr>
        <w:t>Proudman, J (2018)</w:t>
      </w:r>
      <w:r>
        <w:rPr/>
        <w:t>, ‘From construction to maintenance: patrolling the ring-fence’, speech given at Cass Business School, London, available at </w:t>
      </w:r>
      <w:r>
        <w:rPr>
          <w:color w:val="0000FF"/>
          <w:u w:val="single" w:color="0000FF"/>
        </w:rPr>
        <w:t>h</w:t>
      </w:r>
      <w:hyperlink r:id="rId33">
        <w:r>
          <w:rPr>
            <w:color w:val="0000FF"/>
            <w:u w:val="single" w:color="0000FF"/>
          </w:rPr>
          <w:t>ttps://www.b</w:t>
        </w:r>
      </w:hyperlink>
      <w:r>
        <w:rPr>
          <w:color w:val="0000FF"/>
          <w:u w:val="single" w:color="0000FF"/>
        </w:rPr>
        <w:t>ankofe</w:t>
      </w:r>
      <w:hyperlink r:id="rId33">
        <w:r>
          <w:rPr>
            <w:color w:val="0000FF"/>
            <w:u w:val="single" w:color="0000FF"/>
          </w:rPr>
          <w:t>ngland.co.uk/speech/2018/james-proudma</w:t>
        </w:r>
      </w:hyperlink>
      <w:r>
        <w:rPr>
          <w:color w:val="0000FF"/>
          <w:u w:val="single" w:color="0000FF"/>
        </w:rPr>
        <w:t>n</w:t>
      </w:r>
      <w:hyperlink r:id="rId33">
        <w:r>
          <w:rPr>
            <w:color w:val="0000FF"/>
            <w:u w:val="single" w:color="0000FF"/>
          </w:rPr>
          <w:t>-</w:t>
        </w:r>
      </w:hyperlink>
      <w:r>
        <w:rPr>
          <w:color w:val="0000FF"/>
        </w:rPr>
        <w:t> </w:t>
      </w:r>
      <w:r>
        <w:rPr>
          <w:color w:val="0000FF"/>
          <w:u w:val="single" w:color="0000FF"/>
        </w:rPr>
        <w:t>speech-at-cass-business-school-london</w:t>
      </w:r>
    </w:p>
    <w:p>
      <w:pPr>
        <w:pStyle w:val="BodyText"/>
        <w:spacing w:before="9"/>
        <w:rPr>
          <w:sz w:val="21"/>
        </w:rPr>
      </w:pPr>
    </w:p>
    <w:p>
      <w:pPr>
        <w:pStyle w:val="BodyText"/>
        <w:spacing w:line="360" w:lineRule="auto" w:before="94"/>
        <w:ind w:left="573" w:right="769"/>
      </w:pPr>
      <w:r>
        <w:rPr>
          <w:b/>
        </w:rPr>
        <w:t>Shafik, M (2016)</w:t>
      </w:r>
      <w:r>
        <w:rPr/>
        <w:t>, Remarks given as a discussant of ‘Passthrough efficiency in the Fed’s new monetary policy setting’, </w:t>
      </w:r>
      <w:r>
        <w:rPr>
          <w:i/>
        </w:rPr>
        <w:t>Federal Reserve Bank of Kansas City Economic Symposium</w:t>
      </w:r>
      <w:r>
        <w:rPr/>
        <w:t>, Jackson Hole, Wyoming, available at </w:t>
      </w:r>
      <w:r>
        <w:rPr>
          <w:color w:val="0000FF"/>
          <w:u w:val="single" w:color="0000FF"/>
        </w:rPr>
        <w:t>h</w:t>
      </w:r>
      <w:hyperlink r:id="rId34">
        <w:r>
          <w:rPr>
            <w:color w:val="0000FF"/>
            <w:u w:val="single" w:color="0000FF"/>
          </w:rPr>
          <w:t>ttps://www.b</w:t>
        </w:r>
      </w:hyperlink>
      <w:r>
        <w:rPr>
          <w:color w:val="0000FF"/>
          <w:u w:val="single" w:color="0000FF"/>
        </w:rPr>
        <w:t>ankofe</w:t>
      </w:r>
      <w:hyperlink r:id="rId34">
        <w:r>
          <w:rPr>
            <w:color w:val="0000FF"/>
            <w:u w:val="single" w:color="0000FF"/>
          </w:rPr>
          <w:t>ngland.co.uk/speech/2016/remar</w:t>
        </w:r>
      </w:hyperlink>
      <w:r>
        <w:rPr>
          <w:color w:val="0000FF"/>
          <w:u w:val="single" w:color="0000FF"/>
        </w:rPr>
        <w:t>k</w:t>
      </w:r>
      <w:hyperlink r:id="rId34">
        <w:r>
          <w:rPr>
            <w:color w:val="0000FF"/>
            <w:u w:val="single" w:color="0000FF"/>
          </w:rPr>
          <w:t>s-given-as-a-discussant-of-passthrough-</w:t>
        </w:r>
      </w:hyperlink>
      <w:r>
        <w:rPr>
          <w:color w:val="0000FF"/>
        </w:rPr>
        <w:t> </w:t>
      </w:r>
      <w:r>
        <w:rPr>
          <w:color w:val="0000FF"/>
          <w:u w:val="single" w:color="0000FF"/>
        </w:rPr>
        <w:t>efficiency-in-the-feds-new-monetary-policy-setting</w:t>
      </w:r>
    </w:p>
    <w:p>
      <w:pPr>
        <w:pStyle w:val="BodyText"/>
        <w:spacing w:before="10"/>
        <w:rPr>
          <w:sz w:val="21"/>
        </w:rPr>
      </w:pPr>
    </w:p>
    <w:p>
      <w:pPr>
        <w:spacing w:line="360" w:lineRule="auto" w:before="94"/>
        <w:ind w:left="574" w:right="855" w:firstLine="0"/>
        <w:jc w:val="left"/>
        <w:rPr>
          <w:sz w:val="20"/>
        </w:rPr>
      </w:pPr>
      <w:r>
        <w:rPr>
          <w:b/>
          <w:sz w:val="20"/>
        </w:rPr>
        <w:t>Siakoulis, V, Petropoulos, A, Lazaris, P and Lialiouti, G (2018)</w:t>
      </w:r>
      <w:r>
        <w:rPr>
          <w:sz w:val="20"/>
        </w:rPr>
        <w:t>, ‘Interest rate pass-through in the euro area: are policy measures efficient in crisis periods? Evidence from a multi state Markov model on a panel dataset’, </w:t>
      </w:r>
      <w:r>
        <w:rPr>
          <w:i/>
          <w:sz w:val="20"/>
        </w:rPr>
        <w:t>2nd Annual Workshop of ESCB Research Cluster 3</w:t>
      </w:r>
      <w:r>
        <w:rPr>
          <w:sz w:val="20"/>
        </w:rPr>
        <w:t>, organised jointly by the Bank of Greece and the European Central Bank.</w:t>
      </w:r>
    </w:p>
    <w:p>
      <w:pPr>
        <w:pStyle w:val="BodyText"/>
        <w:rPr>
          <w:sz w:val="30"/>
        </w:rPr>
      </w:pPr>
    </w:p>
    <w:p>
      <w:pPr>
        <w:spacing w:line="360" w:lineRule="auto" w:before="0"/>
        <w:ind w:left="574" w:right="879" w:firstLine="0"/>
        <w:jc w:val="left"/>
        <w:rPr>
          <w:sz w:val="20"/>
        </w:rPr>
      </w:pPr>
      <w:r>
        <w:rPr>
          <w:b/>
          <w:sz w:val="20"/>
        </w:rPr>
        <w:t>Sinha, R, Shah, S and Abouhossein, K (2019)</w:t>
      </w:r>
      <w:r>
        <w:rPr>
          <w:sz w:val="20"/>
        </w:rPr>
        <w:t>, ‘UK &amp; Irish banks: lower cost of equity and capital return subject to Brexit’, </w:t>
      </w:r>
      <w:r>
        <w:rPr>
          <w:i/>
          <w:sz w:val="20"/>
        </w:rPr>
        <w:t>Europe Equity Research</w:t>
      </w:r>
      <w:r>
        <w:rPr>
          <w:sz w:val="20"/>
        </w:rPr>
        <w:t>, J.P. Morgan Cazenove, 21 January.</w:t>
      </w:r>
    </w:p>
    <w:p>
      <w:pPr>
        <w:pStyle w:val="BodyText"/>
        <w:rPr>
          <w:sz w:val="30"/>
        </w:rPr>
      </w:pPr>
    </w:p>
    <w:p>
      <w:pPr>
        <w:spacing w:line="360" w:lineRule="auto" w:before="0"/>
        <w:ind w:left="573" w:right="823" w:firstLine="0"/>
        <w:jc w:val="left"/>
        <w:rPr>
          <w:sz w:val="20"/>
        </w:rPr>
      </w:pPr>
      <w:r>
        <w:rPr>
          <w:b/>
          <w:sz w:val="20"/>
        </w:rPr>
        <w:t>Valadkhani, A and Anwar, S (2012)</w:t>
      </w:r>
      <w:r>
        <w:rPr>
          <w:sz w:val="20"/>
        </w:rPr>
        <w:t>, ‘Interest rate pass through and the asymmetric relationship between the cash rate and the mortgage rate’, </w:t>
      </w:r>
      <w:r>
        <w:rPr>
          <w:i/>
          <w:sz w:val="20"/>
        </w:rPr>
        <w:t>The Economic Record</w:t>
      </w:r>
      <w:r>
        <w:rPr>
          <w:sz w:val="20"/>
        </w:rPr>
        <w:t>, 88 (282), 341-350.</w:t>
      </w:r>
    </w:p>
    <w:p>
      <w:pPr>
        <w:pStyle w:val="BodyText"/>
        <w:rPr>
          <w:sz w:val="30"/>
        </w:rPr>
      </w:pPr>
    </w:p>
    <w:p>
      <w:pPr>
        <w:spacing w:line="360" w:lineRule="auto" w:before="1"/>
        <w:ind w:left="573" w:right="813" w:firstLine="0"/>
        <w:jc w:val="left"/>
        <w:rPr>
          <w:sz w:val="20"/>
        </w:rPr>
      </w:pPr>
      <w:r>
        <w:rPr>
          <w:b/>
          <w:sz w:val="20"/>
        </w:rPr>
        <w:t>van Leuvensteijn, M, Kok Sørensen, C, Bikker, J and van Rixtel, A (2013)</w:t>
      </w:r>
      <w:r>
        <w:rPr>
          <w:sz w:val="20"/>
        </w:rPr>
        <w:t>, ‘Impact of bank competition on the interest rate pass-through in the euro area’, </w:t>
      </w:r>
      <w:r>
        <w:rPr>
          <w:i/>
          <w:sz w:val="20"/>
        </w:rPr>
        <w:t>Applied Economics</w:t>
      </w:r>
      <w:r>
        <w:rPr>
          <w:sz w:val="20"/>
        </w:rPr>
        <w:t>, vol. 45(11), pages 1359-1380.</w:t>
      </w:r>
    </w:p>
    <w:sectPr>
      <w:pgSz w:w="11910" w:h="16840"/>
      <w:pgMar w:header="0" w:footer="1340" w:top="1540" w:bottom="1540" w:left="5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600768"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3599744" type="#_x0000_t202" filled="false" stroked="false">
          <v:textbox inset="0,0,0,0">
            <w:txbxContent>
              <w:p>
                <w:pPr>
                  <w:pStyle w:val="BodyText"/>
                  <w:rPr>
                    <w:rFonts w:ascii="Times New Roman"/>
                    <w:sz w:val="2"/>
                  </w:rPr>
                </w:pPr>
              </w:p>
              <w:p>
                <w:pPr>
                  <w:spacing w:before="0"/>
                  <w:ind w:left="0" w:right="0" w:firstLine="0"/>
                  <w:jc w:val="center"/>
                  <w:rPr>
                    <w:sz w:val="2"/>
                  </w:rPr>
                </w:pPr>
                <w:r>
                  <w:rPr>
                    <w:w w:val="102"/>
                    <w:sz w:val="2"/>
                  </w:rPr>
                  <w:t>1</w:t>
                </w:r>
              </w:p>
            </w:txbxContent>
          </v:textbox>
          <w10:wrap type="none"/>
        </v:shape>
      </w:pict>
    </w:r>
    <w:r>
      <w:rPr/>
      <w:pict>
        <v:shape style="position:absolute;margin-left:43.340328pt;margin-top:771.90918pt;width:323.8pt;height:13.2pt;mso-position-horizontal-relative:page;mso-position-vertical-relative:page;z-index:-25359872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64928" from="38.939999pt,761.099976pt" to="556.379999pt,761.099976pt" stroked="true" strokeweight=".23999pt" strokecolor="#000000">
          <v:stroke dashstyle="solid"/>
          <w10:wrap type="none"/>
        </v:line>
      </w:pict>
    </w:r>
    <w:r>
      <w:rPr/>
      <w:pict>
        <v:shape style="position:absolute;margin-left:525.319885pt;margin-top:760.19635pt;width:3.1pt;height:3.15pt;mso-position-horizontal-relative:page;mso-position-vertical-relative:page;z-index:-253563904" type="#_x0000_t202" filled="false" stroked="false">
          <v:textbox inset="0,0,0,0">
            <w:txbxContent>
              <w:p>
                <w:pPr>
                  <w:pStyle w:val="BodyText"/>
                  <w:rPr>
                    <w:sz w:val="2"/>
                  </w:rPr>
                </w:pPr>
              </w:p>
              <w:p>
                <w:pPr>
                  <w:spacing w:before="0"/>
                  <w:ind w:left="20" w:right="0" w:firstLine="0"/>
                  <w:jc w:val="left"/>
                  <w:rPr>
                    <w:sz w:val="2"/>
                  </w:rPr>
                </w:pPr>
                <w:r>
                  <w:rPr>
                    <w:sz w:val="2"/>
                  </w:rPr>
                  <w:t>10</w:t>
                </w:r>
              </w:p>
            </w:txbxContent>
          </v:textbox>
          <w10:wrap type="none"/>
        </v:shape>
      </w:pict>
    </w:r>
    <w:r>
      <w:rPr/>
      <w:pict>
        <v:shape style="position:absolute;margin-left:43.340328pt;margin-top:771.909546pt;width:323.8pt;height:13.2pt;mso-position-horizontal-relative:page;mso-position-vertical-relative:page;z-index:-25356288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3561856" type="#_x0000_t202" filled="false" stroked="false">
          <v:textbox inset="0,0,0,0">
            <w:txbxContent>
              <w:p>
                <w:pPr>
                  <w:pStyle w:val="BodyText"/>
                  <w:spacing w:before="14"/>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60832" from="38.939999pt,761.099976pt" to="556.379999pt,761.099976pt" stroked="true" strokeweight=".23999pt" strokecolor="#000000">
          <v:stroke dashstyle="solid"/>
          <w10:wrap type="none"/>
        </v:line>
      </w:pict>
    </w:r>
    <w:r>
      <w:rPr/>
      <w:pict>
        <v:shape style="position:absolute;margin-left:525.319885pt;margin-top:760.19635pt;width:3.1pt;height:3.15pt;mso-position-horizontal-relative:page;mso-position-vertical-relative:page;z-index:-253559808" type="#_x0000_t202" filled="false" stroked="false">
          <v:textbox inset="0,0,0,0">
            <w:txbxContent>
              <w:p>
                <w:pPr>
                  <w:pStyle w:val="BodyText"/>
                  <w:rPr>
                    <w:sz w:val="2"/>
                  </w:rPr>
                </w:pPr>
              </w:p>
              <w:p>
                <w:pPr>
                  <w:spacing w:before="0"/>
                  <w:ind w:left="20" w:right="0" w:firstLine="0"/>
                  <w:jc w:val="left"/>
                  <w:rPr>
                    <w:sz w:val="2"/>
                  </w:rPr>
                </w:pPr>
                <w:r>
                  <w:rPr>
                    <w:sz w:val="2"/>
                  </w:rPr>
                  <w:t>11</w:t>
                </w:r>
              </w:p>
            </w:txbxContent>
          </v:textbox>
          <w10:wrap type="none"/>
        </v:shape>
      </w:pict>
    </w:r>
    <w:r>
      <w:rPr/>
      <w:pict>
        <v:shape style="position:absolute;margin-left:43.340328pt;margin-top:771.909546pt;width:323.8pt;height:13.2pt;mso-position-horizontal-relative:page;mso-position-vertical-relative:page;z-index:-25355878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3557760" type="#_x0000_t202" filled="false" stroked="false">
          <v:textbox inset="0,0,0,0">
            <w:txbxContent>
              <w:p>
                <w:pPr>
                  <w:pStyle w:val="BodyText"/>
                  <w:spacing w:before="14"/>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56736"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55571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340256pt;margin-top:771.909546pt;width:323.8pt;height:13.2pt;mso-position-horizontal-relative:page;mso-position-vertical-relative:page;z-index:-25355468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2019pt;margin-top:773.048706pt;width:13.2pt;height:13.2pt;mso-position-horizontal-relative:page;mso-position-vertical-relative:page;z-index:-253553664" type="#_x0000_t202" filled="false" stroked="false">
          <v:textbox inset="0,0,0,0">
            <w:txbxContent>
              <w:p>
                <w:pPr>
                  <w:pStyle w:val="BodyText"/>
                  <w:spacing w:before="14"/>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52640"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5516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340328pt;margin-top:771.909546pt;width:323.8pt;height:13.2pt;mso-position-horizontal-relative:page;mso-position-vertical-relative:page;z-index:-25355059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3549568" type="#_x0000_t202" filled="false" stroked="false">
          <v:textbox inset="0,0,0,0">
            <w:txbxContent>
              <w:p>
                <w:pPr>
                  <w:pStyle w:val="BodyText"/>
                  <w:spacing w:before="14"/>
                  <w:ind w:left="20"/>
                </w:pPr>
                <w:r>
                  <w:rPr/>
                  <w:t>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97696"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596672" type="#_x0000_t202" filled="false" stroked="false">
          <v:textbox inset="0,0,0,0">
            <w:txbxContent>
              <w:p>
                <w:pPr>
                  <w:pStyle w:val="BodyText"/>
                  <w:rPr>
                    <w:sz w:val="2"/>
                  </w:rPr>
                </w:pPr>
              </w:p>
              <w:p>
                <w:pPr>
                  <w:spacing w:before="0"/>
                  <w:ind w:left="0" w:right="0" w:firstLine="0"/>
                  <w:jc w:val="center"/>
                  <w:rPr>
                    <w:sz w:val="2"/>
                  </w:rPr>
                </w:pPr>
                <w:r>
                  <w:rPr>
                    <w:w w:val="102"/>
                    <w:sz w:val="2"/>
                  </w:rPr>
                  <w:t>2</w:t>
                </w:r>
              </w:p>
            </w:txbxContent>
          </v:textbox>
          <w10:wrap type="none"/>
        </v:shape>
      </w:pict>
    </w:r>
    <w:r>
      <w:rPr/>
      <w:pict>
        <v:shape style="position:absolute;margin-left:43.340328pt;margin-top:771.909546pt;width:323.8pt;height:13.2pt;mso-position-horizontal-relative:page;mso-position-vertical-relative:page;z-index:-25359564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59462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9360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592576" type="#_x0000_t202" filled="false" stroked="false">
          <v:textbox inset="0,0,0,0">
            <w:txbxContent>
              <w:p>
                <w:pPr>
                  <w:pStyle w:val="BodyText"/>
                  <w:rPr>
                    <w:sz w:val="2"/>
                  </w:rPr>
                </w:pPr>
              </w:p>
              <w:p>
                <w:pPr>
                  <w:spacing w:before="0"/>
                  <w:ind w:left="0" w:right="0" w:firstLine="0"/>
                  <w:jc w:val="center"/>
                  <w:rPr>
                    <w:sz w:val="2"/>
                  </w:rPr>
                </w:pPr>
                <w:r>
                  <w:rPr>
                    <w:w w:val="102"/>
                    <w:sz w:val="2"/>
                  </w:rPr>
                  <w:t>3</w:t>
                </w:r>
              </w:p>
            </w:txbxContent>
          </v:textbox>
          <w10:wrap type="none"/>
        </v:shape>
      </w:pict>
    </w:r>
    <w:r>
      <w:rPr/>
      <w:pict>
        <v:shape style="position:absolute;margin-left:43.340328pt;margin-top:771.909546pt;width:323.8pt;height:13.2pt;mso-position-horizontal-relative:page;mso-position-vertical-relative:page;z-index:-25359155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590528"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89504"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588480" type="#_x0000_t202" filled="false" stroked="false">
          <v:textbox inset="0,0,0,0">
            <w:txbxContent>
              <w:p>
                <w:pPr>
                  <w:pStyle w:val="BodyText"/>
                  <w:rPr>
                    <w:sz w:val="2"/>
                  </w:rPr>
                </w:pPr>
              </w:p>
              <w:p>
                <w:pPr>
                  <w:spacing w:before="0"/>
                  <w:ind w:left="0" w:right="0" w:firstLine="0"/>
                  <w:jc w:val="center"/>
                  <w:rPr>
                    <w:sz w:val="2"/>
                  </w:rPr>
                </w:pPr>
                <w:r>
                  <w:rPr>
                    <w:w w:val="102"/>
                    <w:sz w:val="2"/>
                  </w:rPr>
                  <w:t>4</w:t>
                </w:r>
              </w:p>
            </w:txbxContent>
          </v:textbox>
          <w10:wrap type="none"/>
        </v:shape>
      </w:pict>
    </w:r>
    <w:r>
      <w:rPr/>
      <w:pict>
        <v:shape style="position:absolute;margin-left:43.340328pt;margin-top:771.909546pt;width:323.8pt;height:13.2pt;mso-position-horizontal-relative:page;mso-position-vertical-relative:page;z-index:-25358745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586432"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85408"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584384" type="#_x0000_t202" filled="false" stroked="false">
          <v:textbox inset="0,0,0,0">
            <w:txbxContent>
              <w:p>
                <w:pPr>
                  <w:pStyle w:val="BodyText"/>
                  <w:rPr>
                    <w:sz w:val="2"/>
                  </w:rPr>
                </w:pPr>
              </w:p>
              <w:p>
                <w:pPr>
                  <w:spacing w:before="0"/>
                  <w:ind w:left="0" w:right="0" w:firstLine="0"/>
                  <w:jc w:val="center"/>
                  <w:rPr>
                    <w:sz w:val="2"/>
                  </w:rPr>
                </w:pPr>
                <w:r>
                  <w:rPr>
                    <w:w w:val="102"/>
                    <w:sz w:val="2"/>
                  </w:rPr>
                  <w:t>5</w:t>
                </w:r>
              </w:p>
            </w:txbxContent>
          </v:textbox>
          <w10:wrap type="none"/>
        </v:shape>
      </w:pict>
    </w:r>
    <w:r>
      <w:rPr/>
      <w:pict>
        <v:shape style="position:absolute;margin-left:43.340328pt;margin-top:771.909546pt;width:323.8pt;height:13.2pt;mso-position-horizontal-relative:page;mso-position-vertical-relative:page;z-index:-25358336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582336"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8131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580288" type="#_x0000_t202" filled="false" stroked="false">
          <v:textbox inset="0,0,0,0">
            <w:txbxContent>
              <w:p>
                <w:pPr>
                  <w:pStyle w:val="BodyText"/>
                  <w:rPr>
                    <w:sz w:val="2"/>
                  </w:rPr>
                </w:pPr>
              </w:p>
              <w:p>
                <w:pPr>
                  <w:spacing w:before="0"/>
                  <w:ind w:left="0" w:right="0" w:firstLine="0"/>
                  <w:jc w:val="center"/>
                  <w:rPr>
                    <w:sz w:val="2"/>
                  </w:rPr>
                </w:pPr>
                <w:r>
                  <w:rPr>
                    <w:w w:val="102"/>
                    <w:sz w:val="2"/>
                  </w:rPr>
                  <w:t>6</w:t>
                </w:r>
              </w:p>
            </w:txbxContent>
          </v:textbox>
          <w10:wrap type="none"/>
        </v:shape>
      </w:pict>
    </w:r>
    <w:r>
      <w:rPr/>
      <w:pict>
        <v:shape style="position:absolute;margin-left:43.340328pt;margin-top:771.909546pt;width:323.8pt;height:13.2pt;mso-position-horizontal-relative:page;mso-position-vertical-relative:page;z-index:-25357926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578240"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77216"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576192" type="#_x0000_t202" filled="false" stroked="false">
          <v:textbox inset="0,0,0,0">
            <w:txbxContent>
              <w:p>
                <w:pPr>
                  <w:pStyle w:val="BodyText"/>
                  <w:rPr>
                    <w:sz w:val="2"/>
                  </w:rPr>
                </w:pPr>
              </w:p>
              <w:p>
                <w:pPr>
                  <w:spacing w:before="0"/>
                  <w:ind w:left="0" w:right="0" w:firstLine="0"/>
                  <w:jc w:val="center"/>
                  <w:rPr>
                    <w:sz w:val="2"/>
                  </w:rPr>
                </w:pPr>
                <w:r>
                  <w:rPr>
                    <w:w w:val="102"/>
                    <w:sz w:val="2"/>
                  </w:rPr>
                  <w:t>7</w:t>
                </w:r>
              </w:p>
            </w:txbxContent>
          </v:textbox>
          <w10:wrap type="none"/>
        </v:shape>
      </w:pict>
    </w:r>
    <w:r>
      <w:rPr/>
      <w:pict>
        <v:shape style="position:absolute;margin-left:43.340328pt;margin-top:771.909546pt;width:323.8pt;height:13.2pt;mso-position-horizontal-relative:page;mso-position-vertical-relative:page;z-index:-25357516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574144"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7312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572096" type="#_x0000_t202" filled="false" stroked="false">
          <v:textbox inset="0,0,0,0">
            <w:txbxContent>
              <w:p>
                <w:pPr>
                  <w:pStyle w:val="BodyText"/>
                  <w:rPr>
                    <w:sz w:val="2"/>
                  </w:rPr>
                </w:pPr>
              </w:p>
              <w:p>
                <w:pPr>
                  <w:spacing w:before="0"/>
                  <w:ind w:left="0" w:right="0" w:firstLine="0"/>
                  <w:jc w:val="center"/>
                  <w:rPr>
                    <w:sz w:val="2"/>
                  </w:rPr>
                </w:pPr>
                <w:r>
                  <w:rPr>
                    <w:w w:val="102"/>
                    <w:sz w:val="2"/>
                  </w:rPr>
                  <w:t>8</w:t>
                </w:r>
              </w:p>
            </w:txbxContent>
          </v:textbox>
          <w10:wrap type="none"/>
        </v:shape>
      </w:pict>
    </w:r>
    <w:r>
      <w:rPr/>
      <w:pict>
        <v:shape style="position:absolute;margin-left:43.340328pt;margin-top:771.909546pt;width:323.8pt;height:13.2pt;mso-position-horizontal-relative:page;mso-position-vertical-relative:page;z-index:-25357107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570048" type="#_x0000_t202" filled="false" stroked="false">
          <v:textbox inset="0,0,0,0">
            <w:txbxContent>
              <w:p>
                <w:pPr>
                  <w:pStyle w:val="BodyText"/>
                  <w:spacing w:before="14"/>
                  <w:ind w:left="20"/>
                </w:pPr>
                <w:r>
                  <w:rPr>
                    <w:w w:val="10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69024"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3568000" type="#_x0000_t202" filled="false" stroked="false">
          <v:textbox inset="0,0,0,0">
            <w:txbxContent>
              <w:p>
                <w:pPr>
                  <w:pStyle w:val="BodyText"/>
                  <w:rPr>
                    <w:sz w:val="2"/>
                  </w:rPr>
                </w:pPr>
              </w:p>
              <w:p>
                <w:pPr>
                  <w:spacing w:before="0"/>
                  <w:ind w:left="0" w:right="0" w:firstLine="0"/>
                  <w:jc w:val="center"/>
                  <w:rPr>
                    <w:sz w:val="2"/>
                  </w:rPr>
                </w:pPr>
                <w:r>
                  <w:rPr>
                    <w:w w:val="102"/>
                    <w:sz w:val="2"/>
                  </w:rPr>
                  <w:t>9</w:t>
                </w:r>
              </w:p>
            </w:txbxContent>
          </v:textbox>
          <w10:wrap type="none"/>
        </v:shape>
      </w:pict>
    </w:r>
    <w:r>
      <w:rPr/>
      <w:pict>
        <v:shape style="position:absolute;margin-left:43.340328pt;margin-top:771.909546pt;width:323.8pt;height:13.2pt;mso-position-horizontal-relative:page;mso-position-vertical-relative:page;z-index:-25356697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3565952" type="#_x0000_t202" filled="false" stroked="false">
          <v:textbox inset="0,0,0,0">
            <w:txbxContent>
              <w:p>
                <w:pPr>
                  <w:pStyle w:val="BodyText"/>
                  <w:spacing w:before="14"/>
                  <w:ind w:left="20"/>
                </w:pPr>
                <w:r>
                  <w:rPr>
                    <w:w w:val="100"/>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93" w:hanging="361"/>
      </w:pPr>
      <w:rPr>
        <w:rFonts w:hint="default" w:ascii="Symbol" w:hAnsi="Symbol" w:eastAsia="Symbol" w:cs="Symbol"/>
        <w:w w:val="100"/>
        <w:sz w:val="20"/>
        <w:szCs w:val="20"/>
      </w:rPr>
    </w:lvl>
    <w:lvl w:ilvl="1">
      <w:start w:val="0"/>
      <w:numFmt w:val="bullet"/>
      <w:lvlText w:val="•"/>
      <w:lvlJc w:val="left"/>
      <w:pPr>
        <w:ind w:left="2250" w:hanging="361"/>
      </w:pPr>
      <w:rPr>
        <w:rFonts w:hint="default"/>
      </w:rPr>
    </w:lvl>
    <w:lvl w:ilvl="2">
      <w:start w:val="0"/>
      <w:numFmt w:val="bullet"/>
      <w:lvlText w:val="•"/>
      <w:lvlJc w:val="left"/>
      <w:pPr>
        <w:ind w:left="3200" w:hanging="361"/>
      </w:pPr>
      <w:rPr>
        <w:rFonts w:hint="default"/>
      </w:rPr>
    </w:lvl>
    <w:lvl w:ilvl="3">
      <w:start w:val="0"/>
      <w:numFmt w:val="bullet"/>
      <w:lvlText w:val="•"/>
      <w:lvlJc w:val="left"/>
      <w:pPr>
        <w:ind w:left="4151" w:hanging="361"/>
      </w:pPr>
      <w:rPr>
        <w:rFonts w:hint="default"/>
      </w:rPr>
    </w:lvl>
    <w:lvl w:ilvl="4">
      <w:start w:val="0"/>
      <w:numFmt w:val="bullet"/>
      <w:lvlText w:val="•"/>
      <w:lvlJc w:val="left"/>
      <w:pPr>
        <w:ind w:left="5101" w:hanging="361"/>
      </w:pPr>
      <w:rPr>
        <w:rFonts w:hint="default"/>
      </w:rPr>
    </w:lvl>
    <w:lvl w:ilvl="5">
      <w:start w:val="0"/>
      <w:numFmt w:val="bullet"/>
      <w:lvlText w:val="•"/>
      <w:lvlJc w:val="left"/>
      <w:pPr>
        <w:ind w:left="6052" w:hanging="361"/>
      </w:pPr>
      <w:rPr>
        <w:rFonts w:hint="default"/>
      </w:rPr>
    </w:lvl>
    <w:lvl w:ilvl="6">
      <w:start w:val="0"/>
      <w:numFmt w:val="bullet"/>
      <w:lvlText w:val="•"/>
      <w:lvlJc w:val="left"/>
      <w:pPr>
        <w:ind w:left="7002" w:hanging="361"/>
      </w:pPr>
      <w:rPr>
        <w:rFonts w:hint="default"/>
      </w:rPr>
    </w:lvl>
    <w:lvl w:ilvl="7">
      <w:start w:val="0"/>
      <w:numFmt w:val="bullet"/>
      <w:lvlText w:val="•"/>
      <w:lvlJc w:val="left"/>
      <w:pPr>
        <w:ind w:left="7953" w:hanging="361"/>
      </w:pPr>
      <w:rPr>
        <w:rFonts w:hint="default"/>
      </w:rPr>
    </w:lvl>
    <w:lvl w:ilvl="8">
      <w:start w:val="0"/>
      <w:numFmt w:val="bullet"/>
      <w:lvlText w:val="•"/>
      <w:lvlJc w:val="left"/>
      <w:pPr>
        <w:ind w:left="8903"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14"/>
      <w:outlineLvl w:val="1"/>
    </w:pPr>
    <w:rPr>
      <w:rFonts w:ascii="Arial" w:hAnsi="Arial" w:eastAsia="Arial" w:cs="Arial"/>
      <w:b/>
      <w:bCs/>
      <w:sz w:val="20"/>
      <w:szCs w:val="20"/>
    </w:rPr>
  </w:style>
  <w:style w:styleId="ListParagraph" w:type="paragraph">
    <w:name w:val="List Paragraph"/>
    <w:basedOn w:val="Normal"/>
    <w:uiPriority w:val="1"/>
    <w:qFormat/>
    <w:pPr>
      <w:spacing w:before="1"/>
      <w:ind w:left="1294" w:hanging="360"/>
    </w:pPr>
    <w:rPr>
      <w:rFonts w:ascii="Arial" w:hAnsi="Arial" w:eastAsia="Arial" w:cs="Arial"/>
    </w:rPr>
  </w:style>
  <w:style w:styleId="TableParagraph" w:type="paragraph">
    <w:name w:val="Table Paragraph"/>
    <w:basedOn w:val="Normal"/>
    <w:uiPriority w:val="1"/>
    <w:qFormat/>
    <w:pPr>
      <w:spacing w:before="62"/>
      <w:ind w:right="153"/>
      <w:jc w:val="righ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image" Target="media/image4.png"/><Relationship Id="rId16" Type="http://schemas.openxmlformats.org/officeDocument/2006/relationships/footer" Target="footer8.xm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footer" Target="footer9.xml"/><Relationship Id="rId20" Type="http://schemas.openxmlformats.org/officeDocument/2006/relationships/image" Target="media/image7.png"/><Relationship Id="rId21" Type="http://schemas.openxmlformats.org/officeDocument/2006/relationships/footer" Target="footer10.xm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image" Target="media/image10.png"/><Relationship Id="rId27" Type="http://schemas.openxmlformats.org/officeDocument/2006/relationships/footer" Target="footer13.xml"/><Relationship Id="rId28" Type="http://schemas.openxmlformats.org/officeDocument/2006/relationships/hyperlink" Target="http://www.bankofengland.co.uk/letter/2013/charles-bean-negative-interest-rates-may-2013" TargetMode="External"/><Relationship Id="rId29" Type="http://schemas.openxmlformats.org/officeDocument/2006/relationships/hyperlink" Target="http://www.bankofengland.co.uk/quarterly-bulletin/2014/q4/bank-funding-costs-what-are-they-what-" TargetMode="External"/><Relationship Id="rId30" Type="http://schemas.openxmlformats.org/officeDocument/2006/relationships/hyperlink" Target="http://www.bankofengland.co.uk/inflation-report/2016/august-2016" TargetMode="External"/><Relationship Id="rId31" Type="http://schemas.openxmlformats.org/officeDocument/2006/relationships/hyperlink" Target="http://www.bankofengland.co.uk/quarterly-bulletin/2018/2018-q4/the-term-funding-scheme-design-" TargetMode="External"/><Relationship Id="rId32" Type="http://schemas.openxmlformats.org/officeDocument/2006/relationships/hyperlink" Target="http://www.bankofengland.co.uk/quarterly-bulletin/2018/2018-q4/the-financial-position-of-british-households-" TargetMode="External"/><Relationship Id="rId33" Type="http://schemas.openxmlformats.org/officeDocument/2006/relationships/hyperlink" Target="http://www.bankofengland.co.uk/speech/2018/james-proudman-" TargetMode="External"/><Relationship Id="rId34" Type="http://schemas.openxmlformats.org/officeDocument/2006/relationships/hyperlink" Target="http://www.bankofengland.co.uk/speech/2016/remarks-given-as-a-discussant-of-passthrough-" TargetMode="External"/><Relationship Id="rId3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Michael Saunders at Imperial College Business School, London, on Wednesday 6 March 2019</dc:title>
  <dcterms:created xsi:type="dcterms:W3CDTF">2020-06-02T18:10:55Z</dcterms:created>
  <dcterms:modified xsi:type="dcterms:W3CDTF">2020-06-02T18:10:55Z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2019-03-06T00:00:00Z</vt:filetime>
  </property>
  <property fmtid="{D5CDD505-2E9C-101B-9397-08002B2CF9AE}" pid="3" name="Creator">
    <vt:lpwstr>PScript5.dll Version 5.2.2</vt:lpwstr>
  </property>
  <property fmtid="{D5CDD505-2E9C-101B-9397-08002B2CF9AE}" pid="4" name="LastSaved">
    <vt:filetime>2020-06-02T00:00:00Z</vt:filetime>
  </property>
</Properties>
</file>