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Practical Issues in the UK Monetary Policy, 2000-2005</w:t>
      </w:r>
    </w:p>
    <w:p>
      <w:pPr>
        <w:pStyle w:val="BodyText"/>
        <w:spacing w:before="281"/>
        <w:ind w:left="352"/>
        <w:rPr>
          <w:rFonts w:ascii="Arial"/>
        </w:rPr>
      </w:pPr>
      <w:r>
        <w:rPr>
          <w:rFonts w:ascii="Arial"/>
        </w:rPr>
        <w:t>Speech given by</w:t>
      </w:r>
    </w:p>
    <w:p>
      <w:pPr>
        <w:pStyle w:val="BodyText"/>
        <w:spacing w:line="360" w:lineRule="auto" w:before="136"/>
        <w:ind w:left="352" w:right="786"/>
        <w:rPr>
          <w:rFonts w:ascii="Arial"/>
        </w:rPr>
      </w:pPr>
      <w:r>
        <w:rPr>
          <w:rFonts w:ascii="Arial"/>
        </w:rPr>
        <w:t>Stephen Nickell, Member of the Monetary Policy Committee, Bank of England and Professor at the London School of Economics</w:t>
      </w:r>
    </w:p>
    <w:p>
      <w:pPr>
        <w:pStyle w:val="BodyText"/>
        <w:spacing w:before="2"/>
        <w:rPr>
          <w:rFonts w:ascii="Arial"/>
          <w:sz w:val="36"/>
        </w:rPr>
      </w:pPr>
    </w:p>
    <w:p>
      <w:pPr>
        <w:pStyle w:val="BodyText"/>
        <w:spacing w:line="360" w:lineRule="auto"/>
        <w:ind w:left="352" w:right="4214"/>
        <w:rPr>
          <w:rFonts w:ascii="Arial"/>
        </w:rPr>
      </w:pPr>
      <w:r>
        <w:rPr>
          <w:rFonts w:ascii="Arial"/>
        </w:rPr>
        <w:t>At the British Academy Keynes Lecture in London 20 September 2005</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20"/>
        </w:rPr>
      </w:pPr>
    </w:p>
    <w:p>
      <w:pPr>
        <w:spacing w:before="0"/>
        <w:ind w:left="352" w:right="737" w:firstLine="0"/>
        <w:jc w:val="left"/>
        <w:rPr>
          <w:rFonts w:ascii="Arial"/>
          <w:sz w:val="20"/>
        </w:rPr>
      </w:pPr>
      <w:r>
        <w:rPr>
          <w:rFonts w:ascii="Arial"/>
          <w:sz w:val="20"/>
        </w:rPr>
        <w:t>British Academy Keynes Lecture, to be presented at the British Academy on 20 September, 2005. I am most grateful to Jumana Saleheen for her valuable help in the preparation of this paper, and to Kate Barker, Mervyn King, Jumana Saleheen, David Smith, David Walton and members of the audience at the British Academy for comments on an earlier draft.</w:t>
      </w:r>
    </w:p>
    <w:p>
      <w:pPr>
        <w:pStyle w:val="BodyText"/>
        <w:spacing w:before="10"/>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Heading1"/>
        <w:spacing w:before="83"/>
        <w:ind w:right="1474" w:firstLine="0"/>
        <w:jc w:val="center"/>
        <w:rPr>
          <w:u w:val="none"/>
        </w:rPr>
      </w:pPr>
      <w:r>
        <w:rPr>
          <w:u w:val="thick"/>
        </w:rPr>
        <w:t>Practical Issues in UK Monetary Policy, 2000-2005</w:t>
      </w:r>
    </w:p>
    <w:p>
      <w:pPr>
        <w:pStyle w:val="BodyText"/>
        <w:rPr>
          <w:b/>
          <w:sz w:val="20"/>
        </w:rPr>
      </w:pPr>
    </w:p>
    <w:p>
      <w:pPr>
        <w:pStyle w:val="BodyText"/>
        <w:spacing w:before="2"/>
        <w:rPr>
          <w:b/>
          <w:sz w:val="20"/>
        </w:rPr>
      </w:pPr>
    </w:p>
    <w:p>
      <w:pPr>
        <w:spacing w:before="90"/>
        <w:ind w:left="1282" w:right="1474" w:firstLine="0"/>
        <w:jc w:val="center"/>
        <w:rPr>
          <w:b/>
          <w:sz w:val="24"/>
        </w:rPr>
      </w:pPr>
      <w:r>
        <w:rPr>
          <w:b/>
          <w:sz w:val="24"/>
          <w:u w:val="thick"/>
        </w:rPr>
        <w:t>Summary</w:t>
      </w:r>
    </w:p>
    <w:p>
      <w:pPr>
        <w:pStyle w:val="BodyText"/>
        <w:rPr>
          <w:b/>
          <w:sz w:val="20"/>
        </w:rPr>
      </w:pPr>
    </w:p>
    <w:p>
      <w:pPr>
        <w:pStyle w:val="BodyText"/>
        <w:rPr>
          <w:b/>
          <w:sz w:val="20"/>
        </w:rPr>
      </w:pPr>
    </w:p>
    <w:p>
      <w:pPr>
        <w:pStyle w:val="BodyText"/>
        <w:spacing w:line="360" w:lineRule="auto" w:before="90"/>
        <w:ind w:left="1199" w:right="1403"/>
      </w:pPr>
      <w:r>
        <w:rPr/>
        <w:t>I consider three topics. First, the rise in household debt and its implications for monetary policy. Second, the role of asset prices in monetary policy. Third, the implications of the switch in the inflation target at the end of 2003.</w:t>
      </w:r>
    </w:p>
    <w:p>
      <w:pPr>
        <w:pStyle w:val="BodyText"/>
        <w:spacing w:before="11"/>
        <w:rPr>
          <w:sz w:val="35"/>
        </w:rPr>
      </w:pPr>
    </w:p>
    <w:p>
      <w:pPr>
        <w:pStyle w:val="BodyText"/>
        <w:spacing w:line="360" w:lineRule="auto"/>
        <w:ind w:left="1199" w:right="1403"/>
      </w:pPr>
      <w:r>
        <w:rPr/>
        <w:t>The conclusions are as follows. The driving force behind the dramatic rise in household debt over the last thirty years is the continuing rise in owner-occupied dwellings and in the proportion of households with a mortgage. More recently, the rapid rise in house prices has also been important. Interestingly enough, the overall rise in household debt over the last eight years has not had a big impact on consumption growth because, over the same period, there has also been a significant increase in the rate of accumulation, by households, of financial assets. Finally, while it is possible that higher levels of debt may make household consumption more sensitive to interest rate changes, this may easily be offset simply by moderating these same changes.</w:t>
      </w:r>
    </w:p>
    <w:p>
      <w:pPr>
        <w:pStyle w:val="BodyText"/>
        <w:spacing w:before="11"/>
        <w:rPr>
          <w:sz w:val="35"/>
        </w:rPr>
      </w:pPr>
    </w:p>
    <w:p>
      <w:pPr>
        <w:pStyle w:val="BodyText"/>
        <w:spacing w:line="360" w:lineRule="auto"/>
        <w:ind w:left="1199" w:right="1400"/>
      </w:pPr>
      <w:r>
        <w:rPr/>
        <w:t>Concerning the role of asset prices in monetary policy, here we have analysed the implications of the 2002-4 UK housing boom. The overall conclusions are first, it is impossible to tell whether or not there has been a house price bubble in the light of the fall in UK long-term real interest rates from around 4% in the mid 1990s to around 2% by 2000. Second, to have any significant impact on the housing boom, the MPC would have had to raise interest rates by around 300 basis points for three years from late 2002. This would have cut GDP growth by a little over 1/2% in 2003. Third, it is impossible to say, at the moment, whether or not such a policy would have been worth doing in order to reduce the size of the subsequent housing market crash. Since no crash has yet been observed, currently it seems unlikely that the “bubble pricking” policy would have been sensible, </w:t>
      </w:r>
      <w:r>
        <w:rPr>
          <w:i/>
        </w:rPr>
        <w:t>ex post</w:t>
      </w:r>
      <w:r>
        <w:rPr/>
        <w:t>. And, who knows, if the MPC had raised interest rates by 300 basis points in 2002, sterling might truly have risen to unsustainable levels!</w:t>
      </w:r>
    </w:p>
    <w:p>
      <w:pPr>
        <w:spacing w:after="0" w:line="360" w:lineRule="auto"/>
        <w:sectPr>
          <w:headerReference w:type="default" r:id="rId7"/>
          <w:pgSz w:w="11900" w:h="16840"/>
          <w:pgMar w:header="716" w:footer="0" w:top="1340" w:bottom="280" w:left="600" w:right="400"/>
          <w:pgNumType w:start="1"/>
        </w:sectPr>
      </w:pPr>
    </w:p>
    <w:p>
      <w:pPr>
        <w:pStyle w:val="BodyText"/>
        <w:spacing w:line="360" w:lineRule="auto" w:before="80"/>
        <w:ind w:left="1200" w:right="1835"/>
      </w:pPr>
      <w:r>
        <w:rPr/>
        <w:t>Finally, the switch from a 2.5% inflation target on the RPIX measure to a 2.0% inflation target on the CPI (HICP) measure, at the end of 2003, turned out to have minimal implications for monetary policy. Furthermore, the CPI is a marginally superior cost of living index relative to the RPIX.</w:t>
      </w:r>
    </w:p>
    <w:p>
      <w:pPr>
        <w:pStyle w:val="BodyText"/>
        <w:spacing w:before="3"/>
        <w:rPr>
          <w:sz w:val="36"/>
        </w:rPr>
      </w:pPr>
    </w:p>
    <w:p>
      <w:pPr>
        <w:pStyle w:val="Heading1"/>
        <w:numPr>
          <w:ilvl w:val="0"/>
          <w:numId w:val="1"/>
        </w:numPr>
        <w:tabs>
          <w:tab w:pos="5060" w:val="left" w:leader="none"/>
        </w:tabs>
        <w:spacing w:line="240" w:lineRule="auto" w:before="0" w:after="0"/>
        <w:ind w:left="5059" w:right="0" w:hanging="361"/>
        <w:jc w:val="left"/>
        <w:rPr>
          <w:u w:val="none"/>
        </w:rPr>
      </w:pPr>
      <w:r>
        <w:rPr>
          <w:u w:val="thick"/>
        </w:rPr>
        <w:t>Introduction</w:t>
      </w:r>
    </w:p>
    <w:p>
      <w:pPr>
        <w:pStyle w:val="BodyText"/>
        <w:rPr>
          <w:b/>
          <w:sz w:val="20"/>
        </w:rPr>
      </w:pPr>
    </w:p>
    <w:p>
      <w:pPr>
        <w:pStyle w:val="BodyText"/>
        <w:rPr>
          <w:b/>
          <w:sz w:val="20"/>
        </w:rPr>
      </w:pPr>
    </w:p>
    <w:p>
      <w:pPr>
        <w:pStyle w:val="BodyText"/>
        <w:spacing w:line="360" w:lineRule="auto" w:before="90"/>
        <w:ind w:left="1200" w:right="1424"/>
      </w:pPr>
      <w:r>
        <w:rPr/>
        <w:t>This being the Keynes Lecture, a discussion of the practicalities of UK macroeconomic policy seems particularly apposite. This lecture deals with some of the topics on which the Bank of England Monetary Policy Committee (MPC) has spent a lot of time since I became a member in June 2000. Interestingly enough, these topics would typically not occupy much space in a text book on monetary economics. The three topics on which I shall focus are as follows. First, the rapid rise in household debt and its implications for monetary policy. Second, the role of asset prices in monetary policy with particular reference to the recent UK housing</w:t>
      </w:r>
      <w:r>
        <w:rPr>
          <w:spacing w:val="-11"/>
        </w:rPr>
        <w:t> </w:t>
      </w:r>
      <w:r>
        <w:rPr/>
        <w:t>boom.</w:t>
      </w:r>
    </w:p>
    <w:p>
      <w:pPr>
        <w:pStyle w:val="BodyText"/>
        <w:ind w:left="1200"/>
      </w:pPr>
      <w:r>
        <w:rPr/>
        <w:t>Third, the implications of the switch in the inflation target at the end of 2003.</w:t>
      </w:r>
    </w:p>
    <w:p>
      <w:pPr>
        <w:pStyle w:val="BodyText"/>
        <w:rPr>
          <w:sz w:val="26"/>
        </w:rPr>
      </w:pPr>
    </w:p>
    <w:p>
      <w:pPr>
        <w:pStyle w:val="BodyText"/>
        <w:rPr>
          <w:sz w:val="22"/>
        </w:rPr>
      </w:pPr>
    </w:p>
    <w:p>
      <w:pPr>
        <w:pStyle w:val="BodyText"/>
        <w:spacing w:line="360" w:lineRule="auto"/>
        <w:ind w:left="1199" w:right="1414"/>
      </w:pPr>
      <w:r>
        <w:rPr/>
        <w:t>Before moving on to the details, it is worth briefly noting how the MPC operates in the UK. We have a specific inflation target set by the Chancellor of the Exchequer which we are required to meet at all times. The target is symmetric in the sense that being below target is just as bad as being above target. To hit the inflation target we focus on a period between 12 months and 30 months into the future. We generate an MPC forecast every three months, conditioning on market expectations of the Bank of England’s official interest rate (the market curve). If this produces forecasts such that inflation has a relatively high probability of moving significantly above (below) target, we tend at some stage to raise (lower) rates above (below) those implied by the market</w:t>
      </w:r>
      <w:r>
        <w:rPr>
          <w:spacing w:val="-1"/>
        </w:rPr>
        <w:t> </w:t>
      </w:r>
      <w:r>
        <w:rPr/>
        <w:t>curve.</w:t>
      </w:r>
    </w:p>
    <w:p>
      <w:pPr>
        <w:pStyle w:val="BodyText"/>
        <w:spacing w:before="10"/>
        <w:rPr>
          <w:sz w:val="35"/>
        </w:rPr>
      </w:pPr>
    </w:p>
    <w:p>
      <w:pPr>
        <w:pStyle w:val="BodyText"/>
        <w:spacing w:line="360" w:lineRule="auto" w:before="1"/>
        <w:ind w:left="1199" w:right="1388"/>
      </w:pPr>
      <w:r>
        <w:rPr/>
        <w:t>The interest rate decision is produced monthly and is based on majority voting within the MPC, with the minutes providing an explanation and details of individual votes 13 days after the decision. We also publish the forecast every three months with detailed explanation in the Inflation Report.</w:t>
      </w:r>
    </w:p>
    <w:p>
      <w:pPr>
        <w:spacing w:after="0" w:line="360" w:lineRule="auto"/>
        <w:sectPr>
          <w:pgSz w:w="11900" w:h="16840"/>
          <w:pgMar w:header="716" w:footer="0" w:top="1340" w:bottom="280" w:left="600" w:right="400"/>
        </w:sectPr>
      </w:pPr>
    </w:p>
    <w:p>
      <w:pPr>
        <w:pStyle w:val="BodyText"/>
        <w:spacing w:line="360" w:lineRule="auto" w:before="80"/>
        <w:ind w:left="1199" w:right="1436"/>
      </w:pPr>
      <w:r>
        <w:rPr/>
        <w:t>Members of the MPC are individually responsible for their own decisions and have to be prepared to justify their voting record under public questioning from the House of Commons Treasury Select Committee. Members of the MPC are also expected to explain their own thinking in various national and regional fora on a regular basis.</w:t>
      </w:r>
    </w:p>
    <w:p>
      <w:pPr>
        <w:pStyle w:val="BodyText"/>
        <w:rPr>
          <w:sz w:val="36"/>
        </w:rPr>
      </w:pPr>
    </w:p>
    <w:p>
      <w:pPr>
        <w:pStyle w:val="BodyText"/>
        <w:spacing w:line="360" w:lineRule="auto" w:before="1"/>
        <w:ind w:left="1199" w:right="1482"/>
      </w:pPr>
      <w:r>
        <w:rPr/>
        <w:t>This procedure for setting interest rates in the UK differs from the rules for good monetary policy making set out in Svensson (1999), although not dramatically. In particular, the MPC forecast is not conditioned on estimates of its own optimal future interest rate path but instead on estimates of the market expectations of the Bank’s future interest rate path. However, the MPC operates in an open and transparent fashion which is probably more important than not following fully optimal procedures.</w:t>
      </w:r>
    </w:p>
    <w:p>
      <w:pPr>
        <w:pStyle w:val="BodyText"/>
        <w:spacing w:before="2"/>
        <w:rPr>
          <w:sz w:val="36"/>
        </w:rPr>
      </w:pPr>
    </w:p>
    <w:p>
      <w:pPr>
        <w:pStyle w:val="Heading1"/>
        <w:numPr>
          <w:ilvl w:val="0"/>
          <w:numId w:val="1"/>
        </w:numPr>
        <w:tabs>
          <w:tab w:pos="3944" w:val="left" w:leader="none"/>
        </w:tabs>
        <w:spacing w:line="240" w:lineRule="auto" w:before="0" w:after="0"/>
        <w:ind w:left="3943" w:right="0" w:hanging="361"/>
        <w:jc w:val="left"/>
        <w:rPr>
          <w:u w:val="none"/>
        </w:rPr>
      </w:pPr>
      <w:r>
        <w:rPr>
          <w:u w:val="thick"/>
        </w:rPr>
        <w:t>Household Debt and</w:t>
      </w:r>
      <w:r>
        <w:rPr>
          <w:spacing w:val="-4"/>
          <w:u w:val="thick"/>
        </w:rPr>
        <w:t> </w:t>
      </w:r>
      <w:r>
        <w:rPr>
          <w:u w:val="thick"/>
        </w:rPr>
        <w:t>Consumption</w:t>
      </w:r>
    </w:p>
    <w:p>
      <w:pPr>
        <w:pStyle w:val="BodyText"/>
        <w:rPr>
          <w:b/>
          <w:sz w:val="20"/>
        </w:rPr>
      </w:pPr>
    </w:p>
    <w:p>
      <w:pPr>
        <w:pStyle w:val="BodyText"/>
        <w:rPr>
          <w:b/>
          <w:sz w:val="20"/>
        </w:rPr>
      </w:pPr>
    </w:p>
    <w:p>
      <w:pPr>
        <w:spacing w:line="360" w:lineRule="auto" w:before="90"/>
        <w:ind w:left="1200" w:right="1410" w:firstLine="0"/>
        <w:jc w:val="left"/>
        <w:rPr>
          <w:sz w:val="24"/>
        </w:rPr>
      </w:pPr>
      <w:r>
        <w:rPr>
          <w:sz w:val="24"/>
        </w:rPr>
        <w:t>I joined the MPC in June 2000, and almost from that moment it is clear, ex-post, that the UK economy started gradually to slow. But while the US and the German economies were contracting for most of 2001, the UK economy did not contract for a single quarter and the UK unemployment rate was the same at the end of 2001 as it was at the end of 2000. UK monetary policy was significantly relaxed during 2001 and so despite falling investment and a weakening world economy, domestic demand continued to expand steadily so that overall growth rates remained positive. Some commentators, however, argue that the relative stability of UK GDP growth during the course of a significant recession in the world’s major economies (US, Germany, Japan) was only achieved at some cost. For example, Fred Harrison notes that “</w:t>
      </w:r>
      <w:r>
        <w:rPr>
          <w:i/>
          <w:sz w:val="24"/>
        </w:rPr>
        <w:t>Encouraged by low interest rates, people went on a spending spree. They reduced </w:t>
      </w:r>
      <w:r>
        <w:rPr>
          <w:i/>
          <w:sz w:val="24"/>
        </w:rPr>
        <w:t>savings and extracted equity from their homes to fuel a consumption boom</w:t>
      </w:r>
      <w:r>
        <w:rPr>
          <w:sz w:val="24"/>
        </w:rPr>
        <w:t>”(The Observer, 27 March 2005). Again looking back, Hamish McRae in The Independent in early 2005 (16 March) states that, “</w:t>
      </w:r>
      <w:r>
        <w:rPr>
          <w:i/>
          <w:sz w:val="24"/>
        </w:rPr>
        <w:t>What is, however, clear is that the credit-fuelled </w:t>
      </w:r>
      <w:r>
        <w:rPr>
          <w:i/>
          <w:sz w:val="24"/>
        </w:rPr>
        <w:t>spending boom is, one way or another, coming to an</w:t>
      </w:r>
      <w:r>
        <w:rPr>
          <w:i/>
          <w:spacing w:val="-12"/>
          <w:sz w:val="24"/>
        </w:rPr>
        <w:t> </w:t>
      </w:r>
      <w:r>
        <w:rPr>
          <w:i/>
          <w:sz w:val="24"/>
        </w:rPr>
        <w:t>end</w:t>
      </w:r>
      <w:r>
        <w:rPr>
          <w:sz w:val="24"/>
        </w:rPr>
        <w:t>”.</w:t>
      </w:r>
    </w:p>
    <w:p>
      <w:pPr>
        <w:pStyle w:val="BodyText"/>
        <w:spacing w:before="11"/>
        <w:rPr>
          <w:sz w:val="35"/>
        </w:rPr>
      </w:pPr>
    </w:p>
    <w:p>
      <w:pPr>
        <w:pStyle w:val="BodyText"/>
        <w:spacing w:line="360" w:lineRule="auto"/>
        <w:ind w:left="1200" w:right="1403"/>
        <w:rPr>
          <w:i/>
        </w:rPr>
      </w:pPr>
      <w:r>
        <w:rPr/>
        <w:t>The common themes are clear, booming consumption and rapidly expanding debt. Indeed, for years the rising debt to income ratio in the UK has caused significant concern. Philip Thornton’s remarks in mid-2003 are typical, “</w:t>
      </w:r>
      <w:r>
        <w:rPr>
          <w:i/>
        </w:rPr>
        <w:t>Britons piled on an all-</w:t>
      </w:r>
    </w:p>
    <w:p>
      <w:pPr>
        <w:spacing w:after="0" w:line="360" w:lineRule="auto"/>
        <w:sectPr>
          <w:pgSz w:w="11900" w:h="16840"/>
          <w:pgMar w:header="716" w:footer="0" w:top="1340" w:bottom="280" w:left="600" w:right="400"/>
        </w:sectPr>
      </w:pPr>
    </w:p>
    <w:p>
      <w:pPr>
        <w:spacing w:line="360" w:lineRule="auto" w:before="82"/>
        <w:ind w:left="1200" w:right="1613" w:firstLine="0"/>
        <w:jc w:val="left"/>
        <w:rPr>
          <w:sz w:val="24"/>
        </w:rPr>
      </w:pPr>
      <w:r>
        <w:rPr>
          <w:i/>
          <w:sz w:val="24"/>
        </w:rPr>
        <w:t>time record amount of debt last month, triggering fears that consumers have </w:t>
      </w:r>
      <w:r>
        <w:rPr>
          <w:i/>
          <w:sz w:val="24"/>
        </w:rPr>
        <w:t>embarked on an unsustainable borrowing binge that will end in a crash reminiscent of the early 1990s</w:t>
      </w:r>
      <w:r>
        <w:rPr>
          <w:sz w:val="24"/>
        </w:rPr>
        <w:t>”, The Independent, 30 July 2003.</w:t>
      </w:r>
    </w:p>
    <w:p>
      <w:pPr>
        <w:pStyle w:val="BodyText"/>
        <w:spacing w:before="10"/>
        <w:rPr>
          <w:sz w:val="35"/>
        </w:rPr>
      </w:pPr>
    </w:p>
    <w:p>
      <w:pPr>
        <w:pStyle w:val="BodyText"/>
        <w:spacing w:line="360" w:lineRule="auto"/>
        <w:ind w:left="1199" w:right="1397"/>
      </w:pPr>
      <w:r>
        <w:rPr/>
        <w:t>These arguments are commonplace, indeed have probably developed into the received wisdom about the first few years of the 21</w:t>
      </w:r>
      <w:r>
        <w:rPr>
          <w:vertAlign w:val="superscript"/>
        </w:rPr>
        <w:t>st</w:t>
      </w:r>
      <w:r>
        <w:rPr>
          <w:vertAlign w:val="baseline"/>
        </w:rPr>
        <w:t> century. Namely, UK macroeconomic policy enabled the UK economy to miss out on recession by generating a house price bubble and an associated credit-fuelled spending boom. In what follows we shall, among other things, argue that there has not been a spending boom, the non-spending boom was not credit-fuelled and there has probably not been a house price bubble. In this section, we focus on the first two of these leaving our analysis of house prices to the next section.</w:t>
      </w:r>
    </w:p>
    <w:p>
      <w:pPr>
        <w:pStyle w:val="BodyText"/>
        <w:rPr>
          <w:sz w:val="36"/>
        </w:rPr>
      </w:pPr>
    </w:p>
    <w:p>
      <w:pPr>
        <w:pStyle w:val="BodyText"/>
        <w:ind w:left="1199"/>
      </w:pPr>
      <w:r>
        <w:rPr>
          <w:u w:val="single"/>
        </w:rPr>
        <w:t>The Non-Existent Household Spending Boom of 2000-2003</w:t>
      </w:r>
    </w:p>
    <w:p>
      <w:pPr>
        <w:pStyle w:val="BodyText"/>
        <w:spacing w:line="360" w:lineRule="auto" w:before="138"/>
        <w:ind w:left="1199" w:right="1470"/>
      </w:pPr>
      <w:r>
        <w:rPr/>
        <w:t>In Fig.1, we show quarterly consumption growth in the UK from 1996 to the end of 2003. Over the period of the supposed consumption boom in 2000-2003, we see that average quarterly consumption growth was 0.77%</w:t>
      </w:r>
      <w:r>
        <w:rPr>
          <w:vertAlign w:val="superscript"/>
        </w:rPr>
        <w:t>1</w:t>
      </w:r>
      <w:r>
        <w:rPr>
          <w:vertAlign w:val="baseline"/>
        </w:rPr>
        <w:t> , very close to the average over the last twenty five years (0.72%) and well </w:t>
      </w:r>
      <w:r>
        <w:rPr>
          <w:u w:val="single"/>
          <w:vertAlign w:val="baseline"/>
        </w:rPr>
        <w:t>below</w:t>
      </w:r>
      <w:r>
        <w:rPr>
          <w:vertAlign w:val="baseline"/>
        </w:rPr>
        <w:t> average consumption growth in the previous period (1996-99) which was 1.03%. Furthermore, as we can see from Fig.2, from 1998 to the end of 2003, the proportion of post-tax income that was consumed was relatively flat, hardly evidence of a debt fuelled consumption boom</w:t>
      </w:r>
      <w:r>
        <w:rPr>
          <w:vertAlign w:val="superscript"/>
        </w:rPr>
        <w:t>2</w:t>
      </w:r>
      <w:r>
        <w:rPr>
          <w:vertAlign w:val="baseline"/>
        </w:rPr>
        <w:t>.</w:t>
      </w:r>
    </w:p>
    <w:p>
      <w:pPr>
        <w:pStyle w:val="BodyText"/>
        <w:spacing w:line="360" w:lineRule="auto"/>
        <w:ind w:left="1199" w:right="1486"/>
      </w:pPr>
      <w:r>
        <w:rPr/>
        <w:t>Nevertheless, as we can also see in Fig.2, mortgage equity withdrawal (MEW) plus unsecured credit growth rose from around 2% of post-tax household income in 1998 to over 10% in 2003. So there was indeed a significant rise in the rate of household debt accumulation from 1998 to 2003 despite the fact that the ratio of consumption to post-tax income remained stable throughout. So what was going on?</w:t>
      </w:r>
    </w:p>
    <w:p>
      <w:pPr>
        <w:pStyle w:val="BodyText"/>
        <w:spacing w:before="11"/>
        <w:rPr>
          <w:sz w:val="35"/>
        </w:rPr>
      </w:pPr>
    </w:p>
    <w:p>
      <w:pPr>
        <w:pStyle w:val="BodyText"/>
        <w:ind w:left="1199"/>
      </w:pPr>
      <w:r>
        <w:rPr>
          <w:u w:val="single"/>
        </w:rPr>
        <w:t>The relationship between consumption, debt and post-tax income</w:t>
      </w:r>
    </w:p>
    <w:p>
      <w:pPr>
        <w:pStyle w:val="BodyText"/>
        <w:spacing w:line="360" w:lineRule="auto" w:before="138"/>
        <w:ind w:left="1200" w:right="1781"/>
      </w:pPr>
      <w:r>
        <w:rPr/>
        <w:t>First, let us look at the mechanical relationship between the consumption, post-tax income and debt of households. The basic identity is </w:t>
      </w:r>
      <w:r>
        <w:rPr>
          <w:vertAlign w:val="superscript"/>
        </w:rPr>
        <w:t>3</w:t>
      </w:r>
    </w:p>
    <w:p>
      <w:pPr>
        <w:pStyle w:val="BodyText"/>
        <w:rPr>
          <w:sz w:val="36"/>
        </w:rPr>
      </w:pPr>
    </w:p>
    <w:p>
      <w:pPr>
        <w:pStyle w:val="BodyText"/>
        <w:tabs>
          <w:tab w:pos="3827" w:val="left" w:leader="none"/>
        </w:tabs>
        <w:ind w:left="1591"/>
      </w:pPr>
      <w:r>
        <w:rPr/>
        <w:t>Consumption</w:t>
      </w:r>
      <w:r>
        <w:rPr>
          <w:spacing w:val="-2"/>
        </w:rPr>
        <w:t> </w:t>
      </w:r>
      <w:r>
        <w:rPr/>
        <w:t>≡</w:t>
        <w:tab/>
        <w:t>Post Tax Income</w:t>
      </w:r>
    </w:p>
    <w:p>
      <w:pPr>
        <w:pStyle w:val="ListParagraph"/>
        <w:numPr>
          <w:ilvl w:val="0"/>
          <w:numId w:val="2"/>
        </w:numPr>
        <w:tabs>
          <w:tab w:pos="3969" w:val="left" w:leader="none"/>
        </w:tabs>
        <w:spacing w:line="240" w:lineRule="auto" w:before="0" w:after="0"/>
        <w:ind w:left="3968" w:right="0" w:hanging="141"/>
        <w:jc w:val="left"/>
        <w:rPr>
          <w:sz w:val="24"/>
        </w:rPr>
      </w:pPr>
      <w:r>
        <w:rPr>
          <w:sz w:val="24"/>
        </w:rPr>
        <w:t>Net Acquisition of Financial</w:t>
      </w:r>
      <w:r>
        <w:rPr>
          <w:spacing w:val="-2"/>
          <w:sz w:val="24"/>
        </w:rPr>
        <w:t> </w:t>
      </w:r>
      <w:r>
        <w:rPr>
          <w:sz w:val="24"/>
        </w:rPr>
        <w:t>Assets</w:t>
      </w:r>
    </w:p>
    <w:p>
      <w:pPr>
        <w:pStyle w:val="ListParagraph"/>
        <w:numPr>
          <w:ilvl w:val="0"/>
          <w:numId w:val="2"/>
        </w:numPr>
        <w:tabs>
          <w:tab w:pos="3969" w:val="left" w:leader="none"/>
        </w:tabs>
        <w:spacing w:line="240" w:lineRule="auto" w:before="0" w:after="0"/>
        <w:ind w:left="3968" w:right="0" w:hanging="141"/>
        <w:jc w:val="left"/>
        <w:rPr>
          <w:sz w:val="24"/>
        </w:rPr>
      </w:pPr>
      <w:r>
        <w:rPr>
          <w:sz w:val="24"/>
        </w:rPr>
        <w:t>Net Acquisition of Housing Assets</w:t>
      </w:r>
    </w:p>
    <w:p>
      <w:pPr>
        <w:pStyle w:val="BodyText"/>
        <w:ind w:left="3828"/>
      </w:pPr>
      <w:r>
        <w:rPr/>
        <w:t>+ Net Acquisition of Financial Liabilities</w:t>
      </w:r>
    </w:p>
    <w:p>
      <w:pPr>
        <w:spacing w:after="0"/>
        <w:sectPr>
          <w:pgSz w:w="11900" w:h="16840"/>
          <w:pgMar w:header="716" w:footer="0" w:top="1340" w:bottom="280" w:left="600" w:right="400"/>
        </w:sectPr>
      </w:pPr>
    </w:p>
    <w:p>
      <w:pPr>
        <w:pStyle w:val="BodyText"/>
        <w:rPr>
          <w:sz w:val="20"/>
        </w:rPr>
      </w:pPr>
    </w:p>
    <w:p>
      <w:pPr>
        <w:pStyle w:val="BodyText"/>
        <w:rPr>
          <w:sz w:val="23"/>
        </w:rPr>
      </w:pPr>
    </w:p>
    <w:p>
      <w:pPr>
        <w:pStyle w:val="BodyText"/>
        <w:spacing w:line="360" w:lineRule="auto"/>
        <w:ind w:left="1199" w:right="1486"/>
        <w:jc w:val="both"/>
      </w:pPr>
      <w:r>
        <w:rPr/>
        <w:t>This simply says that in aggregate, post-tax income plus new debt can be spent either on consumption or on houses or on financial assets. So where does MEW come into the story? First, financial liabilities can be divided into secured and unsecured. Then MEW is defined by</w:t>
      </w:r>
    </w:p>
    <w:p>
      <w:pPr>
        <w:pStyle w:val="BodyText"/>
        <w:rPr>
          <w:sz w:val="36"/>
        </w:rPr>
      </w:pPr>
    </w:p>
    <w:p>
      <w:pPr>
        <w:pStyle w:val="BodyText"/>
        <w:ind w:left="1199"/>
        <w:jc w:val="both"/>
      </w:pPr>
      <w:r>
        <w:rPr/>
        <w:t>MEW = Net Acquisition of Secured Financial Liabilities</w:t>
      </w:r>
    </w:p>
    <w:p>
      <w:pPr>
        <w:pStyle w:val="BodyText"/>
        <w:ind w:left="2568"/>
      </w:pPr>
      <w:r>
        <w:rPr/>
        <w:t>- Net Acquisition of Housing Assets</w:t>
      </w:r>
    </w:p>
    <w:p>
      <w:pPr>
        <w:pStyle w:val="BodyText"/>
        <w:rPr>
          <w:sz w:val="36"/>
        </w:rPr>
      </w:pPr>
    </w:p>
    <w:p>
      <w:pPr>
        <w:pStyle w:val="BodyText"/>
        <w:spacing w:line="360" w:lineRule="auto"/>
        <w:ind w:left="1199" w:right="1442"/>
      </w:pPr>
      <w:r>
        <w:rPr/>
        <w:t>So if we add the net increase in unsecured debt to MEW, we get the net acquisition of financial liabilities less the net acquisition of housing assets. This is sometimes known as lending “available” for consumption. But as Fig. 2 has shown, while it may be available for consumption, it is not necessarily used for this purpose because some of it goes towards an increase in the rate of acquisition of financial</w:t>
      </w:r>
      <w:r>
        <w:rPr>
          <w:spacing w:val="-14"/>
        </w:rPr>
        <w:t> </w:t>
      </w:r>
      <w:r>
        <w:rPr/>
        <w:t>assets.</w:t>
      </w:r>
    </w:p>
    <w:p>
      <w:pPr>
        <w:pStyle w:val="BodyText"/>
        <w:rPr>
          <w:sz w:val="36"/>
        </w:rPr>
      </w:pPr>
    </w:p>
    <w:p>
      <w:pPr>
        <w:pStyle w:val="BodyText"/>
        <w:ind w:left="1199"/>
      </w:pPr>
      <w:r>
        <w:rPr/>
        <w:t>Let us look at the facts. First, rewrite the basic identity as</w:t>
      </w:r>
    </w:p>
    <w:p>
      <w:pPr>
        <w:pStyle w:val="BodyText"/>
      </w:pPr>
    </w:p>
    <w:p>
      <w:pPr>
        <w:pStyle w:val="BodyText"/>
        <w:tabs>
          <w:tab w:pos="4619" w:val="left" w:leader="none"/>
          <w:tab w:pos="6577" w:val="left" w:leader="none"/>
        </w:tabs>
        <w:ind w:left="2280" w:right="2742" w:hanging="166"/>
      </w:pPr>
      <w:r>
        <w:rPr>
          <w:u w:val="single"/>
        </w:rPr>
        <w:t>Consumption</w:t>
      </w:r>
      <w:r>
        <w:rPr/>
        <w:t> = 1 – </w:t>
      </w:r>
      <w:r>
        <w:rPr>
          <w:u w:val="single"/>
        </w:rPr>
        <w:t>NA Financial Assets</w:t>
      </w:r>
      <w:r>
        <w:rPr/>
        <w:t> – </w:t>
      </w:r>
      <w:r>
        <w:rPr>
          <w:u w:val="single"/>
        </w:rPr>
        <w:t>NA Housing</w:t>
      </w:r>
      <w:r>
        <w:rPr>
          <w:spacing w:val="-32"/>
          <w:u w:val="single"/>
        </w:rPr>
        <w:t> </w:t>
      </w:r>
      <w:r>
        <w:rPr>
          <w:u w:val="single"/>
        </w:rPr>
        <w:t>Assets</w:t>
      </w:r>
      <w:r>
        <w:rPr/>
        <w:t> PT</w:t>
      </w:r>
      <w:r>
        <w:rPr>
          <w:spacing w:val="-2"/>
        </w:rPr>
        <w:t> </w:t>
      </w:r>
      <w:r>
        <w:rPr/>
        <w:t>Income</w:t>
        <w:tab/>
        <w:t>PT</w:t>
      </w:r>
      <w:r>
        <w:rPr>
          <w:spacing w:val="-2"/>
        </w:rPr>
        <w:t> </w:t>
      </w:r>
      <w:r>
        <w:rPr/>
        <w:t>Income</w:t>
        <w:tab/>
        <w:t>PT</w:t>
      </w:r>
      <w:r>
        <w:rPr>
          <w:spacing w:val="-2"/>
        </w:rPr>
        <w:t> </w:t>
      </w:r>
      <w:r>
        <w:rPr/>
        <w:t>Income</w:t>
      </w:r>
    </w:p>
    <w:p>
      <w:pPr>
        <w:pStyle w:val="BodyText"/>
        <w:spacing w:before="11"/>
        <w:rPr>
          <w:sz w:val="23"/>
        </w:rPr>
      </w:pPr>
    </w:p>
    <w:p>
      <w:pPr>
        <w:pStyle w:val="BodyText"/>
        <w:ind w:left="3871" w:right="4498"/>
        <w:jc w:val="center"/>
      </w:pPr>
      <w:r>
        <w:rPr/>
        <w:t>+ </w:t>
      </w:r>
      <w:r>
        <w:rPr>
          <w:u w:val="single"/>
        </w:rPr>
        <w:t>NA Financial</w:t>
      </w:r>
      <w:r>
        <w:rPr>
          <w:spacing w:val="-11"/>
          <w:u w:val="single"/>
        </w:rPr>
        <w:t> </w:t>
      </w:r>
      <w:r>
        <w:rPr>
          <w:u w:val="single"/>
        </w:rPr>
        <w:t>Liabilities</w:t>
      </w:r>
      <w:r>
        <w:rPr/>
        <w:t> PT</w:t>
      </w:r>
      <w:r>
        <w:rPr>
          <w:spacing w:val="-1"/>
        </w:rPr>
        <w:t> </w:t>
      </w:r>
      <w:r>
        <w:rPr/>
        <w:t>Income</w:t>
      </w:r>
    </w:p>
    <w:p>
      <w:pPr>
        <w:pStyle w:val="BodyText"/>
      </w:pPr>
    </w:p>
    <w:p>
      <w:pPr>
        <w:pStyle w:val="BodyText"/>
        <w:ind w:left="1920"/>
      </w:pPr>
      <w:r>
        <w:rPr/>
        <w:t>(NA = Net Acquisition, PT =</w:t>
      </w:r>
      <w:r>
        <w:rPr>
          <w:spacing w:val="-26"/>
        </w:rPr>
        <w:t> </w:t>
      </w:r>
      <w:r>
        <w:rPr/>
        <w:t>Post-Tax)</w:t>
      </w:r>
    </w:p>
    <w:p>
      <w:pPr>
        <w:pStyle w:val="BodyText"/>
        <w:rPr>
          <w:sz w:val="36"/>
        </w:rPr>
      </w:pPr>
    </w:p>
    <w:p>
      <w:pPr>
        <w:pStyle w:val="BodyText"/>
        <w:spacing w:line="360" w:lineRule="auto"/>
        <w:ind w:left="1199" w:right="1448"/>
      </w:pPr>
      <w:r>
        <w:rPr/>
        <w:t>So to understand how consumption changes relative to post-tax income, we need to look at the net acquisition of financial assets, housing assets and financial liabilities, all relative to post-tax income. In Table 1, we see that the net acquisition of housing assets has risen gradually relative to post-tax income since the early 1990s. This term consists basically of the purchase of newly built houses and the money spent on</w:t>
      </w:r>
      <w:r>
        <w:rPr>
          <w:spacing w:val="-17"/>
        </w:rPr>
        <w:t> </w:t>
      </w:r>
      <w:r>
        <w:rPr/>
        <w:t>home improvements. Houses purchased by one household from another household cancel out and so make no contribution. The net acquisition of financial liabilities, which simply refers to the accumulation of household debt, increased gradually during the mid-1990s but more than doubled from 1998 to 2003. Interestingly enough, the rate at which households accumulated financial assets increased rapidly from exactly the same date, also more than doubling from 1998 to 2003. In a mechanical sense, this is why consumption has not risen as a share of household post-tax income over</w:t>
      </w:r>
      <w:r>
        <w:rPr>
          <w:spacing w:val="-2"/>
        </w:rPr>
        <w:t> </w:t>
      </w:r>
      <w:r>
        <w:rPr/>
        <w:t>this</w:t>
      </w:r>
    </w:p>
    <w:p>
      <w:pPr>
        <w:spacing w:after="0" w:line="360" w:lineRule="auto"/>
        <w:sectPr>
          <w:pgSz w:w="11900" w:h="16840"/>
          <w:pgMar w:header="716" w:footer="0" w:top="1340" w:bottom="280" w:left="600" w:right="400"/>
        </w:sectPr>
      </w:pPr>
    </w:p>
    <w:p>
      <w:pPr>
        <w:pStyle w:val="BodyText"/>
        <w:spacing w:line="360" w:lineRule="auto" w:before="80"/>
        <w:ind w:left="1199" w:right="1443"/>
      </w:pPr>
      <w:r>
        <w:rPr/>
        <w:t>period. During this period when the rate of household debt accumulation has been rising rapidly, the rate of household financial asset accumulation has also been rising rapidly. So is this just a happy accident, or are there reasons why the accumulation of debt and assets might be related? The first point to note is that it seems unlikely that the households which are accumulating this extra debt are the same households which are accumulating the extra financial assets. Indeed, we know that most of the new debt is secured on houses (see the last two columns in Table 1) so a good part of it will be associated with the accumulation of housing assets by individual households. In aggregate, on the other hand, this is not the case because most house purchases simply involve one household buying a house from another household, with little net accumulation of housing assets in</w:t>
      </w:r>
      <w:r>
        <w:rPr>
          <w:spacing w:val="-4"/>
        </w:rPr>
        <w:t> </w:t>
      </w:r>
      <w:r>
        <w:rPr/>
        <w:t>aggregate.</w:t>
      </w:r>
    </w:p>
    <w:p>
      <w:pPr>
        <w:pStyle w:val="BodyText"/>
        <w:spacing w:before="1"/>
        <w:rPr>
          <w:sz w:val="36"/>
        </w:rPr>
      </w:pPr>
    </w:p>
    <w:p>
      <w:pPr>
        <w:pStyle w:val="BodyText"/>
        <w:spacing w:line="360" w:lineRule="auto"/>
        <w:ind w:left="1199" w:right="1448"/>
      </w:pPr>
      <w:r>
        <w:rPr/>
        <w:t>So any possible systematic connection between debt accumulation and financial asset accumulation will typically involve more than one household. An obvious example is when a household takes out a substantial mortgage to purchase a house from a last- time seller who has no mortgage and is either moving into rented accommodation (e.g. an old peoples’ home) or has received the property as an inheritance. In either case it is entirely plausible that the seller will invest the money from the sale of the property in financial assets and we see a direct correspondence between the increase in household debt generated by the buyer and the accumulation of financial assets by the seller. Furthermore, as house prices rise, we can expect both debt accumulation and financial asset accumulation to be bigger in each transaction of this</w:t>
      </w:r>
      <w:r>
        <w:rPr>
          <w:spacing w:val="-12"/>
        </w:rPr>
        <w:t> </w:t>
      </w:r>
      <w:r>
        <w:rPr/>
        <w:t>type.</w:t>
      </w:r>
    </w:p>
    <w:p>
      <w:pPr>
        <w:pStyle w:val="BodyText"/>
        <w:spacing w:before="10"/>
        <w:rPr>
          <w:sz w:val="35"/>
        </w:rPr>
      </w:pPr>
    </w:p>
    <w:p>
      <w:pPr>
        <w:pStyle w:val="BodyText"/>
        <w:spacing w:line="360" w:lineRule="auto" w:before="1"/>
        <w:ind w:left="1199" w:right="1472"/>
      </w:pPr>
      <w:r>
        <w:rPr/>
        <w:t>So it is clear from this example that some housing transactions will generate both net increases in debt and net increases in asset accumulation. Interestingly enough this example involves mortgage equity withdrawal because there has been an increase in aggregate secured debt and no aggregate housing investment. So here we have an example of mortgage equity withdrawal which does not involve additional consumption. Of course, there are other housing transactions which lead directly to both mortgage equity withdrawal and increased consumption. The obvious example is where households simply borrow more by raising the mortgage on their existing property. But it is important to recognise that the majority of mortgage equity withdrawal is not of this type and leads not to increased consumption but to increased financial asset accumulation (see Benito and Power, 2004 for more detail). That</w:t>
      </w:r>
      <w:r>
        <w:rPr>
          <w:spacing w:val="-5"/>
        </w:rPr>
        <w:t> </w:t>
      </w:r>
      <w:r>
        <w:rPr/>
        <w:t>is</w:t>
      </w:r>
    </w:p>
    <w:p>
      <w:pPr>
        <w:spacing w:after="0" w:line="360" w:lineRule="auto"/>
        <w:sectPr>
          <w:pgSz w:w="11900" w:h="16840"/>
          <w:pgMar w:header="716" w:footer="0" w:top="1340" w:bottom="280" w:left="600" w:right="400"/>
        </w:sectPr>
      </w:pPr>
    </w:p>
    <w:p>
      <w:pPr>
        <w:pStyle w:val="BodyText"/>
        <w:spacing w:line="360" w:lineRule="auto" w:before="80"/>
        <w:ind w:left="1200" w:right="1449"/>
      </w:pPr>
      <w:r>
        <w:rPr/>
        <w:t>why the rates of accumulation of financial liabilities and of financial assets have risen together, leaving the proportion of post-tax household income which is consumed remarkably stable in recent years (note that the savings rate in 1998/9 was 5.6% and in 2003 it was 5.4%).</w:t>
      </w:r>
    </w:p>
    <w:p>
      <w:pPr>
        <w:pStyle w:val="BodyText"/>
        <w:rPr>
          <w:sz w:val="36"/>
        </w:rPr>
      </w:pPr>
    </w:p>
    <w:p>
      <w:pPr>
        <w:pStyle w:val="BodyText"/>
        <w:spacing w:line="360" w:lineRule="auto" w:before="1"/>
        <w:ind w:left="1199" w:right="1512"/>
        <w:jc w:val="both"/>
      </w:pPr>
      <w:r>
        <w:rPr/>
        <w:t>So to summarise, what we have seen is first, the average quarterly growth rate of real consumption over the period 2000-2003 has been almost exactly equal to the average growth rate over the last twenty five years, so there was no consumption boom.</w:t>
      </w:r>
    </w:p>
    <w:p>
      <w:pPr>
        <w:pStyle w:val="BodyText"/>
        <w:spacing w:line="360" w:lineRule="auto"/>
        <w:ind w:left="1199" w:right="1479"/>
      </w:pPr>
      <w:r>
        <w:rPr/>
        <w:t>Second, from 1998 to 2003 the proportion of their post-tax income which has been consumed by households has been stable, despite the fact that mortgage equity withdrawal plus unsecured credit has grown from 2 per cent of post-tax income to nearly 10 per cent of post-tax income over the same period. Third, these two apparently inconsistent facts are reconciled by the fact that since 1998, the increasing rate of accumulation of debt by households has been closely matched by the increasing rate of accumulation of financial assets. Furthermore, this is not an accident. There are good reasons why aggregate secured debt accumulation and aggregate financial asset accumulation might be related, particularly in a period of rapidly rising house prices. Finally, therefore, there is no strong relationship between aggregate consumption growth and aggregate debt accumulation.</w:t>
      </w:r>
      <w:r>
        <w:rPr>
          <w:vertAlign w:val="superscript"/>
        </w:rPr>
        <w:t>4</w:t>
      </w:r>
      <w:r>
        <w:rPr>
          <w:vertAlign w:val="baseline"/>
        </w:rPr>
        <w:t> In the light of these facts, should the level of household debt have any impact on monetary</w:t>
      </w:r>
      <w:r>
        <w:rPr>
          <w:spacing w:val="-12"/>
          <w:vertAlign w:val="baseline"/>
        </w:rPr>
        <w:t> </w:t>
      </w:r>
      <w:r>
        <w:rPr>
          <w:vertAlign w:val="baseline"/>
        </w:rPr>
        <w:t>policy?</w:t>
      </w:r>
    </w:p>
    <w:p>
      <w:pPr>
        <w:pStyle w:val="BodyText"/>
        <w:spacing w:before="10"/>
        <w:rPr>
          <w:sz w:val="35"/>
        </w:rPr>
      </w:pPr>
    </w:p>
    <w:p>
      <w:pPr>
        <w:pStyle w:val="BodyText"/>
        <w:ind w:left="1200"/>
      </w:pPr>
      <w:r>
        <w:rPr>
          <w:u w:val="single"/>
        </w:rPr>
        <w:t>High Levels of Debt and Monetary Policy</w:t>
      </w:r>
    </w:p>
    <w:p>
      <w:pPr>
        <w:spacing w:line="360" w:lineRule="auto" w:before="138"/>
        <w:ind w:left="1199" w:right="1403" w:firstLine="0"/>
        <w:jc w:val="left"/>
        <w:rPr>
          <w:sz w:val="24"/>
        </w:rPr>
      </w:pPr>
      <w:r>
        <w:rPr>
          <w:sz w:val="24"/>
        </w:rPr>
        <w:t>In the MPC minutes of October 2002, the first reason for leaving interest rates unchanged was “</w:t>
      </w:r>
      <w:r>
        <w:rPr>
          <w:i/>
          <w:sz w:val="24"/>
        </w:rPr>
        <w:t>Domestic demand was still quite resilient and the economy was </w:t>
      </w:r>
      <w:r>
        <w:rPr>
          <w:i/>
          <w:sz w:val="24"/>
        </w:rPr>
        <w:t>growing close to potential. An interest rate reduction seemed likely at present predominantly to affect house prices, household borrowing and consumption which were already increasing strongly. A further reduction in the repo rate risked creating an unsustainable increase in debt which might subsequently unwind sharply. This would increase the risk of undershooting the inflation target in the medium term</w:t>
      </w:r>
      <w:r>
        <w:rPr>
          <w:sz w:val="24"/>
        </w:rPr>
        <w:t>”. I did not accept this view and voted for a rate cut. As I noted in Nickell (2003a), “</w:t>
      </w:r>
      <w:r>
        <w:rPr>
          <w:i/>
          <w:sz w:val="24"/>
        </w:rPr>
        <w:t>Since </w:t>
      </w:r>
      <w:r>
        <w:rPr>
          <w:i/>
          <w:sz w:val="24"/>
        </w:rPr>
        <w:t>the most likely outcome was for inflation to undershoot the target throughout 2004, albeit by a small margin, I judged that it was better to institute a small cut in rates rather than hold off for fear of exacerbating problems of uncertain magnitude yet further into the future</w:t>
      </w:r>
      <w:r>
        <w:rPr>
          <w:sz w:val="24"/>
        </w:rPr>
        <w:t>”.</w:t>
      </w:r>
    </w:p>
    <w:p>
      <w:pPr>
        <w:spacing w:after="0" w:line="360" w:lineRule="auto"/>
        <w:jc w:val="left"/>
        <w:rPr>
          <w:sz w:val="24"/>
        </w:rPr>
        <w:sectPr>
          <w:pgSz w:w="11900" w:h="16840"/>
          <w:pgMar w:header="716" w:footer="0" w:top="1340" w:bottom="280" w:left="600" w:right="400"/>
        </w:sectPr>
      </w:pPr>
    </w:p>
    <w:p>
      <w:pPr>
        <w:pStyle w:val="BodyText"/>
        <w:rPr>
          <w:sz w:val="20"/>
        </w:rPr>
      </w:pPr>
    </w:p>
    <w:p>
      <w:pPr>
        <w:pStyle w:val="BodyText"/>
        <w:rPr>
          <w:sz w:val="23"/>
        </w:rPr>
      </w:pPr>
    </w:p>
    <w:p>
      <w:pPr>
        <w:pStyle w:val="BodyText"/>
        <w:spacing w:line="360" w:lineRule="auto"/>
        <w:ind w:left="1199" w:right="1448"/>
      </w:pPr>
      <w:r>
        <w:rPr/>
        <w:t>To pursue the issue of debt and monetary policy further, it is helpful to have some background on household debt in the UK. In 1975, household debt was around 38% of household post-tax income. By 2004, this had risen to around 125%. Currently, over four-fifths of household debt is secured on property, ie. consists of mortgages, and around 95% of </w:t>
      </w:r>
      <w:r>
        <w:rPr>
          <w:u w:val="single"/>
        </w:rPr>
        <w:t>all</w:t>
      </w:r>
      <w:r>
        <w:rPr/>
        <w:t> household debt is held by mortgagors (see May et al., 2004). The driving force behind the dramatic rise in household debt over the last thirty years has been the continuing rise in the number of owner-occupied dwellings and in the proportion of households with a mortgage. Other factors lying behind the rise in secured debt include the reduction in the “front end loading” of mortgage repayments as inflation and nominal interest rates have fallen, leading to higher loan to income ratios for first-time buyers, as well as the significant increase in house prices relative to incomes in recent years. This latter has led to higher mortgages relative to incomes and will continue to do so as lower “old mortgages” get replaced by higher “new mortgages”. This process will go on for many years unless there is a dramatic fall in house prices, so that debt to income ratios will continue to rise to ever higher</w:t>
      </w:r>
      <w:r>
        <w:rPr>
          <w:spacing w:val="-12"/>
        </w:rPr>
        <w:t> </w:t>
      </w:r>
      <w:r>
        <w:rPr/>
        <w:t>levels.</w:t>
      </w:r>
    </w:p>
    <w:p>
      <w:pPr>
        <w:pStyle w:val="BodyText"/>
        <w:rPr>
          <w:sz w:val="36"/>
        </w:rPr>
      </w:pPr>
    </w:p>
    <w:p>
      <w:pPr>
        <w:pStyle w:val="BodyText"/>
        <w:spacing w:line="360" w:lineRule="auto" w:before="1"/>
        <w:ind w:left="1200" w:right="1487"/>
        <w:jc w:val="both"/>
      </w:pPr>
      <w:r>
        <w:rPr/>
        <w:t>So why should high debt levels impact on monetary policy? The naïve argument that more debt means a bigger increase in debt service costs when interest rates go up and hence a bigger fall in income available for consumption, tells only half the story.</w:t>
      </w:r>
    </w:p>
    <w:p>
      <w:pPr>
        <w:pStyle w:val="BodyText"/>
        <w:spacing w:line="360" w:lineRule="auto"/>
        <w:ind w:left="1199" w:right="1410"/>
      </w:pPr>
      <w:r>
        <w:rPr/>
        <w:t>Debtor households on one side of the aggregate balance sheet correspond to creditor households on the other. When interest rates rise, the former have less money to spend on consumption and the latter have correspondingly more money. So in order for debt levels to have an impact on aggregate demand as interest rates change, the debtor households must have a higher marginal propensity to spend than the creditor households. The evidence on this is thin. However, there is some evidence that a significant proportion of interest payments made by UK debtors does not end up in the hands of other UK households. So when interest rates rise, aggregate income available for household consumption will indeed decline. Such cash-flow effects suggest that higher </w:t>
      </w:r>
      <w:r>
        <w:rPr>
          <w:u w:val="single"/>
        </w:rPr>
        <w:t>levels</w:t>
      </w:r>
      <w:r>
        <w:rPr/>
        <w:t> of household debt will make consumption, and hence output and inflation, more sensitive to interest rate changes. This, of course, indicates that higher levels of household debt would reduce the extent of the interest rate adjustments required to hit an inflation</w:t>
      </w:r>
      <w:r>
        <w:rPr>
          <w:spacing w:val="-7"/>
        </w:rPr>
        <w:t> </w:t>
      </w:r>
      <w:r>
        <w:rPr/>
        <w:t>target.</w:t>
      </w:r>
    </w:p>
    <w:p>
      <w:pPr>
        <w:spacing w:after="0" w:line="360" w:lineRule="auto"/>
        <w:sectPr>
          <w:pgSz w:w="11900" w:h="16840"/>
          <w:pgMar w:header="716" w:footer="0" w:top="1340" w:bottom="280" w:left="600" w:right="400"/>
        </w:sectPr>
      </w:pPr>
    </w:p>
    <w:p>
      <w:pPr>
        <w:pStyle w:val="BodyText"/>
        <w:spacing w:line="360" w:lineRule="auto" w:before="80"/>
        <w:ind w:left="1199" w:right="1437"/>
      </w:pPr>
      <w:r>
        <w:rPr/>
        <w:t>Three further arguments have been suggested in support of the view that household debt is a significant factor in the determination of monetary policy. The first concerns the behaviour of the economy in response to shocks if households have high levels of debt. This is, presumably, what the Griffiths’ Commission had in mind when it remarked, a shade dramatically, that “</w:t>
      </w:r>
      <w:r>
        <w:rPr>
          <w:i/>
        </w:rPr>
        <w:t>Debt is a time-bomb which could be triggered </w:t>
      </w:r>
      <w:r>
        <w:rPr>
          <w:i/>
        </w:rPr>
        <w:t>by any number of shocks to the economy at any time</w:t>
      </w:r>
      <w:r>
        <w:rPr/>
        <w:t>” (The Griffiths’ Commission, 2005, Executive Summary). Suppose there is a future adverse shock to the UK economy. This will lead to a rise in UK unemployment and a fall in consumption, whatever the debt levels. The argument is that higher debt levels will make things substantially worse. That is because more people will be in a position where they are unable to extend their borrowing. If they become unemployed, or are threatened with unemployment, they will significantly reduce consumption because they will be, or will have the prospect of being, unable to service their debts. The first question is, will higher debt levels put substantially more people in this position? In aggregate, there appears to be “plenty of room”.  Secured debt is only around one quarter of gross housing wealth, a substantially lower level than throughout the 1990s. But the aggregate hides a wide variation across the population and it is the numbers on the margin which count. Comfort may perhaps be taken from the fact that data from the Survey of Mortgage Lenders indicate that loan to value ratios on new mortgages are modest by historical standards and have been trending down for the last</w:t>
      </w:r>
      <w:r>
        <w:rPr>
          <w:spacing w:val="-5"/>
        </w:rPr>
        <w:t> </w:t>
      </w:r>
      <w:r>
        <w:rPr/>
        <w:t>decade.</w:t>
      </w:r>
    </w:p>
    <w:p>
      <w:pPr>
        <w:pStyle w:val="BodyText"/>
        <w:spacing w:line="360" w:lineRule="auto"/>
        <w:ind w:left="1199" w:right="1816"/>
      </w:pPr>
      <w:r>
        <w:rPr/>
        <w:t>Furthermore, there has been a significant demographic shift towards two-earner households over the last two decades and these households have a greater cushion against unemployment.</w:t>
      </w:r>
    </w:p>
    <w:p>
      <w:pPr>
        <w:pStyle w:val="BodyText"/>
        <w:rPr>
          <w:sz w:val="36"/>
        </w:rPr>
      </w:pPr>
    </w:p>
    <w:p>
      <w:pPr>
        <w:pStyle w:val="BodyText"/>
        <w:spacing w:line="360" w:lineRule="auto"/>
        <w:ind w:left="1199" w:right="1482"/>
      </w:pPr>
      <w:r>
        <w:rPr/>
        <w:t>Another point worth noting is that because one of the key issues in this argument is the cost of debt service, this will be moderated by easing of monetary policy following the adverse shock. Back in the early 1990s this option was unavailable because of the ERM constraint. However, the excessive debt may still induce greater precautionary saving and a larger drop in consumption. Overall, it is hard to tell whether higher debt levels will generate a significant additional cut back in consumption which cannot be modified by easier monetary policy.</w:t>
      </w:r>
    </w:p>
    <w:p>
      <w:pPr>
        <w:pStyle w:val="BodyText"/>
        <w:rPr>
          <w:sz w:val="36"/>
        </w:rPr>
      </w:pPr>
    </w:p>
    <w:p>
      <w:pPr>
        <w:pStyle w:val="BodyText"/>
        <w:spacing w:line="360" w:lineRule="auto"/>
        <w:ind w:left="1199" w:right="1476"/>
      </w:pPr>
      <w:r>
        <w:rPr/>
        <w:t>The second argument is based on the possibility that households have underestimated the true real interest rate which they face. So it is sometimes argued that debtors will</w:t>
      </w:r>
    </w:p>
    <w:p>
      <w:pPr>
        <w:spacing w:after="0" w:line="360" w:lineRule="auto"/>
        <w:sectPr>
          <w:pgSz w:w="11900" w:h="16840"/>
          <w:pgMar w:header="716" w:footer="0" w:top="1340" w:bottom="280" w:left="600" w:right="400"/>
        </w:sectPr>
      </w:pPr>
    </w:p>
    <w:p>
      <w:pPr>
        <w:pStyle w:val="BodyText"/>
        <w:spacing w:line="360" w:lineRule="auto" w:before="80"/>
        <w:ind w:left="1200" w:right="1492"/>
      </w:pPr>
      <w:r>
        <w:rPr/>
        <w:t>collectively “wake-up” to the fact that their debts have not been eroded, and will then take fright and cut their consumption dramatically causing severe macroeconomic problems. Why households, particularly mortgage holders who have the bulk of the debt, should do this is not at all clear. It is true that in the era of high inflation, which ended in 1992, debts were rapidly eroded. But the mortgage holders with the highest debts relative to income, namely the young, have no adult experience of the high inflation era. Furthermore, they are the group with the fastest real earnings growth. So while they might behave in the irrational fashion described above, there seems no obvious reason why they</w:t>
      </w:r>
      <w:r>
        <w:rPr>
          <w:spacing w:val="-2"/>
        </w:rPr>
        <w:t> </w:t>
      </w:r>
      <w:r>
        <w:rPr/>
        <w:t>should.</w:t>
      </w:r>
    </w:p>
    <w:p>
      <w:pPr>
        <w:pStyle w:val="BodyText"/>
        <w:spacing w:before="1"/>
        <w:rPr>
          <w:sz w:val="36"/>
        </w:rPr>
      </w:pPr>
    </w:p>
    <w:p>
      <w:pPr>
        <w:pStyle w:val="BodyText"/>
        <w:spacing w:line="360" w:lineRule="auto"/>
        <w:ind w:left="1200" w:right="1440"/>
      </w:pPr>
      <w:r>
        <w:rPr/>
        <w:t>The third argument is very simple. More people with mortgages means more trouble if there is a really serious collapse in the housing market. If house prices fall by 30 or 40 per cent, more people with mortgages means more people in negative equity. Of course, the consequences of this depend to some extent on the behaviour of lenders. If the mortgage debt continues to be treated as secured, even though some is not, then debt service costs remain unchanged. So a lot will then depend on the collateral damage associated with the collapse in the housing market and what caused it in the first place. For example, the house price correction in the late 1980s and early 1990s was basically a consequence of the 15 per cent interest rates required to control inflation. The tight monetary policy also generated a big rise in unemployment and all this together had a big macroeconomic impact. This particular scenario seems unlikely today. But what causes the collapse in house prices is not the main question. The issue is, if some disaster happens in the housing market, does the fact that more people have mortgages make the consequences very much worse? So much worse, indeed, that monetary policy should be used to discourage individuals from taking</w:t>
      </w:r>
      <w:r>
        <w:rPr>
          <w:spacing w:val="-34"/>
        </w:rPr>
        <w:t> </w:t>
      </w:r>
      <w:r>
        <w:rPr/>
        <w:t>out mortgages. In my view, this should not be a target of monetary</w:t>
      </w:r>
      <w:r>
        <w:rPr>
          <w:spacing w:val="-2"/>
        </w:rPr>
        <w:t> </w:t>
      </w:r>
      <w:r>
        <w:rPr/>
        <w:t>policy.</w:t>
      </w:r>
    </w:p>
    <w:p>
      <w:pPr>
        <w:pStyle w:val="BodyText"/>
        <w:spacing w:before="10"/>
        <w:rPr>
          <w:sz w:val="35"/>
        </w:rPr>
      </w:pPr>
    </w:p>
    <w:p>
      <w:pPr>
        <w:pStyle w:val="BodyText"/>
        <w:spacing w:line="360" w:lineRule="auto" w:before="1"/>
        <w:ind w:left="1199" w:right="1390"/>
      </w:pPr>
      <w:r>
        <w:rPr/>
        <w:t>This leads to the final question, namely, should we ever keep interest rates higher than would be required to hit the inflation target in the medium term in order not to encourage further debt accumulation, because this will add to the risk of sharper falls in consumption generating an even bigger undershoot of the inflation target further out? In the light of all the previous discussion, my judgment would be no.</w:t>
      </w:r>
    </w:p>
    <w:p>
      <w:pPr>
        <w:spacing w:after="0" w:line="360" w:lineRule="auto"/>
        <w:sectPr>
          <w:pgSz w:w="11900" w:h="16840"/>
          <w:pgMar w:header="716" w:footer="0" w:top="1340" w:bottom="280" w:left="600" w:right="400"/>
        </w:sectPr>
      </w:pPr>
    </w:p>
    <w:p>
      <w:pPr>
        <w:pStyle w:val="Heading1"/>
        <w:numPr>
          <w:ilvl w:val="0"/>
          <w:numId w:val="1"/>
        </w:numPr>
        <w:tabs>
          <w:tab w:pos="3994" w:val="left" w:leader="none"/>
        </w:tabs>
        <w:spacing w:line="240" w:lineRule="auto" w:before="83" w:after="0"/>
        <w:ind w:left="3993" w:right="0" w:hanging="361"/>
        <w:jc w:val="left"/>
        <w:rPr>
          <w:u w:val="none"/>
        </w:rPr>
      </w:pPr>
      <w:r>
        <w:rPr>
          <w:u w:val="thick"/>
        </w:rPr>
        <w:t>Asset Prices and Monetary</w:t>
      </w:r>
      <w:r>
        <w:rPr>
          <w:spacing w:val="-2"/>
          <w:u w:val="thick"/>
        </w:rPr>
        <w:t> </w:t>
      </w:r>
      <w:r>
        <w:rPr>
          <w:u w:val="thick"/>
        </w:rPr>
        <w:t>Policy</w:t>
      </w:r>
    </w:p>
    <w:p>
      <w:pPr>
        <w:pStyle w:val="BodyText"/>
        <w:rPr>
          <w:b/>
          <w:sz w:val="20"/>
        </w:rPr>
      </w:pPr>
    </w:p>
    <w:p>
      <w:pPr>
        <w:pStyle w:val="BodyText"/>
        <w:spacing w:before="11"/>
        <w:rPr>
          <w:b/>
          <w:sz w:val="19"/>
        </w:rPr>
      </w:pPr>
    </w:p>
    <w:p>
      <w:pPr>
        <w:spacing w:line="360" w:lineRule="auto" w:before="90"/>
        <w:ind w:left="1200" w:right="1405" w:firstLine="0"/>
        <w:jc w:val="left"/>
        <w:rPr>
          <w:sz w:val="24"/>
        </w:rPr>
      </w:pPr>
      <w:r>
        <w:rPr>
          <w:sz w:val="24"/>
        </w:rPr>
        <w:t>The role of asset prices in the conduct of monetary policy remains a controversial issue. The consensus view is set out clearly in Bernanke and Gertler (1999), “</w:t>
      </w:r>
      <w:r>
        <w:rPr>
          <w:i/>
          <w:sz w:val="24"/>
        </w:rPr>
        <w:t>It is </w:t>
      </w:r>
      <w:r>
        <w:rPr>
          <w:i/>
          <w:sz w:val="24"/>
        </w:rPr>
        <w:t>neither necessary nor desirable for monetary policy to respond to changes in asset prices, except to the extent that they help to forecast inflationary or deflationary pressures</w:t>
      </w:r>
      <w:r>
        <w:rPr>
          <w:sz w:val="24"/>
        </w:rPr>
        <w:t>” (p.115). The alternative view is set out in Cecchetti et al. (2002), “</w:t>
      </w:r>
      <w:r>
        <w:rPr>
          <w:i/>
          <w:sz w:val="24"/>
        </w:rPr>
        <w:t>There </w:t>
      </w:r>
      <w:r>
        <w:rPr>
          <w:i/>
          <w:sz w:val="24"/>
        </w:rPr>
        <w:t>are sound theoretical reasons for believing that an inflation targeting central bank might improve macroeconomic performance by reacting to asset price misalignments </w:t>
      </w:r>
      <w:r>
        <w:rPr>
          <w:i/>
          <w:sz w:val="24"/>
          <w:u w:val="single"/>
        </w:rPr>
        <w:t>over and above</w:t>
      </w:r>
      <w:r>
        <w:rPr>
          <w:i/>
          <w:sz w:val="24"/>
        </w:rPr>
        <w:t> the deviation of, say, a two-year ahead inflation forecast from target</w:t>
      </w:r>
      <w:r>
        <w:rPr>
          <w:sz w:val="24"/>
        </w:rPr>
        <w:t>.” (Summary).  Roger Bootle (2004) is in no doubt.  “</w:t>
      </w:r>
      <w:r>
        <w:rPr>
          <w:i/>
          <w:sz w:val="24"/>
        </w:rPr>
        <w:t>Now over-concentration on the </w:t>
      </w:r>
      <w:r>
        <w:rPr>
          <w:i/>
          <w:sz w:val="24"/>
        </w:rPr>
        <w:t>last problem – inflation – has encouraged central banks to pay insufficient attention to the new problem before their eyes, namely asset price bubbles</w:t>
      </w:r>
      <w:r>
        <w:rPr>
          <w:sz w:val="24"/>
        </w:rPr>
        <w:t>.”</w:t>
      </w:r>
      <w:r>
        <w:rPr>
          <w:spacing w:val="-13"/>
          <w:sz w:val="24"/>
        </w:rPr>
        <w:t> </w:t>
      </w:r>
      <w:r>
        <w:rPr>
          <w:sz w:val="24"/>
        </w:rPr>
        <w:t>(p.8).</w:t>
      </w:r>
    </w:p>
    <w:p>
      <w:pPr>
        <w:pStyle w:val="BodyText"/>
        <w:rPr>
          <w:sz w:val="36"/>
        </w:rPr>
      </w:pPr>
    </w:p>
    <w:p>
      <w:pPr>
        <w:spacing w:line="360" w:lineRule="auto" w:before="0"/>
        <w:ind w:left="1199" w:right="1439" w:firstLine="0"/>
        <w:jc w:val="left"/>
        <w:rPr>
          <w:sz w:val="24"/>
        </w:rPr>
      </w:pPr>
      <w:r>
        <w:rPr>
          <w:sz w:val="24"/>
        </w:rPr>
        <w:t>Personally, I favour the consensus view for the following reasons. First, as the Cecchetti et al. quote makes clear, asset price misalignments, or bubbles, have to be identified. Since it is often the case that asset prices boom following some improvement in fundamentals, pin-pointing the extent to which asset prices exceed the level implied by fundamentals is by no means straightforward. Second, raising interest rates simply to restrain an asset price boom may reduce one of the shocks hitting the economy. But this will be at the probable expense of systematically moving inflation further from target which will add extra instability of its own. As Chris Allsopp (2002) notes, “</w:t>
      </w:r>
      <w:r>
        <w:rPr>
          <w:i/>
          <w:sz w:val="24"/>
        </w:rPr>
        <w:t>It is hard enough to establish a credible (monetary </w:t>
      </w:r>
      <w:r>
        <w:rPr>
          <w:i/>
          <w:sz w:val="24"/>
        </w:rPr>
        <w:t>policy) reaction function based on clear objectives with the interest rate being used to meet the inflation target …… If the interest rate has another role as well, being used to moderate the shock structure (eg, by heading off bubbles from time to time), the reaction function is far less rule-like and predictable, and the system is less likely to be transparent and accountable</w:t>
      </w:r>
      <w:r>
        <w:rPr>
          <w:sz w:val="24"/>
        </w:rPr>
        <w:t>”</w:t>
      </w:r>
      <w:r>
        <w:rPr>
          <w:spacing w:val="-3"/>
          <w:sz w:val="24"/>
        </w:rPr>
        <w:t> </w:t>
      </w:r>
      <w:r>
        <w:rPr>
          <w:sz w:val="24"/>
        </w:rPr>
        <w:t>(p.18).</w:t>
      </w:r>
    </w:p>
    <w:p>
      <w:pPr>
        <w:pStyle w:val="BodyText"/>
        <w:rPr>
          <w:sz w:val="36"/>
        </w:rPr>
      </w:pPr>
    </w:p>
    <w:p>
      <w:pPr>
        <w:pStyle w:val="BodyText"/>
        <w:spacing w:line="360" w:lineRule="auto"/>
        <w:ind w:left="1199" w:right="1482"/>
      </w:pPr>
      <w:r>
        <w:rPr/>
        <w:t>A third reason to favour the consensus view remains valid even were misalignments or bubbles to be readily identified. The problem is that the relatively long lags in the monetary transmission mechanism make the appropriate response to asset price misalignments very hard to calibrate. For example, there is a big risk that rates are raised and then the asset price bubble bursts just when the deflationary impact of the</w:t>
      </w:r>
    </w:p>
    <w:p>
      <w:pPr>
        <w:spacing w:after="0" w:line="360" w:lineRule="auto"/>
        <w:sectPr>
          <w:pgSz w:w="11900" w:h="16840"/>
          <w:pgMar w:header="716" w:footer="0" w:top="1340" w:bottom="280" w:left="600" w:right="400"/>
        </w:sectPr>
      </w:pPr>
    </w:p>
    <w:p>
      <w:pPr>
        <w:pStyle w:val="BodyText"/>
        <w:spacing w:line="360" w:lineRule="auto" w:before="80"/>
        <w:ind w:left="1200" w:right="1403"/>
      </w:pPr>
      <w:r>
        <w:rPr/>
        <w:t>rate rise hits the economy. As Gruen et al. (2003) demonstrate, even when the nature of the asset price bubble is common knowledge, there is typically only a very narrow window during which action is desirable. Finally, it is quite probable that a large increase in interest rates may be required to have any significant effect on the asset price bubble, and this may have a big adverse impact on the rest of the economy.</w:t>
      </w:r>
    </w:p>
    <w:p>
      <w:pPr>
        <w:pStyle w:val="BodyText"/>
        <w:rPr>
          <w:sz w:val="36"/>
        </w:rPr>
      </w:pPr>
    </w:p>
    <w:p>
      <w:pPr>
        <w:pStyle w:val="BodyText"/>
        <w:spacing w:line="360" w:lineRule="auto" w:before="1"/>
        <w:ind w:left="1200" w:right="1548"/>
      </w:pPr>
      <w:r>
        <w:rPr/>
        <w:t>So these are the factors underlying my own views on the subject of asset prices and monetary policy, but my own experiences have also helped form these views, so it is to these that I now turn.</w:t>
      </w:r>
    </w:p>
    <w:p>
      <w:pPr>
        <w:pStyle w:val="BodyText"/>
        <w:rPr>
          <w:sz w:val="36"/>
        </w:rPr>
      </w:pPr>
    </w:p>
    <w:p>
      <w:pPr>
        <w:pStyle w:val="BodyText"/>
        <w:ind w:left="1200"/>
      </w:pPr>
      <w:r>
        <w:rPr>
          <w:u w:val="single"/>
        </w:rPr>
        <w:t>Asset Prices and Monetary Policy in Practice</w:t>
      </w:r>
    </w:p>
    <w:p>
      <w:pPr>
        <w:pStyle w:val="BodyText"/>
        <w:spacing w:line="360" w:lineRule="auto" w:before="138"/>
        <w:ind w:left="1199" w:right="1482"/>
      </w:pPr>
      <w:r>
        <w:rPr/>
        <w:t>When I joined the MPC in June 2000, the asset price which exercised commentators and members of the MPC alike was the sterling exchange rate. Thus, during my confirmation hearings in front of the Treasury Select Committee in May 2000, Edward Davey MP pointed out to me that “</w:t>
      </w:r>
      <w:r>
        <w:rPr>
          <w:i/>
        </w:rPr>
        <w:t>Mervyn King recently told a press </w:t>
      </w:r>
      <w:r>
        <w:rPr>
          <w:i/>
        </w:rPr>
        <w:t>conference that the biggest issue facing the MPC is how to set monetary policy when confronting an unsustainable exchange rate</w:t>
      </w:r>
      <w:r>
        <w:rPr/>
        <w:t>”, although King was, in fact, referring solely to the Sterling rate against the Euro. Furthermore, the discussion in Wadhwani (2000) made it plain that in his view the current level of the sterling exchange rate represented a significant upward misalignment. As can be seen in Figure 3, between 1996 and 1997, sterling rose by around 25 per cent. Then between 1998 and 2000, it spent most of the time fluctuating between 98 and 110 (using the index whose value was 100 in 1990). It was the dramatic rise in 1996/7 which led people to refer to unsustainability, misalignment and even bubbles. However, as time passed and sterling remained within the 98/110 band, talk of unsustainability and misalignment died away, so that at the time of writing (Summer 2005), with sterling still within the 98/110 band, misalignment of the trade-weighted UK exchange rate is rarely thought to be a major issue for monetary policy. Indeed, some time in early 2002, house prices took over as the relevant asset price for those who wanted monetary policy to react to</w:t>
      </w:r>
      <w:r>
        <w:rPr>
          <w:spacing w:val="-1"/>
        </w:rPr>
        <w:t> </w:t>
      </w:r>
      <w:r>
        <w:rPr/>
        <w:t>misalignments.</w:t>
      </w:r>
    </w:p>
    <w:p>
      <w:pPr>
        <w:pStyle w:val="BodyText"/>
        <w:spacing w:before="11"/>
        <w:rPr>
          <w:sz w:val="35"/>
        </w:rPr>
      </w:pPr>
    </w:p>
    <w:p>
      <w:pPr>
        <w:pStyle w:val="BodyText"/>
        <w:spacing w:line="360" w:lineRule="auto"/>
        <w:ind w:left="1199" w:right="1682"/>
      </w:pPr>
      <w:r>
        <w:rPr/>
        <w:t>Interestingly, those who wish monetary policy to respond specifically to asset price misalignments would have had to switch from a policy of lower interest rates in response to sterling overvaluation to a policy of higher interest rates in response to</w:t>
      </w:r>
    </w:p>
    <w:p>
      <w:pPr>
        <w:spacing w:after="0" w:line="360" w:lineRule="auto"/>
        <w:sectPr>
          <w:pgSz w:w="11900" w:h="16840"/>
          <w:pgMar w:header="716" w:footer="0" w:top="1340" w:bottom="280" w:left="600" w:right="400"/>
        </w:sectPr>
      </w:pPr>
    </w:p>
    <w:p>
      <w:pPr>
        <w:pStyle w:val="BodyText"/>
        <w:spacing w:line="360" w:lineRule="auto" w:before="80"/>
        <w:ind w:left="1200" w:right="1568"/>
      </w:pPr>
      <w:r>
        <w:rPr/>
        <w:t>house price overvaluation. Before discussing the relationship between house prices and monetary policy in recent years, it is helpful to look at the history of house price inflation since the late 1990s and the views of some of the interested parties at the time.</w:t>
      </w:r>
    </w:p>
    <w:p>
      <w:pPr>
        <w:pStyle w:val="BodyText"/>
        <w:rPr>
          <w:sz w:val="36"/>
        </w:rPr>
      </w:pPr>
    </w:p>
    <w:p>
      <w:pPr>
        <w:pStyle w:val="BodyText"/>
        <w:spacing w:before="1"/>
        <w:ind w:left="1200"/>
      </w:pPr>
      <w:r>
        <w:rPr>
          <w:u w:val="single"/>
        </w:rPr>
        <w:t>UK House Prices from the Late 1990s</w:t>
      </w:r>
    </w:p>
    <w:p>
      <w:pPr>
        <w:spacing w:line="360" w:lineRule="auto" w:before="138"/>
        <w:ind w:left="1199" w:right="1424" w:firstLine="0"/>
        <w:jc w:val="left"/>
        <w:rPr>
          <w:sz w:val="24"/>
        </w:rPr>
      </w:pPr>
      <w:r>
        <w:rPr>
          <w:sz w:val="24"/>
        </w:rPr>
        <w:t>From January 1999 to July 2004, house prices</w:t>
      </w:r>
      <w:r>
        <w:rPr>
          <w:sz w:val="24"/>
          <w:vertAlign w:val="superscript"/>
        </w:rPr>
        <w:t>5</w:t>
      </w:r>
      <w:r>
        <w:rPr>
          <w:sz w:val="24"/>
          <w:vertAlign w:val="baseline"/>
        </w:rPr>
        <w:t> in the UK rose by 123% (see Fig.4). But it was only when the ratio of house prices to average earnings started moving rapidly above its long-run average level of around 4 in 2001 (see Fig.5) that commentators started noticing and in April 2002, when the ratio was getting close to 5, John Wriglesworth of Hometrack</w:t>
      </w:r>
      <w:r>
        <w:rPr>
          <w:sz w:val="24"/>
          <w:vertAlign w:val="superscript"/>
        </w:rPr>
        <w:t>6</w:t>
      </w:r>
      <w:r>
        <w:rPr>
          <w:sz w:val="24"/>
          <w:vertAlign w:val="baseline"/>
        </w:rPr>
        <w:t> warned: “</w:t>
      </w:r>
      <w:r>
        <w:rPr>
          <w:i/>
          <w:sz w:val="24"/>
          <w:vertAlign w:val="baseline"/>
        </w:rPr>
        <w:t>The danger is only starting and the </w:t>
      </w:r>
      <w:r>
        <w:rPr>
          <w:i/>
          <w:sz w:val="24"/>
          <w:vertAlign w:val="baseline"/>
        </w:rPr>
        <w:t>seeds have been sown for housing market doom</w:t>
      </w:r>
      <w:r>
        <w:rPr>
          <w:sz w:val="24"/>
          <w:vertAlign w:val="baseline"/>
        </w:rPr>
        <w:t>”. In May 2002, Sushil Wadhwani, in his last month on the MPC, noted: “</w:t>
      </w:r>
      <w:r>
        <w:rPr>
          <w:i/>
          <w:sz w:val="24"/>
          <w:vertAlign w:val="baseline"/>
        </w:rPr>
        <w:t>I believe that a clear signal from monetary </w:t>
      </w:r>
      <w:r>
        <w:rPr>
          <w:i/>
          <w:sz w:val="24"/>
          <w:vertAlign w:val="baseline"/>
        </w:rPr>
        <w:t>policymakers that they would, other things being equal, react to a bubble if one clearly emerged would make the continuance of strong house price growth less likely now” </w:t>
      </w:r>
      <w:r>
        <w:rPr>
          <w:sz w:val="24"/>
          <w:vertAlign w:val="baseline"/>
        </w:rPr>
        <w:t>(Wadhwani, 2002, p.21).</w:t>
      </w:r>
    </w:p>
    <w:p>
      <w:pPr>
        <w:pStyle w:val="BodyText"/>
        <w:rPr>
          <w:sz w:val="36"/>
        </w:rPr>
      </w:pPr>
    </w:p>
    <w:p>
      <w:pPr>
        <w:pStyle w:val="BodyText"/>
        <w:spacing w:line="360" w:lineRule="auto"/>
        <w:ind w:left="1200" w:right="1600"/>
      </w:pPr>
      <w:r>
        <w:rPr/>
        <w:t>By November 1992, Andrew Oswald in a piece dramatically entitled “The Great 2003-2005 Crash in Britain’s Housing Market”, revealed that from the summer of 2003, he expected house prices to fall by 30 per cent and his advice to house owners was stark, namely “</w:t>
      </w:r>
      <w:r>
        <w:rPr>
          <w:i/>
        </w:rPr>
        <w:t>Sell now</w:t>
      </w:r>
      <w:r>
        <w:rPr/>
        <w:t>” (Oswald, 2002, p.2</w:t>
      </w:r>
      <w:r>
        <w:rPr>
          <w:spacing w:val="58"/>
        </w:rPr>
        <w:t> </w:t>
      </w:r>
      <w:r>
        <w:rPr/>
        <w:t>).</w:t>
      </w:r>
    </w:p>
    <w:p>
      <w:pPr>
        <w:pStyle w:val="BodyText"/>
        <w:spacing w:before="10"/>
        <w:rPr>
          <w:sz w:val="35"/>
        </w:rPr>
      </w:pPr>
    </w:p>
    <w:p>
      <w:pPr>
        <w:spacing w:line="360" w:lineRule="auto" w:before="0"/>
        <w:ind w:left="1200" w:right="1548" w:firstLine="0"/>
        <w:jc w:val="left"/>
        <w:rPr>
          <w:sz w:val="24"/>
        </w:rPr>
      </w:pPr>
      <w:r>
        <w:rPr>
          <w:sz w:val="24"/>
        </w:rPr>
        <w:t>Andrew Farlow indicated there was a housing bubble and asked “</w:t>
      </w:r>
      <w:r>
        <w:rPr>
          <w:i/>
          <w:sz w:val="24"/>
        </w:rPr>
        <w:t>How will the </w:t>
      </w:r>
      <w:r>
        <w:rPr>
          <w:i/>
          <w:sz w:val="24"/>
        </w:rPr>
        <w:t>bursting of the current UK house price bubble look?</w:t>
      </w:r>
      <w:r>
        <w:rPr>
          <w:sz w:val="24"/>
        </w:rPr>
        <w:t>”. The answer is “</w:t>
      </w:r>
      <w:r>
        <w:rPr>
          <w:i/>
          <w:sz w:val="24"/>
        </w:rPr>
        <w:t>At some point </w:t>
      </w:r>
      <w:r>
        <w:rPr>
          <w:i/>
          <w:sz w:val="24"/>
        </w:rPr>
        <w:t>it will either deflate gently or burst dramatically. And evidence overwhelmingly supports the latter</w:t>
      </w:r>
      <w:r>
        <w:rPr>
          <w:sz w:val="24"/>
        </w:rPr>
        <w:t>” (Farlow, 2002, p.3).</w:t>
      </w:r>
    </w:p>
    <w:p>
      <w:pPr>
        <w:pStyle w:val="BodyText"/>
        <w:rPr>
          <w:sz w:val="36"/>
        </w:rPr>
      </w:pPr>
    </w:p>
    <w:p>
      <w:pPr>
        <w:spacing w:line="360" w:lineRule="auto" w:before="1"/>
        <w:ind w:left="1200" w:right="1403" w:firstLine="0"/>
        <w:jc w:val="left"/>
        <w:rPr>
          <w:sz w:val="24"/>
        </w:rPr>
      </w:pPr>
      <w:r>
        <w:rPr>
          <w:sz w:val="24"/>
        </w:rPr>
        <w:t>One year later, in November 2003, house prices were 16 per cent up on a year before and some commentators were taking a rather different line. “</w:t>
      </w:r>
      <w:r>
        <w:rPr>
          <w:i/>
          <w:sz w:val="24"/>
        </w:rPr>
        <w:t>There is more chance of </w:t>
      </w:r>
      <w:r>
        <w:rPr>
          <w:i/>
          <w:sz w:val="24"/>
        </w:rPr>
        <w:t>finding Elvis on the moon than there is of a house-price crash next year</w:t>
      </w:r>
      <w:r>
        <w:rPr>
          <w:sz w:val="24"/>
        </w:rPr>
        <w:t>”, (John Wriglesworth, November 2003). By April 2004, house prices were up a further 9 per cent and warnings of doom were everywhere. For example, Tony Dye remarked “</w:t>
      </w:r>
      <w:r>
        <w:rPr>
          <w:i/>
          <w:sz w:val="24"/>
        </w:rPr>
        <w:t>It </w:t>
      </w:r>
      <w:r>
        <w:rPr>
          <w:i/>
          <w:sz w:val="24"/>
        </w:rPr>
        <w:t>will all end in tears. I have thought this for some time, but I think we really are probably somewhere near the end of it</w:t>
      </w:r>
      <w:r>
        <w:rPr>
          <w:sz w:val="24"/>
        </w:rPr>
        <w:t>” (April 2004). He was backed up by Gavin</w:t>
      </w:r>
    </w:p>
    <w:p>
      <w:pPr>
        <w:spacing w:after="0" w:line="360" w:lineRule="auto"/>
        <w:jc w:val="left"/>
        <w:rPr>
          <w:sz w:val="24"/>
        </w:rPr>
        <w:sectPr>
          <w:pgSz w:w="11900" w:h="16840"/>
          <w:pgMar w:header="716" w:footer="0" w:top="1340" w:bottom="280" w:left="600" w:right="400"/>
        </w:sectPr>
      </w:pPr>
    </w:p>
    <w:p>
      <w:pPr>
        <w:spacing w:line="360" w:lineRule="auto" w:before="80"/>
        <w:ind w:left="1199" w:right="1462" w:firstLine="0"/>
        <w:jc w:val="left"/>
        <w:rPr>
          <w:sz w:val="24"/>
        </w:rPr>
      </w:pPr>
      <w:r>
        <w:rPr>
          <w:sz w:val="24"/>
        </w:rPr>
        <w:t>Cameron – “</w:t>
      </w:r>
      <w:r>
        <w:rPr>
          <w:i/>
          <w:sz w:val="24"/>
        </w:rPr>
        <w:t>No overvaluation of this kind has been corrected without a crash</w:t>
      </w:r>
      <w:r>
        <w:rPr>
          <w:sz w:val="24"/>
        </w:rPr>
        <w:t>” (April 2004), Andrew Oswald – “</w:t>
      </w:r>
      <w:r>
        <w:rPr>
          <w:i/>
          <w:sz w:val="24"/>
        </w:rPr>
        <w:t>Herd instinct and confidence is holding up the market but </w:t>
      </w:r>
      <w:r>
        <w:rPr>
          <w:i/>
          <w:sz w:val="24"/>
        </w:rPr>
        <w:t>in the long run, that won’t work</w:t>
      </w:r>
      <w:r>
        <w:rPr>
          <w:sz w:val="24"/>
        </w:rPr>
        <w:t>” (April 2004) and Martin Wolf – “</w:t>
      </w:r>
      <w:r>
        <w:rPr>
          <w:i/>
          <w:sz w:val="24"/>
        </w:rPr>
        <w:t>Nobody knows </w:t>
      </w:r>
      <w:r>
        <w:rPr>
          <w:i/>
          <w:sz w:val="24"/>
        </w:rPr>
        <w:t>when the bust will come. But come, I believe, it will</w:t>
      </w:r>
      <w:r>
        <w:rPr>
          <w:sz w:val="24"/>
        </w:rPr>
        <w:t>” (Financial Times, 16 April 2004). However, others were sceptical about a crash. Stephen Bell (Deutsche Bank) “</w:t>
      </w:r>
      <w:r>
        <w:rPr>
          <w:i/>
          <w:sz w:val="24"/>
        </w:rPr>
        <w:t>Would happily wager £100 for charity that Tony Dye’s forecast is wrong</w:t>
      </w:r>
      <w:r>
        <w:rPr>
          <w:sz w:val="24"/>
        </w:rPr>
        <w:t>” (April 2004).</w:t>
      </w:r>
    </w:p>
    <w:p>
      <w:pPr>
        <w:pStyle w:val="BodyText"/>
        <w:rPr>
          <w:sz w:val="36"/>
        </w:rPr>
      </w:pPr>
    </w:p>
    <w:p>
      <w:pPr>
        <w:spacing w:line="360" w:lineRule="auto" w:before="1"/>
        <w:ind w:left="1200" w:right="1569" w:firstLine="0"/>
        <w:jc w:val="left"/>
        <w:rPr>
          <w:sz w:val="24"/>
        </w:rPr>
      </w:pPr>
      <w:r>
        <w:rPr>
          <w:sz w:val="24"/>
        </w:rPr>
        <w:t>In July 2004 house prices more or less stopped rising and by November 2004, Phil Spencer felt able to remark that “</w:t>
      </w:r>
      <w:r>
        <w:rPr>
          <w:i/>
          <w:sz w:val="24"/>
        </w:rPr>
        <w:t>Public sentiment has finally accepted there will not </w:t>
      </w:r>
      <w:r>
        <w:rPr>
          <w:i/>
          <w:sz w:val="24"/>
        </w:rPr>
        <w:t>be a crash</w:t>
      </w:r>
      <w:r>
        <w:rPr>
          <w:sz w:val="24"/>
        </w:rPr>
        <w:t>”. At the time of writing (September 2005) there has been no sign of a crash with house prices up a little since the previous July.</w:t>
      </w:r>
    </w:p>
    <w:p>
      <w:pPr>
        <w:pStyle w:val="BodyText"/>
        <w:rPr>
          <w:sz w:val="36"/>
        </w:rPr>
      </w:pPr>
    </w:p>
    <w:p>
      <w:pPr>
        <w:pStyle w:val="BodyText"/>
        <w:spacing w:line="360" w:lineRule="auto"/>
        <w:ind w:left="1199" w:right="1429"/>
      </w:pPr>
      <w:r>
        <w:rPr/>
        <w:t>So what does this pundit based history of house prices reveal from the perspective of a monetary policy maker? First, as Mervyn King remarked in June 2004, “</w:t>
      </w:r>
      <w:r>
        <w:rPr>
          <w:i/>
        </w:rPr>
        <w:t>You’d have </w:t>
      </w:r>
      <w:r>
        <w:rPr>
          <w:i/>
        </w:rPr>
        <w:t>to be either mad or a publicity seeker to predict what is going to happen to house prices</w:t>
      </w:r>
      <w:r>
        <w:rPr/>
        <w:t>”. But the key feature of this history is the fact that commentators (either implicitly or explicitly) disagreed significantly on the long-run equilibrium level of house prices, on where house prices were heading and on the extent to which there was a misalignment or bubble. So how does this relate to monetary</w:t>
      </w:r>
      <w:r>
        <w:rPr>
          <w:spacing w:val="-4"/>
        </w:rPr>
        <w:t> </w:t>
      </w:r>
      <w:r>
        <w:rPr/>
        <w:t>policy?</w:t>
      </w:r>
    </w:p>
    <w:p>
      <w:pPr>
        <w:pStyle w:val="BodyText"/>
        <w:spacing w:before="10"/>
        <w:rPr>
          <w:sz w:val="35"/>
        </w:rPr>
      </w:pPr>
    </w:p>
    <w:p>
      <w:pPr>
        <w:pStyle w:val="BodyText"/>
        <w:ind w:left="1200"/>
      </w:pPr>
      <w:r>
        <w:rPr>
          <w:u w:val="single"/>
        </w:rPr>
        <w:t>UK Monetary Policy and the Housing Market since the late 1990s</w:t>
      </w:r>
    </w:p>
    <w:p>
      <w:pPr>
        <w:pStyle w:val="BodyText"/>
        <w:spacing w:line="360" w:lineRule="auto" w:before="138"/>
        <w:ind w:left="1199" w:right="1431"/>
      </w:pPr>
      <w:r>
        <w:rPr/>
        <w:t>House prices are relevant for the operation of monetary policy irrespective of whether or not it responds to asset price misalignments because of the positive empirical relationship in the UK between house price inflation and household consumption growth</w:t>
      </w:r>
      <w:r>
        <w:rPr>
          <w:vertAlign w:val="superscript"/>
        </w:rPr>
        <w:t>7</w:t>
      </w:r>
      <w:r>
        <w:rPr>
          <w:vertAlign w:val="baseline"/>
        </w:rPr>
        <w:t> and hence future inflation. Thus, in the words of Bernanke and Gertler (1999), current house price inflation “</w:t>
      </w:r>
      <w:r>
        <w:rPr>
          <w:i/>
          <w:vertAlign w:val="baseline"/>
        </w:rPr>
        <w:t>Helps to forecast inflationary or deflationary </w:t>
      </w:r>
      <w:r>
        <w:rPr>
          <w:i/>
          <w:vertAlign w:val="baseline"/>
        </w:rPr>
        <w:t>pressures</w:t>
      </w:r>
      <w:r>
        <w:rPr>
          <w:vertAlign w:val="baseline"/>
        </w:rPr>
        <w:t>”.</w:t>
      </w:r>
    </w:p>
    <w:p>
      <w:pPr>
        <w:pStyle w:val="BodyText"/>
        <w:spacing w:before="1"/>
        <w:rPr>
          <w:sz w:val="36"/>
        </w:rPr>
      </w:pPr>
    </w:p>
    <w:p>
      <w:pPr>
        <w:pStyle w:val="BodyText"/>
        <w:spacing w:line="360" w:lineRule="auto"/>
        <w:ind w:left="1200" w:right="1548"/>
      </w:pPr>
      <w:r>
        <w:rPr/>
        <w:t>As we have already seen, it appears to be particularly difficult to pin down the equilibrium level of house prices. Many start from Fig.5 and some simply argue that it is clear that the ratio of house prices to average earnings is stationary and that the equilibrium value of this ratio is at, or close to, its long-run average. So, by mid-</w:t>
      </w:r>
    </w:p>
    <w:p>
      <w:pPr>
        <w:spacing w:after="0" w:line="360" w:lineRule="auto"/>
        <w:sectPr>
          <w:pgSz w:w="11900" w:h="16840"/>
          <w:pgMar w:header="716" w:footer="0" w:top="1340" w:bottom="280" w:left="600" w:right="400"/>
        </w:sectPr>
      </w:pPr>
    </w:p>
    <w:p>
      <w:pPr>
        <w:pStyle w:val="BodyText"/>
        <w:spacing w:line="360" w:lineRule="auto" w:before="80"/>
        <w:ind w:left="1199" w:right="1636"/>
      </w:pPr>
      <w:r>
        <w:rPr/>
        <w:t>2004, house prices were a little over six times average earnings and this ratio would have had to fall by around 35% to reach its average level since 1982.</w:t>
      </w:r>
    </w:p>
    <w:p>
      <w:pPr>
        <w:pStyle w:val="BodyText"/>
        <w:rPr>
          <w:sz w:val="36"/>
        </w:rPr>
      </w:pPr>
    </w:p>
    <w:p>
      <w:pPr>
        <w:pStyle w:val="BodyText"/>
        <w:spacing w:line="360" w:lineRule="auto" w:before="1"/>
        <w:ind w:left="1199" w:right="1517"/>
      </w:pPr>
      <w:r>
        <w:rPr/>
        <w:t>The first obvious point is that the level of individual earnings is not the natural denominator. Rather, average household disposable income seems more reasonable. This is relevant because the proportion of two-earner households has been rising steadily over the last twenty five years. So if we restrict ourselves to the top 70% of income earners, because the majority of the rest are on state benefits and are unlikely to be in the market for houses, we see from Figure 6 that the ratio of house prices to the average household income of the top 70% of households was around 3.7 in mid- 2004 and would have had to fall by about 32 % to reach its average level since 1982, a fall which is some 3 percentage points lower than if we use earnings in the denominator. This fall is still substantial, however, so why might the equilibrium ratio have risen in recent years?</w:t>
      </w:r>
    </w:p>
    <w:p>
      <w:pPr>
        <w:pStyle w:val="BodyText"/>
        <w:rPr>
          <w:sz w:val="36"/>
        </w:rPr>
      </w:pPr>
    </w:p>
    <w:p>
      <w:pPr>
        <w:pStyle w:val="BodyText"/>
        <w:spacing w:line="360" w:lineRule="auto"/>
        <w:ind w:left="1199" w:right="1403"/>
      </w:pPr>
      <w:r>
        <w:rPr/>
        <w:t>There are three factors which may be of some significance. First, the rate at which new dwellings are being built is at an historically low level whereas, for a variety of reasons, the growth in the population of working age and the net rate of formation of new households is relatively high (high divorce rates, high immigration rates etc)</w:t>
      </w:r>
      <w:r>
        <w:rPr>
          <w:vertAlign w:val="superscript"/>
        </w:rPr>
        <w:t>8</w:t>
      </w:r>
      <w:r>
        <w:rPr>
          <w:vertAlign w:val="baseline"/>
        </w:rPr>
        <w:t>. Second, the disappearance of the front end loading problem when inflation rates and nominal interest rates are low. For example, it might be quite sensible for young professionals to borrow, and for banks to lend them, four or even five times annual earnings to purchase a house given both their very high level of job security and their very rapid rate of prospective earnings growth. But in times of high inflation and high nominal interest rates, this is not possible. For example, suppose real interest rates are 3%. Then if inflation is 12% and nominal interest rates are 15%, a person borrowing four times their annual pre-tax salary will be paying over 60% of this pre-tax salary in mortgage payments in the first year – this simply cannot be done. Of course, in later years this proportion will fall rapidly. Nevertheless, the early years will provide a binding constraint on the multiple of earnings households can borrow.</w:t>
      </w:r>
      <w:r>
        <w:rPr>
          <w:vertAlign w:val="superscript"/>
        </w:rPr>
        <w:t>9</w:t>
      </w:r>
      <w:r>
        <w:rPr>
          <w:vertAlign w:val="baseline"/>
        </w:rPr>
        <w:t> In a low inflation environment, this binding constraint disappears. If inflation is 2% and nominal interest rates are 5%, an individual borrowing four times their annual salary will only be paying 20% of it in mortgage payments in the first year. Perfectly possible. So the elimination of this constraint as we have gradually moved from</w:t>
      </w:r>
      <w:r>
        <w:rPr>
          <w:spacing w:val="-13"/>
          <w:vertAlign w:val="baseline"/>
        </w:rPr>
        <w:t> </w:t>
      </w:r>
      <w:r>
        <w:rPr>
          <w:vertAlign w:val="baseline"/>
        </w:rPr>
        <w:t>a</w:t>
      </w:r>
    </w:p>
    <w:p>
      <w:pPr>
        <w:spacing w:after="0" w:line="360" w:lineRule="auto"/>
        <w:sectPr>
          <w:pgSz w:w="11900" w:h="16840"/>
          <w:pgMar w:header="716" w:footer="0" w:top="1340" w:bottom="280" w:left="600" w:right="400"/>
        </w:sectPr>
      </w:pPr>
    </w:p>
    <w:p>
      <w:pPr>
        <w:pStyle w:val="BodyText"/>
        <w:spacing w:line="360" w:lineRule="auto" w:before="80"/>
        <w:ind w:left="1200" w:right="1815"/>
      </w:pPr>
      <w:r>
        <w:rPr/>
        <w:t>high inflation, high interest rate era to a low inflation, low interest rate period will have raised the demand for housing in equilibrium, even when real interest rates remain unchanged.</w:t>
      </w:r>
    </w:p>
    <w:p>
      <w:pPr>
        <w:pStyle w:val="BodyText"/>
        <w:rPr>
          <w:sz w:val="36"/>
        </w:rPr>
      </w:pPr>
    </w:p>
    <w:p>
      <w:pPr>
        <w:pStyle w:val="BodyText"/>
        <w:spacing w:line="360" w:lineRule="auto" w:before="1"/>
        <w:ind w:left="1200" w:right="1415"/>
      </w:pPr>
      <w:r>
        <w:rPr/>
        <w:t>The third factor underlying the potential rise in the equilibrium house price to earnings ratio is the apparently substantial and sustained fall in long-run risk free real interest rates. In Figure 7, we see the time paths of both the 10 year real rate and the 10 year forward, 10 year real rate, both derived from prices in the index-linked gilt market. Both these rates have fallen from close to four per cent in the mid-1990s to around two per cent since 1999. And the fact that the 10 year forward, 10 year real rate has fallen in exactly the same way as the spot rate suggests that markets expect the fall to have some degree of permanence.  It is, however, possible that the measured fall in the risk free real rate derived from the index-linked gilt market may be overstated because of the Minimum Funding Requirement announced in the 1997 Pensions Act. This introduced an element of demand for index-linked gilts which was almost independent of the real yield. However, a long-term risk free real rate close to 2% is not particularly unusual in the UK given that the average long-term real rate in the period 1951-97 was 2.21% according to Chadha and Dimsdale (1999, Table</w:t>
      </w:r>
      <w:r>
        <w:rPr>
          <w:spacing w:val="-6"/>
        </w:rPr>
        <w:t> </w:t>
      </w:r>
      <w:r>
        <w:rPr/>
        <w:t>3).</w:t>
      </w:r>
    </w:p>
    <w:p>
      <w:pPr>
        <w:pStyle w:val="BodyText"/>
        <w:spacing w:line="360" w:lineRule="auto"/>
        <w:ind w:left="1200" w:right="1403"/>
      </w:pPr>
      <w:r>
        <w:rPr/>
        <w:t>Furthermore, Larsen et al. (2003) indicates that 10 year risk free real rates computed from a consumption based CAPM model with habit persistence also fell significantly from 1997 on. Finally, long-run risk free real rates have fallen significantly across the world in the last decade.</w:t>
      </w:r>
    </w:p>
    <w:p>
      <w:pPr>
        <w:pStyle w:val="BodyText"/>
        <w:spacing w:before="10"/>
        <w:rPr>
          <w:sz w:val="35"/>
        </w:rPr>
      </w:pPr>
    </w:p>
    <w:p>
      <w:pPr>
        <w:pStyle w:val="BodyText"/>
        <w:spacing w:line="360" w:lineRule="auto" w:before="1"/>
        <w:ind w:left="1199" w:right="1398"/>
      </w:pPr>
      <w:r>
        <w:rPr/>
        <w:t>Long-term real rates are, of course, crucial in the housing market since they reflect the average rate which should be used to discount the returns on a long-lived asset and the real cost of long-term borrowing. One way of measuring the consequences of a fall in real interest rates on equilibrium house prices is to make use of the equilibrium relationship between rents in the housing market and house prices. (See Weeken, 2004 and Goldman Sachs, 2004 for examples.)  If real net rentals (i.e. after subtracting maintenance and management costs) today are </w:t>
      </w:r>
      <w:r>
        <w:rPr>
          <w:i/>
        </w:rPr>
        <w:t>D </w:t>
      </w:r>
      <w:r>
        <w:rPr/>
        <w:t>and they are expected</w:t>
      </w:r>
      <w:r>
        <w:rPr>
          <w:spacing w:val="-14"/>
        </w:rPr>
        <w:t> </w:t>
      </w:r>
      <w:r>
        <w:rPr/>
        <w:t>to</w:t>
      </w:r>
    </w:p>
    <w:p>
      <w:pPr>
        <w:spacing w:after="0" w:line="360" w:lineRule="auto"/>
        <w:sectPr>
          <w:pgSz w:w="11900" w:h="16840"/>
          <w:pgMar w:header="716" w:footer="0" w:top="1340" w:bottom="280" w:left="600" w:right="400"/>
        </w:sectPr>
      </w:pPr>
    </w:p>
    <w:p>
      <w:pPr>
        <w:pStyle w:val="BodyText"/>
        <w:spacing w:before="18"/>
        <w:ind w:left="1199"/>
      </w:pPr>
      <w:r>
        <w:rPr/>
        <w:t>grow at a rate of </w:t>
      </w:r>
      <w:r>
        <w:rPr>
          <w:i/>
        </w:rPr>
        <w:t>g</w:t>
      </w:r>
      <w:r>
        <w:rPr/>
        <w:t>, then in equilibrium, the real price of houses,</w:t>
      </w:r>
    </w:p>
    <w:p>
      <w:pPr>
        <w:pStyle w:val="BodyText"/>
        <w:spacing w:before="18"/>
        <w:ind w:left="122"/>
      </w:pPr>
      <w:r>
        <w:rPr/>
        <w:br w:type="column"/>
      </w:r>
      <w:r>
        <w:rPr>
          <w:i/>
        </w:rPr>
        <w:t>P</w:t>
      </w:r>
      <w:r>
        <w:rPr>
          <w:i/>
          <w:position w:val="-5"/>
          <w:sz w:val="14"/>
        </w:rPr>
        <w:t>h </w:t>
      </w:r>
      <w:r>
        <w:rPr/>
        <w:t>, will equal the</w:t>
      </w:r>
    </w:p>
    <w:p>
      <w:pPr>
        <w:spacing w:after="0"/>
        <w:sectPr>
          <w:type w:val="continuous"/>
          <w:pgSz w:w="11900" w:h="16840"/>
          <w:pgMar w:top="1180" w:bottom="280" w:left="600" w:right="400"/>
          <w:cols w:num="2" w:equalWidth="0">
            <w:col w:w="7321" w:space="40"/>
            <w:col w:w="3539"/>
          </w:cols>
        </w:sectPr>
      </w:pPr>
    </w:p>
    <w:p>
      <w:pPr>
        <w:pStyle w:val="BodyText"/>
        <w:spacing w:before="183"/>
        <w:ind w:left="1200"/>
      </w:pPr>
      <w:r>
        <w:rPr/>
        <w:t>discounted present value of real rents, that is</w:t>
      </w:r>
    </w:p>
    <w:p>
      <w:pPr>
        <w:spacing w:before="35"/>
        <w:ind w:left="63" w:right="0" w:firstLine="0"/>
        <w:jc w:val="left"/>
        <w:rPr>
          <w:i/>
          <w:sz w:val="24"/>
        </w:rPr>
      </w:pPr>
      <w:r>
        <w:rPr/>
        <w:br w:type="column"/>
      </w:r>
      <w:r>
        <w:rPr>
          <w:i/>
          <w:sz w:val="24"/>
        </w:rPr>
        <w:t>P </w:t>
      </w:r>
      <w:r>
        <w:rPr>
          <w:rFonts w:ascii="Symbol" w:hAnsi="Symbol"/>
          <w:sz w:val="24"/>
        </w:rPr>
        <w:t></w:t>
      </w:r>
      <w:r>
        <w:rPr>
          <w:sz w:val="24"/>
        </w:rPr>
        <w:t> </w:t>
      </w:r>
      <w:r>
        <w:rPr>
          <w:i/>
          <w:sz w:val="24"/>
        </w:rPr>
        <w:t>D </w:t>
      </w:r>
      <w:r>
        <w:rPr>
          <w:sz w:val="24"/>
        </w:rPr>
        <w:t>/</w:t>
      </w:r>
      <w:r>
        <w:rPr>
          <w:rFonts w:ascii="Symbol" w:hAnsi="Symbol"/>
          <w:sz w:val="37"/>
        </w:rPr>
        <w:t></w:t>
      </w:r>
      <w:r>
        <w:rPr>
          <w:i/>
          <w:sz w:val="24"/>
        </w:rPr>
        <w:t>r</w:t>
      </w:r>
    </w:p>
    <w:p>
      <w:pPr>
        <w:spacing w:before="35"/>
        <w:ind w:left="72" w:right="0" w:firstLine="0"/>
        <w:jc w:val="left"/>
        <w:rPr>
          <w:rFonts w:ascii="Symbol" w:hAnsi="Symbol"/>
          <w:sz w:val="37"/>
        </w:rPr>
      </w:pPr>
      <w:r>
        <w:rPr/>
        <w:br w:type="column"/>
      </w:r>
      <w:r>
        <w:rPr>
          <w:rFonts w:ascii="Symbol" w:hAnsi="Symbol"/>
          <w:sz w:val="24"/>
        </w:rPr>
        <w:t></w:t>
      </w:r>
      <w:r>
        <w:rPr>
          <w:spacing w:val="-14"/>
          <w:sz w:val="24"/>
        </w:rPr>
        <w:t> </w:t>
      </w:r>
      <w:r>
        <w:rPr>
          <w:rFonts w:ascii="Symbol" w:hAnsi="Symbol"/>
          <w:i/>
          <w:sz w:val="25"/>
        </w:rPr>
        <w:t></w:t>
      </w:r>
      <w:r>
        <w:rPr>
          <w:i/>
          <w:spacing w:val="-9"/>
          <w:sz w:val="25"/>
        </w:rPr>
        <w:t> </w:t>
      </w:r>
      <w:r>
        <w:rPr>
          <w:rFonts w:ascii="Symbol" w:hAnsi="Symbol"/>
          <w:sz w:val="24"/>
        </w:rPr>
        <w:t></w:t>
      </w:r>
      <w:r>
        <w:rPr>
          <w:spacing w:val="-13"/>
          <w:sz w:val="24"/>
        </w:rPr>
        <w:t> </w:t>
      </w:r>
      <w:r>
        <w:rPr>
          <w:i/>
          <w:sz w:val="24"/>
        </w:rPr>
        <w:t>g</w:t>
      </w:r>
      <w:r>
        <w:rPr>
          <w:i/>
          <w:spacing w:val="-39"/>
          <w:sz w:val="24"/>
        </w:rPr>
        <w:t> </w:t>
      </w:r>
      <w:r>
        <w:rPr>
          <w:rFonts w:ascii="Symbol" w:hAnsi="Symbol"/>
          <w:spacing w:val="-17"/>
          <w:w w:val="95"/>
          <w:sz w:val="37"/>
        </w:rPr>
        <w:t></w:t>
      </w:r>
    </w:p>
    <w:p>
      <w:pPr>
        <w:spacing w:before="183"/>
        <w:ind w:left="85" w:right="0" w:firstLine="0"/>
        <w:jc w:val="left"/>
        <w:rPr>
          <w:sz w:val="24"/>
        </w:rPr>
      </w:pPr>
      <w:r>
        <w:rPr/>
        <w:br w:type="column"/>
      </w:r>
      <w:r>
        <w:rPr>
          <w:sz w:val="24"/>
        </w:rPr>
        <w:t>where </w:t>
      </w:r>
      <w:r>
        <w:rPr>
          <w:i/>
          <w:sz w:val="24"/>
        </w:rPr>
        <w:t>r</w:t>
      </w:r>
      <w:r>
        <w:rPr>
          <w:i/>
          <w:position w:val="-5"/>
          <w:sz w:val="14"/>
        </w:rPr>
        <w:t>f </w:t>
      </w:r>
      <w:r>
        <w:rPr>
          <w:sz w:val="24"/>
        </w:rPr>
        <w:t>is the</w:t>
      </w:r>
    </w:p>
    <w:p>
      <w:pPr>
        <w:spacing w:after="0"/>
        <w:jc w:val="left"/>
        <w:rPr>
          <w:sz w:val="24"/>
        </w:rPr>
        <w:sectPr>
          <w:type w:val="continuous"/>
          <w:pgSz w:w="11900" w:h="16840"/>
          <w:pgMar w:top="1180" w:bottom="280" w:left="600" w:right="400"/>
          <w:cols w:num="4" w:equalWidth="0">
            <w:col w:w="5479" w:space="40"/>
            <w:col w:w="1058" w:space="39"/>
            <w:col w:w="877" w:space="39"/>
            <w:col w:w="3368"/>
          </w:cols>
        </w:sectPr>
      </w:pPr>
    </w:p>
    <w:p>
      <w:pPr>
        <w:pStyle w:val="BodyText"/>
        <w:tabs>
          <w:tab w:pos="4364" w:val="left" w:leader="none"/>
        </w:tabs>
        <w:spacing w:before="190"/>
        <w:ind w:left="1200"/>
      </w:pPr>
      <w:r>
        <w:rPr/>
        <w:pict>
          <v:shape style="position:absolute;margin-left:315.059998pt;margin-top:-7.740782pt;width:3.55pt;height:7.8pt;mso-position-horizontal-relative:page;mso-position-vertical-relative:paragraph;z-index:-254064640" type="#_x0000_t202" filled="false" stroked="false">
            <v:textbox inset="0,0,0,0">
              <w:txbxContent>
                <w:p>
                  <w:pPr>
                    <w:spacing w:line="155" w:lineRule="exact" w:before="0"/>
                    <w:ind w:left="0" w:right="0" w:firstLine="0"/>
                    <w:jc w:val="left"/>
                    <w:rPr>
                      <w:i/>
                      <w:sz w:val="14"/>
                    </w:rPr>
                  </w:pPr>
                  <w:r>
                    <w:rPr>
                      <w:i/>
                      <w:sz w:val="14"/>
                    </w:rPr>
                    <w:t>h</w:t>
                  </w:r>
                </w:p>
              </w:txbxContent>
            </v:textbox>
            <w10:wrap type="none"/>
          </v:shape>
        </w:pict>
      </w:r>
      <w:r>
        <w:rPr/>
        <w:pict>
          <v:shape style="position:absolute;margin-left:356.820007pt;margin-top:-7.740782pt;width:1.95pt;height:7.8pt;mso-position-horizontal-relative:page;mso-position-vertical-relative:paragraph;z-index:251661312" type="#_x0000_t202" filled="false" stroked="false">
            <v:textbox inset="0,0,0,0">
              <w:txbxContent>
                <w:p>
                  <w:pPr>
                    <w:spacing w:line="155" w:lineRule="exact" w:before="0"/>
                    <w:ind w:left="0" w:right="0" w:firstLine="0"/>
                    <w:jc w:val="left"/>
                    <w:rPr>
                      <w:i/>
                      <w:sz w:val="14"/>
                    </w:rPr>
                  </w:pPr>
                  <w:r>
                    <w:rPr>
                      <w:i/>
                      <w:sz w:val="14"/>
                    </w:rPr>
                    <w:t>f</w:t>
                  </w:r>
                </w:p>
              </w:txbxContent>
            </v:textbox>
            <w10:wrap type="none"/>
          </v:shape>
        </w:pict>
      </w:r>
      <w:r>
        <w:rPr/>
        <w:t>risk free real interest</w:t>
      </w:r>
      <w:r>
        <w:rPr>
          <w:spacing w:val="-6"/>
        </w:rPr>
        <w:t> </w:t>
      </w:r>
      <w:r>
        <w:rPr/>
        <w:t>rate</w:t>
      </w:r>
      <w:r>
        <w:rPr>
          <w:spacing w:val="-2"/>
        </w:rPr>
        <w:t> </w:t>
      </w:r>
      <w:r>
        <w:rPr/>
        <w:t>and</w:t>
        <w:tab/>
        <w:t>is the risk premium</w:t>
      </w:r>
      <w:r>
        <w:rPr>
          <w:vertAlign w:val="superscript"/>
        </w:rPr>
        <w:t>10</w:t>
      </w:r>
      <w:r>
        <w:rPr>
          <w:vertAlign w:val="baseline"/>
        </w:rPr>
        <w:t>. This means that for</w:t>
      </w:r>
      <w:r>
        <w:rPr>
          <w:spacing w:val="-3"/>
          <w:vertAlign w:val="baseline"/>
        </w:rPr>
        <w:t> </w:t>
      </w:r>
      <w:r>
        <w:rPr>
          <w:vertAlign w:val="baseline"/>
        </w:rPr>
        <w:t>plausible</w:t>
      </w:r>
    </w:p>
    <w:p>
      <w:pPr>
        <w:spacing w:after="0"/>
        <w:sectPr>
          <w:type w:val="continuous"/>
          <w:pgSz w:w="11900" w:h="16840"/>
          <w:pgMar w:top="1180" w:bottom="280" w:left="600" w:right="400"/>
        </w:sectPr>
      </w:pPr>
    </w:p>
    <w:p>
      <w:pPr>
        <w:pStyle w:val="BodyText"/>
        <w:tabs>
          <w:tab w:pos="2433" w:val="left" w:leader="none"/>
        </w:tabs>
        <w:spacing w:line="398" w:lineRule="auto" w:before="84"/>
        <w:ind w:left="1200" w:right="1415" w:hanging="1"/>
      </w:pPr>
      <w:r>
        <w:rPr/>
        <w:t>values</w:t>
      </w:r>
      <w:r>
        <w:rPr>
          <w:spacing w:val="-3"/>
        </w:rPr>
        <w:t> </w:t>
      </w:r>
      <w:r>
        <w:rPr/>
        <w:t>of</w:t>
        <w:tab/>
        <w:t>and </w:t>
      </w:r>
      <w:r>
        <w:rPr>
          <w:i/>
        </w:rPr>
        <w:t>g </w:t>
      </w:r>
      <w:r>
        <w:rPr/>
        <w:t>, real house prices are very sensitive to changes in the risk free real rate. For example, suppose rents grow at the same rate as real wages which</w:t>
      </w:r>
      <w:r>
        <w:rPr>
          <w:spacing w:val="-25"/>
        </w:rPr>
        <w:t> </w:t>
      </w:r>
      <w:r>
        <w:rPr/>
        <w:t>implies</w:t>
      </w:r>
    </w:p>
    <w:p>
      <w:pPr>
        <w:spacing w:after="0" w:line="398" w:lineRule="auto"/>
        <w:sectPr>
          <w:pgSz w:w="11900" w:h="16840"/>
          <w:pgMar w:header="716" w:footer="0" w:top="1340" w:bottom="280" w:left="600" w:right="400"/>
        </w:sectPr>
      </w:pPr>
    </w:p>
    <w:p>
      <w:pPr>
        <w:pStyle w:val="BodyText"/>
        <w:spacing w:line="236" w:lineRule="exact"/>
        <w:jc w:val="right"/>
      </w:pPr>
      <w:r>
        <w:rPr/>
        <w:t>that</w:t>
      </w:r>
    </w:p>
    <w:p>
      <w:pPr>
        <w:pStyle w:val="BodyText"/>
        <w:spacing w:line="237" w:lineRule="exact"/>
        <w:ind w:left="66"/>
      </w:pPr>
      <w:r>
        <w:rPr/>
        <w:br w:type="column"/>
      </w:r>
      <w:r>
        <w:rPr>
          <w:i/>
        </w:rPr>
        <w:t>g </w:t>
      </w:r>
      <w:r>
        <w:rPr>
          <w:rFonts w:ascii="Symbol" w:hAnsi="Symbol"/>
        </w:rPr>
        <w:t></w:t>
      </w:r>
      <w:r>
        <w:rPr/>
        <w:t> 2% and the long-run risk premium averages around 3% (see Weeken, 2004).</w:t>
      </w:r>
    </w:p>
    <w:p>
      <w:pPr>
        <w:spacing w:after="0" w:line="237" w:lineRule="exact"/>
        <w:sectPr>
          <w:type w:val="continuous"/>
          <w:pgSz w:w="11900" w:h="16840"/>
          <w:pgMar w:top="1180" w:bottom="280" w:left="600" w:right="400"/>
          <w:cols w:num="2" w:equalWidth="0">
            <w:col w:w="1562" w:space="40"/>
            <w:col w:w="9298"/>
          </w:cols>
        </w:sectPr>
      </w:pPr>
    </w:p>
    <w:p>
      <w:pPr>
        <w:pStyle w:val="BodyText"/>
        <w:spacing w:line="360" w:lineRule="auto" w:before="181"/>
        <w:ind w:left="1199" w:right="1418"/>
      </w:pPr>
      <w:r>
        <w:rPr/>
        <w:t>Then if the risk free real rate falls from 4% to 2% the equilibrium ratio of real house prices to real rents will rise by nearly 67 per cent. Given our assumption that real rents tend to grow at the same rate as real wages, an assumption broadly consistent with the facts, the equilibrium ratio of house prices to earnings may be expected to rise by a similar amount solely because of the observed fall in the long-term real interest rate.  And since the actual ratio of house prices to earnings has risen by around 70% since the mid-1990s to the present day, it may be argued that it is close to equilibrium. Of course this is a very rough and ready calculation. The remains of MIRAS (tax relief on mortgage interest payments) were still in operation in the mid- 1990s, although its impact was small by that stage. Transactions costs in the housing market are substantial and the rental market is subject to many tax and regulatory distortions. Furthermore, as we have seen, estimates of equilibrium house prices are sensitive to the value of the long-run real interest rate. For example, in Goldman Sachs (2004), it is assumed that the real long rate will rise to 2.75%. This is a key factor underlying their prediction of a 20% fall in house prices by</w:t>
      </w:r>
      <w:r>
        <w:rPr>
          <w:spacing w:val="-24"/>
        </w:rPr>
        <w:t> </w:t>
      </w:r>
      <w:r>
        <w:rPr/>
        <w:t>2008.</w:t>
      </w:r>
    </w:p>
    <w:p>
      <w:pPr>
        <w:pStyle w:val="BodyText"/>
        <w:spacing w:before="1"/>
        <w:rPr>
          <w:sz w:val="36"/>
        </w:rPr>
      </w:pPr>
    </w:p>
    <w:p>
      <w:pPr>
        <w:pStyle w:val="BodyText"/>
        <w:spacing w:line="360" w:lineRule="auto"/>
        <w:ind w:left="1199" w:right="1420"/>
      </w:pPr>
      <w:r>
        <w:rPr/>
        <w:t>Overall, this discussion leads us to conclude that there has probably been a substantial rise in the equilibrium house price to earnings ratio since the mid-1990s</w:t>
      </w:r>
      <w:r>
        <w:rPr>
          <w:vertAlign w:val="superscript"/>
        </w:rPr>
        <w:t>11</w:t>
      </w:r>
      <w:r>
        <w:rPr>
          <w:vertAlign w:val="baseline"/>
        </w:rPr>
        <w:t>. Of course, there is a good deal of uncertainty here, but it is clear that it may be legitimately argued that there has been no housing bubble whatever (see CESifo, 2005, Ch.5 where this argument is extended to other European countries). It also explains why there is such widespread disagreement among commentators on the issue of where the housing market is going at any particular time. Finally, it is clear that anyone who takes the view that monetary policy should respond specifically to misalignments or bubbles in asset prices would have had a very hard job in recent years with regard to house prices because the existence of a bubble was never</w:t>
      </w:r>
      <w:r>
        <w:rPr>
          <w:spacing w:val="-18"/>
          <w:vertAlign w:val="baseline"/>
        </w:rPr>
        <w:t> </w:t>
      </w:r>
      <w:r>
        <w:rPr>
          <w:vertAlign w:val="baseline"/>
        </w:rPr>
        <w:t>clear.</w:t>
      </w:r>
    </w:p>
    <w:p>
      <w:pPr>
        <w:pStyle w:val="BodyText"/>
        <w:spacing w:before="10"/>
        <w:rPr>
          <w:sz w:val="35"/>
        </w:rPr>
      </w:pPr>
    </w:p>
    <w:p>
      <w:pPr>
        <w:pStyle w:val="BodyText"/>
        <w:spacing w:line="360" w:lineRule="auto"/>
        <w:ind w:left="1199" w:right="1389"/>
      </w:pPr>
      <w:r>
        <w:rPr>
          <w:u w:val="single"/>
        </w:rPr>
        <w:t>How Much Would Interest Rates Have Had to Rise to Impact on the Housing Market?</w:t>
      </w:r>
      <w:r>
        <w:rPr/>
        <w:t> One of the most interesting features of the argument about how to respond to asset price misalignments, particularly with regard to the recent house price boom, is that</w:t>
      </w:r>
    </w:p>
    <w:p>
      <w:pPr>
        <w:spacing w:after="0" w:line="360" w:lineRule="auto"/>
        <w:sectPr>
          <w:type w:val="continuous"/>
          <w:pgSz w:w="11900" w:h="16840"/>
          <w:pgMar w:top="1180" w:bottom="280" w:left="600" w:right="400"/>
        </w:sectPr>
      </w:pPr>
    </w:p>
    <w:p>
      <w:pPr>
        <w:spacing w:line="360" w:lineRule="auto" w:before="80"/>
        <w:ind w:left="1199" w:right="1469" w:firstLine="0"/>
        <w:jc w:val="left"/>
        <w:rPr>
          <w:sz w:val="24"/>
        </w:rPr>
      </w:pPr>
      <w:r>
        <w:rPr>
          <w:sz w:val="24"/>
        </w:rPr>
        <w:t>supporters of bubble pricking rarely tell us about the rate rises they would recommend. Suppose, for example, that it was clear by late 2002 that there was a housing bubble and that, in the words of Andrew Farlow, “</w:t>
      </w:r>
      <w:r>
        <w:rPr>
          <w:i/>
          <w:sz w:val="24"/>
        </w:rPr>
        <w:t>We would be better served </w:t>
      </w:r>
      <w:r>
        <w:rPr>
          <w:i/>
          <w:sz w:val="24"/>
        </w:rPr>
        <w:t>by …… monetary policy that takes the possibility of housing bubbles seriously</w:t>
      </w:r>
      <w:r>
        <w:rPr>
          <w:sz w:val="24"/>
        </w:rPr>
        <w:t>” (Farlow, 2002, p.4). Then what sort of interest rate rises are required? Pretty big is the view of Willem Buiter, “</w:t>
      </w:r>
      <w:r>
        <w:rPr>
          <w:i/>
          <w:sz w:val="24"/>
        </w:rPr>
        <w:t>50 basis points, or even 150 basis points in a housing </w:t>
      </w:r>
      <w:r>
        <w:rPr>
          <w:i/>
          <w:sz w:val="24"/>
        </w:rPr>
        <w:t>boom</w:t>
      </w:r>
      <w:r>
        <w:rPr>
          <w:i/>
          <w:spacing w:val="-4"/>
          <w:sz w:val="24"/>
        </w:rPr>
        <w:t> </w:t>
      </w:r>
      <w:r>
        <w:rPr>
          <w:i/>
          <w:sz w:val="24"/>
        </w:rPr>
        <w:t>is</w:t>
      </w:r>
      <w:r>
        <w:rPr>
          <w:i/>
          <w:spacing w:val="-3"/>
          <w:sz w:val="24"/>
        </w:rPr>
        <w:t> </w:t>
      </w:r>
      <w:r>
        <w:rPr>
          <w:i/>
          <w:sz w:val="24"/>
        </w:rPr>
        <w:t>tackling</w:t>
      </w:r>
      <w:r>
        <w:rPr>
          <w:i/>
          <w:spacing w:val="-4"/>
          <w:sz w:val="24"/>
        </w:rPr>
        <w:t> </w:t>
      </w:r>
      <w:r>
        <w:rPr>
          <w:i/>
          <w:sz w:val="24"/>
        </w:rPr>
        <w:t>an</w:t>
      </w:r>
      <w:r>
        <w:rPr>
          <w:i/>
          <w:spacing w:val="-3"/>
          <w:sz w:val="24"/>
        </w:rPr>
        <w:t> </w:t>
      </w:r>
      <w:r>
        <w:rPr>
          <w:i/>
          <w:sz w:val="24"/>
        </w:rPr>
        <w:t>elephant</w:t>
      </w:r>
      <w:r>
        <w:rPr>
          <w:i/>
          <w:spacing w:val="-4"/>
          <w:sz w:val="24"/>
        </w:rPr>
        <w:t> </w:t>
      </w:r>
      <w:r>
        <w:rPr>
          <w:i/>
          <w:sz w:val="24"/>
        </w:rPr>
        <w:t>with</w:t>
      </w:r>
      <w:r>
        <w:rPr>
          <w:i/>
          <w:spacing w:val="-3"/>
          <w:sz w:val="24"/>
        </w:rPr>
        <w:t> </w:t>
      </w:r>
      <w:r>
        <w:rPr>
          <w:i/>
          <w:sz w:val="24"/>
        </w:rPr>
        <w:t>a</w:t>
      </w:r>
      <w:r>
        <w:rPr>
          <w:i/>
          <w:spacing w:val="-4"/>
          <w:sz w:val="24"/>
        </w:rPr>
        <w:t> </w:t>
      </w:r>
      <w:r>
        <w:rPr>
          <w:i/>
          <w:sz w:val="24"/>
        </w:rPr>
        <w:t>peashooter</w:t>
      </w:r>
      <w:r>
        <w:rPr>
          <w:sz w:val="24"/>
        </w:rPr>
        <w:t>”,</w:t>
      </w:r>
      <w:r>
        <w:rPr>
          <w:spacing w:val="-3"/>
          <w:sz w:val="24"/>
        </w:rPr>
        <w:t> </w:t>
      </w:r>
      <w:r>
        <w:rPr>
          <w:sz w:val="24"/>
        </w:rPr>
        <w:t>House</w:t>
      </w:r>
      <w:r>
        <w:rPr>
          <w:spacing w:val="-3"/>
          <w:sz w:val="24"/>
        </w:rPr>
        <w:t> </w:t>
      </w:r>
      <w:r>
        <w:rPr>
          <w:sz w:val="24"/>
        </w:rPr>
        <w:t>of</w:t>
      </w:r>
      <w:r>
        <w:rPr>
          <w:spacing w:val="-4"/>
          <w:sz w:val="24"/>
        </w:rPr>
        <w:t> </w:t>
      </w:r>
      <w:r>
        <w:rPr>
          <w:sz w:val="24"/>
        </w:rPr>
        <w:t>Lords,</w:t>
      </w:r>
      <w:r>
        <w:rPr>
          <w:spacing w:val="-3"/>
          <w:sz w:val="24"/>
        </w:rPr>
        <w:t> </w:t>
      </w:r>
      <w:r>
        <w:rPr>
          <w:sz w:val="24"/>
        </w:rPr>
        <w:t>2004,</w:t>
      </w:r>
      <w:r>
        <w:rPr>
          <w:spacing w:val="-4"/>
          <w:sz w:val="24"/>
        </w:rPr>
        <w:t> </w:t>
      </w:r>
      <w:r>
        <w:rPr>
          <w:sz w:val="24"/>
        </w:rPr>
        <w:t>p.127,</w:t>
      </w:r>
      <w:r>
        <w:rPr>
          <w:spacing w:val="-3"/>
          <w:sz w:val="24"/>
        </w:rPr>
        <w:t> </w:t>
      </w:r>
      <w:r>
        <w:rPr>
          <w:sz w:val="24"/>
        </w:rPr>
        <w:t>Q411.</w:t>
      </w:r>
    </w:p>
    <w:p>
      <w:pPr>
        <w:pStyle w:val="BodyText"/>
        <w:rPr>
          <w:sz w:val="36"/>
        </w:rPr>
      </w:pPr>
    </w:p>
    <w:p>
      <w:pPr>
        <w:pStyle w:val="BodyText"/>
        <w:spacing w:line="360" w:lineRule="auto" w:before="1"/>
        <w:ind w:left="1199" w:right="1404"/>
      </w:pPr>
      <w:r>
        <w:rPr/>
        <w:t>Using the Bank of England model and house price equation, we try and answer this question. Of course, any answers we obtain have to be treated with caution since they are bound to be subject to substantial error. However, they should give us the right order of magnitude. Taking house price inflation in Fig.8, what sort of rise in interest rates in 2002 would have been required to eliminate the surge in house price inflation in 2003-4 and generate instead the dotted path (Fig.8a)? It is hard to do this exactly, but to produce a close path which ends up at the same level as the dotted path (the xxx path in Fig.8b), we need a 300 basis points rise in the interest rate in 2002 Q3 which lasts for 13 quarters. Not surprisingly this interest rate shift has a significant impact on the overall economy, taking more than 1/2 per cent off GDP in 2003 and 1 per cent off inflation in 2004. Thus, to “prick the housing bubble” involves a substantial cut in GDP and a dramatic undershoot of the inflation target</w:t>
      </w:r>
      <w:r>
        <w:rPr>
          <w:vertAlign w:val="superscript"/>
        </w:rPr>
        <w:t>12</w:t>
      </w:r>
      <w:r>
        <w:rPr>
          <w:vertAlign w:val="baseline"/>
        </w:rPr>
        <w:t>. Unfortunately, the Bank of England model cannot be used to compute the long-term benefits of pricking the housing bubble because this would depend crucially on whether or not there is going to be a housing crash on account of the bubble not being pricked. As yet, no such crash has been observed. As it stands, at the moment it is impossible to say whether pricking the bubble at this cost would have been worth it.</w:t>
      </w:r>
      <w:r>
        <w:rPr>
          <w:spacing w:val="10"/>
          <w:vertAlign w:val="baseline"/>
        </w:rPr>
        <w:t> </w:t>
      </w:r>
      <w:r>
        <w:rPr>
          <w:vertAlign w:val="baseline"/>
        </w:rPr>
        <w:t>Currently, it looks unlikely.</w:t>
      </w:r>
    </w:p>
    <w:p>
      <w:pPr>
        <w:pStyle w:val="BodyText"/>
        <w:spacing w:before="1"/>
        <w:rPr>
          <w:sz w:val="36"/>
        </w:rPr>
      </w:pPr>
    </w:p>
    <w:p>
      <w:pPr>
        <w:pStyle w:val="Heading1"/>
        <w:numPr>
          <w:ilvl w:val="0"/>
          <w:numId w:val="1"/>
        </w:numPr>
        <w:tabs>
          <w:tab w:pos="3723" w:val="left" w:leader="none"/>
        </w:tabs>
        <w:spacing w:line="240" w:lineRule="auto" w:before="1" w:after="0"/>
        <w:ind w:left="3722" w:right="0" w:hanging="241"/>
        <w:jc w:val="left"/>
        <w:rPr>
          <w:u w:val="none"/>
        </w:rPr>
      </w:pPr>
      <w:r>
        <w:rPr>
          <w:u w:val="thick"/>
        </w:rPr>
        <w:t>The Switch in the Inflation</w:t>
      </w:r>
      <w:r>
        <w:rPr>
          <w:spacing w:val="-1"/>
          <w:u w:val="thick"/>
        </w:rPr>
        <w:t> </w:t>
      </w:r>
      <w:r>
        <w:rPr>
          <w:u w:val="thick"/>
        </w:rPr>
        <w:t>Target</w:t>
      </w:r>
    </w:p>
    <w:p>
      <w:pPr>
        <w:pStyle w:val="BodyText"/>
        <w:rPr>
          <w:b/>
          <w:sz w:val="20"/>
        </w:rPr>
      </w:pPr>
    </w:p>
    <w:p>
      <w:pPr>
        <w:pStyle w:val="BodyText"/>
        <w:spacing w:before="10"/>
        <w:rPr>
          <w:b/>
          <w:sz w:val="19"/>
        </w:rPr>
      </w:pPr>
    </w:p>
    <w:p>
      <w:pPr>
        <w:pStyle w:val="BodyText"/>
        <w:spacing w:line="360" w:lineRule="auto" w:before="91"/>
        <w:ind w:left="1199" w:right="1450"/>
      </w:pPr>
      <w:r>
        <w:rPr/>
        <w:t>In December 2003, the Chancellor announced that the inflation target which the Bank of England Monetary Policy Committee would have to hit was going to change from 2.5% on the RPIX measure to 2.0% on the CPI measure (previously known as the HICP measure). This new target was to take effect from December 2003. This announcement was not a surprise since the Chancellor had previously announced in the Spring of 2003 that he was going to switch the inflation target to a new level</w:t>
      </w:r>
    </w:p>
    <w:p>
      <w:pPr>
        <w:spacing w:after="0" w:line="360" w:lineRule="auto"/>
        <w:sectPr>
          <w:pgSz w:w="11900" w:h="16840"/>
          <w:pgMar w:header="716" w:footer="0" w:top="1340" w:bottom="280" w:left="600" w:right="400"/>
        </w:sectPr>
      </w:pPr>
    </w:p>
    <w:p>
      <w:pPr>
        <w:pStyle w:val="BodyText"/>
        <w:spacing w:line="360" w:lineRule="auto" w:before="80"/>
        <w:ind w:left="1199" w:right="1403"/>
      </w:pPr>
      <w:r>
        <w:rPr/>
        <w:t>based on the HICP measure at some point. At that stage he did not specify the numerical value of the proposed new target.</w:t>
      </w:r>
    </w:p>
    <w:p>
      <w:pPr>
        <w:pStyle w:val="BodyText"/>
        <w:rPr>
          <w:sz w:val="36"/>
        </w:rPr>
      </w:pPr>
    </w:p>
    <w:p>
      <w:pPr>
        <w:pStyle w:val="BodyText"/>
        <w:spacing w:line="360" w:lineRule="auto"/>
        <w:ind w:left="1199" w:right="1502"/>
      </w:pPr>
      <w:r>
        <w:rPr/>
        <w:t>The main differences between the old inflation measure (RPIX) and the new one (HICP or CPI) were well known at the time of the initial announcement in the Spring of 2003 and were as follows:</w:t>
      </w:r>
    </w:p>
    <w:p>
      <w:pPr>
        <w:pStyle w:val="BodyText"/>
        <w:spacing w:before="2"/>
        <w:rPr>
          <w:sz w:val="36"/>
        </w:rPr>
      </w:pPr>
    </w:p>
    <w:p>
      <w:pPr>
        <w:pStyle w:val="ListParagraph"/>
        <w:numPr>
          <w:ilvl w:val="0"/>
          <w:numId w:val="3"/>
        </w:numPr>
        <w:tabs>
          <w:tab w:pos="2279" w:val="left" w:leader="none"/>
          <w:tab w:pos="2280" w:val="left" w:leader="none"/>
        </w:tabs>
        <w:spacing w:line="360" w:lineRule="auto" w:before="0" w:after="0"/>
        <w:ind w:left="2280" w:right="1422" w:hanging="720"/>
        <w:jc w:val="left"/>
        <w:rPr>
          <w:i/>
          <w:sz w:val="24"/>
        </w:rPr>
      </w:pPr>
      <w:r>
        <w:rPr>
          <w:i/>
          <w:sz w:val="24"/>
        </w:rPr>
        <w:t>In the HICP (CPI), the geometric mean is used to aggregate price changes </w:t>
      </w:r>
      <w:r>
        <w:rPr>
          <w:i/>
          <w:sz w:val="24"/>
        </w:rPr>
        <w:t>at the most basic level whereas the RPIX used the arithmetic</w:t>
      </w:r>
      <w:r>
        <w:rPr>
          <w:i/>
          <w:spacing w:val="-21"/>
          <w:sz w:val="24"/>
        </w:rPr>
        <w:t> </w:t>
      </w:r>
      <w:r>
        <w:rPr>
          <w:i/>
          <w:sz w:val="24"/>
        </w:rPr>
        <w:t>mean.</w:t>
      </w:r>
    </w:p>
    <w:p>
      <w:pPr>
        <w:pStyle w:val="BodyText"/>
        <w:spacing w:line="360" w:lineRule="auto"/>
        <w:ind w:left="1559" w:right="1502"/>
      </w:pPr>
      <w:r>
        <w:rPr/>
        <w:t>Since the geometric mean of a group of different positive numbers is </w:t>
      </w:r>
      <w:r>
        <w:rPr>
          <w:u w:val="single"/>
        </w:rPr>
        <w:t>always</w:t>
      </w:r>
      <w:r>
        <w:rPr/>
        <w:t> less than the arithmetic mean of the same group of numbers</w:t>
      </w:r>
      <w:r>
        <w:rPr>
          <w:vertAlign w:val="superscript"/>
        </w:rPr>
        <w:t>13</w:t>
      </w:r>
      <w:r>
        <w:rPr>
          <w:vertAlign w:val="baseline"/>
        </w:rPr>
        <w:t>, this difference in the construction of the two measures will always tend to make HICP (CPI) inflation lower than RPIX inflation. This is the </w:t>
      </w:r>
      <w:r>
        <w:rPr>
          <w:u w:val="single"/>
          <w:vertAlign w:val="baseline"/>
        </w:rPr>
        <w:t>formula effect</w:t>
      </w:r>
      <w:r>
        <w:rPr>
          <w:vertAlign w:val="baseline"/>
        </w:rPr>
        <w:t> and, on average, makes HICP (CPI) inflation 0.5 percentage points per annum lower than RPIX inflation.</w:t>
      </w:r>
    </w:p>
    <w:p>
      <w:pPr>
        <w:pStyle w:val="BodyText"/>
        <w:rPr>
          <w:sz w:val="36"/>
        </w:rPr>
      </w:pPr>
    </w:p>
    <w:p>
      <w:pPr>
        <w:pStyle w:val="ListParagraph"/>
        <w:numPr>
          <w:ilvl w:val="0"/>
          <w:numId w:val="3"/>
        </w:numPr>
        <w:tabs>
          <w:tab w:pos="2279" w:val="left" w:leader="none"/>
          <w:tab w:pos="2280" w:val="left" w:leader="none"/>
        </w:tabs>
        <w:spacing w:line="360" w:lineRule="auto" w:before="0" w:after="0"/>
        <w:ind w:left="2280" w:right="1890" w:hanging="720"/>
        <w:jc w:val="left"/>
        <w:rPr>
          <w:i/>
          <w:sz w:val="24"/>
        </w:rPr>
      </w:pPr>
      <w:r>
        <w:rPr>
          <w:i/>
          <w:sz w:val="24"/>
        </w:rPr>
        <w:t>HICP (CPI) excludes housing depreciation, council tax and dwellings </w:t>
      </w:r>
      <w:r>
        <w:rPr>
          <w:i/>
          <w:sz w:val="24"/>
        </w:rPr>
        <w:t>insurance. RPIX includes</w:t>
      </w:r>
      <w:r>
        <w:rPr>
          <w:i/>
          <w:spacing w:val="-3"/>
          <w:sz w:val="24"/>
        </w:rPr>
        <w:t> </w:t>
      </w:r>
      <w:r>
        <w:rPr>
          <w:i/>
          <w:sz w:val="24"/>
        </w:rPr>
        <w:t>these.</w:t>
      </w:r>
    </w:p>
    <w:p>
      <w:pPr>
        <w:pStyle w:val="BodyText"/>
        <w:spacing w:line="360" w:lineRule="auto"/>
        <w:ind w:left="1560" w:right="1420"/>
      </w:pPr>
      <w:r>
        <w:rPr/>
        <w:t>The housing depreciation element and council taxes have tended to rise faster than the other elements of RPIX, on average.  Their exclusion will therefore tend, in the long run, to lower measured inflation assuming that house prices track earnings over the long term and council tax rates continue to rise faster than 2.5% pa. The long-run impact of this </w:t>
      </w:r>
      <w:r>
        <w:rPr>
          <w:u w:val="single"/>
        </w:rPr>
        <w:t>housing effect</w:t>
      </w:r>
      <w:r>
        <w:rPr/>
        <w:t> is likely to make HICP (CPI) inflation around 0.3 percentage points per annum lower than RPIX</w:t>
      </w:r>
      <w:r>
        <w:rPr>
          <w:spacing w:val="-39"/>
        </w:rPr>
        <w:t> </w:t>
      </w:r>
      <w:r>
        <w:rPr/>
        <w:t>inflation</w:t>
      </w:r>
      <w:r>
        <w:rPr>
          <w:vertAlign w:val="superscript"/>
        </w:rPr>
        <w:t>14</w:t>
      </w:r>
      <w:r>
        <w:rPr>
          <w:vertAlign w:val="baseline"/>
        </w:rPr>
        <w:t>.</w:t>
      </w:r>
    </w:p>
    <w:p>
      <w:pPr>
        <w:pStyle w:val="BodyText"/>
        <w:spacing w:before="11"/>
        <w:rPr>
          <w:sz w:val="35"/>
        </w:rPr>
      </w:pPr>
    </w:p>
    <w:p>
      <w:pPr>
        <w:pStyle w:val="ListParagraph"/>
        <w:numPr>
          <w:ilvl w:val="0"/>
          <w:numId w:val="3"/>
        </w:numPr>
        <w:tabs>
          <w:tab w:pos="2279" w:val="left" w:leader="none"/>
          <w:tab w:pos="2280" w:val="left" w:leader="none"/>
        </w:tabs>
        <w:spacing w:line="360" w:lineRule="auto" w:before="0" w:after="0"/>
        <w:ind w:left="2280" w:right="1630" w:hanging="720"/>
        <w:jc w:val="left"/>
        <w:rPr>
          <w:i/>
          <w:sz w:val="24"/>
        </w:rPr>
      </w:pPr>
      <w:r>
        <w:rPr>
          <w:i/>
          <w:sz w:val="24"/>
        </w:rPr>
        <w:t>HICP (CPI) includes university accommodation fees, foreign students’ </w:t>
      </w:r>
      <w:r>
        <w:rPr>
          <w:i/>
          <w:sz w:val="24"/>
        </w:rPr>
        <w:t>tuition fees, stockbrokers’ charges. RPIX excludes these. Also there are numerous other minor</w:t>
      </w:r>
      <w:r>
        <w:rPr>
          <w:i/>
          <w:spacing w:val="-5"/>
          <w:sz w:val="24"/>
        </w:rPr>
        <w:t> </w:t>
      </w:r>
      <w:r>
        <w:rPr>
          <w:i/>
          <w:sz w:val="24"/>
        </w:rPr>
        <w:t>differences.</w:t>
      </w:r>
    </w:p>
    <w:p>
      <w:pPr>
        <w:pStyle w:val="BodyText"/>
        <w:spacing w:before="10"/>
        <w:rPr>
          <w:i/>
          <w:sz w:val="35"/>
        </w:rPr>
      </w:pPr>
    </w:p>
    <w:p>
      <w:pPr>
        <w:pStyle w:val="BodyText"/>
        <w:spacing w:line="360" w:lineRule="auto"/>
        <w:ind w:left="1559" w:right="1424"/>
      </w:pPr>
      <w:r>
        <w:rPr/>
        <w:t>On average over the period up to the time of the switch, these differences between HICP and RPIX contributed nothing to the long-run average inflation rate differentials between the two measures.</w:t>
      </w:r>
    </w:p>
    <w:p>
      <w:pPr>
        <w:pStyle w:val="BodyText"/>
        <w:rPr>
          <w:sz w:val="36"/>
        </w:rPr>
      </w:pPr>
    </w:p>
    <w:p>
      <w:pPr>
        <w:pStyle w:val="BodyText"/>
        <w:spacing w:line="360" w:lineRule="auto"/>
        <w:ind w:left="1559" w:right="1730"/>
      </w:pPr>
      <w:r>
        <w:rPr/>
        <w:t>The differences under points (i) and (ii), when combined, suggest a long-run average differential between HICP and RPIX inflation of 0.8 percentage points</w:t>
      </w:r>
    </w:p>
    <w:p>
      <w:pPr>
        <w:spacing w:after="0" w:line="360" w:lineRule="auto"/>
        <w:sectPr>
          <w:pgSz w:w="11900" w:h="16840"/>
          <w:pgMar w:header="716" w:footer="0" w:top="1340" w:bottom="280" w:left="600" w:right="400"/>
        </w:sectPr>
      </w:pPr>
    </w:p>
    <w:p>
      <w:pPr>
        <w:pStyle w:val="BodyText"/>
        <w:spacing w:line="360" w:lineRule="auto" w:before="80"/>
        <w:ind w:left="1559" w:right="1473"/>
      </w:pPr>
      <w:r>
        <w:rPr/>
        <w:t>per annum. In the shorter term, there is a great deal of variation in the differential as we can see from Fig.9. While the formula effect is relatively stable, the housing and other elements of the differential are highly volatile. Back in 2003 the differential was very large because the housing depreciation element, which depends on recent rates of house price inflation, was making such a large contribution to RPIX inflation</w:t>
      </w:r>
      <w:r>
        <w:rPr>
          <w:vertAlign w:val="superscript"/>
        </w:rPr>
        <w:t>15</w:t>
      </w:r>
      <w:r>
        <w:rPr>
          <w:vertAlign w:val="baseline"/>
        </w:rPr>
        <w:t>. But even the long-run average differential of 0.8 is large. So the switch to the HICP (CPI) measure of inflation meant that measured inflation was considerably lower, on average, than it would have been had we stuck to</w:t>
      </w:r>
      <w:r>
        <w:rPr>
          <w:spacing w:val="-5"/>
          <w:vertAlign w:val="baseline"/>
        </w:rPr>
        <w:t> </w:t>
      </w:r>
      <w:r>
        <w:rPr>
          <w:vertAlign w:val="baseline"/>
        </w:rPr>
        <w:t>RPIX.</w:t>
      </w:r>
    </w:p>
    <w:p>
      <w:pPr>
        <w:pStyle w:val="BodyText"/>
        <w:spacing w:before="1"/>
        <w:ind w:left="1559"/>
      </w:pPr>
      <w:r>
        <w:rPr/>
        <w:t>So what were the implications of this switch for monetary policy?</w:t>
      </w:r>
    </w:p>
    <w:p>
      <w:pPr>
        <w:pStyle w:val="BodyText"/>
        <w:rPr>
          <w:sz w:val="26"/>
        </w:rPr>
      </w:pPr>
    </w:p>
    <w:p>
      <w:pPr>
        <w:pStyle w:val="BodyText"/>
        <w:rPr>
          <w:sz w:val="22"/>
        </w:rPr>
      </w:pPr>
    </w:p>
    <w:p>
      <w:pPr>
        <w:pStyle w:val="BodyText"/>
        <w:ind w:left="1559"/>
      </w:pPr>
      <w:r>
        <w:rPr>
          <w:u w:val="single"/>
        </w:rPr>
        <w:t>Monetary Policy after the Switch</w:t>
      </w:r>
    </w:p>
    <w:p>
      <w:pPr>
        <w:pStyle w:val="BodyText"/>
        <w:spacing w:line="360" w:lineRule="auto" w:before="138"/>
        <w:ind w:left="1559" w:right="1649"/>
      </w:pPr>
      <w:r>
        <w:rPr/>
        <w:t>The old price index, RPIX, and the new price index, CPI, are both cost of living indices. According to the latter, the cost of living is rising at an average of 0.8 percentage points per annum more slowly than under the RPIX measure.</w:t>
      </w:r>
    </w:p>
    <w:p>
      <w:pPr>
        <w:pStyle w:val="BodyText"/>
        <w:spacing w:line="360" w:lineRule="auto"/>
        <w:ind w:left="1559" w:right="1471"/>
      </w:pPr>
      <w:r>
        <w:rPr/>
        <w:t>Whichever is used, however, makes no difference whatever to the rate of increase of the true cost of living, of which RPIX and CPI are simply different measures. This implies that the real interest rate under RPIX is, on average, 0.8 percentage points lower than the real interest rate under CPI, </w:t>
      </w:r>
      <w:r>
        <w:rPr>
          <w:i/>
        </w:rPr>
        <w:t>ceteris paribus</w:t>
      </w:r>
      <w:r>
        <w:rPr/>
        <w:t>. The true real interest rate is, of course, unaffected by the measure which is used. The same applies to real wage growth which is, on average, 0.8 percentage points lower under RPIX than under CPI, </w:t>
      </w:r>
      <w:r>
        <w:rPr>
          <w:i/>
        </w:rPr>
        <w:t>ceteris paribus</w:t>
      </w:r>
      <w:r>
        <w:rPr/>
        <w:t>. Again, the true level of real wage growth is unaffected.</w:t>
      </w:r>
    </w:p>
    <w:p>
      <w:pPr>
        <w:pStyle w:val="BodyText"/>
        <w:spacing w:before="10"/>
        <w:rPr>
          <w:sz w:val="35"/>
        </w:rPr>
      </w:pPr>
    </w:p>
    <w:p>
      <w:pPr>
        <w:pStyle w:val="BodyText"/>
        <w:spacing w:line="360" w:lineRule="auto" w:before="1"/>
        <w:ind w:left="1560" w:right="1403"/>
      </w:pPr>
      <w:r>
        <w:rPr/>
        <w:t>Following on from these arguments, in Nickell (2003b), prior to the switch in targets, I set out the implications of the prospective switch for monetary policy. It is interesting to see to what extent these implications stand up now that the switch has taken place. The four implications in Nickell (2003b) were as follows.</w:t>
      </w:r>
    </w:p>
    <w:p>
      <w:pPr>
        <w:pStyle w:val="BodyText"/>
        <w:spacing w:before="1"/>
        <w:rPr>
          <w:sz w:val="36"/>
        </w:rPr>
      </w:pPr>
    </w:p>
    <w:p>
      <w:pPr>
        <w:spacing w:line="360" w:lineRule="auto" w:before="0"/>
        <w:ind w:left="1559" w:right="1403" w:firstLine="0"/>
        <w:jc w:val="left"/>
        <w:rPr>
          <w:i/>
          <w:sz w:val="24"/>
        </w:rPr>
      </w:pPr>
      <w:r>
        <w:rPr>
          <w:b/>
          <w:sz w:val="24"/>
        </w:rPr>
        <w:t>Implication 1. </w:t>
      </w:r>
      <w:r>
        <w:rPr>
          <w:i/>
          <w:sz w:val="24"/>
        </w:rPr>
        <w:t>The long-run stance of monetary policy will be unaffected by the </w:t>
      </w:r>
      <w:r>
        <w:rPr>
          <w:i/>
          <w:sz w:val="24"/>
        </w:rPr>
        <w:t>switch to an HICP target.</w:t>
      </w:r>
    </w:p>
    <w:p>
      <w:pPr>
        <w:pStyle w:val="BodyText"/>
        <w:spacing w:line="360" w:lineRule="auto"/>
        <w:ind w:left="1559" w:right="1403"/>
      </w:pPr>
      <w:r>
        <w:rPr/>
        <w:t>This was simply based on the argument that the switch would have no long-run </w:t>
      </w:r>
      <w:r>
        <w:rPr>
          <w:u w:val="single"/>
        </w:rPr>
        <w:t>real </w:t>
      </w:r>
      <w:r>
        <w:rPr/>
        <w:t>impact on the economy, including on the true real interest rate. In Fig.10, we</w:t>
      </w:r>
    </w:p>
    <w:p>
      <w:pPr>
        <w:spacing w:after="0" w:line="360" w:lineRule="auto"/>
        <w:sectPr>
          <w:pgSz w:w="11900" w:h="16840"/>
          <w:pgMar w:header="716" w:footer="0" w:top="1340" w:bottom="280" w:left="600" w:right="400"/>
        </w:sectPr>
      </w:pPr>
    </w:p>
    <w:p>
      <w:pPr>
        <w:pStyle w:val="BodyText"/>
        <w:spacing w:line="360" w:lineRule="auto" w:before="80"/>
        <w:ind w:left="1559" w:right="2416"/>
      </w:pPr>
      <w:r>
        <w:rPr/>
        <w:t>see that there is no noticeable shift in UK real interest rates in or around December 2003.</w:t>
      </w:r>
    </w:p>
    <w:p>
      <w:pPr>
        <w:pStyle w:val="BodyText"/>
        <w:spacing w:before="2"/>
        <w:rPr>
          <w:sz w:val="36"/>
        </w:rPr>
      </w:pPr>
    </w:p>
    <w:p>
      <w:pPr>
        <w:spacing w:line="360" w:lineRule="auto" w:before="0"/>
        <w:ind w:left="1559" w:right="1392" w:firstLine="0"/>
        <w:jc w:val="left"/>
        <w:rPr>
          <w:i/>
          <w:sz w:val="24"/>
        </w:rPr>
      </w:pPr>
      <w:r>
        <w:rPr>
          <w:b/>
          <w:sz w:val="24"/>
        </w:rPr>
        <w:t>Implication 2.  </w:t>
      </w:r>
      <w:r>
        <w:rPr>
          <w:i/>
          <w:sz w:val="24"/>
        </w:rPr>
        <w:t>If the HICP target is set at 2.0%, this is equivalent, in the long </w:t>
      </w:r>
      <w:r>
        <w:rPr>
          <w:i/>
          <w:sz w:val="24"/>
        </w:rPr>
        <w:t>run, to a switch from an RPIX target of 2.5% to an RPIX target of 2.8%. Since the long-run real interest rate is unaffected by the switch (see Implication 1),</w:t>
      </w:r>
      <w:r>
        <w:rPr>
          <w:i/>
          <w:spacing w:val="-27"/>
          <w:sz w:val="24"/>
        </w:rPr>
        <w:t> </w:t>
      </w:r>
      <w:r>
        <w:rPr>
          <w:i/>
          <w:sz w:val="24"/>
        </w:rPr>
        <w:t>the</w:t>
      </w:r>
    </w:p>
    <w:p>
      <w:pPr>
        <w:spacing w:line="360" w:lineRule="auto" w:before="0"/>
        <w:ind w:left="1559" w:right="2015" w:firstLine="0"/>
        <w:jc w:val="left"/>
        <w:rPr>
          <w:i/>
          <w:sz w:val="24"/>
        </w:rPr>
      </w:pPr>
      <w:r>
        <w:rPr>
          <w:i/>
          <w:sz w:val="24"/>
        </w:rPr>
        <w:t>long-run nominal interest rate will be 0.3 percentage points higher after the </w:t>
      </w:r>
      <w:r>
        <w:rPr>
          <w:i/>
          <w:sz w:val="24"/>
        </w:rPr>
        <w:t>switch</w:t>
      </w:r>
    </w:p>
    <w:p>
      <w:pPr>
        <w:pStyle w:val="BodyText"/>
        <w:spacing w:line="360" w:lineRule="auto"/>
        <w:ind w:left="1559" w:right="1399"/>
      </w:pPr>
      <w:r>
        <w:rPr/>
        <w:t>As it happened, the CPI (HICP) target turned out to be 2%, so given that the average gap between this and RPIX inflation is 0.8, this represents a genuine switch of target. This implication is borne out by the fact that the market based RPI inflation expectations series shifts from around 2.5% to close to 2.8% at the beginning of 2004, (see Fig.11). The last part of the implication concerning the long-term nominal interest rate cannot be checked because these interest rates tend to be quite volatile and the counter-factual is completely</w:t>
      </w:r>
      <w:r>
        <w:rPr>
          <w:spacing w:val="-17"/>
        </w:rPr>
        <w:t> </w:t>
      </w:r>
      <w:r>
        <w:rPr/>
        <w:t>unobserved.</w:t>
      </w:r>
    </w:p>
    <w:p>
      <w:pPr>
        <w:pStyle w:val="BodyText"/>
        <w:rPr>
          <w:sz w:val="36"/>
        </w:rPr>
      </w:pPr>
    </w:p>
    <w:p>
      <w:pPr>
        <w:spacing w:line="360" w:lineRule="auto" w:before="0"/>
        <w:ind w:left="1559" w:right="1442" w:firstLine="0"/>
        <w:jc w:val="left"/>
        <w:rPr>
          <w:i/>
          <w:sz w:val="24"/>
        </w:rPr>
      </w:pPr>
      <w:r>
        <w:rPr>
          <w:b/>
          <w:sz w:val="24"/>
        </w:rPr>
        <w:t>Implication 3. </w:t>
      </w:r>
      <w:r>
        <w:rPr>
          <w:i/>
          <w:sz w:val="24"/>
        </w:rPr>
        <w:t>If the HICP target is set at 2%, this implies that the short-term </w:t>
      </w:r>
      <w:r>
        <w:rPr>
          <w:i/>
          <w:sz w:val="24"/>
        </w:rPr>
        <w:t>monetary policy stance has to be such as to raise the longer-term inflation rate by</w:t>
      </w:r>
    </w:p>
    <w:p>
      <w:pPr>
        <w:spacing w:line="360" w:lineRule="auto" w:before="0"/>
        <w:ind w:left="1559" w:right="1403" w:firstLine="0"/>
        <w:jc w:val="left"/>
        <w:rPr>
          <w:i/>
          <w:sz w:val="24"/>
        </w:rPr>
      </w:pPr>
      <w:r>
        <w:rPr>
          <w:i/>
          <w:sz w:val="24"/>
        </w:rPr>
        <w:t>0.3 percentage points. This involves slightly looser monetary policy for a limited </w:t>
      </w:r>
      <w:r>
        <w:rPr>
          <w:i/>
          <w:sz w:val="24"/>
        </w:rPr>
        <w:t>period than would otherwise be the case. However, given the large variations in the gap between HICP and RPI inflation and the frequent shocks to which the economy is subject, this temporary loosening would be barely noticeable in practice.</w:t>
      </w:r>
    </w:p>
    <w:p>
      <w:pPr>
        <w:pStyle w:val="BodyText"/>
        <w:spacing w:line="360" w:lineRule="auto"/>
        <w:ind w:left="1559" w:right="1423"/>
      </w:pPr>
      <w:r>
        <w:rPr/>
        <w:t>Given the 0.8 percentage point long-term gap, a 2.5% RPIX target is equivalent to a 1.7% HICP (CPI) target. Hence the 0.3 percentage point rise in inflation required to hit a 2.0% HICP target. Since the beginning of 2004, CPI inflation has indeed risen so that it is now close to the 2.0% target. However, this has, in the main, followed from the steady rise in the price of oil over the same</w:t>
      </w:r>
      <w:r>
        <w:rPr>
          <w:spacing w:val="-9"/>
        </w:rPr>
        <w:t> </w:t>
      </w:r>
      <w:r>
        <w:rPr/>
        <w:t>period.</w:t>
      </w:r>
    </w:p>
    <w:p>
      <w:pPr>
        <w:spacing w:line="360" w:lineRule="auto" w:before="0"/>
        <w:ind w:left="1559" w:right="1502" w:firstLine="0"/>
        <w:jc w:val="left"/>
        <w:rPr>
          <w:i/>
          <w:sz w:val="24"/>
        </w:rPr>
      </w:pPr>
      <w:r>
        <w:rPr>
          <w:b/>
          <w:sz w:val="24"/>
        </w:rPr>
        <w:t>Implication 4. </w:t>
      </w:r>
      <w:r>
        <w:rPr>
          <w:i/>
          <w:sz w:val="24"/>
        </w:rPr>
        <w:t>A switch to an HICP target of 2% today should have little or no </w:t>
      </w:r>
      <w:r>
        <w:rPr>
          <w:i/>
          <w:sz w:val="24"/>
        </w:rPr>
        <w:t>impact on the current stance of monetary policy despite the large gap between RPIX and HICP inflation. This is because this large gap is only temporary, generated by the recent surge in house price inflation which impacts on RPIX via the housing depreciation element but not on HICP. As this surge fades away, the gap will close to more normal levels and given the structure of the August RPI</w:t>
      </w:r>
    </w:p>
    <w:p>
      <w:pPr>
        <w:spacing w:after="0" w:line="360" w:lineRule="auto"/>
        <w:jc w:val="left"/>
        <w:rPr>
          <w:sz w:val="24"/>
        </w:rPr>
        <w:sectPr>
          <w:pgSz w:w="11900" w:h="16840"/>
          <w:pgMar w:header="716" w:footer="0" w:top="1340" w:bottom="280" w:left="600" w:right="400"/>
        </w:sectPr>
      </w:pPr>
    </w:p>
    <w:p>
      <w:pPr>
        <w:spacing w:line="360" w:lineRule="auto" w:before="82"/>
        <w:ind w:left="1560" w:right="1635" w:hanging="1"/>
        <w:jc w:val="left"/>
        <w:rPr>
          <w:i/>
          <w:sz w:val="24"/>
        </w:rPr>
      </w:pPr>
      <w:r>
        <w:rPr>
          <w:i/>
          <w:sz w:val="24"/>
        </w:rPr>
        <w:t>projection, the corresponding HICP projection would not be very different from </w:t>
      </w:r>
      <w:r>
        <w:rPr>
          <w:i/>
          <w:sz w:val="24"/>
        </w:rPr>
        <w:t>2% towards the end of the forecast horizon.</w:t>
      </w:r>
    </w:p>
    <w:p>
      <w:pPr>
        <w:pStyle w:val="BodyText"/>
        <w:spacing w:line="360" w:lineRule="auto"/>
        <w:ind w:left="1560" w:right="1403"/>
      </w:pPr>
      <w:r>
        <w:rPr/>
        <w:t>When this was written (September 2003), the gap between HICP and RPIX was very large. Since that time it has indeed narrowed significantly following the slowdown in house price inflation and other factors (see Fig.9) and CPI (HICP) inflation is indeed close to the 2% target. Over the period of the switch, interest rates were rising but, as the MPC Minutes of the era make plain, the target switch had no significant impact on policy. In the light of all this, was the target switch a good thing?</w:t>
      </w:r>
    </w:p>
    <w:p>
      <w:pPr>
        <w:pStyle w:val="BodyText"/>
        <w:spacing w:before="10"/>
        <w:rPr>
          <w:sz w:val="35"/>
        </w:rPr>
      </w:pPr>
    </w:p>
    <w:p>
      <w:pPr>
        <w:pStyle w:val="BodyText"/>
        <w:ind w:left="1560"/>
      </w:pPr>
      <w:r>
        <w:rPr>
          <w:u w:val="single"/>
        </w:rPr>
        <w:t>Was the Switch from an RPIX Target to a CPI Target a Good Thing?</w:t>
      </w:r>
    </w:p>
    <w:p>
      <w:pPr>
        <w:pStyle w:val="BodyText"/>
        <w:spacing w:line="360" w:lineRule="auto" w:before="138"/>
        <w:ind w:left="1560" w:right="1448"/>
      </w:pPr>
      <w:r>
        <w:rPr/>
        <w:t>The main differences between the RPIX and CPI indices are the first two set out earlier (p.23). The use of the geometric mean in the aggregation of price changes is definitely superior to the use of the arithmetic mean because only the former takes some account of the fact that consumers will tend to substitute away from goods whose prices rise the fastest towards goods whose prices rise the slowest.  In this sense the switch represents an improvement.  The omission of housing costs is a more contentious issue. The housing depreciation element in RPI has a weight of around 4.4% and is based on a distributed lag of the ODPM measure of house prices. As we have already noted in Footnote 14, this is not a good measure of housing depreciation and was only introduced into the Retail Price Index in 1995. However, it has had a significant impact on RPIX in recent years. Thus the burst of house price inflation from 2002 generated a significant surge in RPIX inflation to levels well above target for much of 2003. No such surge can be observed in CPI</w:t>
      </w:r>
      <w:r>
        <w:rPr>
          <w:spacing w:val="-4"/>
        </w:rPr>
        <w:t> </w:t>
      </w:r>
      <w:r>
        <w:rPr/>
        <w:t>inflation.</w:t>
      </w:r>
    </w:p>
    <w:p>
      <w:pPr>
        <w:pStyle w:val="BodyText"/>
        <w:spacing w:before="3"/>
      </w:pPr>
    </w:p>
    <w:p>
      <w:pPr>
        <w:pStyle w:val="BodyText"/>
        <w:spacing w:line="410" w:lineRule="atLeast"/>
        <w:ind w:left="1560" w:right="1475"/>
      </w:pPr>
      <w:r>
        <w:rPr/>
        <w:t>In my view, incorporating house prices directly in a consumer price index is not a good idea. There may be a good argument for including the user cost of housing</w:t>
      </w:r>
    </w:p>
    <w:p>
      <w:pPr>
        <w:spacing w:after="0" w:line="410" w:lineRule="atLeast"/>
        <w:sectPr>
          <w:pgSz w:w="11900" w:h="16840"/>
          <w:pgMar w:header="716" w:footer="0" w:top="1340" w:bottom="280" w:left="600" w:right="400"/>
        </w:sectPr>
      </w:pPr>
    </w:p>
    <w:p>
      <w:pPr>
        <w:pStyle w:val="BodyText"/>
        <w:spacing w:before="13"/>
        <w:ind w:left="1560"/>
        <w:rPr>
          <w:i/>
        </w:rPr>
      </w:pPr>
      <w:r>
        <w:rPr/>
        <w:pict>
          <v:shape style="position:absolute;margin-left:344.400452pt;margin-top:16.011654pt;width:3.55pt;height:7.8pt;mso-position-horizontal-relative:page;mso-position-vertical-relative:paragraph;z-index:-254062592" type="#_x0000_t202" filled="false" stroked="false">
            <v:textbox inset="0,0,0,0">
              <w:txbxContent>
                <w:p>
                  <w:pPr>
                    <w:spacing w:line="155" w:lineRule="exact" w:before="0"/>
                    <w:ind w:left="0" w:right="0" w:firstLine="0"/>
                    <w:jc w:val="left"/>
                    <w:rPr>
                      <w:i/>
                      <w:sz w:val="14"/>
                    </w:rPr>
                  </w:pPr>
                  <w:r>
                    <w:rPr>
                      <w:i/>
                      <w:sz w:val="14"/>
                    </w:rPr>
                    <w:t>h</w:t>
                  </w:r>
                </w:p>
              </w:txbxContent>
            </v:textbox>
            <w10:wrap type="none"/>
          </v:shape>
        </w:pict>
      </w:r>
      <w:r>
        <w:rPr/>
        <w:pict>
          <v:shape style="position:absolute;margin-left:358.380005pt;margin-top:16.011654pt;width:1.95pt;height:7.8pt;mso-position-horizontal-relative:page;mso-position-vertical-relative:paragraph;z-index:251663360" type="#_x0000_t202" filled="false" stroked="false">
            <v:textbox inset="0,0,0,0">
              <w:txbxContent>
                <w:p>
                  <w:pPr>
                    <w:spacing w:line="155" w:lineRule="exact" w:before="0"/>
                    <w:ind w:left="0" w:right="0" w:firstLine="0"/>
                    <w:jc w:val="left"/>
                    <w:rPr>
                      <w:i/>
                      <w:sz w:val="14"/>
                    </w:rPr>
                  </w:pPr>
                  <w:r>
                    <w:rPr>
                      <w:i/>
                      <w:sz w:val="14"/>
                    </w:rPr>
                    <w:t>f</w:t>
                  </w:r>
                </w:p>
              </w:txbxContent>
            </v:textbox>
            <w10:wrap type="none"/>
          </v:shape>
        </w:pict>
      </w:r>
      <w:r>
        <w:rPr/>
        <w:t>and, ignoring capital gains, the real user cost is </w:t>
      </w:r>
      <w:r>
        <w:rPr>
          <w:i/>
        </w:rPr>
        <w:t>P </w:t>
      </w:r>
      <w:r>
        <w:rPr>
          <w:rFonts w:ascii="Symbol" w:hAnsi="Symbol"/>
          <w:sz w:val="37"/>
        </w:rPr>
        <w:t></w:t>
      </w:r>
      <w:r>
        <w:rPr>
          <w:i/>
        </w:rPr>
        <w:t>r</w:t>
      </w:r>
    </w:p>
    <w:p>
      <w:pPr>
        <w:pStyle w:val="ListParagraph"/>
        <w:numPr>
          <w:ilvl w:val="0"/>
          <w:numId w:val="4"/>
        </w:numPr>
        <w:tabs>
          <w:tab w:pos="265" w:val="left" w:leader="none"/>
        </w:tabs>
        <w:spacing w:line="240" w:lineRule="auto" w:before="13" w:after="0"/>
        <w:ind w:left="264" w:right="0" w:hanging="192"/>
        <w:jc w:val="left"/>
        <w:rPr>
          <w:sz w:val="24"/>
        </w:rPr>
      </w:pPr>
      <w:r>
        <w:rPr>
          <w:rFonts w:ascii="Symbol" w:hAnsi="Symbol"/>
          <w:i/>
          <w:w w:val="96"/>
          <w:sz w:val="25"/>
        </w:rPr>
        <w:br w:type="column"/>
      </w:r>
      <w:r>
        <w:rPr>
          <w:rFonts w:ascii="Symbol" w:hAnsi="Symbol"/>
          <w:i/>
          <w:sz w:val="25"/>
        </w:rPr>
        <w:t></w:t>
      </w:r>
      <w:r>
        <w:rPr>
          <w:i/>
          <w:spacing w:val="-8"/>
          <w:sz w:val="25"/>
        </w:rPr>
        <w:t> </w:t>
      </w:r>
      <w:r>
        <w:rPr>
          <w:rFonts w:ascii="Symbol" w:hAnsi="Symbol"/>
          <w:sz w:val="24"/>
        </w:rPr>
        <w:t></w:t>
      </w:r>
      <w:r>
        <w:rPr>
          <w:spacing w:val="-29"/>
          <w:sz w:val="24"/>
        </w:rPr>
        <w:t> </w:t>
      </w:r>
      <w:r>
        <w:rPr>
          <w:rFonts w:ascii="Symbol" w:hAnsi="Symbol"/>
          <w:i/>
          <w:sz w:val="25"/>
        </w:rPr>
        <w:t></w:t>
      </w:r>
      <w:r>
        <w:rPr>
          <w:i/>
          <w:spacing w:val="-24"/>
          <w:sz w:val="25"/>
        </w:rPr>
        <w:t> </w:t>
      </w:r>
      <w:r>
        <w:rPr>
          <w:rFonts w:ascii="Symbol" w:hAnsi="Symbol"/>
          <w:sz w:val="37"/>
        </w:rPr>
        <w:t></w:t>
      </w:r>
      <w:r>
        <w:rPr>
          <w:spacing w:val="-24"/>
          <w:sz w:val="37"/>
        </w:rPr>
        <w:t> </w:t>
      </w:r>
      <w:r>
        <w:rPr>
          <w:sz w:val="24"/>
        </w:rPr>
        <w:t>,</w:t>
      </w:r>
      <w:r>
        <w:rPr>
          <w:spacing w:val="-10"/>
          <w:sz w:val="24"/>
        </w:rPr>
        <w:t> </w:t>
      </w:r>
      <w:r>
        <w:rPr>
          <w:spacing w:val="-4"/>
          <w:sz w:val="24"/>
        </w:rPr>
        <w:t>where</w:t>
      </w:r>
    </w:p>
    <w:p>
      <w:pPr>
        <w:spacing w:before="161"/>
        <w:ind w:left="63" w:right="0" w:firstLine="0"/>
        <w:jc w:val="left"/>
        <w:rPr>
          <w:sz w:val="24"/>
        </w:rPr>
      </w:pPr>
      <w:r>
        <w:rPr/>
        <w:br w:type="column"/>
      </w:r>
      <w:r>
        <w:rPr>
          <w:i/>
          <w:sz w:val="24"/>
        </w:rPr>
        <w:t>P</w:t>
      </w:r>
      <w:r>
        <w:rPr>
          <w:i/>
          <w:position w:val="-5"/>
          <w:sz w:val="14"/>
        </w:rPr>
        <w:t>h </w:t>
      </w:r>
      <w:r>
        <w:rPr>
          <w:sz w:val="24"/>
        </w:rPr>
        <w:t>is the</w:t>
      </w:r>
    </w:p>
    <w:p>
      <w:pPr>
        <w:spacing w:after="0"/>
        <w:jc w:val="left"/>
        <w:rPr>
          <w:sz w:val="24"/>
        </w:rPr>
        <w:sectPr>
          <w:type w:val="continuous"/>
          <w:pgSz w:w="11900" w:h="16840"/>
          <w:pgMar w:top="1180" w:bottom="280" w:left="600" w:right="400"/>
          <w:cols w:num="3" w:equalWidth="0">
            <w:col w:w="6607" w:space="40"/>
            <w:col w:w="1665" w:space="39"/>
            <w:col w:w="2549"/>
          </w:cols>
        </w:sectPr>
      </w:pPr>
    </w:p>
    <w:p>
      <w:pPr>
        <w:pStyle w:val="BodyText"/>
        <w:spacing w:before="10"/>
        <w:rPr>
          <w:sz w:val="9"/>
        </w:rPr>
      </w:pPr>
    </w:p>
    <w:p>
      <w:pPr>
        <w:spacing w:after="0"/>
        <w:rPr>
          <w:sz w:val="9"/>
        </w:rPr>
        <w:sectPr>
          <w:type w:val="continuous"/>
          <w:pgSz w:w="11900" w:h="16840"/>
          <w:pgMar w:top="1180" w:bottom="280" w:left="600" w:right="400"/>
        </w:sectPr>
      </w:pPr>
    </w:p>
    <w:p>
      <w:pPr>
        <w:pStyle w:val="BodyText"/>
        <w:spacing w:before="90"/>
        <w:ind w:left="1560"/>
        <w:rPr>
          <w:i/>
          <w:sz w:val="14"/>
        </w:rPr>
      </w:pPr>
      <w:r>
        <w:rPr/>
        <w:t>real price of houses, </w:t>
      </w:r>
      <w:r>
        <w:rPr>
          <w:i/>
        </w:rPr>
        <w:t>r</w:t>
      </w:r>
      <w:r>
        <w:rPr>
          <w:i/>
          <w:position w:val="-5"/>
          <w:sz w:val="14"/>
        </w:rPr>
        <w:t>f</w:t>
      </w:r>
    </w:p>
    <w:p>
      <w:pPr>
        <w:pStyle w:val="BodyText"/>
        <w:tabs>
          <w:tab w:pos="4494" w:val="left" w:leader="none"/>
        </w:tabs>
        <w:spacing w:before="90"/>
        <w:ind w:left="97"/>
      </w:pPr>
      <w:r>
        <w:rPr/>
        <w:br w:type="column"/>
      </w:r>
      <w:r>
        <w:rPr/>
        <w:t>is the long-term risk free real</w:t>
      </w:r>
      <w:r>
        <w:rPr>
          <w:spacing w:val="-12"/>
        </w:rPr>
        <w:t> </w:t>
      </w:r>
      <w:r>
        <w:rPr/>
        <w:t>interest</w:t>
      </w:r>
      <w:r>
        <w:rPr>
          <w:spacing w:val="-2"/>
        </w:rPr>
        <w:t> </w:t>
      </w:r>
      <w:r>
        <w:rPr/>
        <w:t>rate,</w:t>
        <w:tab/>
        <w:t>is the</w:t>
      </w:r>
      <w:r>
        <w:rPr>
          <w:spacing w:val="-2"/>
        </w:rPr>
        <w:t> </w:t>
      </w:r>
      <w:r>
        <w:rPr/>
        <w:t>risk</w:t>
      </w:r>
    </w:p>
    <w:p>
      <w:pPr>
        <w:spacing w:after="0"/>
        <w:sectPr>
          <w:type w:val="continuous"/>
          <w:pgSz w:w="11900" w:h="16840"/>
          <w:pgMar w:top="1180" w:bottom="280" w:left="600" w:right="400"/>
          <w:cols w:num="2" w:equalWidth="0">
            <w:col w:w="3735" w:space="40"/>
            <w:col w:w="7125"/>
          </w:cols>
        </w:sectPr>
      </w:pPr>
    </w:p>
    <w:p>
      <w:pPr>
        <w:pStyle w:val="BodyText"/>
        <w:spacing w:line="355" w:lineRule="auto" w:before="160"/>
        <w:ind w:left="1559" w:right="1659"/>
      </w:pPr>
      <w:r>
        <w:rPr/>
        <w:t>premium and </w:t>
      </w:r>
      <w:r>
        <w:rPr>
          <w:rFonts w:ascii="Symbol" w:hAnsi="Symbol"/>
          <w:i/>
          <w:sz w:val="25"/>
        </w:rPr>
        <w:t></w:t>
      </w:r>
      <w:r>
        <w:rPr>
          <w:i/>
          <w:sz w:val="25"/>
        </w:rPr>
        <w:t> </w:t>
      </w:r>
      <w:r>
        <w:rPr/>
        <w:t>is the rate of depreciation. While this is proportional to house prices, if real house prices over the long haul are being driven by changes in the long-term real interest rate, then fluctuations in house prices will not adequately</w:t>
      </w:r>
    </w:p>
    <w:p>
      <w:pPr>
        <w:spacing w:after="0" w:line="355" w:lineRule="auto"/>
        <w:sectPr>
          <w:type w:val="continuous"/>
          <w:pgSz w:w="11900" w:h="16840"/>
          <w:pgMar w:top="1180" w:bottom="280" w:left="600" w:right="400"/>
        </w:sectPr>
      </w:pPr>
    </w:p>
    <w:p>
      <w:pPr>
        <w:pStyle w:val="BodyText"/>
        <w:spacing w:line="360" w:lineRule="auto" w:before="80"/>
        <w:ind w:left="1559" w:right="1403"/>
      </w:pPr>
      <w:r>
        <w:rPr/>
        <w:t>reflect fluctuations in user cost. Better, in my view, to use market rents as a proxy for the user cost of owner-occupied housing.</w:t>
      </w:r>
    </w:p>
    <w:p>
      <w:pPr>
        <w:pStyle w:val="BodyText"/>
        <w:rPr>
          <w:sz w:val="36"/>
        </w:rPr>
      </w:pPr>
    </w:p>
    <w:p>
      <w:pPr>
        <w:pStyle w:val="BodyText"/>
        <w:spacing w:line="360" w:lineRule="auto"/>
        <w:ind w:left="1559" w:right="1509"/>
      </w:pPr>
      <w:r>
        <w:rPr/>
        <w:t>Turning to the monetary policy implications of the housing depreciation element in RPIX, as it happens, the house price generated surge in RPIX inflation in 2003 had little impact on UK monetary policy essentially because the MPC failed to forecast the inflation surge at an early enough date</w:t>
      </w:r>
      <w:r>
        <w:rPr>
          <w:vertAlign w:val="superscript"/>
        </w:rPr>
        <w:t>16</w:t>
      </w:r>
      <w:r>
        <w:rPr>
          <w:vertAlign w:val="baseline"/>
        </w:rPr>
        <w:t>. Of course, the house price explosion had a strong effect on monetary policy because of its impact on consumption and aggregate demand. But this would have been the case even if CPI had been targeted.</w:t>
      </w:r>
    </w:p>
    <w:p>
      <w:pPr>
        <w:pStyle w:val="BodyText"/>
        <w:spacing w:before="1"/>
        <w:rPr>
          <w:sz w:val="36"/>
        </w:rPr>
      </w:pPr>
    </w:p>
    <w:p>
      <w:pPr>
        <w:pStyle w:val="BodyText"/>
        <w:spacing w:line="360" w:lineRule="auto"/>
        <w:ind w:left="1560" w:right="1376"/>
      </w:pPr>
      <w:r>
        <w:rPr/>
        <w:t>On balance, therefore, I view the switch from an RPIX target to a CPI target as a positive move. It has had little impact on monetary policy and CPI is a superior price index. The only drawback with the CPI index is that it does not capture owner occupied housing costs at all. This awaits an agreement at the European level. However, it is arguable that omitting this element of the cost of living altogether is better than actually incorporating house prices as a flawed measure of housing depreciation or owner-occupied housing costs.</w:t>
      </w:r>
    </w:p>
    <w:p>
      <w:pPr>
        <w:pStyle w:val="BodyText"/>
        <w:spacing w:before="1"/>
        <w:rPr>
          <w:sz w:val="36"/>
        </w:rPr>
      </w:pPr>
    </w:p>
    <w:p>
      <w:pPr>
        <w:pStyle w:val="Heading1"/>
        <w:numPr>
          <w:ilvl w:val="0"/>
          <w:numId w:val="1"/>
        </w:numPr>
        <w:tabs>
          <w:tab w:pos="4274" w:val="left" w:leader="none"/>
        </w:tabs>
        <w:spacing w:line="240" w:lineRule="auto" w:before="0" w:after="0"/>
        <w:ind w:left="4273" w:right="0" w:hanging="241"/>
        <w:jc w:val="left"/>
        <w:rPr>
          <w:u w:val="none"/>
        </w:rPr>
      </w:pPr>
      <w:r>
        <w:rPr>
          <w:u w:val="thick"/>
        </w:rPr>
        <w:t>Summary and</w:t>
      </w:r>
      <w:r>
        <w:rPr>
          <w:spacing w:val="-3"/>
          <w:u w:val="thick"/>
        </w:rPr>
        <w:t> </w:t>
      </w:r>
      <w:r>
        <w:rPr>
          <w:u w:val="thick"/>
        </w:rPr>
        <w:t>Conclusions</w:t>
      </w:r>
    </w:p>
    <w:p>
      <w:pPr>
        <w:pStyle w:val="BodyText"/>
        <w:rPr>
          <w:b/>
          <w:sz w:val="20"/>
        </w:rPr>
      </w:pPr>
    </w:p>
    <w:p>
      <w:pPr>
        <w:pStyle w:val="BodyText"/>
        <w:rPr>
          <w:b/>
          <w:sz w:val="20"/>
        </w:rPr>
      </w:pPr>
    </w:p>
    <w:p>
      <w:pPr>
        <w:pStyle w:val="BodyText"/>
        <w:spacing w:line="360" w:lineRule="auto" w:before="90"/>
        <w:ind w:left="1200" w:right="1640"/>
        <w:jc w:val="both"/>
      </w:pPr>
      <w:r>
        <w:rPr/>
        <w:t>I have considered three topics. First, the rise in household debt and its implications for monetary policy. Second, the role of asset prices in monetary policy. Third, the implications of the switch in the inflation target at the end of 2003.</w:t>
      </w:r>
    </w:p>
    <w:p>
      <w:pPr>
        <w:pStyle w:val="BodyText"/>
        <w:rPr>
          <w:sz w:val="36"/>
        </w:rPr>
      </w:pPr>
    </w:p>
    <w:p>
      <w:pPr>
        <w:pStyle w:val="BodyText"/>
        <w:spacing w:line="360" w:lineRule="auto"/>
        <w:ind w:left="1200" w:right="1403"/>
      </w:pPr>
      <w:r>
        <w:rPr/>
        <w:t>The conclusions are as follows. The driving force behind the dramatic rise in household debt over the last thirty years is the continuing rise in owner-occupied dwellings and in the proportion of households with a mortgage. More recently, the rapid rise in house prices has also been important. Interestingly enough, the overall rise in household debt over the last eight years has not had a big impact on consumption growth because, over the same period, there has also been a significant increase in the rate of accumulation, by households, of financial assets. Finally, while it is possible that higher levels of debt may make household consumption more</w:t>
      </w:r>
    </w:p>
    <w:p>
      <w:pPr>
        <w:spacing w:after="0" w:line="360" w:lineRule="auto"/>
        <w:sectPr>
          <w:pgSz w:w="11900" w:h="16840"/>
          <w:pgMar w:header="716" w:footer="0" w:top="1340" w:bottom="280" w:left="600" w:right="400"/>
        </w:sectPr>
      </w:pPr>
    </w:p>
    <w:p>
      <w:pPr>
        <w:pStyle w:val="BodyText"/>
        <w:spacing w:line="360" w:lineRule="auto" w:before="80"/>
        <w:ind w:left="1200" w:right="1402"/>
      </w:pPr>
      <w:r>
        <w:rPr/>
        <w:t>sensitive to interest rate changes, this may easily be offset simply by moderating these same changes.</w:t>
      </w:r>
    </w:p>
    <w:p>
      <w:pPr>
        <w:pStyle w:val="BodyText"/>
        <w:rPr>
          <w:sz w:val="36"/>
        </w:rPr>
      </w:pPr>
    </w:p>
    <w:p>
      <w:pPr>
        <w:pStyle w:val="BodyText"/>
        <w:spacing w:line="360" w:lineRule="auto"/>
        <w:ind w:left="1200" w:right="1400"/>
      </w:pPr>
      <w:r>
        <w:rPr/>
        <w:t>Concerning the role of asset prices in monetary policy, here we have analysed the implications of the 2002-4 UK housing boom. The overall conclusions are first, it is impossible to tell whether or not there has been a house price bubble in the light of the fall in UK long-term real interest rates from around 4% in the mid 1990s to around 2% by 2000. Second, to have any significant impact on the housing boom, the MPC would have had to raise interest rates by around 300 basis points for three years from late 2002. This would have cut GDP growth by more than 1/2% in 2003 and sent inflation far below target in 2004. Third, it is impossible to say, at the moment, whether or not such a policy would have been worth doing in order to reduce the size of the subsequent housing market crash. Since no crash has yet been observed, currently it seems unlikely that the “bubble pricking” policy would have been sensible, </w:t>
      </w:r>
      <w:r>
        <w:rPr>
          <w:i/>
        </w:rPr>
        <w:t>ex post</w:t>
      </w:r>
      <w:r>
        <w:rPr/>
        <w:t>. And, who knows, if the MPC had raised interest rates by 300 basis points in 2002, sterling might truly have risen to unsustainable</w:t>
      </w:r>
      <w:r>
        <w:rPr>
          <w:spacing w:val="-15"/>
        </w:rPr>
        <w:t> </w:t>
      </w:r>
      <w:r>
        <w:rPr/>
        <w:t>levels!</w:t>
      </w:r>
    </w:p>
    <w:p>
      <w:pPr>
        <w:pStyle w:val="BodyText"/>
        <w:spacing w:before="1"/>
        <w:rPr>
          <w:sz w:val="36"/>
        </w:rPr>
      </w:pPr>
    </w:p>
    <w:p>
      <w:pPr>
        <w:pStyle w:val="BodyText"/>
        <w:spacing w:line="360" w:lineRule="auto"/>
        <w:ind w:left="1200" w:right="1835"/>
      </w:pPr>
      <w:r>
        <w:rPr/>
        <w:t>Finally, the switch from a 2.5% inflation target on the RPIX measure to a 2.0% inflation target on the CPI (HICP) measure, at the end of 2003, turned out to have minimal implications for monetary policy. Furthermore, the CPI is a marginally superior cost of living index relative to the RPIX.</w:t>
      </w:r>
    </w:p>
    <w:p>
      <w:pPr>
        <w:spacing w:after="0" w:line="360" w:lineRule="auto"/>
        <w:sectPr>
          <w:pgSz w:w="11900" w:h="16840"/>
          <w:pgMar w:header="716" w:footer="0" w:top="1340" w:bottom="280" w:left="600" w:right="400"/>
        </w:sectPr>
      </w:pPr>
    </w:p>
    <w:p>
      <w:pPr>
        <w:pStyle w:val="Heading1"/>
        <w:spacing w:before="83"/>
        <w:ind w:right="1474" w:firstLine="0"/>
        <w:jc w:val="center"/>
        <w:rPr>
          <w:u w:val="none"/>
        </w:rPr>
      </w:pPr>
      <w:r>
        <w:rPr>
          <w:u w:val="thick"/>
        </w:rPr>
        <w:t>Footnotes</w:t>
      </w:r>
    </w:p>
    <w:p>
      <w:pPr>
        <w:pStyle w:val="BodyText"/>
        <w:rPr>
          <w:b/>
          <w:sz w:val="20"/>
        </w:rPr>
      </w:pPr>
    </w:p>
    <w:p>
      <w:pPr>
        <w:pStyle w:val="BodyText"/>
        <w:spacing w:before="11"/>
        <w:rPr>
          <w:b/>
          <w:sz w:val="19"/>
        </w:rPr>
      </w:pPr>
    </w:p>
    <w:p>
      <w:pPr>
        <w:pStyle w:val="ListParagraph"/>
        <w:numPr>
          <w:ilvl w:val="0"/>
          <w:numId w:val="5"/>
        </w:numPr>
        <w:tabs>
          <w:tab w:pos="1920" w:val="left" w:leader="none"/>
        </w:tabs>
        <w:spacing w:line="240" w:lineRule="auto" w:before="90" w:after="0"/>
        <w:ind w:left="1920" w:right="1756" w:hanging="360"/>
        <w:jc w:val="left"/>
        <w:rPr>
          <w:sz w:val="24"/>
        </w:rPr>
      </w:pPr>
      <w:r>
        <w:rPr>
          <w:sz w:val="24"/>
        </w:rPr>
        <w:t>As it happens, average quarterly consumption growth from 2004, Q1 to the present (ie. 2005 Q1) is also</w:t>
      </w:r>
      <w:r>
        <w:rPr>
          <w:spacing w:val="-8"/>
          <w:sz w:val="24"/>
        </w:rPr>
        <w:t> </w:t>
      </w:r>
      <w:r>
        <w:rPr>
          <w:sz w:val="24"/>
        </w:rPr>
        <w:t>0.77%.</w:t>
      </w:r>
    </w:p>
    <w:p>
      <w:pPr>
        <w:pStyle w:val="BodyText"/>
      </w:pPr>
    </w:p>
    <w:p>
      <w:pPr>
        <w:pStyle w:val="ListParagraph"/>
        <w:numPr>
          <w:ilvl w:val="0"/>
          <w:numId w:val="5"/>
        </w:numPr>
        <w:tabs>
          <w:tab w:pos="1920" w:val="left" w:leader="none"/>
        </w:tabs>
        <w:spacing w:line="240" w:lineRule="auto" w:before="0" w:after="0"/>
        <w:ind w:left="1920" w:right="1805" w:hanging="360"/>
        <w:jc w:val="left"/>
        <w:rPr>
          <w:sz w:val="24"/>
        </w:rPr>
      </w:pPr>
      <w:r>
        <w:rPr>
          <w:sz w:val="24"/>
        </w:rPr>
        <w:t>The period 1996-97 was the era of building society demutualisations when households received substantial windfall gains. These may have had an impact on consumption growth in the late</w:t>
      </w:r>
      <w:r>
        <w:rPr>
          <w:spacing w:val="-8"/>
          <w:sz w:val="24"/>
        </w:rPr>
        <w:t> </w:t>
      </w:r>
      <w:r>
        <w:rPr>
          <w:sz w:val="24"/>
        </w:rPr>
        <w:t>1990s.</w:t>
      </w:r>
    </w:p>
    <w:p>
      <w:pPr>
        <w:pStyle w:val="BodyText"/>
      </w:pPr>
    </w:p>
    <w:p>
      <w:pPr>
        <w:pStyle w:val="ListParagraph"/>
        <w:numPr>
          <w:ilvl w:val="0"/>
          <w:numId w:val="5"/>
        </w:numPr>
        <w:tabs>
          <w:tab w:pos="1920" w:val="left" w:leader="none"/>
        </w:tabs>
        <w:spacing w:line="240" w:lineRule="auto" w:before="0" w:after="0"/>
        <w:ind w:left="1920" w:right="1632" w:hanging="360"/>
        <w:jc w:val="left"/>
        <w:rPr>
          <w:sz w:val="24"/>
        </w:rPr>
      </w:pPr>
      <w:r>
        <w:rPr>
          <w:sz w:val="24"/>
        </w:rPr>
        <w:t>These are money flows. This equation takes no account of the changes in value of the existing stock of assets which are very important in determining changes in the balance sheet position of</w:t>
      </w:r>
      <w:r>
        <w:rPr>
          <w:spacing w:val="-8"/>
          <w:sz w:val="24"/>
        </w:rPr>
        <w:t> </w:t>
      </w:r>
      <w:r>
        <w:rPr>
          <w:sz w:val="24"/>
        </w:rPr>
        <w:t>households.</w:t>
      </w:r>
    </w:p>
    <w:p>
      <w:pPr>
        <w:pStyle w:val="BodyText"/>
      </w:pPr>
    </w:p>
    <w:p>
      <w:pPr>
        <w:pStyle w:val="ListParagraph"/>
        <w:numPr>
          <w:ilvl w:val="0"/>
          <w:numId w:val="5"/>
        </w:numPr>
        <w:tabs>
          <w:tab w:pos="1920" w:val="left" w:leader="none"/>
        </w:tabs>
        <w:spacing w:line="240" w:lineRule="auto" w:before="0" w:after="0"/>
        <w:ind w:left="1919" w:right="1530" w:hanging="360"/>
        <w:jc w:val="left"/>
        <w:rPr>
          <w:sz w:val="24"/>
        </w:rPr>
      </w:pPr>
      <w:r>
        <w:rPr>
          <w:sz w:val="24"/>
        </w:rPr>
        <w:t>For those readers who are more persuaded by the paraphernalia of Granger Causality Tests no debt measure or combination of debt measures come close to Granger causing real consumption once real post-tax labour income is included in the</w:t>
      </w:r>
      <w:r>
        <w:rPr>
          <w:spacing w:val="-4"/>
          <w:sz w:val="24"/>
        </w:rPr>
        <w:t> </w:t>
      </w:r>
      <w:r>
        <w:rPr>
          <w:sz w:val="24"/>
        </w:rPr>
        <w:t>model.</w:t>
      </w:r>
    </w:p>
    <w:p>
      <w:pPr>
        <w:pStyle w:val="BodyText"/>
      </w:pPr>
    </w:p>
    <w:p>
      <w:pPr>
        <w:pStyle w:val="ListParagraph"/>
        <w:numPr>
          <w:ilvl w:val="0"/>
          <w:numId w:val="5"/>
        </w:numPr>
        <w:tabs>
          <w:tab w:pos="1920" w:val="left" w:leader="none"/>
        </w:tabs>
        <w:spacing w:line="240" w:lineRule="auto" w:before="0" w:after="0"/>
        <w:ind w:left="1920" w:right="1400" w:hanging="360"/>
        <w:jc w:val="left"/>
        <w:rPr>
          <w:sz w:val="24"/>
        </w:rPr>
      </w:pPr>
      <w:r>
        <w:rPr>
          <w:sz w:val="24"/>
        </w:rPr>
        <w:t>All statistics on house prices refer to an average of the Halifax and Nationwide house price</w:t>
      </w:r>
      <w:r>
        <w:rPr>
          <w:spacing w:val="-3"/>
          <w:sz w:val="24"/>
        </w:rPr>
        <w:t> </w:t>
      </w:r>
      <w:r>
        <w:rPr>
          <w:sz w:val="24"/>
        </w:rPr>
        <w:t>indices.</w:t>
      </w:r>
    </w:p>
    <w:p>
      <w:pPr>
        <w:pStyle w:val="BodyText"/>
      </w:pPr>
    </w:p>
    <w:p>
      <w:pPr>
        <w:pStyle w:val="ListParagraph"/>
        <w:numPr>
          <w:ilvl w:val="0"/>
          <w:numId w:val="5"/>
        </w:numPr>
        <w:tabs>
          <w:tab w:pos="1920" w:val="left" w:leader="none"/>
        </w:tabs>
        <w:spacing w:line="240" w:lineRule="auto" w:before="0" w:after="0"/>
        <w:ind w:left="1920" w:right="2621" w:hanging="360"/>
        <w:jc w:val="left"/>
        <w:rPr>
          <w:sz w:val="24"/>
        </w:rPr>
      </w:pPr>
      <w:r>
        <w:rPr>
          <w:sz w:val="24"/>
        </w:rPr>
        <w:t>This, and future quotes not explicitly referenced are to be found</w:t>
      </w:r>
      <w:r>
        <w:rPr>
          <w:spacing w:val="-42"/>
          <w:sz w:val="24"/>
        </w:rPr>
        <w:t> </w:t>
      </w:r>
      <w:r>
        <w:rPr>
          <w:sz w:val="24"/>
        </w:rPr>
        <w:t>at</w:t>
      </w:r>
      <w:r>
        <w:rPr>
          <w:color w:val="0000FF"/>
          <w:sz w:val="24"/>
          <w:u w:val="single" w:color="0000FF"/>
        </w:rPr>
        <w:t> </w:t>
      </w:r>
      <w:hyperlink r:id="rId8">
        <w:r>
          <w:rPr>
            <w:color w:val="0000FF"/>
            <w:sz w:val="24"/>
            <w:u w:val="single" w:color="0000FF"/>
          </w:rPr>
          <w:t>www.housepricechat.co.uk</w:t>
        </w:r>
      </w:hyperlink>
    </w:p>
    <w:p>
      <w:pPr>
        <w:pStyle w:val="BodyText"/>
        <w:spacing w:before="2"/>
        <w:rPr>
          <w:sz w:val="16"/>
        </w:rPr>
      </w:pPr>
    </w:p>
    <w:p>
      <w:pPr>
        <w:pStyle w:val="ListParagraph"/>
        <w:numPr>
          <w:ilvl w:val="0"/>
          <w:numId w:val="5"/>
        </w:numPr>
        <w:tabs>
          <w:tab w:pos="1920" w:val="left" w:leader="none"/>
        </w:tabs>
        <w:spacing w:line="240" w:lineRule="auto" w:before="90" w:after="0"/>
        <w:ind w:left="1920" w:right="1451" w:hanging="360"/>
        <w:jc w:val="left"/>
        <w:rPr>
          <w:sz w:val="24"/>
        </w:rPr>
      </w:pPr>
      <w:r>
        <w:rPr>
          <w:sz w:val="24"/>
        </w:rPr>
        <w:t>Recent evidence suggests that the main factor underlying this relationship is the fact that both house prices and household consumption tend to be positively related to expectations of future earnings. The collateral effect, arising from the fact that higher housing equity allows for increased secured borrowing at real interest rates which are markedly lower than unsecured rates appears to play a minor role. See Attanasio et al.</w:t>
      </w:r>
      <w:r>
        <w:rPr>
          <w:spacing w:val="-14"/>
          <w:sz w:val="24"/>
        </w:rPr>
        <w:t> </w:t>
      </w:r>
      <w:r>
        <w:rPr>
          <w:sz w:val="24"/>
        </w:rPr>
        <w:t>(2005).</w:t>
      </w:r>
    </w:p>
    <w:p>
      <w:pPr>
        <w:pStyle w:val="BodyText"/>
        <w:spacing w:before="11"/>
        <w:rPr>
          <w:sz w:val="23"/>
        </w:rPr>
      </w:pPr>
    </w:p>
    <w:p>
      <w:pPr>
        <w:pStyle w:val="ListParagraph"/>
        <w:numPr>
          <w:ilvl w:val="0"/>
          <w:numId w:val="5"/>
        </w:numPr>
        <w:tabs>
          <w:tab w:pos="1920" w:val="left" w:leader="none"/>
        </w:tabs>
        <w:spacing w:line="240" w:lineRule="auto" w:before="0" w:after="0"/>
        <w:ind w:left="1920" w:right="0" w:hanging="360"/>
        <w:jc w:val="left"/>
        <w:rPr>
          <w:sz w:val="24"/>
        </w:rPr>
      </w:pPr>
      <w:r>
        <w:rPr>
          <w:sz w:val="24"/>
        </w:rPr>
        <w:t>The Barker Interim Report (2003) has a lot of information on these</w:t>
      </w:r>
      <w:r>
        <w:rPr>
          <w:spacing w:val="-15"/>
          <w:sz w:val="24"/>
        </w:rPr>
        <w:t> </w:t>
      </w:r>
      <w:r>
        <w:rPr>
          <w:sz w:val="24"/>
        </w:rPr>
        <w:t>issues.</w:t>
      </w:r>
    </w:p>
    <w:p>
      <w:pPr>
        <w:pStyle w:val="BodyText"/>
      </w:pPr>
    </w:p>
    <w:p>
      <w:pPr>
        <w:pStyle w:val="ListParagraph"/>
        <w:numPr>
          <w:ilvl w:val="0"/>
          <w:numId w:val="5"/>
        </w:numPr>
        <w:tabs>
          <w:tab w:pos="1920" w:val="left" w:leader="none"/>
        </w:tabs>
        <w:spacing w:line="240" w:lineRule="auto" w:before="0" w:after="0"/>
        <w:ind w:left="1919" w:right="1696" w:hanging="361"/>
        <w:jc w:val="left"/>
        <w:rPr>
          <w:sz w:val="24"/>
        </w:rPr>
      </w:pPr>
      <w:r>
        <w:rPr>
          <w:sz w:val="24"/>
        </w:rPr>
        <w:t>Of course, the front-end loading problem can be entirely eliminated if the lender, at the end of each year, raises the nominal mortgage loan to offset at least some part of the real reduction in the loan which has come about via inflation. Presumably because of the high transactions costs involved, such behaviour was not common during the high inflation</w:t>
      </w:r>
      <w:r>
        <w:rPr>
          <w:spacing w:val="-15"/>
          <w:sz w:val="24"/>
        </w:rPr>
        <w:t> </w:t>
      </w:r>
      <w:r>
        <w:rPr>
          <w:sz w:val="24"/>
        </w:rPr>
        <w:t>period.</w:t>
      </w:r>
    </w:p>
    <w:p>
      <w:pPr>
        <w:pStyle w:val="BodyText"/>
      </w:pPr>
    </w:p>
    <w:p>
      <w:pPr>
        <w:pStyle w:val="ListParagraph"/>
        <w:numPr>
          <w:ilvl w:val="0"/>
          <w:numId w:val="5"/>
        </w:numPr>
        <w:tabs>
          <w:tab w:pos="1920" w:val="left" w:leader="none"/>
        </w:tabs>
        <w:spacing w:line="240" w:lineRule="auto" w:before="0" w:after="0"/>
        <w:ind w:left="1920" w:right="0" w:hanging="361"/>
        <w:jc w:val="left"/>
        <w:rPr>
          <w:sz w:val="24"/>
        </w:rPr>
      </w:pPr>
      <w:r>
        <w:rPr>
          <w:sz w:val="24"/>
        </w:rPr>
        <w:t>The present value of real rents</w:t>
      </w:r>
      <w:r>
        <w:rPr>
          <w:spacing w:val="-6"/>
          <w:sz w:val="24"/>
        </w:rPr>
        <w:t> </w:t>
      </w:r>
      <w:r>
        <w:rPr>
          <w:sz w:val="24"/>
        </w:rPr>
        <w:t>is</w:t>
      </w:r>
    </w:p>
    <w:p>
      <w:pPr>
        <w:spacing w:after="0" w:line="240" w:lineRule="auto"/>
        <w:jc w:val="left"/>
        <w:rPr>
          <w:sz w:val="24"/>
        </w:rPr>
        <w:sectPr>
          <w:pgSz w:w="11900" w:h="16840"/>
          <w:pgMar w:header="716" w:footer="0" w:top="1340" w:bottom="280" w:left="600" w:right="400"/>
        </w:sectPr>
      </w:pPr>
    </w:p>
    <w:p>
      <w:pPr>
        <w:spacing w:line="154" w:lineRule="exact" w:before="28"/>
        <w:ind w:left="2432" w:right="0" w:firstLine="0"/>
        <w:jc w:val="left"/>
        <w:rPr>
          <w:rFonts w:ascii="Symbol" w:hAnsi="Symbol"/>
          <w:sz w:val="14"/>
        </w:rPr>
      </w:pPr>
      <w:r>
        <w:rPr>
          <w:rFonts w:ascii="Symbol" w:hAnsi="Symbol"/>
          <w:sz w:val="14"/>
        </w:rPr>
        <w:t></w:t>
      </w:r>
    </w:p>
    <w:p>
      <w:pPr>
        <w:spacing w:line="402" w:lineRule="exact" w:before="0"/>
        <w:ind w:left="2434" w:right="0" w:firstLine="0"/>
        <w:jc w:val="left"/>
        <w:rPr>
          <w:i/>
          <w:sz w:val="14"/>
        </w:rPr>
      </w:pPr>
      <w:r>
        <w:rPr>
          <w:rFonts w:ascii="Symbol" w:hAnsi="Symbol"/>
          <w:position w:val="-18"/>
          <w:sz w:val="36"/>
        </w:rPr>
        <w:t></w:t>
      </w:r>
      <w:r>
        <w:rPr>
          <w:spacing w:val="-44"/>
          <w:position w:val="-18"/>
          <w:sz w:val="36"/>
        </w:rPr>
        <w:t> </w:t>
      </w:r>
      <w:r>
        <w:rPr>
          <w:i/>
          <w:position w:val="-10"/>
          <w:sz w:val="24"/>
        </w:rPr>
        <w:t>De</w:t>
      </w:r>
      <w:r>
        <w:rPr>
          <w:i/>
          <w:spacing w:val="-37"/>
          <w:position w:val="-10"/>
          <w:sz w:val="24"/>
        </w:rPr>
        <w:t> </w:t>
      </w:r>
      <w:r>
        <w:rPr>
          <w:i/>
          <w:spacing w:val="-9"/>
          <w:sz w:val="14"/>
        </w:rPr>
        <w:t>gt</w:t>
      </w:r>
    </w:p>
    <w:p>
      <w:pPr>
        <w:spacing w:line="151" w:lineRule="exact" w:before="0"/>
        <w:ind w:left="2456" w:right="0" w:firstLine="0"/>
        <w:jc w:val="left"/>
        <w:rPr>
          <w:rFonts w:ascii="Symbol" w:hAnsi="Symbol"/>
          <w:sz w:val="14"/>
        </w:rPr>
      </w:pPr>
      <w:r>
        <w:rPr>
          <w:rFonts w:ascii="Symbol" w:hAnsi="Symbol"/>
          <w:sz w:val="14"/>
        </w:rPr>
        <w:t></w:t>
      </w:r>
    </w:p>
    <w:p>
      <w:pPr>
        <w:spacing w:before="91"/>
        <w:ind w:left="-15" w:right="0" w:firstLine="0"/>
        <w:jc w:val="left"/>
        <w:rPr>
          <w:i/>
          <w:sz w:val="14"/>
        </w:rPr>
      </w:pPr>
      <w:r>
        <w:rPr/>
        <w:br w:type="column"/>
      </w:r>
      <w:r>
        <w:rPr>
          <w:i/>
          <w:spacing w:val="18"/>
          <w:position w:val="-12"/>
          <w:sz w:val="24"/>
        </w:rPr>
        <w:t>e</w:t>
      </w:r>
      <w:r>
        <w:rPr>
          <w:rFonts w:ascii="Symbol" w:hAnsi="Symbol"/>
          <w:spacing w:val="7"/>
          <w:sz w:val="14"/>
        </w:rPr>
        <w:t></w:t>
      </w:r>
      <w:r>
        <w:rPr>
          <w:rFonts w:ascii="Symbol" w:hAnsi="Symbol"/>
          <w:spacing w:val="-2"/>
          <w:w w:val="62"/>
          <w:sz w:val="22"/>
        </w:rPr>
        <w:t></w:t>
      </w:r>
      <w:r>
        <w:rPr>
          <w:i/>
          <w:spacing w:val="9"/>
          <w:sz w:val="14"/>
        </w:rPr>
        <w:t>r</w:t>
      </w:r>
      <w:r>
        <w:rPr>
          <w:i/>
          <w:position w:val="-2"/>
          <w:sz w:val="10"/>
        </w:rPr>
        <w:t>f </w:t>
      </w:r>
      <w:r>
        <w:rPr>
          <w:i/>
          <w:spacing w:val="-3"/>
          <w:position w:val="-2"/>
          <w:sz w:val="10"/>
        </w:rPr>
        <w:t> </w:t>
      </w:r>
      <w:r>
        <w:rPr>
          <w:rFonts w:ascii="Symbol" w:hAnsi="Symbol"/>
          <w:sz w:val="14"/>
        </w:rPr>
        <w:t></w:t>
      </w:r>
      <w:r>
        <w:rPr>
          <w:spacing w:val="-21"/>
          <w:sz w:val="14"/>
        </w:rPr>
        <w:t> </w:t>
      </w:r>
      <w:r>
        <w:rPr>
          <w:rFonts w:ascii="Symbol" w:hAnsi="Symbol"/>
          <w:i/>
          <w:w w:val="93"/>
          <w:sz w:val="15"/>
        </w:rPr>
        <w:t></w:t>
      </w:r>
      <w:r>
        <w:rPr>
          <w:spacing w:val="-13"/>
          <w:sz w:val="15"/>
        </w:rPr>
        <w:t> </w:t>
      </w:r>
      <w:r>
        <w:rPr>
          <w:rFonts w:ascii="Symbol" w:hAnsi="Symbol"/>
          <w:spacing w:val="-19"/>
          <w:w w:val="62"/>
          <w:sz w:val="22"/>
        </w:rPr>
        <w:t></w:t>
      </w:r>
      <w:r>
        <w:rPr>
          <w:i/>
          <w:spacing w:val="-9"/>
          <w:sz w:val="14"/>
        </w:rPr>
        <w:t>t</w:t>
      </w:r>
    </w:p>
    <w:p>
      <w:pPr>
        <w:spacing w:before="72"/>
        <w:ind w:left="-12" w:right="0" w:firstLine="0"/>
        <w:jc w:val="left"/>
        <w:rPr>
          <w:i/>
          <w:sz w:val="24"/>
        </w:rPr>
      </w:pPr>
      <w:r>
        <w:rPr/>
        <w:br w:type="column"/>
      </w:r>
      <w:r>
        <w:rPr>
          <w:i/>
          <w:sz w:val="24"/>
        </w:rPr>
        <w:t>dt </w:t>
      </w:r>
      <w:r>
        <w:rPr>
          <w:rFonts w:ascii="Symbol" w:hAnsi="Symbol"/>
          <w:sz w:val="24"/>
        </w:rPr>
        <w:t></w:t>
      </w:r>
      <w:r>
        <w:rPr>
          <w:sz w:val="24"/>
        </w:rPr>
        <w:t> </w:t>
      </w:r>
      <w:r>
        <w:rPr>
          <w:i/>
          <w:sz w:val="24"/>
        </w:rPr>
        <w:t>D</w:t>
      </w:r>
      <w:r>
        <w:rPr>
          <w:i/>
          <w:spacing w:val="-31"/>
          <w:sz w:val="24"/>
        </w:rPr>
        <w:t> </w:t>
      </w:r>
      <w:r>
        <w:rPr>
          <w:spacing w:val="-8"/>
          <w:sz w:val="24"/>
        </w:rPr>
        <w:t>/</w:t>
      </w:r>
      <w:r>
        <w:rPr>
          <w:rFonts w:ascii="Symbol" w:hAnsi="Symbol"/>
          <w:spacing w:val="-8"/>
          <w:sz w:val="37"/>
        </w:rPr>
        <w:t></w:t>
      </w:r>
      <w:r>
        <w:rPr>
          <w:i/>
          <w:spacing w:val="-8"/>
          <w:sz w:val="24"/>
        </w:rPr>
        <w:t>r</w:t>
      </w:r>
    </w:p>
    <w:p>
      <w:pPr>
        <w:spacing w:before="192"/>
        <w:ind w:left="125" w:right="0" w:firstLine="0"/>
        <w:jc w:val="left"/>
        <w:rPr>
          <w:i/>
          <w:sz w:val="24"/>
        </w:rPr>
      </w:pPr>
      <w:r>
        <w:rPr/>
        <w:br w:type="column"/>
      </w:r>
      <w:r>
        <w:rPr>
          <w:rFonts w:ascii="Symbol" w:hAnsi="Symbol"/>
          <w:sz w:val="24"/>
        </w:rPr>
        <w:t></w:t>
      </w:r>
      <w:r>
        <w:rPr>
          <w:sz w:val="24"/>
        </w:rPr>
        <w:t> </w:t>
      </w:r>
      <w:r>
        <w:rPr>
          <w:rFonts w:ascii="Symbol" w:hAnsi="Symbol"/>
          <w:i/>
          <w:sz w:val="25"/>
        </w:rPr>
        <w:t></w:t>
      </w:r>
      <w:r>
        <w:rPr>
          <w:i/>
          <w:sz w:val="25"/>
        </w:rPr>
        <w:t> </w:t>
      </w:r>
      <w:r>
        <w:rPr>
          <w:rFonts w:ascii="Symbol" w:hAnsi="Symbol"/>
          <w:sz w:val="24"/>
        </w:rPr>
        <w:t></w:t>
      </w:r>
      <w:r>
        <w:rPr>
          <w:sz w:val="24"/>
        </w:rPr>
        <w:t> </w:t>
      </w:r>
      <w:r>
        <w:rPr>
          <w:i/>
          <w:spacing w:val="-19"/>
          <w:sz w:val="24"/>
        </w:rPr>
        <w:t>g</w:t>
      </w:r>
    </w:p>
    <w:p>
      <w:pPr>
        <w:spacing w:before="73"/>
        <w:ind w:left="-14" w:right="0" w:firstLine="0"/>
        <w:jc w:val="left"/>
        <w:rPr>
          <w:i/>
          <w:sz w:val="14"/>
        </w:rPr>
      </w:pPr>
      <w:r>
        <w:rPr/>
        <w:br w:type="column"/>
      </w:r>
      <w:r>
        <w:rPr>
          <w:rFonts w:ascii="Symbol" w:hAnsi="Symbol"/>
          <w:sz w:val="37"/>
        </w:rPr>
        <w:t></w:t>
      </w:r>
      <w:r>
        <w:rPr>
          <w:sz w:val="24"/>
        </w:rPr>
        <w:t>, so long as </w:t>
      </w:r>
      <w:r>
        <w:rPr>
          <w:i/>
          <w:sz w:val="24"/>
        </w:rPr>
        <w:t>r</w:t>
      </w:r>
      <w:r>
        <w:rPr>
          <w:i/>
          <w:position w:val="-5"/>
          <w:sz w:val="14"/>
        </w:rPr>
        <w:t>f</w:t>
      </w:r>
    </w:p>
    <w:p>
      <w:pPr>
        <w:spacing w:before="194"/>
        <w:ind w:left="72" w:right="0" w:firstLine="0"/>
        <w:jc w:val="left"/>
        <w:rPr>
          <w:sz w:val="24"/>
        </w:rPr>
      </w:pPr>
      <w:r>
        <w:rPr/>
        <w:br w:type="column"/>
      </w:r>
      <w:r>
        <w:rPr>
          <w:rFonts w:ascii="Symbol" w:hAnsi="Symbol"/>
          <w:sz w:val="24"/>
        </w:rPr>
        <w:t></w:t>
      </w:r>
      <w:r>
        <w:rPr>
          <w:sz w:val="24"/>
        </w:rPr>
        <w:t> </w:t>
      </w:r>
      <w:r>
        <w:rPr>
          <w:rFonts w:ascii="Symbol" w:hAnsi="Symbol"/>
          <w:i/>
          <w:sz w:val="25"/>
        </w:rPr>
        <w:t></w:t>
      </w:r>
      <w:r>
        <w:rPr>
          <w:i/>
          <w:sz w:val="25"/>
        </w:rPr>
        <w:t> </w:t>
      </w:r>
      <w:r>
        <w:rPr>
          <w:rFonts w:ascii="Symbol" w:hAnsi="Symbol"/>
          <w:sz w:val="24"/>
        </w:rPr>
        <w:t></w:t>
      </w:r>
      <w:r>
        <w:rPr>
          <w:sz w:val="24"/>
        </w:rPr>
        <w:t> </w:t>
      </w:r>
      <w:r>
        <w:rPr>
          <w:i/>
          <w:sz w:val="24"/>
        </w:rPr>
        <w:t>g </w:t>
      </w:r>
      <w:r>
        <w:rPr>
          <w:rFonts w:ascii="Symbol" w:hAnsi="Symbol"/>
          <w:sz w:val="24"/>
        </w:rPr>
        <w:t></w:t>
      </w:r>
      <w:r>
        <w:rPr>
          <w:sz w:val="24"/>
        </w:rPr>
        <w:t> 0 .</w:t>
      </w:r>
    </w:p>
    <w:p>
      <w:pPr>
        <w:spacing w:after="0"/>
        <w:jc w:val="left"/>
        <w:rPr>
          <w:sz w:val="24"/>
        </w:rPr>
        <w:sectPr>
          <w:type w:val="continuous"/>
          <w:pgSz w:w="11900" w:h="16840"/>
          <w:pgMar w:top="1180" w:bottom="280" w:left="600" w:right="400"/>
          <w:cols w:num="6" w:equalWidth="0">
            <w:col w:w="2993" w:space="40"/>
            <w:col w:w="646" w:space="39"/>
            <w:col w:w="905" w:space="40"/>
            <w:col w:w="827" w:space="40"/>
            <w:col w:w="1408" w:space="40"/>
            <w:col w:w="3922"/>
          </w:cols>
        </w:sectPr>
      </w:pPr>
    </w:p>
    <w:p>
      <w:pPr>
        <w:pStyle w:val="ListParagraph"/>
        <w:numPr>
          <w:ilvl w:val="0"/>
          <w:numId w:val="5"/>
        </w:numPr>
        <w:tabs>
          <w:tab w:pos="1920" w:val="left" w:leader="none"/>
        </w:tabs>
        <w:spacing w:line="240" w:lineRule="auto" w:before="6" w:after="0"/>
        <w:ind w:left="1919" w:right="1653" w:hanging="360"/>
        <w:jc w:val="left"/>
        <w:rPr>
          <w:sz w:val="24"/>
        </w:rPr>
      </w:pPr>
      <w:r>
        <w:rPr/>
        <w:pict>
          <v:shape style="position:absolute;margin-left:261.899994pt;margin-top:-17.777584pt;width:1.95pt;height:7.8pt;mso-position-horizontal-relative:page;mso-position-vertical-relative:paragraph;z-index:251664384" type="#_x0000_t202" filled="false" stroked="false">
            <v:textbox inset="0,0,0,0">
              <w:txbxContent>
                <w:p>
                  <w:pPr>
                    <w:spacing w:line="155" w:lineRule="exact" w:before="0"/>
                    <w:ind w:left="0" w:right="0" w:firstLine="0"/>
                    <w:jc w:val="left"/>
                    <w:rPr>
                      <w:i/>
                      <w:sz w:val="14"/>
                    </w:rPr>
                  </w:pPr>
                  <w:r>
                    <w:rPr>
                      <w:i/>
                      <w:sz w:val="14"/>
                    </w:rPr>
                    <w:t>f</w:t>
                  </w:r>
                </w:p>
              </w:txbxContent>
            </v:textbox>
            <w10:wrap type="none"/>
          </v:shape>
        </w:pict>
      </w:r>
      <w:r>
        <w:rPr>
          <w:sz w:val="24"/>
        </w:rPr>
        <w:t>This conclusion is completely at variance with that set out in Farlow</w:t>
      </w:r>
      <w:r>
        <w:rPr>
          <w:spacing w:val="-38"/>
          <w:sz w:val="24"/>
        </w:rPr>
        <w:t> </w:t>
      </w:r>
      <w:r>
        <w:rPr>
          <w:sz w:val="24"/>
        </w:rPr>
        <w:t>(2004). The main reason is that Farlow only considers short-run real interest rates which have fallen little since the mid-1990s. However, when purchasing a very long-lived asset, the long-run real interest rate is substantially more relevant and this has fallen since the</w:t>
      </w:r>
      <w:r>
        <w:rPr>
          <w:spacing w:val="-10"/>
          <w:sz w:val="24"/>
        </w:rPr>
        <w:t> </w:t>
      </w:r>
      <w:r>
        <w:rPr>
          <w:sz w:val="24"/>
        </w:rPr>
        <w:t>mid-1990s.</w:t>
      </w:r>
    </w:p>
    <w:p>
      <w:pPr>
        <w:spacing w:after="0" w:line="240" w:lineRule="auto"/>
        <w:jc w:val="left"/>
        <w:rPr>
          <w:sz w:val="24"/>
        </w:rPr>
        <w:sectPr>
          <w:type w:val="continuous"/>
          <w:pgSz w:w="11900" w:h="16840"/>
          <w:pgMar w:top="1180" w:bottom="280" w:left="600" w:right="400"/>
        </w:sectPr>
      </w:pPr>
    </w:p>
    <w:p>
      <w:pPr>
        <w:pStyle w:val="ListParagraph"/>
        <w:numPr>
          <w:ilvl w:val="0"/>
          <w:numId w:val="5"/>
        </w:numPr>
        <w:tabs>
          <w:tab w:pos="1920" w:val="left" w:leader="none"/>
        </w:tabs>
        <w:spacing w:line="240" w:lineRule="auto" w:before="80" w:after="0"/>
        <w:ind w:left="1920" w:right="1417" w:hanging="360"/>
        <w:jc w:val="left"/>
        <w:rPr>
          <w:sz w:val="24"/>
        </w:rPr>
      </w:pPr>
      <w:r>
        <w:rPr>
          <w:sz w:val="24"/>
        </w:rPr>
        <w:t>At first sight, this level of response to a 300 basis point rise in interest rates may seem rather modest. To generate these numbers, I suppose that the temporary nature of the rise in interest rates is known to the general public and further, that inflation expectations remain anchored at the 2% target. If, as might well have been the case in practice, such a move in interest rates detached inflation expectations from the target, the fall in economic activity and inflation would have been significantly</w:t>
      </w:r>
      <w:r>
        <w:rPr>
          <w:spacing w:val="-9"/>
          <w:sz w:val="24"/>
        </w:rPr>
        <w:t> </w:t>
      </w:r>
      <w:r>
        <w:rPr>
          <w:sz w:val="24"/>
        </w:rPr>
        <w:t>larger.</w:t>
      </w:r>
    </w:p>
    <w:p>
      <w:pPr>
        <w:pStyle w:val="BodyText"/>
        <w:spacing w:before="10"/>
        <w:rPr>
          <w:sz w:val="13"/>
        </w:rPr>
      </w:pPr>
    </w:p>
    <w:p>
      <w:pPr>
        <w:spacing w:after="0"/>
        <w:rPr>
          <w:sz w:val="13"/>
        </w:rPr>
        <w:sectPr>
          <w:pgSz w:w="11900" w:h="16840"/>
          <w:pgMar w:header="716" w:footer="0" w:top="1340" w:bottom="280" w:left="600" w:right="400"/>
        </w:sectPr>
      </w:pPr>
    </w:p>
    <w:p>
      <w:pPr>
        <w:pStyle w:val="ListParagraph"/>
        <w:numPr>
          <w:ilvl w:val="0"/>
          <w:numId w:val="5"/>
        </w:numPr>
        <w:tabs>
          <w:tab w:pos="1920" w:val="left" w:leader="none"/>
        </w:tabs>
        <w:spacing w:line="240" w:lineRule="auto" w:before="196" w:after="0"/>
        <w:ind w:left="1920" w:right="0" w:hanging="360"/>
        <w:jc w:val="left"/>
        <w:rPr>
          <w:sz w:val="14"/>
        </w:rPr>
      </w:pPr>
      <w:r>
        <w:rPr>
          <w:sz w:val="24"/>
        </w:rPr>
        <w:t>If there are two numbers, </w:t>
      </w:r>
      <w:r>
        <w:rPr>
          <w:i/>
          <w:sz w:val="24"/>
        </w:rPr>
        <w:t>a</w:t>
      </w:r>
      <w:r>
        <w:rPr>
          <w:position w:val="-5"/>
          <w:sz w:val="14"/>
        </w:rPr>
        <w:t>1</w:t>
      </w:r>
      <w:r>
        <w:rPr>
          <w:sz w:val="24"/>
        </w:rPr>
        <w:t>,</w:t>
      </w:r>
      <w:r>
        <w:rPr>
          <w:spacing w:val="-19"/>
          <w:sz w:val="24"/>
        </w:rPr>
        <w:t> </w:t>
      </w:r>
      <w:r>
        <w:rPr>
          <w:i/>
          <w:sz w:val="24"/>
        </w:rPr>
        <w:t>a</w:t>
      </w:r>
      <w:r>
        <w:rPr>
          <w:position w:val="-5"/>
          <w:sz w:val="14"/>
        </w:rPr>
        <w:t>2</w:t>
      </w:r>
    </w:p>
    <w:p>
      <w:pPr>
        <w:pStyle w:val="BodyText"/>
        <w:spacing w:before="196"/>
        <w:ind w:left="62"/>
      </w:pPr>
      <w:r>
        <w:rPr/>
        <w:br w:type="column"/>
      </w:r>
      <w:r>
        <w:rPr/>
        <w:t>the arithmetic means (AM) is</w:t>
      </w:r>
    </w:p>
    <w:p>
      <w:pPr>
        <w:spacing w:before="109"/>
        <w:ind w:left="80" w:right="0" w:firstLine="0"/>
        <w:jc w:val="left"/>
        <w:rPr>
          <w:sz w:val="24"/>
        </w:rPr>
      </w:pPr>
      <w:r>
        <w:rPr/>
        <w:br w:type="column"/>
      </w:r>
      <w:r>
        <w:rPr>
          <w:spacing w:val="13"/>
          <w:w w:val="100"/>
          <w:position w:val="6"/>
          <w:sz w:val="24"/>
        </w:rPr>
        <w:t>1</w:t>
      </w:r>
      <w:r>
        <w:rPr>
          <w:w w:val="100"/>
          <w:position w:val="-11"/>
          <w:sz w:val="24"/>
        </w:rPr>
        <w:t>2</w:t>
      </w:r>
      <w:r>
        <w:rPr>
          <w:spacing w:val="-33"/>
          <w:position w:val="-11"/>
          <w:sz w:val="24"/>
        </w:rPr>
        <w:t> </w:t>
      </w:r>
      <w:r>
        <w:rPr>
          <w:rFonts w:ascii="Symbol" w:hAnsi="Symbol"/>
          <w:spacing w:val="-4"/>
          <w:w w:val="76"/>
          <w:sz w:val="31"/>
        </w:rPr>
        <w:t></w:t>
      </w:r>
      <w:r>
        <w:rPr>
          <w:i/>
          <w:spacing w:val="-17"/>
          <w:w w:val="100"/>
          <w:sz w:val="24"/>
        </w:rPr>
        <w:t>a</w:t>
      </w:r>
      <w:r>
        <w:rPr>
          <w:position w:val="-5"/>
          <w:sz w:val="14"/>
        </w:rPr>
        <w:t>1 </w:t>
      </w:r>
      <w:r>
        <w:rPr>
          <w:spacing w:val="-12"/>
          <w:position w:val="-5"/>
          <w:sz w:val="14"/>
        </w:rPr>
        <w:t> </w:t>
      </w:r>
      <w:r>
        <w:rPr>
          <w:rFonts w:ascii="Symbol" w:hAnsi="Symbol"/>
          <w:sz w:val="24"/>
        </w:rPr>
        <w:t></w:t>
      </w:r>
      <w:r>
        <w:rPr>
          <w:spacing w:val="-7"/>
          <w:sz w:val="24"/>
        </w:rPr>
        <w:t> </w:t>
      </w:r>
      <w:r>
        <w:rPr>
          <w:i/>
          <w:spacing w:val="-1"/>
          <w:w w:val="100"/>
          <w:sz w:val="24"/>
        </w:rPr>
        <w:t>a</w:t>
      </w:r>
      <w:r>
        <w:rPr>
          <w:position w:val="-5"/>
          <w:sz w:val="14"/>
        </w:rPr>
        <w:t>2</w:t>
      </w:r>
      <w:r>
        <w:rPr>
          <w:spacing w:val="-3"/>
          <w:position w:val="-5"/>
          <w:sz w:val="14"/>
        </w:rPr>
        <w:t> </w:t>
      </w:r>
      <w:r>
        <w:rPr>
          <w:rFonts w:ascii="Symbol" w:hAnsi="Symbol"/>
          <w:w w:val="76"/>
          <w:sz w:val="31"/>
        </w:rPr>
        <w:t></w:t>
      </w:r>
      <w:r>
        <w:rPr>
          <w:spacing w:val="4"/>
          <w:sz w:val="31"/>
        </w:rPr>
        <w:t> </w:t>
      </w:r>
      <w:r>
        <w:rPr>
          <w:spacing w:val="-1"/>
          <w:w w:val="100"/>
          <w:sz w:val="24"/>
        </w:rPr>
        <w:t>and</w:t>
      </w:r>
    </w:p>
    <w:p>
      <w:pPr>
        <w:spacing w:after="0"/>
        <w:jc w:val="left"/>
        <w:rPr>
          <w:sz w:val="24"/>
        </w:rPr>
        <w:sectPr>
          <w:type w:val="continuous"/>
          <w:pgSz w:w="11900" w:h="16840"/>
          <w:pgMar w:top="1180" w:bottom="280" w:left="600" w:right="400"/>
          <w:cols w:num="3" w:equalWidth="0">
            <w:col w:w="4897" w:space="40"/>
            <w:col w:w="2890" w:space="39"/>
            <w:col w:w="3034"/>
          </w:cols>
        </w:sectPr>
      </w:pPr>
    </w:p>
    <w:p>
      <w:pPr>
        <w:spacing w:line="247" w:lineRule="exact" w:before="15"/>
        <w:ind w:left="1811" w:right="1474" w:firstLine="0"/>
        <w:jc w:val="center"/>
        <w:rPr>
          <w:sz w:val="24"/>
        </w:rPr>
      </w:pPr>
      <w:r>
        <w:rPr/>
        <w:pict>
          <v:line style="position:absolute;mso-position-horizontal-relative:page;mso-position-vertical-relative:paragraph;z-index:-254058496" from="439.560011pt,-20.806429pt" to="426.480011pt,-2.446429pt" stroked="true" strokeweight=".499pt" strokecolor="#000000">
            <v:stroke dashstyle="solid"/>
            <w10:wrap type="none"/>
          </v:line>
        </w:pict>
      </w:r>
      <w:r>
        <w:rPr/>
        <w:pict>
          <v:line style="position:absolute;mso-position-horizontal-relative:page;mso-position-vertical-relative:paragraph;z-index:-254057472" from="301.440007pt,2.953572pt" to="293.820007pt,13.633572pt" stroked="true" strokeweight=".25pt" strokecolor="#000000">
            <v:stroke dashstyle="solid"/>
            <w10:wrap type="none"/>
          </v:line>
        </w:pict>
      </w:r>
      <w:r>
        <w:rPr>
          <w:spacing w:val="-1"/>
          <w:w w:val="100"/>
          <w:sz w:val="24"/>
        </w:rPr>
        <w:t>th</w:t>
      </w:r>
      <w:r>
        <w:rPr>
          <w:w w:val="100"/>
          <w:sz w:val="24"/>
        </w:rPr>
        <w:t>e</w:t>
      </w:r>
      <w:r>
        <w:rPr>
          <w:spacing w:val="-1"/>
          <w:sz w:val="24"/>
        </w:rPr>
        <w:t> </w:t>
      </w:r>
      <w:r>
        <w:rPr>
          <w:spacing w:val="-1"/>
          <w:w w:val="100"/>
          <w:sz w:val="24"/>
        </w:rPr>
        <w:t>geo</w:t>
      </w:r>
      <w:r>
        <w:rPr>
          <w:spacing w:val="-3"/>
          <w:w w:val="100"/>
          <w:sz w:val="24"/>
        </w:rPr>
        <w:t>m</w:t>
      </w:r>
      <w:r>
        <w:rPr>
          <w:spacing w:val="-1"/>
          <w:w w:val="100"/>
          <w:sz w:val="24"/>
        </w:rPr>
        <w:t>etri</w:t>
      </w:r>
      <w:r>
        <w:rPr>
          <w:w w:val="100"/>
          <w:sz w:val="24"/>
        </w:rPr>
        <w:t>c</w:t>
      </w:r>
      <w:r>
        <w:rPr>
          <w:spacing w:val="-1"/>
          <w:sz w:val="24"/>
        </w:rPr>
        <w:t> </w:t>
      </w:r>
      <w:r>
        <w:rPr>
          <w:spacing w:val="-3"/>
          <w:w w:val="100"/>
          <w:sz w:val="24"/>
        </w:rPr>
        <w:t>m</w:t>
      </w:r>
      <w:r>
        <w:rPr>
          <w:spacing w:val="-1"/>
          <w:w w:val="100"/>
          <w:sz w:val="24"/>
        </w:rPr>
        <w:t>ea</w:t>
      </w:r>
      <w:r>
        <w:rPr>
          <w:w w:val="100"/>
          <w:sz w:val="24"/>
        </w:rPr>
        <w:t>n</w:t>
      </w:r>
      <w:r>
        <w:rPr>
          <w:spacing w:val="-1"/>
          <w:sz w:val="24"/>
        </w:rPr>
        <w:t> </w:t>
      </w:r>
      <w:r>
        <w:rPr>
          <w:spacing w:val="-1"/>
          <w:w w:val="100"/>
          <w:sz w:val="24"/>
        </w:rPr>
        <w:t>(GM</w:t>
      </w:r>
      <w:r>
        <w:rPr>
          <w:w w:val="100"/>
          <w:sz w:val="24"/>
        </w:rPr>
        <w:t>)</w:t>
      </w:r>
      <w:r>
        <w:rPr>
          <w:spacing w:val="-1"/>
          <w:sz w:val="24"/>
        </w:rPr>
        <w:t> </w:t>
      </w:r>
      <w:r>
        <w:rPr>
          <w:spacing w:val="-1"/>
          <w:w w:val="100"/>
          <w:sz w:val="24"/>
        </w:rPr>
        <w:t>i</w:t>
      </w:r>
      <w:r>
        <w:rPr>
          <w:w w:val="100"/>
          <w:sz w:val="24"/>
        </w:rPr>
        <w:t>s</w:t>
      </w:r>
      <w:r>
        <w:rPr>
          <w:sz w:val="24"/>
        </w:rPr>
        <w:t> </w:t>
      </w:r>
      <w:r>
        <w:rPr>
          <w:spacing w:val="-30"/>
          <w:sz w:val="24"/>
        </w:rPr>
        <w:t> </w:t>
      </w:r>
      <w:r>
        <w:rPr>
          <w:rFonts w:ascii="Symbol" w:hAnsi="Symbol"/>
          <w:spacing w:val="-5"/>
          <w:w w:val="76"/>
          <w:sz w:val="31"/>
        </w:rPr>
        <w:t></w:t>
      </w:r>
      <w:r>
        <w:rPr>
          <w:i/>
          <w:w w:val="100"/>
          <w:sz w:val="24"/>
        </w:rPr>
        <w:t>a</w:t>
      </w:r>
      <w:r>
        <w:rPr>
          <w:i/>
          <w:spacing w:val="-7"/>
          <w:sz w:val="24"/>
        </w:rPr>
        <w:t> </w:t>
      </w:r>
      <w:r>
        <w:rPr>
          <w:i/>
          <w:w w:val="100"/>
          <w:sz w:val="24"/>
        </w:rPr>
        <w:t>a</w:t>
      </w:r>
      <w:r>
        <w:rPr>
          <w:i/>
          <w:sz w:val="24"/>
        </w:rPr>
        <w:t> </w:t>
      </w:r>
      <w:r>
        <w:rPr>
          <w:i/>
          <w:spacing w:val="-19"/>
          <w:sz w:val="24"/>
        </w:rPr>
        <w:t> </w:t>
      </w:r>
      <w:r>
        <w:rPr>
          <w:rFonts w:ascii="Symbol" w:hAnsi="Symbol"/>
          <w:spacing w:val="6"/>
          <w:w w:val="76"/>
          <w:sz w:val="31"/>
        </w:rPr>
        <w:t></w:t>
      </w:r>
      <w:r>
        <w:rPr>
          <w:spacing w:val="6"/>
          <w:position w:val="16"/>
          <w:sz w:val="14"/>
        </w:rPr>
        <w:t>1</w:t>
      </w:r>
      <w:r>
        <w:rPr>
          <w:position w:val="5"/>
          <w:sz w:val="14"/>
        </w:rPr>
        <w:t>2</w:t>
      </w:r>
      <w:r>
        <w:rPr>
          <w:spacing w:val="10"/>
          <w:position w:val="5"/>
          <w:sz w:val="14"/>
        </w:rPr>
        <w:t> </w:t>
      </w:r>
      <w:r>
        <w:rPr>
          <w:w w:val="100"/>
          <w:sz w:val="24"/>
        </w:rPr>
        <w:t>.</w:t>
      </w:r>
      <w:r>
        <w:rPr>
          <w:sz w:val="24"/>
        </w:rPr>
        <w:t> </w:t>
      </w:r>
      <w:r>
        <w:rPr>
          <w:spacing w:val="-1"/>
          <w:sz w:val="24"/>
        </w:rPr>
        <w:t> </w:t>
      </w:r>
      <w:r>
        <w:rPr>
          <w:spacing w:val="-1"/>
          <w:w w:val="100"/>
          <w:sz w:val="24"/>
        </w:rPr>
        <w:t>I</w:t>
      </w:r>
      <w:r>
        <w:rPr>
          <w:w w:val="100"/>
          <w:sz w:val="24"/>
        </w:rPr>
        <w:t>f</w:t>
      </w:r>
      <w:r>
        <w:rPr>
          <w:spacing w:val="-1"/>
          <w:sz w:val="24"/>
        </w:rPr>
        <w:t> </w:t>
      </w:r>
      <w:r>
        <w:rPr>
          <w:spacing w:val="-1"/>
          <w:w w:val="100"/>
          <w:sz w:val="24"/>
        </w:rPr>
        <w:t>ther</w:t>
      </w:r>
      <w:r>
        <w:rPr>
          <w:w w:val="100"/>
          <w:sz w:val="24"/>
        </w:rPr>
        <w:t>e</w:t>
      </w:r>
      <w:r>
        <w:rPr>
          <w:spacing w:val="-1"/>
          <w:sz w:val="24"/>
        </w:rPr>
        <w:t> </w:t>
      </w:r>
      <w:r>
        <w:rPr>
          <w:spacing w:val="-1"/>
          <w:w w:val="100"/>
          <w:sz w:val="24"/>
        </w:rPr>
        <w:t>ar</w:t>
      </w:r>
      <w:r>
        <w:rPr>
          <w:w w:val="100"/>
          <w:sz w:val="24"/>
        </w:rPr>
        <w:t>e</w:t>
      </w:r>
      <w:r>
        <w:rPr>
          <w:spacing w:val="-1"/>
          <w:sz w:val="24"/>
        </w:rPr>
        <w:t> </w:t>
      </w:r>
      <w:r>
        <w:rPr>
          <w:i/>
          <w:w w:val="100"/>
          <w:sz w:val="24"/>
        </w:rPr>
        <w:t>n</w:t>
      </w:r>
      <w:r>
        <w:rPr>
          <w:i/>
          <w:spacing w:val="-1"/>
          <w:sz w:val="24"/>
        </w:rPr>
        <w:t> </w:t>
      </w:r>
      <w:r>
        <w:rPr>
          <w:spacing w:val="-1"/>
          <w:w w:val="100"/>
          <w:sz w:val="24"/>
        </w:rPr>
        <w:t>nu</w:t>
      </w:r>
      <w:r>
        <w:rPr>
          <w:spacing w:val="-3"/>
          <w:w w:val="100"/>
          <w:sz w:val="24"/>
        </w:rPr>
        <w:t>m</w:t>
      </w:r>
      <w:r>
        <w:rPr>
          <w:spacing w:val="-1"/>
          <w:w w:val="100"/>
          <w:sz w:val="24"/>
        </w:rPr>
        <w:t>bers</w:t>
      </w:r>
      <w:r>
        <w:rPr>
          <w:w w:val="100"/>
          <w:sz w:val="24"/>
        </w:rPr>
        <w:t>,</w:t>
      </w:r>
      <w:r>
        <w:rPr>
          <w:sz w:val="24"/>
        </w:rPr>
        <w:t> </w:t>
      </w:r>
      <w:r>
        <w:rPr>
          <w:spacing w:val="-26"/>
          <w:sz w:val="24"/>
        </w:rPr>
        <w:t> </w:t>
      </w:r>
      <w:r>
        <w:rPr>
          <w:i/>
          <w:w w:val="99"/>
          <w:sz w:val="24"/>
        </w:rPr>
        <w:t>a</w:t>
      </w:r>
      <w:r>
        <w:rPr>
          <w:i/>
          <w:spacing w:val="4"/>
          <w:sz w:val="24"/>
        </w:rPr>
        <w:t> </w:t>
      </w:r>
      <w:r>
        <w:rPr>
          <w:w w:val="99"/>
          <w:sz w:val="24"/>
        </w:rPr>
        <w:t>,</w:t>
      </w:r>
      <w:r>
        <w:rPr>
          <w:spacing w:val="-35"/>
          <w:sz w:val="24"/>
        </w:rPr>
        <w:t> </w:t>
      </w:r>
      <w:r>
        <w:rPr>
          <w:i/>
          <w:w w:val="99"/>
          <w:sz w:val="24"/>
        </w:rPr>
        <w:t>a</w:t>
      </w:r>
      <w:r>
        <w:rPr>
          <w:i/>
          <w:sz w:val="24"/>
        </w:rPr>
        <w:t> </w:t>
      </w:r>
      <w:r>
        <w:rPr>
          <w:i/>
          <w:spacing w:val="-6"/>
          <w:sz w:val="24"/>
        </w:rPr>
        <w:t> </w:t>
      </w:r>
      <w:r>
        <w:rPr>
          <w:w w:val="100"/>
          <w:sz w:val="24"/>
        </w:rPr>
        <w:t>,</w:t>
      </w:r>
      <w:r>
        <w:rPr>
          <w:spacing w:val="-1"/>
          <w:sz w:val="24"/>
        </w:rPr>
        <w:t> </w:t>
      </w:r>
      <w:r>
        <w:rPr>
          <w:w w:val="100"/>
          <w:sz w:val="24"/>
        </w:rPr>
        <w:t>…</w:t>
      </w:r>
      <w:r>
        <w:rPr>
          <w:spacing w:val="-1"/>
          <w:sz w:val="24"/>
        </w:rPr>
        <w:t> </w:t>
      </w:r>
      <w:r>
        <w:rPr>
          <w:w w:val="100"/>
          <w:sz w:val="24"/>
        </w:rPr>
        <w:t>,</w:t>
      </w:r>
      <w:r>
        <w:rPr>
          <w:sz w:val="24"/>
        </w:rPr>
        <w:t> </w:t>
      </w:r>
      <w:r>
        <w:rPr>
          <w:spacing w:val="-25"/>
          <w:sz w:val="24"/>
        </w:rPr>
        <w:t> </w:t>
      </w:r>
      <w:r>
        <w:rPr>
          <w:i/>
          <w:w w:val="100"/>
          <w:sz w:val="24"/>
        </w:rPr>
        <w:t>a</w:t>
      </w:r>
      <w:r>
        <w:rPr>
          <w:i/>
          <w:sz w:val="24"/>
        </w:rPr>
        <w:t> </w:t>
      </w:r>
      <w:r>
        <w:rPr>
          <w:i/>
          <w:spacing w:val="3"/>
          <w:sz w:val="24"/>
        </w:rPr>
        <w:t> </w:t>
      </w:r>
      <w:r>
        <w:rPr>
          <w:w w:val="100"/>
          <w:sz w:val="24"/>
        </w:rPr>
        <w:t>,</w:t>
      </w:r>
    </w:p>
    <w:p>
      <w:pPr>
        <w:tabs>
          <w:tab w:pos="8038" w:val="left" w:leader="none"/>
          <w:tab w:pos="8324" w:val="left" w:leader="none"/>
          <w:tab w:pos="9134" w:val="left" w:leader="none"/>
        </w:tabs>
        <w:spacing w:line="156" w:lineRule="exact" w:before="0"/>
        <w:ind w:left="4911" w:right="0" w:firstLine="0"/>
        <w:jc w:val="left"/>
        <w:rPr>
          <w:i/>
          <w:sz w:val="14"/>
        </w:rPr>
      </w:pPr>
      <w:r>
        <w:rPr/>
        <w:pict>
          <v:line style="position:absolute;mso-position-horizontal-relative:page;mso-position-vertical-relative:paragraph;z-index:-254056448" from="398.639991pt,14.911183pt" to="390.959991pt,25.771183pt" stroked="true" strokeweight=".25pt" strokecolor="#000000">
            <v:stroke dashstyle="solid"/>
            <w10:wrap type="none"/>
          </v:line>
        </w:pict>
      </w:r>
      <w:r>
        <w:rPr>
          <w:sz w:val="14"/>
        </w:rPr>
        <w:t>1  </w:t>
      </w:r>
      <w:r>
        <w:rPr>
          <w:spacing w:val="13"/>
          <w:sz w:val="14"/>
        </w:rPr>
        <w:t> </w:t>
      </w:r>
      <w:r>
        <w:rPr>
          <w:sz w:val="14"/>
        </w:rPr>
        <w:t>2</w:t>
        <w:tab/>
        <w:t>1</w:t>
        <w:tab/>
        <w:t>2</w:t>
        <w:tab/>
      </w:r>
      <w:r>
        <w:rPr>
          <w:i/>
          <w:sz w:val="14"/>
        </w:rPr>
        <w:t>n</w:t>
      </w:r>
    </w:p>
    <w:p>
      <w:pPr>
        <w:spacing w:after="0" w:line="156" w:lineRule="exact"/>
        <w:jc w:val="left"/>
        <w:rPr>
          <w:sz w:val="14"/>
        </w:rPr>
        <w:sectPr>
          <w:type w:val="continuous"/>
          <w:pgSz w:w="11900" w:h="16840"/>
          <w:pgMar w:top="1180" w:bottom="280" w:left="600" w:right="400"/>
        </w:sectPr>
      </w:pPr>
    </w:p>
    <w:p>
      <w:pPr>
        <w:pStyle w:val="BodyText"/>
        <w:spacing w:line="160" w:lineRule="exact" w:before="186"/>
        <w:ind w:left="1920"/>
      </w:pPr>
      <w:r>
        <w:rPr/>
        <w:t>the AM is</w:t>
      </w:r>
    </w:p>
    <w:p>
      <w:pPr>
        <w:spacing w:line="309" w:lineRule="exact" w:before="37"/>
        <w:ind w:left="72" w:right="0" w:firstLine="0"/>
        <w:jc w:val="left"/>
        <w:rPr>
          <w:i/>
          <w:sz w:val="24"/>
        </w:rPr>
      </w:pPr>
      <w:r>
        <w:rPr/>
        <w:br w:type="column"/>
      </w:r>
      <w:r>
        <w:rPr>
          <w:position w:val="15"/>
          <w:sz w:val="24"/>
        </w:rPr>
        <w:t>1 </w:t>
      </w:r>
      <w:r>
        <w:rPr>
          <w:rFonts w:ascii="Symbol" w:hAnsi="Symbol"/>
          <w:sz w:val="31"/>
        </w:rPr>
        <w:t></w:t>
      </w:r>
      <w:r>
        <w:rPr>
          <w:i/>
          <w:sz w:val="24"/>
        </w:rPr>
        <w:t>a </w:t>
      </w:r>
      <w:r>
        <w:rPr>
          <w:rFonts w:ascii="Symbol" w:hAnsi="Symbol"/>
          <w:sz w:val="24"/>
        </w:rPr>
        <w:t></w:t>
      </w:r>
      <w:r>
        <w:rPr>
          <w:sz w:val="24"/>
        </w:rPr>
        <w:t> </w:t>
      </w:r>
      <w:r>
        <w:rPr>
          <w:i/>
          <w:sz w:val="24"/>
        </w:rPr>
        <w:t>a </w:t>
      </w:r>
      <w:r>
        <w:rPr>
          <w:rFonts w:ascii="Symbol" w:hAnsi="Symbol"/>
          <w:sz w:val="24"/>
        </w:rPr>
        <w:t></w:t>
      </w:r>
      <w:r>
        <w:rPr>
          <w:sz w:val="24"/>
        </w:rPr>
        <w:t> ...</w:t>
      </w:r>
      <w:r>
        <w:rPr>
          <w:i/>
          <w:sz w:val="24"/>
        </w:rPr>
        <w:t>a</w:t>
      </w:r>
    </w:p>
    <w:p>
      <w:pPr>
        <w:pStyle w:val="BodyText"/>
        <w:spacing w:line="20" w:lineRule="exact"/>
        <w:ind w:left="53"/>
        <w:rPr>
          <w:sz w:val="2"/>
        </w:rPr>
      </w:pPr>
      <w:r>
        <w:rPr>
          <w:sz w:val="2"/>
        </w:rPr>
        <w:pict>
          <v:group style="width:7.45pt;height:.5pt;mso-position-horizontal-relative:char;mso-position-vertical-relative:line" coordorigin="0,0" coordsize="149,10">
            <v:line style="position:absolute" from="0,5" to="149,5" stroked="true" strokeweight=".499pt" strokecolor="#000000">
              <v:stroke dashstyle="solid"/>
            </v:line>
          </v:group>
        </w:pict>
      </w:r>
      <w:r>
        <w:rPr>
          <w:sz w:val="2"/>
        </w:rPr>
      </w:r>
    </w:p>
    <w:p>
      <w:pPr>
        <w:spacing w:line="257" w:lineRule="exact" w:before="89"/>
        <w:ind w:left="64" w:right="0" w:firstLine="0"/>
        <w:jc w:val="left"/>
        <w:rPr>
          <w:i/>
          <w:sz w:val="24"/>
        </w:rPr>
      </w:pPr>
      <w:r>
        <w:rPr/>
        <w:br w:type="column"/>
      </w:r>
      <w:r>
        <w:rPr>
          <w:rFonts w:ascii="Symbol" w:hAnsi="Symbol"/>
          <w:sz w:val="31"/>
        </w:rPr>
        <w:t></w:t>
      </w:r>
      <w:r>
        <w:rPr>
          <w:sz w:val="31"/>
        </w:rPr>
        <w:t> </w:t>
      </w:r>
      <w:r>
        <w:rPr>
          <w:sz w:val="24"/>
        </w:rPr>
        <w:t>and the GM is </w:t>
      </w:r>
      <w:r>
        <w:rPr>
          <w:rFonts w:ascii="Symbol" w:hAnsi="Symbol"/>
          <w:sz w:val="32"/>
        </w:rPr>
        <w:t></w:t>
      </w:r>
      <w:r>
        <w:rPr>
          <w:i/>
          <w:sz w:val="24"/>
        </w:rPr>
        <w:t>a a a </w:t>
      </w:r>
      <w:r>
        <w:rPr>
          <w:sz w:val="24"/>
        </w:rPr>
        <w:t>...</w:t>
      </w:r>
      <w:r>
        <w:rPr>
          <w:i/>
          <w:sz w:val="24"/>
        </w:rPr>
        <w:t>a</w:t>
      </w:r>
    </w:p>
    <w:p>
      <w:pPr>
        <w:spacing w:line="258" w:lineRule="exact" w:before="88"/>
        <w:ind w:left="65" w:right="0" w:firstLine="0"/>
        <w:jc w:val="left"/>
        <w:rPr>
          <w:sz w:val="24"/>
        </w:rPr>
      </w:pPr>
      <w:r>
        <w:rPr/>
        <w:br w:type="column"/>
      </w:r>
      <w:r>
        <w:rPr>
          <w:rFonts w:ascii="Symbol" w:hAnsi="Symbol"/>
          <w:spacing w:val="7"/>
          <w:w w:val="73"/>
          <w:sz w:val="32"/>
        </w:rPr>
        <w:t></w:t>
      </w:r>
      <w:r>
        <w:rPr>
          <w:spacing w:val="6"/>
          <w:w w:val="100"/>
          <w:position w:val="16"/>
          <w:sz w:val="14"/>
        </w:rPr>
        <w:t>1</w:t>
      </w:r>
      <w:r>
        <w:rPr>
          <w:i/>
          <w:w w:val="100"/>
          <w:position w:val="5"/>
          <w:sz w:val="14"/>
        </w:rPr>
        <w:t>n</w:t>
      </w:r>
      <w:r>
        <w:rPr>
          <w:i/>
          <w:spacing w:val="13"/>
          <w:position w:val="5"/>
          <w:sz w:val="14"/>
        </w:rPr>
        <w:t> </w:t>
      </w:r>
      <w:r>
        <w:rPr>
          <w:w w:val="100"/>
          <w:sz w:val="24"/>
        </w:rPr>
        <w:t>.</w:t>
      </w:r>
      <w:r>
        <w:rPr>
          <w:sz w:val="24"/>
        </w:rPr>
        <w:t> </w:t>
      </w:r>
      <w:r>
        <w:rPr>
          <w:spacing w:val="-1"/>
          <w:sz w:val="24"/>
        </w:rPr>
        <w:t> </w:t>
      </w:r>
      <w:r>
        <w:rPr>
          <w:spacing w:val="-1"/>
          <w:w w:val="100"/>
          <w:sz w:val="24"/>
        </w:rPr>
        <w:t>S</w:t>
      </w:r>
      <w:r>
        <w:rPr>
          <w:w w:val="100"/>
          <w:sz w:val="24"/>
        </w:rPr>
        <w:t>o</w:t>
      </w:r>
      <w:r>
        <w:rPr>
          <w:spacing w:val="-1"/>
          <w:sz w:val="24"/>
        </w:rPr>
        <w:t> </w:t>
      </w:r>
      <w:r>
        <w:rPr>
          <w:spacing w:val="-1"/>
          <w:w w:val="100"/>
          <w:sz w:val="24"/>
        </w:rPr>
        <w:t>lon</w:t>
      </w:r>
      <w:r>
        <w:rPr>
          <w:w w:val="100"/>
          <w:sz w:val="24"/>
        </w:rPr>
        <w:t>g</w:t>
      </w:r>
      <w:r>
        <w:rPr>
          <w:spacing w:val="-1"/>
          <w:sz w:val="24"/>
        </w:rPr>
        <w:t> </w:t>
      </w:r>
      <w:r>
        <w:rPr>
          <w:spacing w:val="-1"/>
          <w:w w:val="100"/>
          <w:sz w:val="24"/>
        </w:rPr>
        <w:t>a</w:t>
      </w:r>
      <w:r>
        <w:rPr>
          <w:w w:val="100"/>
          <w:sz w:val="24"/>
        </w:rPr>
        <w:t>s</w:t>
      </w:r>
      <w:r>
        <w:rPr>
          <w:spacing w:val="-1"/>
          <w:sz w:val="24"/>
        </w:rPr>
        <w:t> </w:t>
      </w:r>
      <w:r>
        <w:rPr>
          <w:spacing w:val="-1"/>
          <w:w w:val="100"/>
          <w:sz w:val="24"/>
        </w:rPr>
        <w:t>the</w:t>
      </w:r>
    </w:p>
    <w:p>
      <w:pPr>
        <w:spacing w:after="0" w:line="258" w:lineRule="exact"/>
        <w:jc w:val="left"/>
        <w:rPr>
          <w:sz w:val="24"/>
        </w:rPr>
        <w:sectPr>
          <w:type w:val="continuous"/>
          <w:pgSz w:w="11900" w:h="16840"/>
          <w:pgMar w:top="1180" w:bottom="280" w:left="600" w:right="400"/>
          <w:cols w:num="4" w:equalWidth="0">
            <w:col w:w="2882" w:space="40"/>
            <w:col w:w="1455" w:space="39"/>
            <w:col w:w="2625" w:space="39"/>
            <w:col w:w="3820"/>
          </w:cols>
        </w:sectPr>
      </w:pPr>
    </w:p>
    <w:p>
      <w:pPr>
        <w:tabs>
          <w:tab w:pos="344" w:val="left" w:leader="none"/>
          <w:tab w:pos="777" w:val="left" w:leader="none"/>
          <w:tab w:pos="1378" w:val="left" w:leader="none"/>
        </w:tabs>
        <w:spacing w:line="112" w:lineRule="auto" w:before="24"/>
        <w:ind w:left="0" w:right="0" w:firstLine="0"/>
        <w:jc w:val="right"/>
        <w:rPr>
          <w:i/>
          <w:sz w:val="14"/>
        </w:rPr>
      </w:pPr>
      <w:r>
        <w:rPr>
          <w:i/>
          <w:position w:val="-12"/>
          <w:sz w:val="24"/>
        </w:rPr>
        <w:t>n</w:t>
        <w:tab/>
      </w:r>
      <w:r>
        <w:rPr>
          <w:sz w:val="14"/>
        </w:rPr>
        <w:t>1</w:t>
        <w:tab/>
        <w:t>2</w:t>
        <w:tab/>
      </w:r>
      <w:r>
        <w:rPr>
          <w:i/>
          <w:sz w:val="14"/>
        </w:rPr>
        <w:t>n</w:t>
      </w:r>
    </w:p>
    <w:p>
      <w:pPr>
        <w:tabs>
          <w:tab w:pos="2554" w:val="left" w:leader="none"/>
        </w:tabs>
        <w:spacing w:line="136" w:lineRule="exact" w:before="0"/>
        <w:ind w:left="1794" w:right="0" w:firstLine="0"/>
        <w:jc w:val="left"/>
        <w:rPr>
          <w:i/>
          <w:sz w:val="14"/>
        </w:rPr>
      </w:pPr>
      <w:r>
        <w:rPr/>
        <w:br w:type="column"/>
      </w:r>
      <w:r>
        <w:rPr>
          <w:sz w:val="14"/>
        </w:rPr>
        <w:t>1  </w:t>
      </w:r>
      <w:r>
        <w:rPr>
          <w:spacing w:val="15"/>
          <w:sz w:val="14"/>
        </w:rPr>
        <w:t> </w:t>
      </w:r>
      <w:r>
        <w:rPr>
          <w:sz w:val="14"/>
        </w:rPr>
        <w:t>2  </w:t>
      </w:r>
      <w:r>
        <w:rPr>
          <w:spacing w:val="21"/>
          <w:sz w:val="14"/>
        </w:rPr>
        <w:t> </w:t>
      </w:r>
      <w:r>
        <w:rPr>
          <w:sz w:val="14"/>
        </w:rPr>
        <w:t>3</w:t>
        <w:tab/>
      </w:r>
      <w:r>
        <w:rPr>
          <w:i/>
          <w:sz w:val="14"/>
        </w:rPr>
        <w:t>n</w:t>
      </w:r>
    </w:p>
    <w:p>
      <w:pPr>
        <w:spacing w:after="0" w:line="136" w:lineRule="exact"/>
        <w:jc w:val="left"/>
        <w:rPr>
          <w:sz w:val="14"/>
        </w:rPr>
        <w:sectPr>
          <w:type w:val="continuous"/>
          <w:pgSz w:w="11900" w:h="16840"/>
          <w:pgMar w:top="1180" w:bottom="280" w:left="600" w:right="400"/>
          <w:cols w:num="2" w:equalWidth="0">
            <w:col w:w="4446" w:space="40"/>
            <w:col w:w="6414"/>
          </w:cols>
        </w:sectPr>
      </w:pPr>
    </w:p>
    <w:p>
      <w:pPr>
        <w:pStyle w:val="BodyText"/>
        <w:spacing w:line="221" w:lineRule="exact" w:before="90"/>
        <w:ind w:left="1901" w:right="1474"/>
        <w:jc w:val="center"/>
      </w:pPr>
      <w:r>
        <w:rPr/>
        <w:t>numbers are all positive and not all the same, a famous theorem states that the</w:t>
      </w:r>
    </w:p>
    <w:p>
      <w:pPr>
        <w:spacing w:before="7"/>
        <w:ind w:left="1919" w:right="0" w:firstLine="0"/>
        <w:jc w:val="left"/>
        <w:rPr>
          <w:sz w:val="24"/>
        </w:rPr>
      </w:pPr>
      <w:r>
        <w:rPr/>
        <w:pict>
          <v:line style="position:absolute;mso-position-horizontal-relative:page;mso-position-vertical-relative:paragraph;z-index:-254055424" from="449.280005pt,8.329536pt" to="443.880005pt,15.949536pt" stroked="true" strokeweight=".499pt" strokecolor="#000000">
            <v:stroke dashstyle="solid"/>
            <w10:wrap type="none"/>
          </v:line>
        </w:pict>
      </w:r>
      <w:r>
        <w:rPr>
          <w:sz w:val="24"/>
        </w:rPr>
        <w:t>GM is less than the AM. For example if </w:t>
      </w:r>
      <w:r>
        <w:rPr>
          <w:i/>
          <w:sz w:val="24"/>
        </w:rPr>
        <w:t>a</w:t>
      </w:r>
      <w:r>
        <w:rPr>
          <w:position w:val="-5"/>
          <w:sz w:val="14"/>
        </w:rPr>
        <w:t>1 </w:t>
      </w:r>
      <w:r>
        <w:rPr>
          <w:rFonts w:ascii="Symbol" w:hAnsi="Symbol"/>
          <w:sz w:val="24"/>
        </w:rPr>
        <w:t></w:t>
      </w:r>
      <w:r>
        <w:rPr>
          <w:sz w:val="24"/>
        </w:rPr>
        <w:t> 1, </w:t>
      </w:r>
      <w:r>
        <w:rPr>
          <w:i/>
          <w:sz w:val="24"/>
        </w:rPr>
        <w:t>a</w:t>
      </w:r>
      <w:r>
        <w:rPr>
          <w:position w:val="-5"/>
          <w:sz w:val="14"/>
        </w:rPr>
        <w:t>2 </w:t>
      </w:r>
      <w:r>
        <w:rPr>
          <w:rFonts w:ascii="Symbol" w:hAnsi="Symbol"/>
          <w:sz w:val="24"/>
        </w:rPr>
        <w:t></w:t>
      </w:r>
      <w:r>
        <w:rPr>
          <w:sz w:val="24"/>
        </w:rPr>
        <w:t> 4 the AM is </w:t>
      </w:r>
      <w:r>
        <w:rPr>
          <w:position w:val="6"/>
          <w:sz w:val="10"/>
        </w:rPr>
        <w:t>1</w:t>
      </w:r>
      <w:r>
        <w:rPr>
          <w:position w:val="-1"/>
          <w:sz w:val="10"/>
        </w:rPr>
        <w:t>2 </w:t>
      </w:r>
      <w:r>
        <w:rPr>
          <w:rFonts w:ascii="Symbol" w:hAnsi="Symbol"/>
          <w:sz w:val="29"/>
        </w:rPr>
        <w:t></w:t>
      </w:r>
      <w:r>
        <w:rPr>
          <w:sz w:val="22"/>
        </w:rPr>
        <w:t>1 </w:t>
      </w:r>
      <w:r>
        <w:rPr>
          <w:rFonts w:ascii="Symbol" w:hAnsi="Symbol"/>
          <w:sz w:val="22"/>
        </w:rPr>
        <w:t></w:t>
      </w:r>
      <w:r>
        <w:rPr>
          <w:sz w:val="22"/>
        </w:rPr>
        <w:t> 4</w:t>
      </w:r>
      <w:r>
        <w:rPr>
          <w:rFonts w:ascii="Symbol" w:hAnsi="Symbol"/>
          <w:sz w:val="29"/>
        </w:rPr>
        <w:t></w:t>
      </w:r>
      <w:r>
        <w:rPr>
          <w:sz w:val="29"/>
        </w:rPr>
        <w:t> </w:t>
      </w:r>
      <w:r>
        <w:rPr>
          <w:rFonts w:ascii="Symbol" w:hAnsi="Symbol"/>
          <w:sz w:val="22"/>
        </w:rPr>
        <w:t></w:t>
      </w:r>
      <w:r>
        <w:rPr>
          <w:sz w:val="22"/>
        </w:rPr>
        <w:t> </w:t>
      </w:r>
      <w:r>
        <w:rPr>
          <w:sz w:val="24"/>
        </w:rPr>
        <w:t>2</w:t>
      </w:r>
    </w:p>
    <w:p>
      <w:pPr>
        <w:spacing w:before="62"/>
        <w:ind w:left="1920" w:right="0" w:firstLine="0"/>
        <w:jc w:val="left"/>
        <w:rPr>
          <w:sz w:val="24"/>
        </w:rPr>
      </w:pPr>
      <w:r>
        <w:rPr/>
        <w:pict>
          <v:line style="position:absolute;mso-position-horizontal-relative:page;mso-position-vertical-relative:paragraph;z-index:-254054400" from="245.879998pt,2.843594pt" to="240.419998pt,10.523594pt" stroked="true" strokeweight=".25pt" strokecolor="#000000">
            <v:stroke dashstyle="solid"/>
            <w10:wrap type="none"/>
          </v:line>
        </w:pict>
      </w:r>
      <w:r>
        <w:rPr/>
        <w:pict>
          <v:shape style="position:absolute;margin-left:240.840027pt;margin-top:2.222281pt;width:2.550pt;height:5.55pt;mso-position-horizontal-relative:page;mso-position-vertical-relative:paragraph;z-index:-254053376" type="#_x0000_t202" filled="false" stroked="false">
            <v:textbox inset="0,0,0,0">
              <w:txbxContent>
                <w:p>
                  <w:pPr>
                    <w:spacing w:line="111" w:lineRule="exact" w:before="0"/>
                    <w:ind w:left="0" w:right="0" w:firstLine="0"/>
                    <w:jc w:val="left"/>
                    <w:rPr>
                      <w:sz w:val="10"/>
                    </w:rPr>
                  </w:pPr>
                  <w:r>
                    <w:rPr>
                      <w:sz w:val="10"/>
                    </w:rPr>
                    <w:t>1</w:t>
                  </w:r>
                </w:p>
              </w:txbxContent>
            </v:textbox>
            <w10:wrap type="none"/>
          </v:shape>
        </w:pict>
      </w:r>
      <w:r>
        <w:rPr>
          <w:sz w:val="24"/>
        </w:rPr>
        <w:t>½ and the GM is (1x4) </w:t>
      </w:r>
      <w:r>
        <w:rPr>
          <w:position w:val="8"/>
          <w:sz w:val="10"/>
        </w:rPr>
        <w:t>2 </w:t>
      </w:r>
      <w:r>
        <w:rPr>
          <w:rFonts w:ascii="Symbol" w:hAnsi="Symbol"/>
          <w:sz w:val="22"/>
        </w:rPr>
        <w:t></w:t>
      </w:r>
      <w:r>
        <w:rPr>
          <w:sz w:val="22"/>
        </w:rPr>
        <w:t> 2 </w:t>
      </w:r>
      <w:r>
        <w:rPr>
          <w:sz w:val="24"/>
        </w:rPr>
        <w:t>.</w:t>
      </w:r>
    </w:p>
    <w:p>
      <w:pPr>
        <w:pStyle w:val="BodyText"/>
        <w:spacing w:before="2"/>
        <w:rPr>
          <w:sz w:val="16"/>
        </w:rPr>
      </w:pPr>
    </w:p>
    <w:p>
      <w:pPr>
        <w:pStyle w:val="ListParagraph"/>
        <w:numPr>
          <w:ilvl w:val="0"/>
          <w:numId w:val="5"/>
        </w:numPr>
        <w:tabs>
          <w:tab w:pos="1920" w:val="left" w:leader="none"/>
        </w:tabs>
        <w:spacing w:line="240" w:lineRule="auto" w:before="90" w:after="0"/>
        <w:ind w:left="1919" w:right="1605" w:hanging="360"/>
        <w:jc w:val="left"/>
        <w:rPr>
          <w:sz w:val="24"/>
        </w:rPr>
      </w:pPr>
      <w:r>
        <w:rPr>
          <w:sz w:val="24"/>
        </w:rPr>
        <w:t>This is based on a long-run rate of house price inflation of 4.5% (in line with trend average earnings growth) and council tax rises of 6.5% a year (the average gap between council tax rises and RPIX inflation over the period 1997-2003 is around 4 percentage</w:t>
      </w:r>
      <w:r>
        <w:rPr>
          <w:spacing w:val="-7"/>
          <w:sz w:val="24"/>
        </w:rPr>
        <w:t> </w:t>
      </w:r>
      <w:r>
        <w:rPr>
          <w:sz w:val="24"/>
        </w:rPr>
        <w:t>points).</w:t>
      </w:r>
    </w:p>
    <w:p>
      <w:pPr>
        <w:pStyle w:val="BodyText"/>
      </w:pPr>
    </w:p>
    <w:p>
      <w:pPr>
        <w:pStyle w:val="ListParagraph"/>
        <w:numPr>
          <w:ilvl w:val="0"/>
          <w:numId w:val="5"/>
        </w:numPr>
        <w:tabs>
          <w:tab w:pos="1920" w:val="left" w:leader="none"/>
        </w:tabs>
        <w:spacing w:line="240" w:lineRule="auto" w:before="0" w:after="0"/>
        <w:ind w:left="1919" w:right="1391" w:hanging="360"/>
        <w:jc w:val="left"/>
        <w:rPr>
          <w:sz w:val="24"/>
        </w:rPr>
      </w:pPr>
      <w:r>
        <w:rPr>
          <w:sz w:val="24"/>
        </w:rPr>
        <w:t>The housing depreciation element of RPI is supposed to capture the contribution to the cost of living of the cost associated with maintaining homes in response to their natural tendency to depreciate over time – eg. replacing the roof when necessary. This element was only introduced into the RPI in 1995 as a consequence of a majority recommendation of the RPI Advisory Committee (see CSO, 1994). This majority recommendation suggested that the costs associated with putting right the depredations of ageing in homes was best measured by a distributed lag on house prices. As the closely argued minority view expressed by Michael Fleming, Rita Maurice and Ralph Turvey noted, there was a serious problem here, namely that a substantial proportion of the rise in the price of housing reflects a rise in the price of land. Since land does not depreciate, the price of housing does not accurately reflect housing depreciation costs, indeed it typically overstates them (although not always; it probably understates them when house prices are falling). Arguably, some index of building costs would probably have been a better indicator of housing depreciation</w:t>
      </w:r>
      <w:r>
        <w:rPr>
          <w:spacing w:val="-2"/>
          <w:sz w:val="24"/>
        </w:rPr>
        <w:t> </w:t>
      </w:r>
      <w:r>
        <w:rPr>
          <w:sz w:val="24"/>
        </w:rPr>
        <w:t>costs.</w:t>
      </w:r>
    </w:p>
    <w:p>
      <w:pPr>
        <w:pStyle w:val="BodyText"/>
        <w:spacing w:before="1"/>
      </w:pPr>
    </w:p>
    <w:p>
      <w:pPr>
        <w:pStyle w:val="ListParagraph"/>
        <w:numPr>
          <w:ilvl w:val="0"/>
          <w:numId w:val="5"/>
        </w:numPr>
        <w:tabs>
          <w:tab w:pos="1920" w:val="left" w:leader="none"/>
        </w:tabs>
        <w:spacing w:line="240" w:lineRule="auto" w:before="0" w:after="0"/>
        <w:ind w:left="1919" w:right="1411" w:hanging="360"/>
        <w:jc w:val="left"/>
        <w:rPr>
          <w:sz w:val="24"/>
        </w:rPr>
      </w:pPr>
      <w:r>
        <w:rPr>
          <w:sz w:val="24"/>
        </w:rPr>
        <w:t>A careful study of the Bank of England forecasts reveals that the surge in RPIX inflation above target during 2003 was first predicted in November 2002. Since changes in the interest rate at that point would have had little impact on inflation until 2004, this surge had no significant effect on monetary policy.</w:t>
      </w:r>
    </w:p>
    <w:p>
      <w:pPr>
        <w:spacing w:after="0" w:line="240" w:lineRule="auto"/>
        <w:jc w:val="left"/>
        <w:rPr>
          <w:sz w:val="24"/>
        </w:rPr>
        <w:sectPr>
          <w:type w:val="continuous"/>
          <w:pgSz w:w="11900" w:h="16840"/>
          <w:pgMar w:top="1180" w:bottom="280" w:left="600" w:right="400"/>
        </w:sectPr>
      </w:pPr>
    </w:p>
    <w:p>
      <w:pPr>
        <w:spacing w:before="80"/>
        <w:ind w:left="1919" w:right="2755" w:hanging="720"/>
        <w:jc w:val="left"/>
        <w:rPr>
          <w:sz w:val="24"/>
        </w:rPr>
      </w:pPr>
      <w:r>
        <w:rPr/>
        <w:pict>
          <v:rect style="position:absolute;margin-left:348pt;margin-top:30.322903pt;width:3pt;height:.6pt;mso-position-horizontal-relative:page;mso-position-vertical-relative:paragraph;z-index:251672576" filled="true" fillcolor="#000000" stroked="false">
            <v:fill type="solid"/>
            <w10:wrap type="none"/>
          </v:rect>
        </w:pict>
      </w:r>
      <w:r>
        <w:rPr>
          <w:sz w:val="24"/>
        </w:rPr>
        <w:t>Allsopp, C. (2002), “Macroeconomic Policy Rules in Theory and Practice”, </w:t>
      </w:r>
      <w:r>
        <w:rPr>
          <w:i/>
          <w:sz w:val="24"/>
        </w:rPr>
        <w:t>Bank of England Quarterly Bulletin</w:t>
      </w:r>
      <w:r>
        <w:rPr>
          <w:sz w:val="24"/>
        </w:rPr>
        <w:t>, Winter, 485-504.</w:t>
      </w:r>
    </w:p>
    <w:p>
      <w:pPr>
        <w:pStyle w:val="BodyText"/>
      </w:pPr>
    </w:p>
    <w:p>
      <w:pPr>
        <w:pStyle w:val="BodyText"/>
        <w:ind w:left="1920" w:right="2785" w:hanging="720"/>
      </w:pPr>
      <w:r>
        <w:rPr/>
        <w:t>Attanasio, O., Blow, L., Hamilton, R. and Leicester, A. (2005), “Booms and Busts:  Consumption, House Prices and Expectations”, Bank of England Working Paper</w:t>
      </w:r>
      <w:r>
        <w:rPr>
          <w:spacing w:val="-7"/>
        </w:rPr>
        <w:t> </w:t>
      </w:r>
      <w:r>
        <w:rPr/>
        <w:t>271.</w:t>
      </w:r>
    </w:p>
    <w:p>
      <w:pPr>
        <w:pStyle w:val="BodyText"/>
      </w:pPr>
    </w:p>
    <w:p>
      <w:pPr>
        <w:spacing w:before="1"/>
        <w:ind w:left="1919" w:right="2862" w:hanging="720"/>
        <w:jc w:val="left"/>
        <w:rPr>
          <w:sz w:val="24"/>
        </w:rPr>
      </w:pPr>
      <w:r>
        <w:rPr>
          <w:sz w:val="24"/>
        </w:rPr>
        <w:t>Barker, K. (2003), </w:t>
      </w:r>
      <w:r>
        <w:rPr>
          <w:i/>
          <w:sz w:val="24"/>
        </w:rPr>
        <w:t>Review of housing supply, interim report </w:t>
      </w:r>
      <w:r>
        <w:rPr>
          <w:sz w:val="24"/>
        </w:rPr>
        <w:t>– analysis, (Norwich, HMSO).</w:t>
      </w:r>
    </w:p>
    <w:p>
      <w:pPr>
        <w:pStyle w:val="BodyText"/>
        <w:spacing w:before="11"/>
        <w:rPr>
          <w:sz w:val="23"/>
        </w:rPr>
      </w:pPr>
    </w:p>
    <w:p>
      <w:pPr>
        <w:spacing w:before="0"/>
        <w:ind w:left="1919" w:right="2814" w:hanging="720"/>
        <w:jc w:val="left"/>
        <w:rPr>
          <w:sz w:val="24"/>
        </w:rPr>
      </w:pPr>
      <w:r>
        <w:rPr>
          <w:sz w:val="24"/>
        </w:rPr>
        <w:t>Benito, A. and Power, J. (2004), “Housing Equity and Consumption: Insights from the Survey of English Housing”, </w:t>
      </w:r>
      <w:r>
        <w:rPr>
          <w:i/>
          <w:sz w:val="24"/>
        </w:rPr>
        <w:t>Bank of England </w:t>
      </w:r>
      <w:r>
        <w:rPr>
          <w:i/>
          <w:sz w:val="24"/>
        </w:rPr>
        <w:t>Quarterly Bulletin</w:t>
      </w:r>
      <w:r>
        <w:rPr>
          <w:sz w:val="24"/>
        </w:rPr>
        <w:t>, Autumn, 302-09.</w:t>
      </w:r>
    </w:p>
    <w:p>
      <w:pPr>
        <w:pStyle w:val="BodyText"/>
      </w:pPr>
    </w:p>
    <w:p>
      <w:pPr>
        <w:spacing w:before="0"/>
        <w:ind w:left="1919" w:right="2995" w:hanging="720"/>
        <w:jc w:val="left"/>
        <w:rPr>
          <w:sz w:val="24"/>
        </w:rPr>
      </w:pPr>
      <w:r>
        <w:rPr>
          <w:sz w:val="24"/>
        </w:rPr>
        <w:t>Bernanke, B. S. and Gertler, M. (1999), “Monetary Policy and Asset Volatility”, </w:t>
      </w:r>
      <w:r>
        <w:rPr>
          <w:i/>
          <w:sz w:val="24"/>
        </w:rPr>
        <w:t>Federal Reserve Bank of Kansas City Symposium</w:t>
      </w:r>
      <w:r>
        <w:rPr>
          <w:sz w:val="24"/>
        </w:rPr>
        <w:t>, Jackson Hole, August.</w:t>
      </w:r>
    </w:p>
    <w:p>
      <w:pPr>
        <w:pStyle w:val="BodyText"/>
      </w:pPr>
    </w:p>
    <w:p>
      <w:pPr>
        <w:spacing w:before="0"/>
        <w:ind w:left="1919" w:right="3575" w:hanging="720"/>
        <w:jc w:val="left"/>
        <w:rPr>
          <w:sz w:val="24"/>
        </w:rPr>
      </w:pPr>
      <w:r>
        <w:rPr>
          <w:sz w:val="24"/>
        </w:rPr>
        <w:t>Bootle, R. (2004), “Monetary Policy Up for Review?”, </w:t>
      </w:r>
      <w:r>
        <w:rPr>
          <w:i/>
          <w:sz w:val="24"/>
        </w:rPr>
        <w:t>Deloitte </w:t>
      </w:r>
      <w:r>
        <w:rPr>
          <w:i/>
          <w:sz w:val="24"/>
        </w:rPr>
        <w:t>Economic Review</w:t>
      </w:r>
      <w:r>
        <w:rPr>
          <w:sz w:val="24"/>
        </w:rPr>
        <w:t>, Third Quarter.</w:t>
      </w:r>
    </w:p>
    <w:p>
      <w:pPr>
        <w:pStyle w:val="BodyText"/>
      </w:pPr>
    </w:p>
    <w:p>
      <w:pPr>
        <w:tabs>
          <w:tab w:pos="4078" w:val="left" w:leader="none"/>
        </w:tabs>
        <w:spacing w:before="0"/>
        <w:ind w:left="1919" w:right="2645" w:hanging="720"/>
        <w:jc w:val="left"/>
        <w:rPr>
          <w:sz w:val="24"/>
        </w:rPr>
      </w:pPr>
      <w:r>
        <w:rPr>
          <w:sz w:val="24"/>
        </w:rPr>
        <w:t>Cecchetti, S., Genberg, H. and Wadhwani, S. (2002), “Asset Prices in a Flexible Inflation Targeting Framework” in </w:t>
      </w:r>
      <w:r>
        <w:rPr>
          <w:i/>
          <w:sz w:val="24"/>
        </w:rPr>
        <w:t>Asset Price Bubbles: </w:t>
      </w:r>
      <w:r>
        <w:rPr>
          <w:i/>
          <w:sz w:val="24"/>
        </w:rPr>
        <w:t>The Implications for Monetary, Regulatory and International Policies </w:t>
      </w:r>
      <w:r>
        <w:rPr>
          <w:sz w:val="24"/>
        </w:rPr>
        <w:t>(eds. W. C. Hunter, G. G. Kaufman and M. Pomerleano), (Cambridge:</w:t>
      </w:r>
      <w:r>
        <w:rPr>
          <w:spacing w:val="55"/>
          <w:sz w:val="24"/>
        </w:rPr>
        <w:t> </w:t>
      </w:r>
      <w:r>
        <w:rPr>
          <w:sz w:val="24"/>
        </w:rPr>
        <w:t>MIT</w:t>
        <w:tab/>
        <w:t>Press),</w:t>
      </w:r>
      <w:r>
        <w:rPr>
          <w:spacing w:val="-1"/>
          <w:sz w:val="24"/>
        </w:rPr>
        <w:t> </w:t>
      </w:r>
      <w:r>
        <w:rPr>
          <w:sz w:val="24"/>
        </w:rPr>
        <w:t>427-44.</w:t>
      </w:r>
    </w:p>
    <w:p>
      <w:pPr>
        <w:pStyle w:val="BodyText"/>
        <w:spacing w:before="10"/>
        <w:rPr>
          <w:sz w:val="23"/>
        </w:rPr>
      </w:pPr>
    </w:p>
    <w:p>
      <w:pPr>
        <w:tabs>
          <w:tab w:pos="3360" w:val="left" w:leader="none"/>
        </w:tabs>
        <w:spacing w:before="1"/>
        <w:ind w:left="1919" w:right="2961" w:hanging="720"/>
        <w:jc w:val="left"/>
        <w:rPr>
          <w:sz w:val="24"/>
        </w:rPr>
      </w:pPr>
      <w:r>
        <w:rPr>
          <w:sz w:val="24"/>
        </w:rPr>
        <w:t>CESifo (2005), </w:t>
      </w:r>
      <w:r>
        <w:rPr>
          <w:i/>
          <w:sz w:val="24"/>
        </w:rPr>
        <w:t>Report on the European Economy 2005</w:t>
      </w:r>
      <w:r>
        <w:rPr>
          <w:sz w:val="24"/>
        </w:rPr>
        <w:t>, (Munich: Ifo Institute</w:t>
      </w:r>
      <w:r>
        <w:rPr>
          <w:spacing w:val="-3"/>
          <w:sz w:val="24"/>
        </w:rPr>
        <w:t> </w:t>
      </w:r>
      <w:r>
        <w:rPr>
          <w:sz w:val="24"/>
        </w:rPr>
        <w:t>for</w:t>
        <w:tab/>
        <w:t>Economic</w:t>
      </w:r>
      <w:r>
        <w:rPr>
          <w:spacing w:val="-2"/>
          <w:sz w:val="24"/>
        </w:rPr>
        <w:t> </w:t>
      </w:r>
      <w:r>
        <w:rPr>
          <w:sz w:val="24"/>
        </w:rPr>
        <w:t>Research).</w:t>
      </w:r>
    </w:p>
    <w:p>
      <w:pPr>
        <w:pStyle w:val="BodyText"/>
        <w:spacing w:before="11"/>
        <w:rPr>
          <w:sz w:val="23"/>
        </w:rPr>
      </w:pPr>
    </w:p>
    <w:p>
      <w:pPr>
        <w:pStyle w:val="BodyText"/>
        <w:ind w:left="1199"/>
      </w:pPr>
      <w:r>
        <w:rPr/>
        <w:t>Chadha, J. S. and Dimsdale, N. H. (1999), “A long view of real rates”,</w:t>
      </w:r>
    </w:p>
    <w:p>
      <w:pPr>
        <w:spacing w:before="0"/>
        <w:ind w:left="1919" w:right="0" w:firstLine="0"/>
        <w:jc w:val="left"/>
        <w:rPr>
          <w:sz w:val="24"/>
        </w:rPr>
      </w:pPr>
      <w:r>
        <w:rPr>
          <w:i/>
          <w:sz w:val="24"/>
        </w:rPr>
        <w:t>Oxford Review of Economic Policy</w:t>
      </w:r>
      <w:r>
        <w:rPr>
          <w:sz w:val="24"/>
        </w:rPr>
        <w:t>, Vol.15(2), pages 17-45.</w:t>
      </w:r>
    </w:p>
    <w:p>
      <w:pPr>
        <w:pStyle w:val="BodyText"/>
      </w:pPr>
    </w:p>
    <w:p>
      <w:pPr>
        <w:pStyle w:val="BodyText"/>
        <w:ind w:left="1919" w:right="2942" w:hanging="720"/>
      </w:pPr>
      <w:r>
        <w:rPr/>
        <w:t>CSO (1994), “Treatment of Owner Occupiers’ Housing Costs in the Retail Prices Index”, Retail Prices Index Advisory Committee, December, CM2717 (London:</w:t>
      </w:r>
      <w:r>
        <w:rPr>
          <w:spacing w:val="56"/>
        </w:rPr>
        <w:t> </w:t>
      </w:r>
      <w:r>
        <w:rPr/>
        <w:t>HMSO).</w:t>
      </w:r>
    </w:p>
    <w:p>
      <w:pPr>
        <w:pStyle w:val="BodyText"/>
      </w:pPr>
    </w:p>
    <w:p>
      <w:pPr>
        <w:pStyle w:val="BodyText"/>
        <w:ind w:left="1919" w:right="2622" w:hanging="720"/>
      </w:pPr>
      <w:r>
        <w:rPr/>
        <w:t>Farlow, A. (2002), “The UK House Price Bubble”, Oriel College, Oxford November.</w:t>
      </w:r>
    </w:p>
    <w:p>
      <w:pPr>
        <w:pStyle w:val="BodyText"/>
      </w:pPr>
    </w:p>
    <w:p>
      <w:pPr>
        <w:pStyle w:val="BodyText"/>
        <w:ind w:left="1919" w:right="2905" w:hanging="720"/>
        <w:jc w:val="both"/>
      </w:pPr>
      <w:r>
        <w:rPr/>
        <w:t>Farlow, A. (2004), “UK House Prices: A Critical Assessment”, Credit Suisse First Boston (prepared for Credit Suisse First Boston, Housing Market Conference, 12 May 2003).</w:t>
      </w:r>
    </w:p>
    <w:p>
      <w:pPr>
        <w:pStyle w:val="BodyText"/>
      </w:pPr>
    </w:p>
    <w:p>
      <w:pPr>
        <w:pStyle w:val="BodyText"/>
        <w:ind w:left="1199"/>
      </w:pPr>
      <w:r>
        <w:rPr/>
        <w:t>Goldman Sachs (2004), “Adjusting to lower house prices”,</w:t>
      </w:r>
    </w:p>
    <w:p>
      <w:pPr>
        <w:spacing w:before="0"/>
        <w:ind w:left="1919" w:right="0" w:firstLine="0"/>
        <w:jc w:val="left"/>
        <w:rPr>
          <w:sz w:val="24"/>
        </w:rPr>
      </w:pPr>
      <w:r>
        <w:rPr>
          <w:i/>
          <w:sz w:val="24"/>
        </w:rPr>
        <w:t>UK Economics Analyst</w:t>
      </w:r>
      <w:r>
        <w:rPr>
          <w:sz w:val="24"/>
        </w:rPr>
        <w:t>, June.</w:t>
      </w:r>
    </w:p>
    <w:p>
      <w:pPr>
        <w:pStyle w:val="BodyText"/>
      </w:pPr>
    </w:p>
    <w:p>
      <w:pPr>
        <w:pStyle w:val="BodyText"/>
        <w:ind w:left="1919" w:right="2961" w:hanging="720"/>
      </w:pPr>
      <w:r>
        <w:rPr/>
        <w:t>Gruen, D., Plumb, M. and Stone, A. (2003), “How Should Monetary Policy Respond to Asset Price Bubbles?” in A. Richard and T. Robinson (eds.), </w:t>
      </w:r>
      <w:r>
        <w:rPr>
          <w:i/>
        </w:rPr>
        <w:t>Asset Prices and Monetary Policy </w:t>
      </w:r>
      <w:r>
        <w:rPr/>
        <w:t>(Sydney:</w:t>
      </w:r>
    </w:p>
    <w:p>
      <w:pPr>
        <w:spacing w:after="0"/>
        <w:sectPr>
          <w:pgSz w:w="11900" w:h="16840"/>
          <w:pgMar w:header="716" w:footer="0" w:top="1340" w:bottom="280" w:left="600" w:right="400"/>
        </w:sectPr>
      </w:pPr>
    </w:p>
    <w:p>
      <w:pPr>
        <w:pStyle w:val="BodyText"/>
        <w:spacing w:before="80"/>
        <w:ind w:left="1919"/>
      </w:pPr>
      <w:r>
        <w:rPr/>
        <w:t>Reserve Bank of Australia), 260-80.</w:t>
      </w:r>
    </w:p>
    <w:p>
      <w:pPr>
        <w:pStyle w:val="BodyText"/>
      </w:pPr>
    </w:p>
    <w:p>
      <w:pPr>
        <w:pStyle w:val="BodyText"/>
        <w:ind w:left="1920" w:right="2514" w:hanging="721"/>
      </w:pPr>
      <w:r>
        <w:rPr/>
        <w:t>Larsen, J., May, B. and Talbot, J. (2003), “Estimating real interest rates for the United Kingdom”, Bank of England Working Paper</w:t>
      </w:r>
      <w:r>
        <w:rPr>
          <w:spacing w:val="-35"/>
        </w:rPr>
        <w:t> </w:t>
      </w:r>
      <w:r>
        <w:rPr/>
        <w:t>no.200.</w:t>
      </w:r>
    </w:p>
    <w:p>
      <w:pPr>
        <w:pStyle w:val="BodyText"/>
      </w:pPr>
    </w:p>
    <w:p>
      <w:pPr>
        <w:pStyle w:val="BodyText"/>
        <w:ind w:left="1919" w:right="2416" w:hanging="720"/>
      </w:pPr>
      <w:r>
        <w:rPr/>
        <w:t>May, O., Tudala, M. and Young, G. (2004), “British Household Indebtedness and Financial Stress: A Household-Level Picture”, </w:t>
      </w:r>
      <w:r>
        <w:rPr>
          <w:i/>
        </w:rPr>
        <w:t>Bank of England Quarterly Bulletin</w:t>
      </w:r>
      <w:r>
        <w:rPr/>
        <w:t>, Winter, 414-28.</w:t>
      </w:r>
    </w:p>
    <w:p>
      <w:pPr>
        <w:pStyle w:val="BodyText"/>
      </w:pPr>
    </w:p>
    <w:p>
      <w:pPr>
        <w:spacing w:before="1"/>
        <w:ind w:left="1919" w:right="3061" w:hanging="720"/>
        <w:jc w:val="left"/>
        <w:rPr>
          <w:sz w:val="24"/>
        </w:rPr>
      </w:pPr>
      <w:r>
        <w:rPr>
          <w:sz w:val="24"/>
        </w:rPr>
        <w:t>Nickell, S. (2003a), “House Prices, Household Debt and Monetary Policy”, </w:t>
      </w:r>
      <w:r>
        <w:rPr>
          <w:i/>
          <w:sz w:val="24"/>
        </w:rPr>
        <w:t>Bank of England Quarterly Bulletin</w:t>
      </w:r>
      <w:r>
        <w:rPr>
          <w:sz w:val="24"/>
        </w:rPr>
        <w:t>, Spring, 131-36.</w:t>
      </w:r>
    </w:p>
    <w:p>
      <w:pPr>
        <w:pStyle w:val="BodyText"/>
        <w:spacing w:before="11"/>
        <w:rPr>
          <w:sz w:val="23"/>
        </w:rPr>
      </w:pPr>
    </w:p>
    <w:p>
      <w:pPr>
        <w:spacing w:before="0"/>
        <w:ind w:left="1919" w:right="2416" w:hanging="720"/>
        <w:jc w:val="left"/>
        <w:rPr>
          <w:sz w:val="24"/>
        </w:rPr>
      </w:pPr>
      <w:r>
        <w:rPr>
          <w:sz w:val="24"/>
        </w:rPr>
        <w:t>Nickell, S. (2003b). “Two Current Monetary Policy issues</w:t>
      </w:r>
      <w:r>
        <w:rPr>
          <w:i/>
          <w:sz w:val="24"/>
        </w:rPr>
        <w:t>”</w:t>
      </w:r>
      <w:r>
        <w:rPr>
          <w:sz w:val="24"/>
        </w:rPr>
        <w:t>, </w:t>
      </w:r>
      <w:r>
        <w:rPr>
          <w:i/>
          <w:sz w:val="24"/>
        </w:rPr>
        <w:t>Bank of </w:t>
      </w:r>
      <w:r>
        <w:rPr>
          <w:i/>
          <w:sz w:val="24"/>
        </w:rPr>
        <w:t>England Quarterly Bulletin</w:t>
      </w:r>
      <w:r>
        <w:rPr>
          <w:sz w:val="24"/>
        </w:rPr>
        <w:t>, Winter, 504-17.</w:t>
      </w:r>
    </w:p>
    <w:p>
      <w:pPr>
        <w:pStyle w:val="BodyText"/>
      </w:pPr>
    </w:p>
    <w:p>
      <w:pPr>
        <w:pStyle w:val="BodyText"/>
        <w:ind w:left="1919" w:right="2962" w:hanging="720"/>
      </w:pPr>
      <w:r>
        <w:rPr/>
        <w:t>Oswald, A. (2002), “The Great 2003-2005 Crash in Britain’s Housing Market”, November (</w:t>
      </w:r>
      <w:r>
        <w:rPr>
          <w:color w:val="0000FF"/>
          <w:u w:val="single" w:color="0000FF"/>
        </w:rPr>
        <w:t>www.oswald.co.uk</w:t>
      </w:r>
      <w:r>
        <w:rPr/>
        <w:t>).</w:t>
      </w:r>
    </w:p>
    <w:p>
      <w:pPr>
        <w:pStyle w:val="BodyText"/>
      </w:pPr>
    </w:p>
    <w:p>
      <w:pPr>
        <w:pStyle w:val="BodyText"/>
        <w:ind w:left="1919" w:right="2462" w:hanging="720"/>
      </w:pPr>
      <w:r>
        <w:rPr/>
        <w:t>The Griffiths’ Commission (2005), </w:t>
      </w:r>
      <w:r>
        <w:rPr>
          <w:i/>
        </w:rPr>
        <w:t>What Price Credit?</w:t>
      </w:r>
      <w:r>
        <w:rPr/>
        <w:t>, The Griffiths’ Commission on Personal Debt, Centre for Social Justice, London (</w:t>
      </w:r>
      <w:hyperlink r:id="rId9">
        <w:r>
          <w:rPr>
            <w:color w:val="0000FF"/>
          </w:rPr>
          <w:t>http://www.centreforsocialjustice.org.uk/page/content/pdf/pubgriff</w:t>
        </w:r>
      </w:hyperlink>
      <w:r>
        <w:rPr>
          <w:color w:val="0000FF"/>
        </w:rPr>
        <w:t> ithscomm.pdf</w:t>
      </w:r>
      <w:r>
        <w:rPr/>
        <w:t>)</w:t>
      </w:r>
    </w:p>
    <w:p>
      <w:pPr>
        <w:pStyle w:val="BodyText"/>
      </w:pPr>
    </w:p>
    <w:p>
      <w:pPr>
        <w:tabs>
          <w:tab w:pos="3361" w:val="left" w:leader="none"/>
        </w:tabs>
        <w:spacing w:before="0"/>
        <w:ind w:left="1919" w:right="2668" w:hanging="720"/>
        <w:jc w:val="left"/>
        <w:rPr>
          <w:sz w:val="24"/>
        </w:rPr>
      </w:pPr>
      <w:r>
        <w:rPr>
          <w:sz w:val="24"/>
        </w:rPr>
        <w:t>Wadhwani, S. (2000), “The Exchange Rate and the MPC: What Can We Do?”,</w:t>
      </w:r>
      <w:r>
        <w:rPr>
          <w:spacing w:val="-2"/>
          <w:sz w:val="24"/>
        </w:rPr>
        <w:t> </w:t>
      </w:r>
      <w:r>
        <w:rPr>
          <w:i/>
          <w:sz w:val="24"/>
        </w:rPr>
        <w:t>Bank</w:t>
        <w:tab/>
        <w:t>of England Quarterly Bulletin</w:t>
      </w:r>
      <w:r>
        <w:rPr>
          <w:sz w:val="24"/>
        </w:rPr>
        <w:t>, August,</w:t>
      </w:r>
      <w:r>
        <w:rPr>
          <w:spacing w:val="-18"/>
          <w:sz w:val="24"/>
        </w:rPr>
        <w:t> </w:t>
      </w:r>
      <w:r>
        <w:rPr>
          <w:sz w:val="24"/>
        </w:rPr>
        <w:t>297-306.</w:t>
      </w:r>
    </w:p>
    <w:p>
      <w:pPr>
        <w:pStyle w:val="BodyText"/>
        <w:spacing w:before="11"/>
        <w:rPr>
          <w:sz w:val="23"/>
        </w:rPr>
      </w:pPr>
    </w:p>
    <w:p>
      <w:pPr>
        <w:pStyle w:val="BodyText"/>
        <w:ind w:left="1200"/>
      </w:pPr>
      <w:r>
        <w:rPr/>
        <w:t>Wadhwani, S. (2002), “The MPC: Some Further Challenges”,</w:t>
      </w:r>
    </w:p>
    <w:p>
      <w:pPr>
        <w:pStyle w:val="BodyText"/>
        <w:ind w:left="1920" w:right="2635"/>
      </w:pPr>
      <w:r>
        <w:rPr/>
        <w:t>Speech delivered at the National Institute of Social and Economic Research, May 16.</w:t>
      </w:r>
    </w:p>
    <w:p>
      <w:pPr>
        <w:pStyle w:val="BodyText"/>
      </w:pPr>
    </w:p>
    <w:p>
      <w:pPr>
        <w:spacing w:before="0"/>
        <w:ind w:left="1919" w:right="3042" w:hanging="720"/>
        <w:jc w:val="left"/>
        <w:rPr>
          <w:sz w:val="24"/>
        </w:rPr>
      </w:pPr>
      <w:r>
        <w:rPr>
          <w:sz w:val="24"/>
        </w:rPr>
        <w:t>Weeken, O. (2004), “Asset pricing and the housing market</w:t>
      </w:r>
      <w:r>
        <w:rPr>
          <w:i/>
          <w:sz w:val="24"/>
        </w:rPr>
        <w:t>”</w:t>
      </w:r>
      <w:r>
        <w:rPr>
          <w:sz w:val="24"/>
        </w:rPr>
        <w:t>, </w:t>
      </w:r>
      <w:r>
        <w:rPr>
          <w:i/>
          <w:sz w:val="24"/>
        </w:rPr>
        <w:t>Bank of </w:t>
      </w:r>
      <w:r>
        <w:rPr>
          <w:i/>
          <w:sz w:val="24"/>
        </w:rPr>
        <w:t>England Quarterly Bulletin</w:t>
      </w:r>
      <w:r>
        <w:rPr>
          <w:sz w:val="24"/>
        </w:rPr>
        <w:t>, Spring, pages 32-41.</w:t>
      </w:r>
    </w:p>
    <w:p>
      <w:pPr>
        <w:spacing w:after="0"/>
        <w:jc w:val="left"/>
        <w:rPr>
          <w:sz w:val="24"/>
        </w:rPr>
        <w:sectPr>
          <w:pgSz w:w="11900" w:h="16840"/>
          <w:pgMar w:header="716" w:footer="0" w:top="1340" w:bottom="280" w:left="600" w:right="400"/>
        </w:sectPr>
      </w:pPr>
    </w:p>
    <w:p>
      <w:pPr>
        <w:pStyle w:val="BodyText"/>
        <w:rPr>
          <w:sz w:val="20"/>
        </w:rPr>
      </w:pPr>
      <w:r>
        <w:rPr/>
        <w:pict>
          <v:group style="position:absolute;margin-left:52.457119pt;margin-top:142.589996pt;width:204.55pt;height:114.75pt;mso-position-horizontal-relative:page;mso-position-vertical-relative:page;z-index:-254050304" coordorigin="1049,2852" coordsize="4091,2295">
            <v:shape style="position:absolute;left:1059;top:2852;width:4080;height:2295" coordorigin="1060,2852" coordsize="4080,2295" path="m5098,2852l5098,5107m5098,5107l5140,5107m5098,4730l5140,4730m5098,4352l5140,4352m5098,3985l5140,3985m5098,3607l5140,3607m5098,3229l5140,3229m5098,2852l5140,2852m1060,5107l5098,5107m1060,5147l1060,5107m1576,5147l1576,5107m2104,5147l2104,5107m2620,5147l2620,5107m3146,5147l3146,5107m3664,5147l3664,5107m4190,5147l4190,5107m4706,5147l4706,5107e" filled="false" stroked="true" strokeweight=".06pt" strokecolor="#000000">
              <v:path arrowok="t"/>
              <v:stroke dashstyle="solid"/>
            </v:shape>
            <v:line style="position:absolute" from="1060,4064" to="1186,3825" stroked="true" strokeweight="1.040638pt" strokecolor="#000080">
              <v:stroke dashstyle="solid"/>
            </v:line>
            <v:shape style="position:absolute;left:1185;top:3209;width:3785;height:1580" coordorigin="1186,3209" coordsize="3785,1580" path="m1186,3825l1322,4004,1450,3915,1576,4501,1712,3467,1840,4621,1966,3725,2104,4043,2230,4054,2366,3955,2494,4133,2620,3547,2756,3964,2884,4113,3010,3349,3146,3209,3274,4719,3399,4282,3536,4789,3663,3567,3789,4183,3926,3845,4053,4143,4190,3855,4316,4222,4443,4352,4580,4243,4706,4412,4833,3825,4970,4361e" filled="false" stroked="true" strokeweight="1.002053pt" strokecolor="#000080">
              <v:path arrowok="t"/>
              <v:stroke dashstyle="solid"/>
            </v:shape>
            <v:line style="position:absolute" from="4970,4361" to="5097,4401" stroked="true" strokeweight=".998406pt" strokecolor="#000080">
              <v:stroke dashstyle="solid"/>
            </v:line>
            <v:shape style="position:absolute;left:1059;top:3945;width:4017;height:208" coordorigin="1060,3946" coordsize="4017,208" path="m1080,3946l1060,3946,1060,3955,1080,3955,1080,3946m1144,3946l1123,3946,1123,3955,1144,3955,1144,3946m1207,3946l1186,3946,1186,3955,1207,3955,1207,3946m1271,3946l1249,3946,1249,3955,1271,3955,1271,3946m1333,3946l1313,3946,1313,3955,1333,3955,1333,3946m1397,3946l1375,3946,1375,3955,1397,3955,1397,3946m1460,3946l1439,3946,1439,3955,1460,3955,1460,3946m1523,3946l1502,3946,1502,3955,1523,3955,1523,3946m1586,3946l1565,3946,1565,3955,1586,3955,1586,3946m1650,3946l1628,3946,1628,3955,1650,3955,1650,3946m1712,3946l1692,3946,1692,3955,1712,3955,1712,3946m1776,3946l1756,3946,1756,3955,1776,3955,1776,3946m1840,3946l1818,3946,1818,3955,1840,3955,1840,3946m1903,3946l1882,3946,1882,3955,1903,3955,1903,3946m1966,3946l1945,3946,1945,3955,1966,3955,1966,3946m2029,3946l2008,3946,2008,3955,2029,3955,2029,3946m2093,3946l2071,3946,2071,3955,2093,3955,2093,3946m2155,3946l2135,3946,2135,3955,2155,3955,2155,3946m2219,3946l2198,3946,2198,3955,2219,3955,2219,3946m2282,3946l2261,3946,2261,3955,2282,3955,2282,3946m2346,3946l2324,3946,2324,3955,2346,3955,2346,3946m2408,3946l2388,3946,2388,3955,2408,3955,2408,3946m2472,3946l2450,3946,2450,3955,2472,3955,2472,3946m2536,3946l2514,3946,2514,3955,2536,3955,2536,3946m2598,3946l2578,3946,2578,3955,2598,3955,2598,3946m2662,3946l2641,3946,2641,3955,2662,3955,2662,3946m2725,3946l2704,3946,2704,3955,2725,3955,2725,3946m2789,3946l2767,3946,2767,3955,2789,3955,2789,3946m2851,3946l2831,3946,2831,3955,2851,3955,2851,3946m2915,3946l2893,3946,2893,3955,2915,3955,2915,3946m2978,3946l2957,3946,2957,3955,2978,3955,2978,3946m3221,4144l3146,4144,3146,4153,3221,4153,3221,4144m3283,4144l3263,4144,3263,4153,3283,4153,3283,4144m3400,4144l3326,4144,3326,4153,3400,4153,3400,4144m3463,4144l3442,4144,3442,4153,3463,4153,3463,4144m3578,4144l3505,4144,3505,4153,3578,4153,3578,4144m3642,4144l3622,4144,3622,4153,3642,4153,3642,4144m3758,4144l3684,4144,3684,4153,3758,4153,3758,4144m3822,4144l3800,4144,3800,4153,3822,4153,3822,4144m3937,4144l3864,4144,3864,4153,3937,4153,3937,4144m4001,4144l3979,4144,3979,4153,4001,4153,4001,4144m4117,4144l4043,4144,4043,4153,4117,4153,4117,4144m4180,4144l4159,4144,4159,4153,4180,4153,4180,4144m4296,4144l4222,4144,4222,4153,4296,4153,4296,4144m4360,4144l4338,4144,4338,4153,4360,4153,4360,4144m4475,4144l4402,4144,4402,4153,4475,4153,4475,4144m4538,4144l4517,4144,4517,4153,4538,4153,4538,4144m4655,4144l4580,4144,4580,4153,4655,4153,4655,4144m4717,4144l4697,4144,4697,4153,4717,4153,4717,4144m4834,4144l4759,4144,4759,4153,4834,4153,4834,4144m4897,4144l4876,4144,4876,4153,4897,4153,4897,4144m5012,4144l4939,4144,4939,4153,5012,4153,5012,4144m5076,4144l5054,4144,5054,4153,5076,4153,5076,4144e" filled="true" fillcolor="#000000" stroked="false">
              <v:path arrowok="t"/>
              <v:fill type="solid"/>
            </v:shape>
            <v:line style="position:absolute" from="1060,4730" to="1186,4730" stroked="true" strokeweight=".496998pt" strokecolor="#000000">
              <v:stroke dashstyle="solid"/>
            </v:line>
            <v:line style="position:absolute" from="1186,4730" to="5097,4730" stroked="true" strokeweight=".496998pt" strokecolor="#000000">
              <v:stroke dashstyle="solid"/>
            </v:line>
            <w10:wrap type="none"/>
          </v:group>
        </w:pict>
      </w:r>
      <w:r>
        <w:rPr/>
        <w:pict>
          <v:shape style="position:absolute;margin-left:62.460003pt;margin-top:138.119965pt;width:19.5pt;height:.5pt;mso-position-horizontal-relative:page;mso-position-vertical-relative:page;z-index:-254049280" coordorigin="1249,2762" coordsize="390,10" path="m1271,2762l1249,2762,1249,2772,1271,2772,1271,2762m1333,2762l1313,2762,1313,2772,1333,2772,1333,2762m1397,2762l1375,2762,1375,2772,1397,2772,1397,2762m1460,2762l1439,2762,1439,2772,1460,2772,1460,2762m1523,2762l1502,2762,1502,2772,1523,2772,1523,2762m1586,2762l1565,2762,1565,2772,1586,2772,1586,2762m1639,2762l1628,2762,1628,2772,1639,2772,1639,2762e" filled="true" fillcolor="#000000" stroked="false">
            <v:path arrowok="t"/>
            <v:fill type="solid"/>
            <w10:wrap type="none"/>
          </v:shape>
        </w:pict>
      </w:r>
      <w:r>
        <w:rPr/>
        <w:pict>
          <v:group style="position:absolute;margin-left:326.760010pt;margin-top:143.490005pt;width:176.8pt;height:124.6pt;mso-position-horizontal-relative:page;mso-position-vertical-relative:page;z-index:-254048256" coordorigin="6535,2870" coordsize="3536,2492">
            <v:shape style="position:absolute;left:6567;top:2870;width:3503;height:2490" coordorigin="6568,2870" coordsize="3503,2490" path="m10038,2870l10038,5360,10070,5360m10038,5006l10070,5006m10038,4651l10070,4651m10038,4297l10070,4297m10038,3932l10070,3932m10038,3578l10070,3578m10038,3224l10070,3224m10038,2870l10070,2870m6568,5360l10038,5360m6568,5360l6568,5327m7170,5360l7170,5327m7772,5360l7772,5327m8374,5360l8374,5327m8987,5360l8987,5327m9589,5360l9589,5327e" filled="false" stroked="true" strokeweight=".06pt" strokecolor="#000000">
              <v:path arrowok="t"/>
              <v:stroke dashstyle="solid"/>
            </v:shape>
            <v:line style="position:absolute" from="6568,4463" to="6721,3910" stroked="true" strokeweight=".547506pt" strokecolor="#000080">
              <v:stroke dashstyle="solid"/>
            </v:line>
            <v:shape style="position:absolute;left:6721;top:3113;width:3317;height:1173" coordorigin="6721,3113" coordsize="3317,1173" path="m6721,3910l6874,4031,7017,3633,7170,3113,7324,4253,7476,3247,7619,3601,7773,3323,7925,3202,8079,3777,8232,4042,8374,4286,8527,4109,8681,3932,8833,3843,8987,3290,9130,3611,9282,3601,9436,3478,9589,3578,9731,3722,9885,3677,10038,3843e" filled="false" stroked="true" strokeweight=".552316pt" strokecolor="#000080">
              <v:path arrowok="t"/>
              <v:stroke dashstyle="solid"/>
            </v:shape>
            <v:shape style="position:absolute;left:6535;top:2870;width:65;height:2490" coordorigin="6535,2870" coordsize="65,2490" path="m6568,2870l6568,5360m6535,5360l6600,5360m6535,5006l6600,5006m6535,4651l6600,4651m6535,4297l6600,4297m6535,3932l6600,3932m6535,3578l6600,3578m6535,3224l6600,3224m6535,2870l6600,2870e" filled="false" stroked="true" strokeweight=".06pt" strokecolor="#000000">
              <v:path arrowok="t"/>
              <v:stroke dashstyle="solid"/>
            </v:shape>
            <v:line style="position:absolute" from="6568,4928" to="6721,4962" stroked="true" strokeweight=".552701pt" strokecolor="#ff00ff">
              <v:stroke dashstyle="solid"/>
            </v:line>
            <v:shape style="position:absolute;left:6721;top:3323;width:3317;height:1639" coordorigin="6721,3323" coordsize="3317,1639" path="m6721,4962l6874,4873,7017,4917,7170,4884,7324,4607,7476,4540,7619,4595,7773,4618,7925,4618,8079,4739,8232,4629,8374,4629,8527,4364,8681,4396,8833,4120,8987,4054,9130,4087,9282,3700,9436,3589,9589,3633,9731,3677,9885,3601,10038,3323e" filled="false" stroked="true" strokeweight=".551816pt" strokecolor="#ff00ff">
              <v:path arrowok="t"/>
              <v:stroke dashstyle="solid"/>
            </v:shape>
            <w10:wrap type="none"/>
          </v:group>
        </w:pict>
      </w:r>
      <w:r>
        <w:rPr/>
        <w:pict>
          <v:group style="position:absolute;margin-left:51.636002pt;margin-top:354.209991pt;width:202pt;height:119pt;mso-position-horizontal-relative:page;mso-position-vertical-relative:page;z-index:-254047232" coordorigin="1033,7084" coordsize="4040,2380">
            <v:shape style="position:absolute;left:1038;top:7084;width:4034;height:2379" coordorigin="1038,7085" coordsize="4034,2379" path="m5040,7085l5040,9463,5071,9463m5040,9230l5071,9230m5040,8987l5071,8987m5040,8755l5071,8755m5040,8512l5071,8512m5040,8279l5071,8279m5040,8036l5071,8036m5040,7804l5071,7804m5040,7560l5071,7560m5040,7328l5071,7328m5040,7085l5071,7085m1038,9463l5040,9463m1038,9463l1038,9431m1556,9463l1556,9431m2074,9463l2074,9431m2580,9463l2580,9431m3097,9463l3097,9431m3614,9463l3614,9431m4132,9463l4132,9431m4649,9463l4649,9431e" filled="false" stroked="true" strokeweight=".06pt" strokecolor="#000000">
              <v:path arrowok="t"/>
              <v:stroke dashstyle="solid"/>
            </v:shape>
            <v:shape style="position:absolute;left:1032;top:7745;width:708;height:587" type="#_x0000_t75" stroked="false">
              <v:imagedata r:id="rId10" o:title=""/>
            </v:shape>
            <v:shape style="position:absolute;left:1735;top:8427;width:33;height:212" coordorigin="1735,8428" coordsize="33,212" path="m1735,8428l1735,8437,1746,8428,1746,8459m1746,8480l1746,8428,1746,8564m1746,8597l1746,8512,1757,8512,1757,8437,1757,8575m1757,8639l1757,8606,1757,8628,1757,8597,1768,8586e" filled="false" stroked="true" strokeweight=".528pt" strokecolor="#000080">
              <v:path arrowok="t"/>
              <v:stroke dashstyle="solid"/>
            </v:shape>
            <v:shape style="position:absolute;left:1767;top:8649;width:10;height:74" coordorigin="1768,8650" coordsize="10,74" path="m1768,8650l1768,8712m1777,8681l1777,8723e" filled="false" stroked="true" strokeweight=".528pt" strokecolor="#000080">
              <v:path arrowok="t"/>
              <v:stroke dashstyle="solid"/>
            </v:shape>
            <v:shape style="position:absolute;left:1788;top:8564;width:2;height:117" coordorigin="1788,8564" coordsize="0,117" path="m1788,8681l1788,8670,1788,8681,1788,8564e" filled="false" stroked="true" strokeweight=".528pt" strokecolor="#000080">
              <v:path arrowok="t"/>
              <v:stroke dashstyle="solid"/>
            </v:shape>
            <v:line style="position:absolute" from="1799,8533" to="1799,8597" stroked="true" strokeweight=".528pt" strokecolor="#000080">
              <v:stroke dashstyle="solid"/>
            </v:line>
            <v:shape style="position:absolute;left:1798;top:8500;width:22;height:149" coordorigin="1799,8501" coordsize="22,149" path="m1799,8597l1810,8617,1810,8628m1810,8650l1810,8617m1810,8606l1810,8533,1820,8501,1820,8501e" filled="false" stroked="true" strokeweight=".528pt" strokecolor="#000080">
              <v:path arrowok="t"/>
              <v:stroke dashstyle="solid"/>
            </v:shape>
            <v:line style="position:absolute" from="1820,8480" to="1820,8543" stroked="true" strokeweight=".528pt" strokecolor="#000080">
              <v:stroke dashstyle="solid"/>
            </v:line>
            <v:shape style="position:absolute;left:1820;top:8522;width:21;height:233" coordorigin="1820,8522" coordsize="21,233" path="m1820,8522l1820,8575,1830,8606,1830,8617m1830,8586l1830,8692m1830,8734l1830,8755,1830,8723,1841,8712e" filled="false" stroked="true" strokeweight=".528pt" strokecolor="#000080">
              <v:path arrowok="t"/>
              <v:stroke dashstyle="solid"/>
            </v:shape>
            <v:shape style="position:absolute;left:1840;top:8628;width:22;height:170" coordorigin="1841,8628" coordsize="22,170" path="m1841,8723l1841,8797m1852,8702l1852,8797m1862,8628l1862,8734e" filled="false" stroked="true" strokeweight=".528pt" strokecolor="#000080">
              <v:path arrowok="t"/>
              <v:stroke dashstyle="solid"/>
            </v:shape>
            <v:line style="position:absolute" from="1868,8618" to="1878,8618" stroked="true" strokeweight="3.18pt" strokecolor="#000080">
              <v:stroke dashstyle="solid"/>
            </v:line>
            <v:shape style="position:absolute;left:1873;top:8511;width:42;height:106" coordorigin="1873,8512" coordsize="42,106" path="m1873,8617l1883,8606,1883,8586m1883,8554l1883,8586,1883,8575,1894,8586,1894,8533m1894,8512l1894,8543m1894,8564l1894,8575,1904,8554,1904,8543m1904,8597l1904,8564,1904,8597,1904,8533,1915,8543,1915,8533,1915,8554e" filled="false" stroked="true" strokeweight=".528pt" strokecolor="#000080">
              <v:path arrowok="t"/>
              <v:stroke dashstyle="solid"/>
            </v:shape>
            <v:shape style="position:absolute;left:1909;top:8575;width:22;height:53" coordorigin="1910,8575" coordsize="22,53" path="m1920,8575l1910,8575,1910,8606,1920,8606,1920,8575m1931,8606l1921,8606,1921,8628,1931,8628,1931,8606m1931,8575l1921,8575,1921,8606,1931,8606,1931,8575e" filled="true" fillcolor="#000080" stroked="false">
              <v:path arrowok="t"/>
              <v:fill type="solid"/>
            </v:shape>
            <v:line style="position:absolute" from="1930,8596" to="1941,8596" stroked="true" strokeweight="2.1pt" strokecolor="#000080">
              <v:stroke dashstyle="solid"/>
            </v:line>
            <v:line style="position:absolute" from="1930,8527" to="1941,8527" stroked="true" strokeweight="1.56pt" strokecolor="#000080">
              <v:stroke dashstyle="solid"/>
            </v:line>
            <v:line style="position:absolute" from="1946,8470" to="1946,8533" stroked="true" strokeweight=".528pt" strokecolor="#000080">
              <v:stroke dashstyle="solid"/>
            </v:line>
            <v:line style="position:absolute" from="1952,8464" to="1962,8464" stroked="true" strokeweight="2.64pt" strokecolor="#000080">
              <v:stroke dashstyle="solid"/>
            </v:line>
            <v:shape style="position:absolute;left:1957;top:8448;width:53;height:128" coordorigin="1957,8448" coordsize="53,128" path="m1957,8448l1957,8490,1957,8459,1957,8470,1968,8459,1968,8554m1968,8533l1968,8501,1979,8470,1979,8543,1979,8512m1979,8533l1979,8501,1988,8533,1988,8490m1988,8522l1988,8480,1988,8543,1999,8533m1999,8522l1999,8575m2010,8533l2010,8512m2010,8522l2010,8554e" filled="false" stroked="true" strokeweight=".528pt" strokecolor="#000080">
              <v:path arrowok="t"/>
              <v:stroke dashstyle="solid"/>
            </v:shape>
            <v:shape style="position:absolute;left:2015;top:8511;width:11;height:64" coordorigin="2016,8512" coordsize="11,64" path="m2026,8554l2016,8554,2016,8575,2026,8575,2026,8554m2026,8512l2016,8512,2016,8543,2026,8543,2026,8512e" filled="true" fillcolor="#000080" stroked="false">
              <v:path arrowok="t"/>
              <v:fill type="solid"/>
            </v:shape>
            <v:line style="position:absolute" from="2030,8512" to="2030,8512" stroked="true" strokeweight=".528pt" strokecolor="#000080">
              <v:stroke dashstyle="solid"/>
            </v:line>
            <v:rect style="position:absolute;left:2025;top:8522;width:11;height:32" filled="true" fillcolor="#000080" stroked="false">
              <v:fill type="solid"/>
            </v:rect>
            <v:shape style="position:absolute;left:2030;top:8437;width:22;height:64" coordorigin="2030,8437" coordsize="22,64" path="m2030,8490l2041,8490,2041,8501,2041,8459,2041,8490m2041,8459l2041,8459m2041,8459l2052,8459,2052,8437e" filled="false" stroked="true" strokeweight=".528pt" strokecolor="#000080">
              <v:path arrowok="t"/>
              <v:stroke dashstyle="solid"/>
            </v:shape>
            <v:line style="position:absolute" from="2047,8464" to="2057,8464" stroked="true" strokeweight="1.62pt" strokecolor="#000080">
              <v:stroke dashstyle="solid"/>
            </v:line>
            <v:shape style="position:absolute;left:2052;top:8448;width:22;height:33" coordorigin="2052,8448" coordsize="22,33" path="m2052,8470l2052,8459,2052,8470,2063,8470m2063,8480l2063,8459m2063,8448l2063,8470,2074,8459e" filled="false" stroked="true" strokeweight=".528pt" strokecolor="#000080">
              <v:path arrowok="t"/>
              <v:stroke dashstyle="solid"/>
            </v:shape>
            <v:line style="position:absolute" from="2068,8432" to="2079,8432" stroked="true" strokeweight=".48pt" strokecolor="#000080">
              <v:stroke dashstyle="solid"/>
            </v:line>
            <v:line style="position:absolute" from="2074,8395" to="2074,8417" stroked="true" strokeweight=".528pt" strokecolor="#000080">
              <v:stroke dashstyle="solid"/>
            </v:line>
            <v:line style="position:absolute" from="2078,8422" to="2088,8422" stroked="true" strokeweight="1.56pt" strokecolor="#000080">
              <v:stroke dashstyle="solid"/>
            </v:line>
            <v:line style="position:absolute" from="2094,8417" to="2094,8501" stroked="true" strokeweight=".528pt" strokecolor="#000080">
              <v:stroke dashstyle="solid"/>
            </v:line>
            <v:line style="position:absolute" from="2100,8522" to="2110,8522" stroked="true" strokeweight="1.08pt" strokecolor="#000080">
              <v:stroke dashstyle="solid"/>
            </v:line>
            <v:line style="position:absolute" from="2100,8506" to="2110,8506" stroked="true" strokeweight=".54pt" strokecolor="#000080">
              <v:stroke dashstyle="solid"/>
            </v:line>
            <v:shape style="position:absolute;left:2104;top:8480;width:32;height:117" coordorigin="2105,8480" coordsize="32,117" path="m2105,8522l2116,8512,2116,8480,2116,8501,2116,8490,2116,8512m2116,8522l2116,8512,2126,8522,2126,8522m2126,8533l2126,8522,2126,8586,2136,8597e" filled="false" stroked="true" strokeweight=".528pt" strokecolor="#000080">
              <v:path arrowok="t"/>
              <v:stroke dashstyle="solid"/>
            </v:shape>
            <v:line style="position:absolute" from="2131,8564" to="2141,8564" stroked="true" strokeweight="2.16pt" strokecolor="#000080">
              <v:stroke dashstyle="solid"/>
            </v:line>
            <v:shape style="position:absolute;left:2136;top:8533;width:11;height:32" coordorigin="2136,8533" coordsize="11,32" path="m2136,8564l2136,8543,2136,8554,2147,8554,2147,8533,2147,8554,2147,8533,2147,8543e" filled="false" stroked="true" strokeweight=".528pt" strokecolor="#000080">
              <v:path arrowok="t"/>
              <v:stroke dashstyle="solid"/>
            </v:shape>
            <v:line style="position:absolute" from="2152,8570" to="2163,8570" stroked="true" strokeweight="1.62pt" strokecolor="#000080">
              <v:stroke dashstyle="solid"/>
            </v:line>
            <v:line style="position:absolute" from="2168,8533" to="2168,8575" stroked="true" strokeweight=".528pt" strokecolor="#000080">
              <v:stroke dashstyle="solid"/>
            </v:line>
            <v:line style="position:absolute" from="2174,8543" to="2184,8543" stroked="true" strokeweight="1.02pt" strokecolor="#000080">
              <v:stroke dashstyle="solid"/>
            </v:line>
            <v:shape style="position:absolute;left:2179;top:8522;width:10;height:32" coordorigin="2179,8522" coordsize="10,32" path="m2179,8522l2179,8533,2179,8522,2179,8533,2189,8543,2189,8554e" filled="false" stroked="true" strokeweight=".528pt" strokecolor="#000080">
              <v:path arrowok="t"/>
              <v:stroke dashstyle="solid"/>
            </v:shape>
            <v:line style="position:absolute" from="2184,8575" to="2194,8575" stroked="true" strokeweight="1.08pt" strokecolor="#000080">
              <v:stroke dashstyle="solid"/>
            </v:line>
            <v:shape style="position:absolute;left:2188;top:8575;width:33;height:64" coordorigin="2189,8575" coordsize="33,64" path="m2189,8575l2189,8575,2200,8586,2200,8575,2200,8639,2200,8628,2210,8606,2210,8597,2210,8617,2210,8606m2210,8617l2210,8639,2210,8628,2221,8597e" filled="false" stroked="true" strokeweight=".528pt" strokecolor="#000080">
              <v:path arrowok="t"/>
              <v:stroke dashstyle="solid"/>
            </v:shape>
            <v:line style="position:absolute" from="2216,8607" to="2226,8607" stroked="true" strokeweight="1.02pt" strokecolor="#000080">
              <v:stroke dashstyle="solid"/>
            </v:line>
            <v:shape style="position:absolute;left:2232;top:8617;width:2;height:42" coordorigin="2232,8617" coordsize="0,42" path="m2232,8628l2232,8650m2232,8659l2232,8617e" filled="false" stroked="true" strokeweight=".528pt" strokecolor="#000080">
              <v:path arrowok="t"/>
              <v:stroke dashstyle="solid"/>
            </v:shape>
            <v:line style="position:absolute" from="2236,8623" to="2247,8623" stroked="true" strokeweight="1.62pt" strokecolor="#000080">
              <v:stroke dashstyle="solid"/>
            </v:line>
            <v:line style="position:absolute" from="2252,8575" to="2252,8606" stroked="true" strokeweight=".528pt" strokecolor="#000080">
              <v:stroke dashstyle="solid"/>
            </v:line>
            <v:shape style="position:absolute;left:2252;top:8522;width:33;height:64" coordorigin="2252,8522" coordsize="33,64" path="m2252,8575l2263,8586,2263,8575m2263,8554l2263,8564,2263,8554,2263,8564,2274,8575,2274,8586,2274,8554m2274,8543l2274,8533,2274,8543,2285,8522,2285,8533e" filled="false" stroked="true" strokeweight=".528pt" strokecolor="#000080">
              <v:path arrowok="t"/>
              <v:stroke dashstyle="solid"/>
            </v:shape>
            <v:line style="position:absolute" from="2280,8522" to="2290,8522" stroked="true" strokeweight="1.08pt" strokecolor="#000080">
              <v:stroke dashstyle="solid"/>
            </v:line>
            <v:shape style="position:absolute;left:2284;top:8533;width:10;height:53" coordorigin="2285,8533" coordsize="10,53" path="m2285,8543l2285,8533,2285,8543,2294,8554,2294,8586,2294,8575e" filled="false" stroked="true" strokeweight=".528pt" strokecolor="#000080">
              <v:path arrowok="t"/>
              <v:stroke dashstyle="solid"/>
            </v:shape>
            <v:shape style="position:absolute;left:2299;top:8533;width:22;height:42" coordorigin="2300,8533" coordsize="22,42" path="m2310,8533l2300,8533,2300,8543,2300,8554,2300,8564,2310,8564,2310,8554,2310,8543,2310,8533m2321,8543l2311,8543,2311,8575,2321,8575,2321,8543e" filled="true" fillcolor="#000080" stroked="false">
              <v:path arrowok="t"/>
              <v:fill type="solid"/>
            </v:shape>
            <v:line style="position:absolute" from="2327,8586" to="2327,8586" stroked="true" strokeweight=".528pt" strokecolor="#000080">
              <v:stroke dashstyle="solid"/>
            </v:line>
            <v:shape style="position:absolute;left:2321;top:8564;width:22;height:42" coordorigin="2322,8564" coordsize="22,42" path="m2332,8564l2322,8564,2322,8586,2332,8586,2332,8564m2343,8586l2332,8586,2332,8606,2343,8606,2343,8586e" filled="true" fillcolor="#000080" stroked="false">
              <v:path arrowok="t"/>
              <v:fill type="solid"/>
            </v:shape>
            <v:line style="position:absolute" from="2338,8597" to="2338,8597" stroked="true" strokeweight=".528pt" strokecolor="#000080">
              <v:stroke dashstyle="solid"/>
            </v:line>
            <v:rect style="position:absolute;left:2332;top:8586;width:11;height:21" filled="true" fillcolor="#000080" stroked="false">
              <v:fill type="solid"/>
            </v:rect>
            <v:shape style="position:absolute;left:2337;top:8553;width:42;height:222" coordorigin="2338,8554" coordsize="42,222" path="m2338,8564l2347,8554,2347,8564m2347,8575l2347,8606m2347,8617l2347,8617,2358,8639,2358,8628,2358,8659,2358,8650m2358,8659l2358,8650,2369,8639,2369,8650m2369,8659l2369,8670,2369,8617,2369,8702,2380,8744m2380,8734l2380,8776m2380,8765l2380,8723e" filled="false" stroked="true" strokeweight=".528pt" strokecolor="#000080">
              <v:path arrowok="t"/>
              <v:stroke dashstyle="solid"/>
            </v:shape>
            <v:shape style="position:absolute;left:2390;top:8722;width:10;height:75" coordorigin="2390,8723" coordsize="10,75" path="m2390,8723l2390,8776m2400,8776l2400,8797e" filled="false" stroked="true" strokeweight=".528pt" strokecolor="#000080">
              <v:path arrowok="t"/>
              <v:stroke dashstyle="solid"/>
            </v:shape>
            <v:line style="position:absolute" from="2406,8781" to="2416,8781" stroked="true" strokeweight="1.62pt" strokecolor="#000080">
              <v:stroke dashstyle="solid"/>
            </v:line>
            <v:line style="position:absolute" from="2406,8781" to="2416,8781" stroked="true" strokeweight="3.66pt" strokecolor="#000080">
              <v:stroke dashstyle="solid"/>
            </v:line>
            <v:shape style="position:absolute;left:2421;top:8744;width:22;height:117" coordorigin="2422,8744" coordsize="22,117" path="m2422,8861l2422,8765m2422,8797l2422,8744,2422,8755,2432,8755,2432,8797,2432,8755,2432,8797m2432,8786l2432,8776,2432,8786,2443,8776,2443,8797e" filled="false" stroked="true" strokeweight=".528pt" strokecolor="#000080">
              <v:path arrowok="t"/>
              <v:stroke dashstyle="solid"/>
            </v:shape>
            <v:line style="position:absolute" from="2438,8771" to="2448,8771" stroked="true" strokeweight="1.56pt" strokecolor="#000080">
              <v:stroke dashstyle="solid"/>
            </v:line>
            <v:shape style="position:absolute;left:2443;top:8786;width:10;height:11" coordorigin="2443,8786" coordsize="10,11" path="m2443,8786l2443,8797,2453,8797e" filled="false" stroked="true" strokeweight=".528pt" strokecolor="#000080">
              <v:path arrowok="t"/>
              <v:stroke dashstyle="solid"/>
            </v:shape>
            <v:shape style="position:absolute;left:2447;top:8808;width:11;height:42" coordorigin="2448,8808" coordsize="11,42" path="m2458,8828l2448,8828,2448,8850,2458,8850,2458,8828m2458,8808l2448,8808,2448,8828,2458,8828,2458,8808e" filled="true" fillcolor="#000080" stroked="false">
              <v:path arrowok="t"/>
              <v:fill type="solid"/>
            </v:shape>
            <v:line style="position:absolute" from="2458,8803" to="2469,8803" stroked="true" strokeweight=".54pt" strokecolor="#000080">
              <v:stroke dashstyle="solid"/>
            </v:line>
            <v:rect style="position:absolute;left:2458;top:8797;width:11;height:32" filled="true" fillcolor="#000080" stroked="false">
              <v:fill type="solid"/>
            </v:rect>
            <v:line style="position:absolute" from="2469,8807" to="2480,8807" stroked="true" strokeweight="2.1pt" strokecolor="#000080">
              <v:stroke dashstyle="solid"/>
            </v:line>
            <v:shape style="position:absolute;left:2485;top:8755;width:21;height:32" coordorigin="2485,8755" coordsize="21,32" path="m2485,8776l2485,8765,2485,8776,2485,8755,2485,8786,2496,8776,2496,8776m2496,8765l2496,8755,2506,8755e" filled="false" stroked="true" strokeweight=".528pt" strokecolor="#000080">
              <v:path arrowok="t"/>
              <v:stroke dashstyle="solid"/>
            </v:shape>
            <v:line style="position:absolute" from="2500,8744" to="2511,8744" stroked="true" strokeweight="2.1pt" strokecolor="#000080">
              <v:stroke dashstyle="solid"/>
            </v:line>
            <v:shape style="position:absolute;left:2505;top:8733;width:22;height:53" coordorigin="2506,8734" coordsize="22,53" path="m2506,8744l2506,8734,2506,8755,2516,8776,2516,8765,2516,8786,2516,8765m2516,8744l2516,8734,2516,8744,2527,8744e" filled="false" stroked="true" strokeweight=".528pt" strokecolor="#000080">
              <v:path arrowok="t"/>
              <v:stroke dashstyle="solid"/>
            </v:shape>
            <v:line style="position:absolute" from="2522,8791" to="2532,8791" stroked="true" strokeweight="2.64pt" strokecolor="#000080">
              <v:stroke dashstyle="solid"/>
            </v:line>
            <v:line style="position:absolute" from="2533,8797" to="2543,8797" stroked="true" strokeweight="2.1pt" strokecolor="#000080">
              <v:stroke dashstyle="solid"/>
            </v:line>
            <v:shape style="position:absolute;left:2548;top:8786;width:42;height:95" coordorigin="2549,8786" coordsize="42,95" path="m2549,8786l2549,8808m2549,8828l2549,8881m2558,8881l2558,8839,2558,8872,2558,8861,2569,8850,2569,8872m2569,8850l2569,8850m2569,8850l2569,8850m2569,8872l2569,8850,2580,8850m2580,8818l2580,8839m2580,8818l2580,8828,2591,8797,2591,8818e" filled="false" stroked="true" strokeweight=".528pt" strokecolor="#000080">
              <v:path arrowok="t"/>
              <v:stroke dashstyle="solid"/>
            </v:shape>
            <v:line style="position:absolute" from="2586,8834" to="2596,8834" stroked="true" strokeweight=".54pt" strokecolor="#000080">
              <v:stroke dashstyle="solid"/>
            </v:line>
            <v:shape style="position:absolute;left:2590;top:8808;width:11;height:53" coordorigin="2591,8808" coordsize="11,53" path="m2591,8839l2591,8828,2591,8839,2602,8861m2602,8850l2602,8808e" filled="false" stroked="true" strokeweight=".528pt" strokecolor="#000080">
              <v:path arrowok="t"/>
              <v:stroke dashstyle="solid"/>
            </v:shape>
            <v:shape style="position:absolute;left:2611;top:8775;width:11;height:64" coordorigin="2611,8776" coordsize="11,64" path="m2611,8776l2611,8808m2622,8797l2622,8839e" filled="false" stroked="true" strokeweight=".528pt" strokecolor="#000080">
              <v:path arrowok="t"/>
              <v:stroke dashstyle="solid"/>
            </v:shape>
            <v:line style="position:absolute" from="2628,8813" to="2638,8813" stroked="true" strokeweight=".48pt" strokecolor="#000080">
              <v:stroke dashstyle="solid"/>
            </v:line>
            <v:line style="position:absolute" from="2628,8828" to="2638,8828" stroked="true" strokeweight="1.08pt" strokecolor="#000080">
              <v:stroke dashstyle="solid"/>
            </v:line>
            <v:shape style="position:absolute;left:2632;top:8797;width:11;height:21" coordorigin="2633,8797" coordsize="11,21" path="m2633,8818l2644,8808,2644,8797,2644,8808e" filled="false" stroked="true" strokeweight=".528pt" strokecolor="#000080">
              <v:path arrowok="t"/>
              <v:stroke dashstyle="solid"/>
            </v:shape>
            <v:line style="position:absolute" from="2638,8834" to="2649,8834" stroked="true" strokeweight=".54pt" strokecolor="#000080">
              <v:stroke dashstyle="solid"/>
            </v:line>
            <v:shape style="position:absolute;left:2643;top:8797;width:21;height:21" coordorigin="2644,8797" coordsize="21,21" path="m2644,8818l2654,8818m2654,8797l2654,8818,2664,8818,2664,8797e" filled="false" stroked="true" strokeweight=".528pt" strokecolor="#000080">
              <v:path arrowok="t"/>
              <v:stroke dashstyle="solid"/>
            </v:shape>
            <v:line style="position:absolute" from="2659,8797" to="2669,8797" stroked="true" strokeweight="1.08pt" strokecolor="#000080">
              <v:stroke dashstyle="solid"/>
            </v:line>
            <v:shape style="position:absolute;left:2664;top:8691;width:22;height:126" coordorigin="2664,8692" coordsize="22,126" path="m2664,8808l2664,8818,2664,8808,2675,8818m2675,8797l2675,8765m2675,8776l2675,8765,2675,8776,2686,8776,2686,8755,2686,8765,2686,8755m2686,8744l2686,8692e" filled="false" stroked="true" strokeweight=".528pt" strokecolor="#000080">
              <v:path arrowok="t"/>
              <v:stroke dashstyle="solid"/>
            </v:shape>
            <v:shape style="position:absolute;left:2691;top:8680;width:11;height:42" coordorigin="2691,8681" coordsize="11,42" path="m2702,8681l2691,8681,2691,8702,2691,8723,2702,8723,2702,8702,2702,8681e" filled="true" fillcolor="#000080" stroked="false">
              <v:path arrowok="t"/>
              <v:fill type="solid"/>
            </v:shape>
            <v:line style="position:absolute" from="2702,8717" to="2712,8717" stroked="true" strokeweight=".54pt" strokecolor="#000080">
              <v:stroke dashstyle="solid"/>
            </v:line>
            <v:shape style="position:absolute;left:2701;top:8659;width:21;height:53" coordorigin="2702,8659" coordsize="21,53" path="m2712,8681l2702,8681,2702,8712,2712,8712,2712,8681m2722,8659l2712,8659,2712,8681,2722,8681,2722,8659e" filled="true" fillcolor="#000080" stroked="false">
              <v:path arrowok="t"/>
              <v:fill type="solid"/>
            </v:shape>
            <v:shape style="position:absolute;left:2716;top:8691;width:33;height:106" coordorigin="2717,8692" coordsize="33,106" path="m2717,8692l2728,8723,2728,8765,2728,8755,2728,8765,2728,8744,2728,8755m2728,8744l2728,8755,2738,8765,2738,8797m2738,8786l2738,8797,2738,8755,2738,8765,2738,8755,2749,8755,2749,8744e" filled="false" stroked="true" strokeweight=".528pt" strokecolor="#000080">
              <v:path arrowok="t"/>
              <v:stroke dashstyle="solid"/>
            </v:shape>
            <v:line style="position:absolute" from="2744,8755" to="2754,8755" stroked="true" strokeweight="1.02pt" strokecolor="#000080">
              <v:stroke dashstyle="solid"/>
            </v:line>
            <v:shape style="position:absolute;left:2749;top:8733;width:11;height:22" coordorigin="2749,8734" coordsize="11,22" path="m2749,8755l2749,8744,2760,8734e" filled="false" stroked="true" strokeweight=".528pt" strokecolor="#000080">
              <v:path arrowok="t"/>
              <v:stroke dashstyle="solid"/>
            </v:shape>
            <v:shape style="position:absolute;left:2760;top:8659;width:10;height:64" coordorigin="2760,8659" coordsize="10,64" path="m2760,8692l2760,8723m2770,8659l2770,8702e" filled="false" stroked="true" strokeweight=".528pt" strokecolor="#000080">
              <v:path arrowok="t"/>
              <v:stroke dashstyle="solid"/>
            </v:shape>
            <v:line style="position:absolute" from="2775,8638" to="2786,8638" stroked="true" strokeweight="2.1pt" strokecolor="#000080">
              <v:stroke dashstyle="solid"/>
            </v:line>
            <v:line style="position:absolute" from="2791,8543" to="2791,8606" stroked="true" strokeweight=".528pt" strokecolor="#000080">
              <v:stroke dashstyle="solid"/>
            </v:line>
            <v:shape style="position:absolute;left:2791;top:8331;width:32;height:222" coordorigin="2791,8332" coordsize="32,222" path="m2791,8533l2802,8554,2802,8470m2802,8448l2802,8470m2802,8490l2802,8480,2813,8448,2813,8406,2813,8417,2813,8375,2813,8395m2813,8375l2813,8364,2822,8332e" filled="false" stroked="true" strokeweight=".528pt" strokecolor="#000080">
              <v:path arrowok="t"/>
              <v:stroke dashstyle="solid"/>
            </v:shape>
            <v:line style="position:absolute" from="2822,8300" to="2822,8428" stroked="true" strokeweight=".528pt" strokecolor="#000080">
              <v:stroke dashstyle="solid"/>
            </v:line>
            <v:shape style="position:absolute;left:2822;top:8353;width:11;height:22" coordorigin="2822,8353" coordsize="11,22" path="m2822,8364l2822,8375,2822,8364,2833,8353e" filled="false" stroked="true" strokeweight=".528pt" strokecolor="#000080">
              <v:path arrowok="t"/>
              <v:stroke dashstyle="solid"/>
            </v:shape>
            <v:line style="position:absolute" from="2828,8316" to="2838,8316" stroked="true" strokeweight="1.56pt" strokecolor="#000080">
              <v:stroke dashstyle="solid"/>
            </v:line>
            <v:line style="position:absolute" from="2828,8295" to="2838,8295" stroked="true" strokeweight=".54pt" strokecolor="#000080">
              <v:stroke dashstyle="solid"/>
            </v:line>
            <v:line style="position:absolute" from="2844,8206" to="2844,8279" stroked="true" strokeweight=".528pt" strokecolor="#000080">
              <v:stroke dashstyle="solid"/>
            </v:line>
            <v:shape style="position:absolute;left:2854;top:8173;width:2;height:86" coordorigin="2855,8173" coordsize="0,86" path="m2855,8237l2855,8237m2855,8237l2855,8195m2855,8184l2855,8173,2855,8258e" filled="false" stroked="true" strokeweight=".528pt" strokecolor="#000080">
              <v:path arrowok="t"/>
              <v:stroke dashstyle="solid"/>
            </v:shape>
            <v:line style="position:absolute" from="2860,8274" to="2871,8274" stroked="true" strokeweight="2.64pt" strokecolor="#000080">
              <v:stroke dashstyle="solid"/>
            </v:line>
            <v:shape style="position:absolute;left:2865;top:8100;width:21;height:159" coordorigin="2866,8100" coordsize="21,159" path="m2866,8258l2866,8173,2875,8120,2875,8142m2875,8131l2875,8184,2875,8153,2875,8162,2875,8153m2875,8142l2875,8131,2886,8100,2886,8120e" filled="false" stroked="true" strokeweight=".528pt" strokecolor="#000080">
              <v:path arrowok="t"/>
              <v:stroke dashstyle="solid"/>
            </v:shape>
            <v:line style="position:absolute" from="2881,8120" to="2891,8120" stroked="true" strokeweight="1.08pt" strokecolor="#000080">
              <v:stroke dashstyle="solid"/>
            </v:line>
            <v:shape style="position:absolute;left:2886;top:8152;width:11;height:42" coordorigin="2886,8153" coordsize="11,42" path="m2886,8162l2886,8153,2886,8195,2897,8184,2897,8162e" filled="false" stroked="true" strokeweight=".528pt" strokecolor="#000080">
              <v:path arrowok="t"/>
              <v:stroke dashstyle="solid"/>
            </v:shape>
            <v:line style="position:absolute" from="2892,8221" to="2902,8221" stroked="true" strokeweight="2.64pt" strokecolor="#000080">
              <v:stroke dashstyle="solid"/>
            </v:line>
            <v:shape style="position:absolute;left:2896;top:8100;width:11;height:63" coordorigin="2897,8100" coordsize="11,63" path="m2897,8162l2897,8110,2897,8131,2908,8131,2908,8100,2908,8120,2908,8100e" filled="false" stroked="true" strokeweight=".528pt" strokecolor="#000080">
              <v:path arrowok="t"/>
              <v:stroke dashstyle="solid"/>
            </v:shape>
            <v:shape style="position:absolute;left:2902;top:8036;width:22;height:42" coordorigin="2902,8036" coordsize="22,42" path="m2913,8057l2902,8057,2902,8078,2913,8078,2913,8057m2924,8036l2913,8036,2913,8068,2924,8068,2924,8036e" filled="true" fillcolor="#000080" stroked="false">
              <v:path arrowok="t"/>
              <v:fill type="solid"/>
            </v:shape>
            <v:shape style="position:absolute;left:2928;top:8004;width:2;height:128" coordorigin="2928,8004" coordsize="0,128" path="m2928,8036l2928,8026,2928,8047,2928,8004,2928,8131e" filled="false" stroked="true" strokeweight=".528pt" strokecolor="#000080">
              <v:path arrowok="t"/>
              <v:stroke dashstyle="solid"/>
            </v:shape>
            <v:line style="position:absolute" from="2934,8089" to="2944,8089" stroked="true" strokeweight="2.1pt" strokecolor="#000080">
              <v:stroke dashstyle="solid"/>
            </v:line>
            <v:shape style="position:absolute;left:2938;top:8067;width:11;height:64" coordorigin="2939,8068" coordsize="11,64" path="m2939,8068l2939,8089,2939,8078,2939,8131,2950,8110,2950,8068e" filled="false" stroked="true" strokeweight=".528pt" strokecolor="#000080">
              <v:path arrowok="t"/>
              <v:stroke dashstyle="solid"/>
            </v:shape>
            <v:line style="position:absolute" from="2944,8047" to="2955,8047" stroked="true" strokeweight="1.02pt" strokecolor="#000080">
              <v:stroke dashstyle="solid"/>
            </v:line>
            <v:shape style="position:absolute;left:2949;top:8025;width:11;height:53" coordorigin="2950,8026" coordsize="11,53" path="m2950,8078l2950,8047,2960,8068,2960,8026e" filled="false" stroked="true" strokeweight=".528pt" strokecolor="#000080">
              <v:path arrowok="t"/>
              <v:stroke dashstyle="solid"/>
            </v:shape>
            <v:line style="position:absolute" from="2955,8010" to="2966,8010" stroked="true" strokeweight="2.64pt" strokecolor="#000080">
              <v:stroke dashstyle="solid"/>
            </v:line>
            <v:shape style="position:absolute;left:2960;top:7803;width:21;height:170" coordorigin="2960,7804" coordsize="21,170" path="m2960,7962l2960,7973,2971,7962,2971,7951m2971,7931l2971,7962,2971,7846m2971,7878l2971,7835,2971,7856,2981,7804e" filled="false" stroked="true" strokeweight=".528pt" strokecolor="#000080">
              <v:path arrowok="t"/>
              <v:stroke dashstyle="solid"/>
            </v:shape>
            <v:line style="position:absolute" from="2981,7718" to="2981,7814" stroked="true" strokeweight=".528pt" strokecolor="#000080">
              <v:stroke dashstyle="solid"/>
            </v:line>
            <v:shape style="position:absolute;left:2991;top:7761;width:2;height:212" coordorigin="2992,7762" coordsize="0,212" path="m2992,7814l2992,7856,2992,7762,2992,7973e" filled="false" stroked="true" strokeweight=".528pt" strokecolor="#000080">
              <v:path arrowok="t"/>
              <v:stroke dashstyle="solid"/>
            </v:shape>
            <v:shape style="position:absolute;left:3002;top:7909;width:11;height:117" coordorigin="3002,7909" coordsize="11,117" path="m3002,7909l3002,8004m3013,7931l3013,8026e" filled="false" stroked="true" strokeweight=".528pt" strokecolor="#000080">
              <v:path arrowok="t"/>
              <v:stroke dashstyle="solid"/>
            </v:shape>
            <v:shape style="position:absolute;left:3013;top:8014;width:11;height:42" coordorigin="3013,8015" coordsize="11,42" path="m3013,8036l3024,8015,3024,8057,3024,8026e" filled="false" stroked="true" strokeweight=".528pt" strokecolor="#000080">
              <v:path arrowok="t"/>
              <v:stroke dashstyle="solid"/>
            </v:shape>
            <v:line style="position:absolute" from="3019,8041" to="3029,8041" stroked="true" strokeweight="3.72pt" strokecolor="#000080">
              <v:stroke dashstyle="solid"/>
            </v:line>
            <v:shape style="position:absolute;left:3024;top:7972;width:10;height:75" coordorigin="3024,7973" coordsize="10,75" path="m3024,7993l3024,7973,3034,8026,3034,7984,3034,8047e" filled="false" stroked="true" strokeweight=".528pt" strokecolor="#000080">
              <v:path arrowok="t"/>
              <v:stroke dashstyle="solid"/>
            </v:shape>
            <v:line style="position:absolute" from="3028,8020" to="3039,8020" stroked="true" strokeweight=".54pt" strokecolor="#000080">
              <v:stroke dashstyle="solid"/>
            </v:line>
            <v:shape style="position:absolute;left:3033;top:8004;width:11;height:22" coordorigin="3034,8004" coordsize="11,22" path="m3034,8015l3034,8004,3034,8026,3034,8015,3044,8015,3044,8026e" filled="false" stroked="true" strokeweight=".528pt" strokecolor="#000080">
              <v:path arrowok="t"/>
              <v:stroke dashstyle="solid"/>
            </v:shape>
            <v:line style="position:absolute" from="3039,8031" to="3050,8031" stroked="true" strokeweight="1.62pt" strokecolor="#000080">
              <v:stroke dashstyle="solid"/>
            </v:line>
            <v:shape style="position:absolute;left:3044;top:7920;width:11;height:42" coordorigin="3044,7920" coordsize="11,42" path="m3044,7962l3044,7920,3044,7931,3055,7951,3055,7940e" filled="false" stroked="true" strokeweight=".528pt" strokecolor="#000080">
              <v:path arrowok="t"/>
              <v:stroke dashstyle="solid"/>
            </v:shape>
            <v:line style="position:absolute" from="3050,7930" to="3060,7930" stroked="true" strokeweight="2.1pt" strokecolor="#000080">
              <v:stroke dashstyle="solid"/>
            </v:line>
            <v:shape style="position:absolute;left:3055;top:7878;width:11;height:42" coordorigin="3055,7878" coordsize="11,42" path="m3055,7898l3055,7920,3055,7878,3066,7898e" filled="false" stroked="true" strokeweight=".528pt" strokecolor="#000080">
              <v:path arrowok="t"/>
              <v:stroke dashstyle="solid"/>
            </v:shape>
            <v:shape style="position:absolute;left:3066;top:7761;width:32;height:159" coordorigin="3066,7762" coordsize="32,159" path="m3066,7825l3066,7909m3076,7762l3076,7846m3086,7825l3086,7920m3097,7772l3097,7814e" filled="false" stroked="true" strokeweight=".528pt" strokecolor="#000080">
              <v:path arrowok="t"/>
              <v:stroke dashstyle="solid"/>
            </v:shape>
            <v:shape style="position:absolute;left:3097;top:7390;width:708;height:710" coordorigin="3097,7391" coordsize="708,710" path="m3097,7804l3097,7825,3097,7793,3108,7804,3108,7867,3108,7804,3108,7814,3108,7772,3108,7793,3119,7825,3119,7804,3119,7835,3119,7793,3119,7804,3119,7793,3128,7825,3128,7878,3128,7825,3128,7835,3128,7804,3128,7814,3128,7793,3128,7804,3139,7804,3139,7825,3139,7782,3139,7793,3139,7772,3139,7782,3150,7782,3150,7793,3150,7676,3150,7687,3161,7687,3161,7613,3161,7656,3172,7666,3172,7656,3172,7698,3172,7645,3172,7709,3181,7740,3181,7762,3181,7729,3181,7825,3192,7825,3192,7898,3192,7878,3192,7898,3203,7920,3203,7867,3203,7878,3203,7846,3203,7867,3214,7867,3214,7751,3214,7762,3214,7718,3214,7740,3224,7740,3224,7709,3224,7718,3224,7687,3224,7709,3224,7687,3224,7729,3234,7729,3234,7772,3234,7762,3234,7814m3234,7814l3245,7814,3245,7793,3245,7804,3245,7772,3245,7856,3256,7835,3256,7867,3256,7825,3256,7856,3256,7835,3256,7856,3256,7846,3266,7825,3266,7729,3266,7804,3277,7825,3277,7898,3277,7878,3277,7909,3277,7898,3277,7940,3277,7909,3287,7898,3287,7909,3287,7846,3287,7931,3298,7931,3298,8047,3298,7973,3298,7993,3298,7973,3298,8036,3308,8036,3308,7984,3308,8036,3308,8026,3308,8047,3308,8036,3319,8078,3319,8089,3319,7993,3319,8015,3319,7973,3319,8004,3330,7993,3330,8015,3330,7951,3330,8036,3340,8026,3340,8057,3340,8004,3340,8015,3350,8015,3350,7984,3350,7993,3350,7984,3350,8047,3361,8047,3361,8100,3361,8078,3361,8089,3361,8078,3361,8100,3361,8047,3372,8047,3372,8036,3372,8057,3372,7993,3383,7993,3383,8026m3383,8026l3383,8004,3383,8036,3383,8026,3392,8015,3392,7940,3392,8004,3392,7962,3403,7931,3403,7909,3403,7931,3403,7867,3403,7931,3414,7909,3414,7920,3414,7856,3414,7878,3414,7856,3414,7878,3425,7898,3425,7951,3425,7888,3436,7878,3436,7846,3436,7856,3436,7835,3436,7846,3436,7835,3445,7835,3445,7814,3445,7846,3445,7825,3445,7846,3456,7846,3456,7825,3456,7867,3456,7814,3467,7814,3467,7762,3467,7772,3467,7751,3467,7825,3467,7814,3478,7782,3478,7825,3478,7804,3478,7825,3478,7804,3478,7846,3478,7835,3478,7867,3478,7856,3488,7846,3488,7814,3488,7867,3488,7856,3488,7878,3488,7846,3488,7856,3498,7856,3498,7846,3498,7931,3498,7898,3498,7931,3498,7920,3509,7888,3509,7867,3509,7909,3509,7898,3509,7909,3509,7878,3520,7856,3520,7867,3520,7856,3520,7867m3520,7867l3520,7856,3520,7888,3520,7878,3520,7888,3530,7888,3530,7867,3530,7909,3530,7804,3541,7804,3541,7846,3541,7782,3541,7793,3541,7751,3551,7729,3551,7793,3551,7782,3551,7804,3551,7762,3551,7772,3562,7804,3562,7814,3562,7762,3572,7762,3572,7772,3572,7751,3572,7793,3583,7782,3583,7762,3583,7772,3583,7740,3594,7751,3594,7740,3594,7772,3594,7718,3594,7740,3594,7709,3604,7709,3604,7687,3604,7740,3604,7718,3604,7740,3604,7718,3604,7729,3604,7709,3614,7709,3614,7687,3614,7718,3614,7687,3614,7698,3625,7687,3625,7550,3636,7571,3636,7582,3636,7550,3636,7571,3636,7550,3636,7666,3636,7613,3647,7624,3647,7666,3647,7613,3647,7656,3647,7645,3647,7687,3656,7666,3656,7603,3656,7634,3656,7613,3656,7634,3656,7592,3656,7645m3656,7645l3667,7634,3667,7698,3667,7634,3678,7634,3678,7624,3678,7634,3678,7560,3678,7571,3678,7550,3678,7613,3689,7613,3689,7571,3689,7592,3689,7540,3700,7540,3700,7434,3700,7465,3700,7391,3700,7518,3700,7507,3709,7529,3709,7645,3709,7603,3709,7666,3709,7624,3709,7676,3709,7666,3709,7751,3720,7762,3720,7751,3720,7793,3720,7762,3720,7793,3720,7782,3720,7804,3731,7825,3731,7814,3731,7878,3731,7835,3731,7846,3731,7772,3742,7793,3742,7825,3742,7793,3742,7835,3742,7793,3742,7825,3742,7782,3752,7782,3752,7804,3752,7772,3752,7804,3752,7718,3762,7718,3762,7740,3762,7729,3762,7751,3762,7645,3773,7645,3773,7613,3773,7666,3773,7624,3773,7698,3773,7687,3784,7676,3784,7762,3784,7751,3784,7772,3794,7762,3794,7718,3794,7804,3794,7762,3805,7718,3805,7687e" filled="false" stroked="true" strokeweight=".528pt" strokecolor="#000080">
              <v:path arrowok="t"/>
              <v:stroke dashstyle="solid"/>
            </v:shape>
            <v:shape style="position:absolute;left:3799;top:7512;width:570;height:391" type="#_x0000_t75" stroked="false">
              <v:imagedata r:id="rId11" o:title=""/>
            </v:shape>
            <v:shape style="position:absolute;left:4364;top:7740;width:148;height:434" coordorigin="4364,7740" coordsize="148,434" path="m4364,7740l4364,7762,4375,7762,4375,7782,4375,7762,4375,7782,4375,7772,4375,7782,4375,7751,4385,7793,4385,7825,4385,7814,4396,7804,4396,7867,4396,7856,4396,7888,4406,7878,4406,7793,4406,7835,4406,7825,4417,7846,4417,7856,4417,7846,4417,7984,4428,7984,4428,8036,4428,8004,4428,8047,4428,8015,4428,8026,4438,8026,4438,8047,4438,7962,4438,8004,4438,7973,4448,7973,4448,8068,4448,8015,4448,8036,4459,8047,4459,8057,4459,8026,4459,8047,4470,8068,4470,8036,4470,8089,4481,8162,4481,8173,4481,8100,4481,8131,4481,8120,4490,8142,4490,8173,4490,8131,4490,8153,4490,8142,4501,8131,4501,8057,4501,8120,4501,8047,4501,8078,4501,8015,4512,8026e" filled="false" stroked="true" strokeweight=".528pt" strokecolor="#000080">
              <v:path arrowok="t"/>
              <v:stroke dashstyle="solid"/>
            </v:shape>
            <v:shape style="position:absolute;left:4506;top:7703;width:539;height:433" type="#_x0000_t75" stroked="false">
              <v:imagedata r:id="rId12" o:title=""/>
            </v:shape>
            <v:shape style="position:absolute;left:3097;top:7560;width:1943;height:572" coordorigin="3097,7560" coordsize="1943,572" path="m3097,8131l5040,8131m3097,7560l5040,7560e" filled="false" stroked="true" strokeweight=".528pt" strokecolor="#000000">
              <v:path arrowok="t"/>
              <v:stroke dashstyle="solid"/>
            </v:shape>
            <w10:wrap type="none"/>
          </v:group>
        </w:pict>
      </w:r>
    </w:p>
    <w:p>
      <w:pPr>
        <w:pStyle w:val="BodyText"/>
        <w:spacing w:before="2" w:after="1"/>
        <w:rPr>
          <w:sz w:val="29"/>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5"/>
        <w:gridCol w:w="390"/>
        <w:gridCol w:w="1202"/>
        <w:gridCol w:w="1559"/>
        <w:gridCol w:w="5222"/>
      </w:tblGrid>
      <w:tr>
        <w:trPr>
          <w:trHeight w:val="552" w:hRule="atLeast"/>
        </w:trPr>
        <w:tc>
          <w:tcPr>
            <w:tcW w:w="5336" w:type="dxa"/>
            <w:gridSpan w:val="4"/>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
              <w:rPr>
                <w:b/>
                <w:sz w:val="24"/>
              </w:rPr>
            </w:pPr>
            <w:r>
              <w:rPr>
                <w:b/>
                <w:sz w:val="24"/>
              </w:rPr>
              <w:t>Figure 1</w:t>
            </w:r>
          </w:p>
          <w:p>
            <w:pPr>
              <w:pStyle w:val="TableParagraph"/>
              <w:spacing w:line="258" w:lineRule="exact"/>
              <w:ind w:left="-1"/>
              <w:rPr>
                <w:b/>
                <w:sz w:val="24"/>
              </w:rPr>
            </w:pPr>
            <w:r>
              <w:rPr>
                <w:b/>
                <w:sz w:val="24"/>
              </w:rPr>
              <w:t>Quarterly Consumption Growth 1996-2003</w:t>
            </w:r>
          </w:p>
        </w:tc>
        <w:tc>
          <w:tcPr>
            <w:tcW w:w="52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6"/>
              <w:rPr>
                <w:b/>
                <w:sz w:val="24"/>
              </w:rPr>
            </w:pPr>
            <w:r>
              <w:rPr>
                <w:b/>
                <w:sz w:val="24"/>
              </w:rPr>
              <w:t>Figure 2</w:t>
            </w:r>
          </w:p>
          <w:p>
            <w:pPr>
              <w:pStyle w:val="TableParagraph"/>
              <w:spacing w:line="258" w:lineRule="exact"/>
              <w:ind w:left="106"/>
              <w:rPr>
                <w:b/>
                <w:sz w:val="24"/>
              </w:rPr>
            </w:pPr>
            <w:r>
              <w:rPr>
                <w:b/>
                <w:sz w:val="24"/>
              </w:rPr>
              <w:t>Consumption and Debt 1998-2003</w:t>
            </w:r>
          </w:p>
        </w:tc>
      </w:tr>
      <w:tr>
        <w:trPr>
          <w:trHeight w:val="214" w:hRule="atLeast"/>
        </w:trPr>
        <w:tc>
          <w:tcPr>
            <w:tcW w:w="2185" w:type="dxa"/>
            <w:tcBorders>
              <w:top w:val="single" w:sz="4" w:space="0" w:color="000000"/>
              <w:left w:val="single" w:sz="4" w:space="0" w:color="000000"/>
            </w:tcBorders>
          </w:tcPr>
          <w:p>
            <w:pPr>
              <w:pStyle w:val="TableParagraph"/>
              <w:rPr>
                <w:sz w:val="14"/>
              </w:rPr>
            </w:pPr>
          </w:p>
        </w:tc>
        <w:tc>
          <w:tcPr>
            <w:tcW w:w="390" w:type="dxa"/>
            <w:tcBorders>
              <w:top w:val="single" w:sz="4" w:space="0" w:color="000000"/>
            </w:tcBorders>
          </w:tcPr>
          <w:p>
            <w:pPr>
              <w:pStyle w:val="TableParagraph"/>
              <w:rPr>
                <w:sz w:val="14"/>
              </w:rPr>
            </w:pPr>
          </w:p>
        </w:tc>
        <w:tc>
          <w:tcPr>
            <w:tcW w:w="1202" w:type="dxa"/>
            <w:tcBorders>
              <w:top w:val="single" w:sz="4" w:space="0" w:color="000000"/>
            </w:tcBorders>
          </w:tcPr>
          <w:p>
            <w:pPr>
              <w:pStyle w:val="TableParagraph"/>
              <w:rPr>
                <w:sz w:val="14"/>
              </w:rPr>
            </w:pPr>
          </w:p>
        </w:tc>
        <w:tc>
          <w:tcPr>
            <w:tcW w:w="1559" w:type="dxa"/>
            <w:tcBorders>
              <w:top w:val="single" w:sz="4" w:space="0" w:color="000000"/>
              <w:right w:val="single" w:sz="4" w:space="0" w:color="000000"/>
            </w:tcBorders>
          </w:tcPr>
          <w:p>
            <w:pPr>
              <w:pStyle w:val="TableParagraph"/>
              <w:spacing w:line="107" w:lineRule="exact" w:before="87"/>
              <w:ind w:left="331"/>
              <w:rPr>
                <w:b/>
                <w:sz w:val="13"/>
              </w:rPr>
            </w:pPr>
            <w:r>
              <w:rPr>
                <w:b/>
                <w:w w:val="115"/>
                <w:sz w:val="13"/>
              </w:rPr>
              <w:t>Per cent</w:t>
            </w:r>
          </w:p>
        </w:tc>
        <w:tc>
          <w:tcPr>
            <w:tcW w:w="5222" w:type="dxa"/>
            <w:vMerge w:val="restart"/>
            <w:tcBorders>
              <w:top w:val="single" w:sz="4" w:space="0" w:color="000000"/>
              <w:left w:val="single" w:sz="4" w:space="0" w:color="000000"/>
              <w:bottom w:val="single" w:sz="4" w:space="0" w:color="000000"/>
              <w:right w:val="single" w:sz="4" w:space="0" w:color="000000"/>
            </w:tcBorders>
          </w:tcPr>
          <w:p>
            <w:pPr>
              <w:pStyle w:val="TableParagraph"/>
              <w:tabs>
                <w:tab w:pos="2855" w:val="left" w:leader="none"/>
              </w:tabs>
              <w:spacing w:before="63"/>
              <w:ind w:left="194"/>
              <w:rPr>
                <w:sz w:val="12"/>
              </w:rPr>
            </w:pPr>
            <w:r>
              <w:rPr>
                <w:w w:val="110"/>
                <w:sz w:val="12"/>
              </w:rPr>
              <w:t>Proportion of</w:t>
            </w:r>
            <w:r>
              <w:rPr>
                <w:spacing w:val="-9"/>
                <w:w w:val="110"/>
                <w:sz w:val="12"/>
              </w:rPr>
              <w:t> </w:t>
            </w:r>
            <w:r>
              <w:rPr>
                <w:w w:val="110"/>
                <w:sz w:val="12"/>
              </w:rPr>
              <w:t>post-tax</w:t>
            </w:r>
            <w:r>
              <w:rPr>
                <w:spacing w:val="-3"/>
                <w:w w:val="110"/>
                <w:sz w:val="12"/>
              </w:rPr>
              <w:t> </w:t>
            </w:r>
            <w:r>
              <w:rPr>
                <w:w w:val="110"/>
                <w:sz w:val="12"/>
              </w:rPr>
              <w:t>income</w:t>
              <w:tab/>
              <w:t>Proportion of post-tax</w:t>
            </w:r>
            <w:r>
              <w:rPr>
                <w:spacing w:val="-2"/>
                <w:w w:val="110"/>
                <w:sz w:val="12"/>
              </w:rPr>
              <w:t> </w:t>
            </w:r>
            <w:r>
              <w:rPr>
                <w:w w:val="110"/>
                <w:sz w:val="12"/>
              </w:rPr>
              <w:t>income</w:t>
            </w:r>
          </w:p>
          <w:p>
            <w:pPr>
              <w:pStyle w:val="TableParagraph"/>
              <w:tabs>
                <w:tab w:pos="1036" w:val="left" w:leader="none"/>
                <w:tab w:pos="4298" w:val="right" w:leader="none"/>
              </w:tabs>
              <w:spacing w:before="90"/>
              <w:ind w:left="194"/>
              <w:rPr>
                <w:sz w:val="12"/>
              </w:rPr>
            </w:pPr>
            <w:r>
              <w:rPr>
                <w:w w:val="110"/>
                <w:position w:val="6"/>
                <w:sz w:val="12"/>
              </w:rPr>
              <w:t>0.14</w:t>
              <w:tab/>
            </w:r>
            <w:r>
              <w:rPr>
                <w:color w:val="000080"/>
                <w:spacing w:val="-3"/>
                <w:w w:val="110"/>
                <w:sz w:val="12"/>
              </w:rPr>
              <w:t>Consumption</w:t>
            </w:r>
            <w:r>
              <w:rPr>
                <w:color w:val="000080"/>
                <w:spacing w:val="-1"/>
                <w:w w:val="110"/>
                <w:sz w:val="12"/>
              </w:rPr>
              <w:t> </w:t>
            </w:r>
            <w:r>
              <w:rPr>
                <w:color w:val="000080"/>
                <w:w w:val="110"/>
                <w:sz w:val="12"/>
              </w:rPr>
              <w:t>(right-hand</w:t>
            </w:r>
            <w:r>
              <w:rPr>
                <w:color w:val="000080"/>
                <w:spacing w:val="-12"/>
                <w:w w:val="110"/>
                <w:sz w:val="12"/>
              </w:rPr>
              <w:t> </w:t>
            </w:r>
            <w:r>
              <w:rPr>
                <w:color w:val="000080"/>
                <w:spacing w:val="-4"/>
                <w:w w:val="110"/>
                <w:sz w:val="12"/>
              </w:rPr>
              <w:t>scale)</w:t>
              <w:tab/>
            </w:r>
            <w:r>
              <w:rPr>
                <w:w w:val="110"/>
                <w:position w:val="6"/>
                <w:sz w:val="12"/>
              </w:rPr>
              <w:t>0.97</w:t>
            </w:r>
          </w:p>
          <w:p>
            <w:pPr>
              <w:pStyle w:val="TableParagraph"/>
              <w:tabs>
                <w:tab w:pos="4069" w:val="left" w:leader="none"/>
              </w:tabs>
              <w:spacing w:before="160"/>
              <w:ind w:left="194"/>
              <w:rPr>
                <w:sz w:val="12"/>
              </w:rPr>
            </w:pPr>
            <w:r>
              <w:rPr>
                <w:w w:val="110"/>
                <w:sz w:val="12"/>
              </w:rPr>
              <w:t>0.12</w:t>
              <w:tab/>
              <w:t>0.96</w:t>
            </w:r>
          </w:p>
          <w:p>
            <w:pPr>
              <w:pStyle w:val="TableParagraph"/>
              <w:rPr>
                <w:sz w:val="12"/>
              </w:rPr>
            </w:pPr>
          </w:p>
          <w:p>
            <w:pPr>
              <w:pStyle w:val="TableParagraph"/>
              <w:tabs>
                <w:tab w:pos="4069" w:val="left" w:leader="none"/>
              </w:tabs>
              <w:spacing w:before="79"/>
              <w:ind w:left="194"/>
              <w:rPr>
                <w:sz w:val="12"/>
              </w:rPr>
            </w:pPr>
            <w:r>
              <w:rPr>
                <w:w w:val="110"/>
                <w:sz w:val="12"/>
              </w:rPr>
              <w:t>0.10</w:t>
              <w:tab/>
              <w:t>0.95</w:t>
            </w:r>
          </w:p>
          <w:p>
            <w:pPr>
              <w:pStyle w:val="TableParagraph"/>
              <w:rPr>
                <w:sz w:val="12"/>
              </w:rPr>
            </w:pPr>
          </w:p>
          <w:p>
            <w:pPr>
              <w:pStyle w:val="TableParagraph"/>
              <w:tabs>
                <w:tab w:pos="4069" w:val="left" w:leader="none"/>
              </w:tabs>
              <w:spacing w:before="78"/>
              <w:ind w:left="194"/>
              <w:rPr>
                <w:sz w:val="12"/>
              </w:rPr>
            </w:pPr>
            <w:r>
              <w:rPr>
                <w:w w:val="110"/>
                <w:sz w:val="12"/>
              </w:rPr>
              <w:t>0.08</w:t>
              <w:tab/>
              <w:t>0.94</w:t>
            </w:r>
          </w:p>
          <w:p>
            <w:pPr>
              <w:pStyle w:val="TableParagraph"/>
              <w:rPr>
                <w:sz w:val="12"/>
              </w:rPr>
            </w:pPr>
          </w:p>
          <w:p>
            <w:pPr>
              <w:pStyle w:val="TableParagraph"/>
              <w:tabs>
                <w:tab w:pos="4069" w:val="left" w:leader="none"/>
              </w:tabs>
              <w:spacing w:before="88"/>
              <w:ind w:left="194"/>
              <w:rPr>
                <w:sz w:val="12"/>
              </w:rPr>
            </w:pPr>
            <w:r>
              <w:rPr>
                <w:w w:val="110"/>
                <w:sz w:val="12"/>
              </w:rPr>
              <w:t>0.06</w:t>
              <w:tab/>
              <w:t>0.93</w:t>
            </w:r>
          </w:p>
          <w:p>
            <w:pPr>
              <w:pStyle w:val="TableParagraph"/>
              <w:rPr>
                <w:sz w:val="12"/>
              </w:rPr>
            </w:pPr>
          </w:p>
          <w:p>
            <w:pPr>
              <w:pStyle w:val="TableParagraph"/>
              <w:tabs>
                <w:tab w:pos="4069" w:val="left" w:leader="none"/>
              </w:tabs>
              <w:spacing w:before="78"/>
              <w:ind w:left="194"/>
              <w:rPr>
                <w:sz w:val="12"/>
              </w:rPr>
            </w:pPr>
            <w:r>
              <w:rPr>
                <w:w w:val="110"/>
                <w:sz w:val="12"/>
              </w:rPr>
              <w:t>0.04</w:t>
              <w:tab/>
              <w:t>0.92</w:t>
            </w:r>
          </w:p>
          <w:p>
            <w:pPr>
              <w:pStyle w:val="TableParagraph"/>
              <w:rPr>
                <w:sz w:val="12"/>
              </w:rPr>
            </w:pPr>
          </w:p>
          <w:p>
            <w:pPr>
              <w:pStyle w:val="TableParagraph"/>
              <w:tabs>
                <w:tab w:pos="1048" w:val="left" w:leader="none"/>
                <w:tab w:pos="4069" w:val="left" w:leader="none"/>
              </w:tabs>
              <w:spacing w:before="83"/>
              <w:ind w:left="194"/>
              <w:rPr>
                <w:sz w:val="12"/>
              </w:rPr>
            </w:pPr>
            <w:r>
              <w:rPr>
                <w:w w:val="110"/>
                <w:position w:val="4"/>
                <w:sz w:val="12"/>
              </w:rPr>
              <w:t>0.02</w:t>
              <w:tab/>
            </w:r>
            <w:r>
              <w:rPr>
                <w:color w:val="FF00FF"/>
                <w:spacing w:val="-3"/>
                <w:w w:val="110"/>
                <w:sz w:val="12"/>
              </w:rPr>
              <w:t>MEW </w:t>
            </w:r>
            <w:r>
              <w:rPr>
                <w:color w:val="FF00FF"/>
                <w:spacing w:val="-4"/>
                <w:w w:val="110"/>
                <w:sz w:val="12"/>
              </w:rPr>
              <w:t>plus unsecured credit growth</w:t>
            </w:r>
            <w:r>
              <w:rPr>
                <w:color w:val="FF00FF"/>
                <w:spacing w:val="-20"/>
                <w:w w:val="110"/>
                <w:sz w:val="12"/>
              </w:rPr>
              <w:t> </w:t>
            </w:r>
            <w:r>
              <w:rPr>
                <w:color w:val="FF00FF"/>
                <w:w w:val="110"/>
                <w:sz w:val="12"/>
              </w:rPr>
              <w:t>(left-hand</w:t>
            </w:r>
            <w:r>
              <w:rPr>
                <w:color w:val="FF00FF"/>
                <w:spacing w:val="-14"/>
                <w:w w:val="110"/>
                <w:sz w:val="12"/>
              </w:rPr>
              <w:t> </w:t>
            </w:r>
            <w:r>
              <w:rPr>
                <w:color w:val="FF00FF"/>
                <w:spacing w:val="-5"/>
                <w:w w:val="110"/>
                <w:sz w:val="12"/>
              </w:rPr>
              <w:t>scale)</w:t>
              <w:tab/>
            </w:r>
            <w:r>
              <w:rPr>
                <w:w w:val="110"/>
                <w:position w:val="4"/>
                <w:sz w:val="12"/>
              </w:rPr>
              <w:t>0.91</w:t>
            </w:r>
          </w:p>
          <w:p>
            <w:pPr>
              <w:pStyle w:val="TableParagraph"/>
              <w:rPr>
                <w:sz w:val="15"/>
              </w:rPr>
            </w:pPr>
          </w:p>
          <w:p>
            <w:pPr>
              <w:pStyle w:val="TableParagraph"/>
              <w:tabs>
                <w:tab w:pos="4069" w:val="left" w:leader="none"/>
              </w:tabs>
              <w:ind w:left="194"/>
              <w:rPr>
                <w:sz w:val="12"/>
              </w:rPr>
            </w:pPr>
            <w:r>
              <w:rPr>
                <w:w w:val="110"/>
                <w:sz w:val="12"/>
              </w:rPr>
              <w:t>0.00</w:t>
              <w:tab/>
              <w:t>0.90</w:t>
            </w:r>
          </w:p>
          <w:p>
            <w:pPr>
              <w:pStyle w:val="TableParagraph"/>
              <w:tabs>
                <w:tab w:pos="982" w:val="left" w:leader="none"/>
                <w:tab w:pos="1585" w:val="left" w:leader="none"/>
                <w:tab w:pos="2186" w:val="left" w:leader="none"/>
                <w:tab w:pos="2799" w:val="left" w:leader="none"/>
                <w:tab w:pos="3402" w:val="left" w:leader="none"/>
              </w:tabs>
              <w:spacing w:before="39"/>
              <w:ind w:left="380"/>
              <w:rPr>
                <w:sz w:val="12"/>
              </w:rPr>
            </w:pPr>
            <w:r>
              <w:rPr>
                <w:w w:val="110"/>
                <w:sz w:val="12"/>
              </w:rPr>
              <w:t>1998</w:t>
              <w:tab/>
              <w:t>1999</w:t>
              <w:tab/>
              <w:t>2000</w:t>
              <w:tab/>
              <w:t>2001</w:t>
              <w:tab/>
              <w:t>2002</w:t>
              <w:tab/>
              <w:t>2003</w:t>
            </w:r>
          </w:p>
          <w:p>
            <w:pPr>
              <w:pStyle w:val="TableParagraph"/>
              <w:rPr>
                <w:sz w:val="12"/>
              </w:rPr>
            </w:pPr>
          </w:p>
          <w:p>
            <w:pPr>
              <w:pStyle w:val="TableParagraph"/>
              <w:spacing w:before="1"/>
              <w:rPr>
                <w:sz w:val="14"/>
              </w:rPr>
            </w:pPr>
          </w:p>
          <w:p>
            <w:pPr>
              <w:pStyle w:val="TableParagraph"/>
              <w:spacing w:before="1"/>
              <w:ind w:left="107"/>
              <w:rPr>
                <w:sz w:val="16"/>
              </w:rPr>
            </w:pPr>
            <w:r>
              <w:rPr>
                <w:sz w:val="16"/>
              </w:rPr>
              <w:t>Sources: Bank of England and ONS.</w:t>
            </w:r>
          </w:p>
        </w:tc>
      </w:tr>
      <w:tr>
        <w:trPr>
          <w:trHeight w:val="278" w:hRule="atLeast"/>
        </w:trPr>
        <w:tc>
          <w:tcPr>
            <w:tcW w:w="2185" w:type="dxa"/>
            <w:tcBorders>
              <w:left w:val="single" w:sz="4" w:space="0" w:color="000000"/>
            </w:tcBorders>
          </w:tcPr>
          <w:p>
            <w:pPr>
              <w:pStyle w:val="TableParagraph"/>
              <w:spacing w:line="121" w:lineRule="exact"/>
              <w:ind w:right="88"/>
              <w:jc w:val="right"/>
              <w:rPr>
                <w:b/>
                <w:sz w:val="13"/>
              </w:rPr>
            </w:pPr>
            <w:r>
              <w:rPr>
                <w:b/>
                <w:w w:val="110"/>
                <w:sz w:val="13"/>
              </w:rPr>
              <w:t>Average 1996-1999</w:t>
            </w:r>
          </w:p>
        </w:tc>
        <w:tc>
          <w:tcPr>
            <w:tcW w:w="390" w:type="dxa"/>
          </w:tcPr>
          <w:p>
            <w:pPr>
              <w:pStyle w:val="TableParagraph"/>
              <w:spacing w:before="8"/>
              <w:rPr>
                <w:sz w:val="3"/>
              </w:rPr>
            </w:pPr>
          </w:p>
          <w:p>
            <w:pPr>
              <w:pStyle w:val="TableParagraph"/>
              <w:spacing w:line="20" w:lineRule="exact"/>
              <w:ind w:left="-28" w:right="-44"/>
              <w:rPr>
                <w:sz w:val="2"/>
              </w:rPr>
            </w:pPr>
            <w:r>
              <w:rPr>
                <w:sz w:val="2"/>
              </w:rPr>
              <w:pict>
                <v:group style="width:19.5pt;height:.5pt;mso-position-horizontal-relative:char;mso-position-vertical-relative:line" coordorigin="0,0" coordsize="390,10">
                  <v:rect style="position:absolute;left:0;top:0;width:74;height:10" filled="true" fillcolor="#000000" stroked="false">
                    <v:fill type="solid"/>
                  </v:rect>
                  <v:rect style="position:absolute;left:115;top:0;width:22;height:10" filled="true" fillcolor="#000000" stroked="false">
                    <v:fill type="solid"/>
                  </v:rect>
                  <v:rect style="position:absolute;left:178;top:0;width:75;height:10" filled="true" fillcolor="#000000" stroked="false">
                    <v:fill type="solid"/>
                  </v:rect>
                  <v:rect style="position:absolute;left:295;top:0;width:21;height:10" filled="true" fillcolor="#000000" stroked="false">
                    <v:fill type="solid"/>
                  </v:rect>
                  <v:rect style="position:absolute;left:358;top:0;width:32;height:10" filled="true" fillcolor="#000000" stroked="false">
                    <v:fill type="solid"/>
                  </v:rect>
                </v:group>
              </w:pict>
            </w:r>
            <w:r>
              <w:rPr>
                <w:sz w:val="2"/>
              </w:rPr>
            </w:r>
          </w:p>
        </w:tc>
        <w:tc>
          <w:tcPr>
            <w:tcW w:w="1202" w:type="dxa"/>
          </w:tcPr>
          <w:p>
            <w:pPr>
              <w:pStyle w:val="TableParagraph"/>
              <w:spacing w:line="121" w:lineRule="exact"/>
              <w:ind w:left="5"/>
              <w:rPr>
                <w:b/>
                <w:sz w:val="13"/>
              </w:rPr>
            </w:pPr>
            <w:r>
              <w:rPr>
                <w:b/>
                <w:spacing w:val="-7"/>
                <w:w w:val="115"/>
                <w:sz w:val="13"/>
              </w:rPr>
              <w:t>Average </w:t>
            </w:r>
            <w:r>
              <w:rPr>
                <w:b/>
                <w:w w:val="115"/>
                <w:sz w:val="13"/>
              </w:rPr>
              <w:t>2000-2003</w:t>
            </w:r>
          </w:p>
        </w:tc>
        <w:tc>
          <w:tcPr>
            <w:tcW w:w="1559" w:type="dxa"/>
            <w:tcBorders>
              <w:right w:val="single" w:sz="4" w:space="0" w:color="000000"/>
            </w:tcBorders>
          </w:tcPr>
          <w:p>
            <w:pPr>
              <w:pStyle w:val="TableParagraph"/>
              <w:spacing w:before="60"/>
              <w:ind w:right="661"/>
              <w:jc w:val="right"/>
              <w:rPr>
                <w:b/>
                <w:sz w:val="13"/>
              </w:rPr>
            </w:pPr>
            <w:r>
              <w:rPr>
                <w:b/>
                <w:w w:val="110"/>
                <w:sz w:val="13"/>
              </w:rPr>
              <w:t>2.5</w:t>
            </w:r>
          </w:p>
        </w:tc>
        <w:tc>
          <w:tcPr>
            <w:tcW w:w="5222" w:type="dxa"/>
            <w:vMerge/>
            <w:tcBorders>
              <w:top w:val="nil"/>
              <w:left w:val="single" w:sz="4" w:space="0" w:color="000000"/>
              <w:bottom w:val="single" w:sz="4" w:space="0" w:color="000000"/>
              <w:right w:val="single" w:sz="4" w:space="0" w:color="000000"/>
            </w:tcBorders>
          </w:tcPr>
          <w:p>
            <w:pPr>
              <w:rPr>
                <w:sz w:val="2"/>
                <w:szCs w:val="2"/>
              </w:rPr>
            </w:pPr>
          </w:p>
        </w:tc>
      </w:tr>
      <w:tr>
        <w:trPr>
          <w:trHeight w:val="412" w:hRule="atLeast"/>
        </w:trPr>
        <w:tc>
          <w:tcPr>
            <w:tcW w:w="2185" w:type="dxa"/>
            <w:tcBorders>
              <w:left w:val="single" w:sz="4" w:space="0" w:color="000000"/>
            </w:tcBorders>
          </w:tcPr>
          <w:p>
            <w:pPr>
              <w:pStyle w:val="TableParagraph"/>
              <w:rPr>
                <w:sz w:val="14"/>
              </w:rPr>
            </w:pPr>
          </w:p>
        </w:tc>
        <w:tc>
          <w:tcPr>
            <w:tcW w:w="390" w:type="dxa"/>
          </w:tcPr>
          <w:p>
            <w:pPr>
              <w:pStyle w:val="TableParagraph"/>
              <w:rPr>
                <w:sz w:val="14"/>
              </w:rPr>
            </w:pPr>
          </w:p>
        </w:tc>
        <w:tc>
          <w:tcPr>
            <w:tcW w:w="1202" w:type="dxa"/>
          </w:tcPr>
          <w:p>
            <w:pPr>
              <w:pStyle w:val="TableParagraph"/>
              <w:rPr>
                <w:sz w:val="14"/>
              </w:rPr>
            </w:pPr>
          </w:p>
        </w:tc>
        <w:tc>
          <w:tcPr>
            <w:tcW w:w="1559" w:type="dxa"/>
            <w:tcBorders>
              <w:right w:val="single" w:sz="4" w:space="0" w:color="000000"/>
            </w:tcBorders>
          </w:tcPr>
          <w:p>
            <w:pPr>
              <w:pStyle w:val="TableParagraph"/>
              <w:spacing w:before="1"/>
              <w:rPr>
                <w:sz w:val="13"/>
              </w:rPr>
            </w:pPr>
          </w:p>
          <w:p>
            <w:pPr>
              <w:pStyle w:val="TableParagraph"/>
              <w:ind w:right="56"/>
              <w:jc w:val="center"/>
              <w:rPr>
                <w:b/>
                <w:sz w:val="13"/>
              </w:rPr>
            </w:pPr>
            <w:r>
              <w:rPr>
                <w:b/>
                <w:w w:val="113"/>
                <w:sz w:val="13"/>
              </w:rPr>
              <w:t>2</w:t>
            </w:r>
          </w:p>
        </w:tc>
        <w:tc>
          <w:tcPr>
            <w:tcW w:w="5222" w:type="dxa"/>
            <w:vMerge/>
            <w:tcBorders>
              <w:top w:val="nil"/>
              <w:left w:val="single" w:sz="4" w:space="0" w:color="000000"/>
              <w:bottom w:val="single" w:sz="4" w:space="0" w:color="000000"/>
              <w:right w:val="single" w:sz="4" w:space="0" w:color="000000"/>
            </w:tcBorders>
          </w:tcPr>
          <w:p>
            <w:pPr>
              <w:rPr>
                <w:sz w:val="2"/>
                <w:szCs w:val="2"/>
              </w:rPr>
            </w:pPr>
          </w:p>
        </w:tc>
      </w:tr>
      <w:tr>
        <w:trPr>
          <w:trHeight w:val="367" w:hRule="atLeast"/>
        </w:trPr>
        <w:tc>
          <w:tcPr>
            <w:tcW w:w="2185" w:type="dxa"/>
            <w:tcBorders>
              <w:left w:val="single" w:sz="4" w:space="0" w:color="000000"/>
            </w:tcBorders>
          </w:tcPr>
          <w:p>
            <w:pPr>
              <w:pStyle w:val="TableParagraph"/>
              <w:rPr>
                <w:sz w:val="14"/>
              </w:rPr>
            </w:pPr>
          </w:p>
        </w:tc>
        <w:tc>
          <w:tcPr>
            <w:tcW w:w="390" w:type="dxa"/>
          </w:tcPr>
          <w:p>
            <w:pPr>
              <w:pStyle w:val="TableParagraph"/>
              <w:rPr>
                <w:sz w:val="14"/>
              </w:rPr>
            </w:pPr>
          </w:p>
        </w:tc>
        <w:tc>
          <w:tcPr>
            <w:tcW w:w="1202" w:type="dxa"/>
          </w:tcPr>
          <w:p>
            <w:pPr>
              <w:pStyle w:val="TableParagraph"/>
              <w:rPr>
                <w:sz w:val="14"/>
              </w:rPr>
            </w:pPr>
          </w:p>
        </w:tc>
        <w:tc>
          <w:tcPr>
            <w:tcW w:w="1559" w:type="dxa"/>
            <w:tcBorders>
              <w:right w:val="single" w:sz="4" w:space="0" w:color="000000"/>
            </w:tcBorders>
          </w:tcPr>
          <w:p>
            <w:pPr>
              <w:pStyle w:val="TableParagraph"/>
              <w:spacing w:before="106"/>
              <w:ind w:right="661"/>
              <w:jc w:val="right"/>
              <w:rPr>
                <w:b/>
                <w:sz w:val="13"/>
              </w:rPr>
            </w:pPr>
            <w:r>
              <w:rPr>
                <w:b/>
                <w:w w:val="110"/>
                <w:sz w:val="13"/>
              </w:rPr>
              <w:t>1.5</w:t>
            </w:r>
          </w:p>
        </w:tc>
        <w:tc>
          <w:tcPr>
            <w:tcW w:w="5222" w:type="dxa"/>
            <w:vMerge/>
            <w:tcBorders>
              <w:top w:val="nil"/>
              <w:left w:val="single" w:sz="4" w:space="0" w:color="000000"/>
              <w:bottom w:val="single" w:sz="4" w:space="0" w:color="000000"/>
              <w:right w:val="single" w:sz="4" w:space="0" w:color="000000"/>
            </w:tcBorders>
          </w:tcPr>
          <w:p>
            <w:pPr>
              <w:rPr>
                <w:sz w:val="2"/>
                <w:szCs w:val="2"/>
              </w:rPr>
            </w:pPr>
          </w:p>
        </w:tc>
      </w:tr>
      <w:tr>
        <w:trPr>
          <w:trHeight w:val="362" w:hRule="atLeast"/>
        </w:trPr>
        <w:tc>
          <w:tcPr>
            <w:tcW w:w="2185" w:type="dxa"/>
            <w:tcBorders>
              <w:left w:val="single" w:sz="4" w:space="0" w:color="000000"/>
            </w:tcBorders>
          </w:tcPr>
          <w:p>
            <w:pPr>
              <w:pStyle w:val="TableParagraph"/>
              <w:rPr>
                <w:sz w:val="14"/>
              </w:rPr>
            </w:pPr>
          </w:p>
        </w:tc>
        <w:tc>
          <w:tcPr>
            <w:tcW w:w="390" w:type="dxa"/>
          </w:tcPr>
          <w:p>
            <w:pPr>
              <w:pStyle w:val="TableParagraph"/>
              <w:rPr>
                <w:sz w:val="14"/>
              </w:rPr>
            </w:pPr>
          </w:p>
        </w:tc>
        <w:tc>
          <w:tcPr>
            <w:tcW w:w="1202" w:type="dxa"/>
          </w:tcPr>
          <w:p>
            <w:pPr>
              <w:pStyle w:val="TableParagraph"/>
              <w:rPr>
                <w:sz w:val="14"/>
              </w:rPr>
            </w:pPr>
          </w:p>
        </w:tc>
        <w:tc>
          <w:tcPr>
            <w:tcW w:w="1559" w:type="dxa"/>
            <w:tcBorders>
              <w:right w:val="single" w:sz="4" w:space="0" w:color="000000"/>
            </w:tcBorders>
          </w:tcPr>
          <w:p>
            <w:pPr>
              <w:pStyle w:val="TableParagraph"/>
              <w:spacing w:before="105"/>
              <w:ind w:right="56"/>
              <w:jc w:val="center"/>
              <w:rPr>
                <w:b/>
                <w:sz w:val="13"/>
              </w:rPr>
            </w:pPr>
            <w:r>
              <w:rPr>
                <w:b/>
                <w:w w:val="113"/>
                <w:sz w:val="13"/>
              </w:rPr>
              <w:t>1</w:t>
            </w:r>
          </w:p>
        </w:tc>
        <w:tc>
          <w:tcPr>
            <w:tcW w:w="5222" w:type="dxa"/>
            <w:vMerge/>
            <w:tcBorders>
              <w:top w:val="nil"/>
              <w:left w:val="single" w:sz="4" w:space="0" w:color="000000"/>
              <w:bottom w:val="single" w:sz="4" w:space="0" w:color="000000"/>
              <w:right w:val="single" w:sz="4" w:space="0" w:color="000000"/>
            </w:tcBorders>
          </w:tcPr>
          <w:p>
            <w:pPr>
              <w:rPr>
                <w:sz w:val="2"/>
                <w:szCs w:val="2"/>
              </w:rPr>
            </w:pPr>
          </w:p>
        </w:tc>
      </w:tr>
      <w:tr>
        <w:trPr>
          <w:trHeight w:val="362" w:hRule="atLeast"/>
        </w:trPr>
        <w:tc>
          <w:tcPr>
            <w:tcW w:w="2185" w:type="dxa"/>
            <w:tcBorders>
              <w:left w:val="single" w:sz="4" w:space="0" w:color="000000"/>
            </w:tcBorders>
          </w:tcPr>
          <w:p>
            <w:pPr>
              <w:pStyle w:val="TableParagraph"/>
              <w:rPr>
                <w:sz w:val="14"/>
              </w:rPr>
            </w:pPr>
          </w:p>
        </w:tc>
        <w:tc>
          <w:tcPr>
            <w:tcW w:w="390" w:type="dxa"/>
          </w:tcPr>
          <w:p>
            <w:pPr>
              <w:pStyle w:val="TableParagraph"/>
              <w:rPr>
                <w:sz w:val="14"/>
              </w:rPr>
            </w:pPr>
          </w:p>
        </w:tc>
        <w:tc>
          <w:tcPr>
            <w:tcW w:w="1202" w:type="dxa"/>
          </w:tcPr>
          <w:p>
            <w:pPr>
              <w:pStyle w:val="TableParagraph"/>
              <w:rPr>
                <w:sz w:val="14"/>
              </w:rPr>
            </w:pPr>
          </w:p>
        </w:tc>
        <w:tc>
          <w:tcPr>
            <w:tcW w:w="1559" w:type="dxa"/>
            <w:tcBorders>
              <w:right w:val="single" w:sz="4" w:space="0" w:color="000000"/>
            </w:tcBorders>
          </w:tcPr>
          <w:p>
            <w:pPr>
              <w:pStyle w:val="TableParagraph"/>
              <w:spacing w:before="101"/>
              <w:ind w:right="661"/>
              <w:jc w:val="right"/>
              <w:rPr>
                <w:b/>
                <w:sz w:val="13"/>
              </w:rPr>
            </w:pPr>
            <w:r>
              <w:rPr>
                <w:b/>
                <w:w w:val="110"/>
                <w:sz w:val="13"/>
              </w:rPr>
              <w:t>0.5</w:t>
            </w:r>
          </w:p>
        </w:tc>
        <w:tc>
          <w:tcPr>
            <w:tcW w:w="5222" w:type="dxa"/>
            <w:vMerge/>
            <w:tcBorders>
              <w:top w:val="nil"/>
              <w:left w:val="single" w:sz="4" w:space="0" w:color="000000"/>
              <w:bottom w:val="single" w:sz="4" w:space="0" w:color="000000"/>
              <w:right w:val="single" w:sz="4" w:space="0" w:color="000000"/>
            </w:tcBorders>
          </w:tcPr>
          <w:p>
            <w:pPr>
              <w:rPr>
                <w:sz w:val="2"/>
                <w:szCs w:val="2"/>
              </w:rPr>
            </w:pPr>
          </w:p>
        </w:tc>
      </w:tr>
      <w:tr>
        <w:trPr>
          <w:trHeight w:val="367" w:hRule="atLeast"/>
        </w:trPr>
        <w:tc>
          <w:tcPr>
            <w:tcW w:w="2185" w:type="dxa"/>
            <w:tcBorders>
              <w:left w:val="single" w:sz="4" w:space="0" w:color="000000"/>
            </w:tcBorders>
          </w:tcPr>
          <w:p>
            <w:pPr>
              <w:pStyle w:val="TableParagraph"/>
              <w:rPr>
                <w:sz w:val="14"/>
              </w:rPr>
            </w:pPr>
          </w:p>
        </w:tc>
        <w:tc>
          <w:tcPr>
            <w:tcW w:w="390" w:type="dxa"/>
          </w:tcPr>
          <w:p>
            <w:pPr>
              <w:pStyle w:val="TableParagraph"/>
              <w:rPr>
                <w:sz w:val="14"/>
              </w:rPr>
            </w:pPr>
          </w:p>
        </w:tc>
        <w:tc>
          <w:tcPr>
            <w:tcW w:w="1202" w:type="dxa"/>
          </w:tcPr>
          <w:p>
            <w:pPr>
              <w:pStyle w:val="TableParagraph"/>
              <w:rPr>
                <w:sz w:val="14"/>
              </w:rPr>
            </w:pPr>
          </w:p>
        </w:tc>
        <w:tc>
          <w:tcPr>
            <w:tcW w:w="1559" w:type="dxa"/>
            <w:tcBorders>
              <w:right w:val="single" w:sz="4" w:space="0" w:color="000000"/>
            </w:tcBorders>
          </w:tcPr>
          <w:p>
            <w:pPr>
              <w:pStyle w:val="TableParagraph"/>
              <w:spacing w:before="105"/>
              <w:ind w:right="56"/>
              <w:jc w:val="center"/>
              <w:rPr>
                <w:b/>
                <w:sz w:val="13"/>
              </w:rPr>
            </w:pPr>
            <w:r>
              <w:rPr>
                <w:b/>
                <w:w w:val="113"/>
                <w:sz w:val="13"/>
              </w:rPr>
              <w:t>0</w:t>
            </w:r>
          </w:p>
        </w:tc>
        <w:tc>
          <w:tcPr>
            <w:tcW w:w="5222" w:type="dxa"/>
            <w:vMerge/>
            <w:tcBorders>
              <w:top w:val="nil"/>
              <w:left w:val="single" w:sz="4" w:space="0" w:color="000000"/>
              <w:bottom w:val="single" w:sz="4" w:space="0" w:color="000000"/>
              <w:right w:val="single" w:sz="4" w:space="0" w:color="000000"/>
            </w:tcBorders>
          </w:tcPr>
          <w:p>
            <w:pPr>
              <w:rPr>
                <w:sz w:val="2"/>
                <w:szCs w:val="2"/>
              </w:rPr>
            </w:pPr>
          </w:p>
        </w:tc>
      </w:tr>
      <w:tr>
        <w:trPr>
          <w:trHeight w:val="273" w:hRule="atLeast"/>
        </w:trPr>
        <w:tc>
          <w:tcPr>
            <w:tcW w:w="2185" w:type="dxa"/>
            <w:tcBorders>
              <w:left w:val="single" w:sz="4" w:space="0" w:color="000000"/>
            </w:tcBorders>
          </w:tcPr>
          <w:p>
            <w:pPr>
              <w:pStyle w:val="TableParagraph"/>
              <w:rPr>
                <w:sz w:val="14"/>
              </w:rPr>
            </w:pPr>
          </w:p>
        </w:tc>
        <w:tc>
          <w:tcPr>
            <w:tcW w:w="390" w:type="dxa"/>
          </w:tcPr>
          <w:p>
            <w:pPr>
              <w:pStyle w:val="TableParagraph"/>
              <w:rPr>
                <w:sz w:val="14"/>
              </w:rPr>
            </w:pPr>
          </w:p>
        </w:tc>
        <w:tc>
          <w:tcPr>
            <w:tcW w:w="1202" w:type="dxa"/>
          </w:tcPr>
          <w:p>
            <w:pPr>
              <w:pStyle w:val="TableParagraph"/>
              <w:rPr>
                <w:sz w:val="14"/>
              </w:rPr>
            </w:pPr>
          </w:p>
        </w:tc>
        <w:tc>
          <w:tcPr>
            <w:tcW w:w="1559" w:type="dxa"/>
            <w:tcBorders>
              <w:right w:val="single" w:sz="4" w:space="0" w:color="000000"/>
            </w:tcBorders>
          </w:tcPr>
          <w:p>
            <w:pPr>
              <w:pStyle w:val="TableParagraph"/>
              <w:spacing w:line="147" w:lineRule="exact" w:before="106"/>
              <w:ind w:right="619"/>
              <w:jc w:val="right"/>
              <w:rPr>
                <w:b/>
                <w:sz w:val="13"/>
              </w:rPr>
            </w:pPr>
            <w:r>
              <w:rPr>
                <w:b/>
                <w:w w:val="110"/>
                <w:sz w:val="13"/>
              </w:rPr>
              <w:t>-0.5</w:t>
            </w:r>
          </w:p>
        </w:tc>
        <w:tc>
          <w:tcPr>
            <w:tcW w:w="5222" w:type="dxa"/>
            <w:vMerge/>
            <w:tcBorders>
              <w:top w:val="nil"/>
              <w:left w:val="single" w:sz="4" w:space="0" w:color="000000"/>
              <w:bottom w:val="single" w:sz="4" w:space="0" w:color="000000"/>
              <w:right w:val="single" w:sz="4" w:space="0" w:color="000000"/>
            </w:tcBorders>
          </w:tcPr>
          <w:p>
            <w:pPr>
              <w:rPr>
                <w:sz w:val="2"/>
                <w:szCs w:val="2"/>
              </w:rPr>
            </w:pPr>
          </w:p>
        </w:tc>
      </w:tr>
      <w:tr>
        <w:trPr>
          <w:trHeight w:val="363" w:hRule="atLeast"/>
        </w:trPr>
        <w:tc>
          <w:tcPr>
            <w:tcW w:w="2185" w:type="dxa"/>
            <w:tcBorders>
              <w:left w:val="single" w:sz="4" w:space="0" w:color="000000"/>
            </w:tcBorders>
          </w:tcPr>
          <w:p>
            <w:pPr>
              <w:pStyle w:val="TableParagraph"/>
              <w:tabs>
                <w:tab w:pos="517" w:val="left" w:leader="none"/>
                <w:tab w:pos="1043" w:val="left" w:leader="none"/>
                <w:tab w:pos="1561" w:val="left" w:leader="none"/>
              </w:tabs>
              <w:spacing w:before="11"/>
              <w:ind w:right="131"/>
              <w:jc w:val="right"/>
              <w:rPr>
                <w:b/>
                <w:sz w:val="13"/>
              </w:rPr>
            </w:pPr>
            <w:r>
              <w:rPr>
                <w:b/>
                <w:w w:val="115"/>
                <w:sz w:val="13"/>
              </w:rPr>
              <w:t>1996</w:t>
              <w:tab/>
              <w:t>1997</w:t>
              <w:tab/>
              <w:t>1998</w:t>
              <w:tab/>
            </w:r>
            <w:r>
              <w:rPr>
                <w:b/>
                <w:spacing w:val="-1"/>
                <w:w w:val="110"/>
                <w:sz w:val="13"/>
              </w:rPr>
              <w:t>1999</w:t>
            </w:r>
          </w:p>
        </w:tc>
        <w:tc>
          <w:tcPr>
            <w:tcW w:w="390" w:type="dxa"/>
          </w:tcPr>
          <w:p>
            <w:pPr>
              <w:pStyle w:val="TableParagraph"/>
              <w:spacing w:before="11"/>
              <w:ind w:left="99" w:right="-15"/>
              <w:rPr>
                <w:b/>
                <w:sz w:val="13"/>
              </w:rPr>
            </w:pPr>
            <w:r>
              <w:rPr>
                <w:b/>
                <w:w w:val="115"/>
                <w:sz w:val="13"/>
              </w:rPr>
              <w:t>2000</w:t>
            </w:r>
          </w:p>
        </w:tc>
        <w:tc>
          <w:tcPr>
            <w:tcW w:w="1202" w:type="dxa"/>
          </w:tcPr>
          <w:p>
            <w:pPr>
              <w:pStyle w:val="TableParagraph"/>
              <w:tabs>
                <w:tab w:pos="753" w:val="left" w:leader="none"/>
              </w:tabs>
              <w:spacing w:before="11"/>
              <w:ind w:left="225"/>
              <w:rPr>
                <w:b/>
                <w:sz w:val="13"/>
              </w:rPr>
            </w:pPr>
            <w:r>
              <w:rPr>
                <w:b/>
                <w:w w:val="115"/>
                <w:sz w:val="13"/>
              </w:rPr>
              <w:t>2001</w:t>
              <w:tab/>
              <w:t>2002</w:t>
            </w:r>
          </w:p>
        </w:tc>
        <w:tc>
          <w:tcPr>
            <w:tcW w:w="1559" w:type="dxa"/>
            <w:tcBorders>
              <w:right w:val="single" w:sz="4" w:space="0" w:color="000000"/>
            </w:tcBorders>
          </w:tcPr>
          <w:p>
            <w:pPr>
              <w:pStyle w:val="TableParagraph"/>
              <w:spacing w:before="11"/>
              <w:ind w:left="67"/>
              <w:rPr>
                <w:b/>
                <w:sz w:val="13"/>
              </w:rPr>
            </w:pPr>
            <w:r>
              <w:rPr>
                <w:b/>
                <w:w w:val="115"/>
                <w:sz w:val="13"/>
              </w:rPr>
              <w:t>2003</w:t>
            </w:r>
          </w:p>
        </w:tc>
        <w:tc>
          <w:tcPr>
            <w:tcW w:w="5222" w:type="dxa"/>
            <w:vMerge/>
            <w:tcBorders>
              <w:top w:val="nil"/>
              <w:left w:val="single" w:sz="4" w:space="0" w:color="000000"/>
              <w:bottom w:val="single" w:sz="4" w:space="0" w:color="000000"/>
              <w:right w:val="single" w:sz="4" w:space="0" w:color="000000"/>
            </w:tcBorders>
          </w:tcPr>
          <w:p>
            <w:pPr>
              <w:rPr>
                <w:sz w:val="2"/>
                <w:szCs w:val="2"/>
              </w:rPr>
            </w:pPr>
          </w:p>
        </w:tc>
      </w:tr>
      <w:tr>
        <w:trPr>
          <w:trHeight w:val="567" w:hRule="atLeast"/>
        </w:trPr>
        <w:tc>
          <w:tcPr>
            <w:tcW w:w="2185" w:type="dxa"/>
            <w:tcBorders>
              <w:left w:val="single" w:sz="4" w:space="0" w:color="000000"/>
              <w:bottom w:val="single" w:sz="4" w:space="0" w:color="000000"/>
            </w:tcBorders>
          </w:tcPr>
          <w:p>
            <w:pPr>
              <w:pStyle w:val="TableParagraph"/>
              <w:rPr>
                <w:sz w:val="17"/>
              </w:rPr>
            </w:pPr>
          </w:p>
          <w:p>
            <w:pPr>
              <w:pStyle w:val="TableParagraph"/>
              <w:ind w:left="107"/>
              <w:rPr>
                <w:sz w:val="16"/>
              </w:rPr>
            </w:pPr>
            <w:r>
              <w:rPr>
                <w:sz w:val="16"/>
              </w:rPr>
              <w:t>Source: ONS.</w:t>
            </w:r>
          </w:p>
        </w:tc>
        <w:tc>
          <w:tcPr>
            <w:tcW w:w="390" w:type="dxa"/>
            <w:tcBorders>
              <w:bottom w:val="single" w:sz="4" w:space="0" w:color="000000"/>
            </w:tcBorders>
          </w:tcPr>
          <w:p>
            <w:pPr>
              <w:pStyle w:val="TableParagraph"/>
              <w:rPr>
                <w:sz w:val="14"/>
              </w:rPr>
            </w:pPr>
          </w:p>
        </w:tc>
        <w:tc>
          <w:tcPr>
            <w:tcW w:w="1202" w:type="dxa"/>
            <w:tcBorders>
              <w:bottom w:val="single" w:sz="4" w:space="0" w:color="000000"/>
            </w:tcBorders>
          </w:tcPr>
          <w:p>
            <w:pPr>
              <w:pStyle w:val="TableParagraph"/>
              <w:rPr>
                <w:sz w:val="14"/>
              </w:rPr>
            </w:pPr>
          </w:p>
        </w:tc>
        <w:tc>
          <w:tcPr>
            <w:tcW w:w="1559" w:type="dxa"/>
            <w:tcBorders>
              <w:bottom w:val="single" w:sz="4" w:space="0" w:color="000000"/>
              <w:right w:val="single" w:sz="4" w:space="0" w:color="000000"/>
            </w:tcBorders>
          </w:tcPr>
          <w:p>
            <w:pPr>
              <w:pStyle w:val="TableParagraph"/>
              <w:rPr>
                <w:sz w:val="14"/>
              </w:rPr>
            </w:pPr>
          </w:p>
        </w:tc>
        <w:tc>
          <w:tcPr>
            <w:tcW w:w="5222" w:type="dxa"/>
            <w:vMerge/>
            <w:tcBorders>
              <w:top w:val="nil"/>
              <w:left w:val="single" w:sz="4" w:space="0" w:color="000000"/>
              <w:bottom w:val="single" w:sz="4" w:space="0" w:color="000000"/>
              <w:right w:val="single" w:sz="4" w:space="0" w:color="000000"/>
            </w:tcBorders>
          </w:tcPr>
          <w:p>
            <w:pPr>
              <w:rPr>
                <w:sz w:val="2"/>
                <w:szCs w:val="2"/>
              </w:rPr>
            </w:pPr>
          </w:p>
        </w:tc>
      </w:tr>
      <w:tr>
        <w:trPr>
          <w:trHeight w:val="551" w:hRule="atLeast"/>
        </w:trPr>
        <w:tc>
          <w:tcPr>
            <w:tcW w:w="5336" w:type="dxa"/>
            <w:gridSpan w:val="4"/>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7"/>
              <w:rPr>
                <w:b/>
                <w:sz w:val="24"/>
              </w:rPr>
            </w:pPr>
            <w:r>
              <w:rPr>
                <w:b/>
                <w:sz w:val="24"/>
              </w:rPr>
              <w:t>Figure 3</w:t>
            </w:r>
          </w:p>
          <w:p>
            <w:pPr>
              <w:pStyle w:val="TableParagraph"/>
              <w:spacing w:line="257" w:lineRule="exact"/>
              <w:ind w:left="107"/>
              <w:rPr>
                <w:b/>
                <w:sz w:val="24"/>
              </w:rPr>
            </w:pPr>
            <w:r>
              <w:rPr>
                <w:b/>
                <w:sz w:val="24"/>
              </w:rPr>
              <w:t>The Sterling ERI (1990 = 100)</w:t>
            </w:r>
          </w:p>
        </w:tc>
        <w:tc>
          <w:tcPr>
            <w:tcW w:w="522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r>
      <w:tr>
        <w:trPr>
          <w:trHeight w:val="4181" w:hRule="atLeast"/>
        </w:trPr>
        <w:tc>
          <w:tcPr>
            <w:tcW w:w="5336" w:type="dxa"/>
            <w:gridSpan w:val="4"/>
            <w:tcBorders>
              <w:top w:val="single" w:sz="4" w:space="0" w:color="000000"/>
              <w:left w:val="single" w:sz="4" w:space="0" w:color="000000"/>
              <w:bottom w:val="single" w:sz="4" w:space="0" w:color="000000"/>
              <w:right w:val="single" w:sz="4" w:space="0" w:color="000000"/>
            </w:tcBorders>
          </w:tcPr>
          <w:p>
            <w:pPr>
              <w:pStyle w:val="TableParagraph"/>
              <w:spacing w:before="65"/>
              <w:ind w:left="4221" w:right="549"/>
              <w:jc w:val="center"/>
              <w:rPr>
                <w:sz w:val="11"/>
              </w:rPr>
            </w:pPr>
            <w:r>
              <w:rPr>
                <w:w w:val="115"/>
                <w:sz w:val="11"/>
              </w:rPr>
              <w:t>1990=100</w:t>
            </w:r>
          </w:p>
          <w:p>
            <w:pPr>
              <w:pStyle w:val="TableParagraph"/>
              <w:spacing w:before="95"/>
              <w:ind w:left="4221" w:right="549"/>
              <w:jc w:val="center"/>
              <w:rPr>
                <w:sz w:val="11"/>
              </w:rPr>
            </w:pPr>
            <w:r>
              <w:rPr>
                <w:w w:val="115"/>
                <w:sz w:val="11"/>
              </w:rPr>
              <w:t>120</w:t>
            </w:r>
          </w:p>
          <w:p>
            <w:pPr>
              <w:pStyle w:val="TableParagraph"/>
              <w:spacing w:before="1"/>
              <w:rPr>
                <w:sz w:val="10"/>
              </w:rPr>
            </w:pPr>
          </w:p>
          <w:p>
            <w:pPr>
              <w:pStyle w:val="TableParagraph"/>
              <w:ind w:left="4221" w:right="549"/>
              <w:jc w:val="center"/>
              <w:rPr>
                <w:sz w:val="11"/>
              </w:rPr>
            </w:pPr>
            <w:r>
              <w:rPr>
                <w:w w:val="115"/>
                <w:sz w:val="11"/>
              </w:rPr>
              <w:t>115</w:t>
            </w:r>
          </w:p>
          <w:p>
            <w:pPr>
              <w:pStyle w:val="TableParagraph"/>
              <w:spacing w:before="107"/>
              <w:ind w:left="4221" w:right="549"/>
              <w:jc w:val="center"/>
              <w:rPr>
                <w:sz w:val="11"/>
              </w:rPr>
            </w:pPr>
            <w:r>
              <w:rPr>
                <w:w w:val="115"/>
                <w:sz w:val="11"/>
              </w:rPr>
              <w:t>110</w:t>
            </w:r>
          </w:p>
          <w:p>
            <w:pPr>
              <w:pStyle w:val="TableParagraph"/>
              <w:spacing w:before="1"/>
              <w:rPr>
                <w:sz w:val="10"/>
              </w:rPr>
            </w:pPr>
          </w:p>
          <w:p>
            <w:pPr>
              <w:pStyle w:val="TableParagraph"/>
              <w:spacing w:before="1"/>
              <w:ind w:left="4221" w:right="549"/>
              <w:jc w:val="center"/>
              <w:rPr>
                <w:sz w:val="11"/>
              </w:rPr>
            </w:pPr>
            <w:r>
              <w:rPr>
                <w:w w:val="115"/>
                <w:sz w:val="11"/>
              </w:rPr>
              <w:t>105</w:t>
            </w:r>
          </w:p>
          <w:p>
            <w:pPr>
              <w:pStyle w:val="TableParagraph"/>
              <w:spacing w:before="106"/>
              <w:ind w:left="4221" w:right="549"/>
              <w:jc w:val="center"/>
              <w:rPr>
                <w:sz w:val="11"/>
              </w:rPr>
            </w:pPr>
            <w:r>
              <w:rPr>
                <w:w w:val="115"/>
                <w:sz w:val="11"/>
              </w:rPr>
              <w:t>100</w:t>
            </w:r>
          </w:p>
          <w:p>
            <w:pPr>
              <w:pStyle w:val="TableParagraph"/>
              <w:spacing w:before="1"/>
              <w:rPr>
                <w:sz w:val="10"/>
              </w:rPr>
            </w:pPr>
          </w:p>
          <w:p>
            <w:pPr>
              <w:pStyle w:val="TableParagraph"/>
              <w:ind w:left="4160" w:right="549"/>
              <w:jc w:val="center"/>
              <w:rPr>
                <w:sz w:val="11"/>
              </w:rPr>
            </w:pPr>
            <w:r>
              <w:rPr>
                <w:w w:val="115"/>
                <w:sz w:val="11"/>
              </w:rPr>
              <w:t>95</w:t>
            </w:r>
          </w:p>
          <w:p>
            <w:pPr>
              <w:pStyle w:val="TableParagraph"/>
              <w:spacing w:before="106"/>
              <w:ind w:left="4160" w:right="549"/>
              <w:jc w:val="center"/>
              <w:rPr>
                <w:sz w:val="11"/>
              </w:rPr>
            </w:pPr>
            <w:r>
              <w:rPr>
                <w:w w:val="115"/>
                <w:sz w:val="11"/>
              </w:rPr>
              <w:t>90</w:t>
            </w:r>
          </w:p>
          <w:p>
            <w:pPr>
              <w:pStyle w:val="TableParagraph"/>
              <w:spacing w:before="1"/>
              <w:rPr>
                <w:sz w:val="10"/>
              </w:rPr>
            </w:pPr>
          </w:p>
          <w:p>
            <w:pPr>
              <w:pStyle w:val="TableParagraph"/>
              <w:ind w:left="4160" w:right="549"/>
              <w:jc w:val="center"/>
              <w:rPr>
                <w:sz w:val="11"/>
              </w:rPr>
            </w:pPr>
            <w:r>
              <w:rPr>
                <w:w w:val="115"/>
                <w:sz w:val="11"/>
              </w:rPr>
              <w:t>85</w:t>
            </w:r>
          </w:p>
          <w:p>
            <w:pPr>
              <w:pStyle w:val="TableParagraph"/>
              <w:spacing w:before="106"/>
              <w:ind w:left="4160" w:right="549"/>
              <w:jc w:val="center"/>
              <w:rPr>
                <w:sz w:val="11"/>
              </w:rPr>
            </w:pPr>
            <w:r>
              <w:rPr>
                <w:w w:val="115"/>
                <w:sz w:val="11"/>
              </w:rPr>
              <w:t>80</w:t>
            </w:r>
          </w:p>
          <w:p>
            <w:pPr>
              <w:pStyle w:val="TableParagraph"/>
              <w:spacing w:before="2"/>
              <w:rPr>
                <w:sz w:val="10"/>
              </w:rPr>
            </w:pPr>
          </w:p>
          <w:p>
            <w:pPr>
              <w:pStyle w:val="TableParagraph"/>
              <w:spacing w:before="1"/>
              <w:ind w:left="4160" w:right="549"/>
              <w:jc w:val="center"/>
              <w:rPr>
                <w:sz w:val="11"/>
              </w:rPr>
            </w:pPr>
            <w:r>
              <w:rPr>
                <w:w w:val="115"/>
                <w:sz w:val="11"/>
              </w:rPr>
              <w:t>75</w:t>
            </w:r>
          </w:p>
          <w:p>
            <w:pPr>
              <w:pStyle w:val="TableParagraph"/>
              <w:spacing w:before="106"/>
              <w:ind w:left="4160" w:right="549"/>
              <w:jc w:val="center"/>
              <w:rPr>
                <w:sz w:val="11"/>
              </w:rPr>
            </w:pPr>
            <w:r>
              <w:rPr>
                <w:w w:val="115"/>
                <w:sz w:val="11"/>
              </w:rPr>
              <w:t>70</w:t>
            </w:r>
          </w:p>
          <w:p>
            <w:pPr>
              <w:pStyle w:val="TableParagraph"/>
              <w:tabs>
                <w:tab w:pos="710" w:val="left" w:leader="none"/>
                <w:tab w:pos="1227" w:val="left" w:leader="none"/>
                <w:tab w:pos="1733" w:val="left" w:leader="none"/>
                <w:tab w:pos="2250" w:val="left" w:leader="none"/>
                <w:tab w:pos="2768" w:val="left" w:leader="none"/>
                <w:tab w:pos="3285" w:val="left" w:leader="none"/>
                <w:tab w:pos="3802" w:val="left" w:leader="none"/>
              </w:tabs>
              <w:spacing w:before="43"/>
              <w:ind w:left="191"/>
              <w:rPr>
                <w:sz w:val="11"/>
              </w:rPr>
            </w:pPr>
            <w:r>
              <w:rPr>
                <w:w w:val="115"/>
                <w:sz w:val="11"/>
              </w:rPr>
              <w:t>1990</w:t>
              <w:tab/>
              <w:t>1992</w:t>
              <w:tab/>
              <w:t>1994</w:t>
              <w:tab/>
              <w:t>1996</w:t>
              <w:tab/>
              <w:t>1998</w:t>
              <w:tab/>
              <w:t>2000</w:t>
              <w:tab/>
              <w:t>2002</w:t>
              <w:tab/>
              <w:t>2004</w:t>
            </w:r>
          </w:p>
          <w:p>
            <w:pPr>
              <w:pStyle w:val="TableParagraph"/>
              <w:rPr>
                <w:sz w:val="12"/>
              </w:rPr>
            </w:pPr>
          </w:p>
          <w:p>
            <w:pPr>
              <w:pStyle w:val="TableParagraph"/>
              <w:spacing w:before="8"/>
              <w:rPr>
                <w:sz w:val="13"/>
              </w:rPr>
            </w:pPr>
          </w:p>
          <w:p>
            <w:pPr>
              <w:pStyle w:val="TableParagraph"/>
              <w:spacing w:line="184" w:lineRule="exact"/>
              <w:ind w:left="107"/>
              <w:rPr>
                <w:sz w:val="16"/>
              </w:rPr>
            </w:pPr>
            <w:r>
              <w:rPr>
                <w:sz w:val="16"/>
              </w:rPr>
              <w:t>Source: Bank of England.</w:t>
            </w:r>
          </w:p>
          <w:p>
            <w:pPr>
              <w:pStyle w:val="TableParagraph"/>
              <w:ind w:left="107" w:right="191"/>
              <w:rPr>
                <w:sz w:val="16"/>
              </w:rPr>
            </w:pPr>
            <w:r>
              <w:rPr>
                <w:sz w:val="16"/>
              </w:rPr>
              <w:t>Note: The Bank of England now publishes a new sterling ERI measure, which is based on updated trade weights. This chart shows the old measure, but it is not very different from the new measure.</w:t>
            </w:r>
          </w:p>
        </w:tc>
        <w:tc>
          <w:tcPr>
            <w:tcW w:w="522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r>
    </w:tbl>
    <w:p>
      <w:pPr>
        <w:spacing w:after="0"/>
        <w:rPr>
          <w:sz w:val="14"/>
        </w:rPr>
        <w:sectPr>
          <w:pgSz w:w="11900" w:h="16840"/>
          <w:pgMar w:header="716" w:footer="0" w:top="1340" w:bottom="280" w:left="600" w:right="400"/>
        </w:sectPr>
      </w:pPr>
    </w:p>
    <w:p>
      <w:pPr>
        <w:pStyle w:val="BodyText"/>
        <w:rPr>
          <w:sz w:val="20"/>
        </w:rPr>
      </w:pPr>
      <w:r>
        <w:rPr/>
        <w:pict>
          <v:group style="position:absolute;margin-left:51.93pt;margin-top:161.009995pt;width:201.7pt;height:122.3pt;mso-position-horizontal-relative:page;mso-position-vertical-relative:page;z-index:-254046208" coordorigin="1039,3220" coordsize="4034,2446">
            <v:shape style="position:absolute;left:1039;top:3220;width:4034;height:2445" coordorigin="1039,3221" coordsize="4034,2445" path="m5041,3221l5041,5665m5041,5665l5072,5665m5041,5262l5072,5262m5041,4847l5072,4847m5041,4444l5072,4444m5041,4039l5072,4039m5041,3624l5072,3624m5041,3221l5072,3221m1039,5665l5041,5665m1039,5665l1039,5633m1590,5665l1590,5633m2150,5665l2150,5633m2701,5665l2701,5633m3263,5665l3263,5633m3812,5665l3812,5633m4374,5665l4374,5633m4925,5665l4925,5633e" filled="false" stroked="true" strokeweight=".06pt" strokecolor="#000000">
              <v:path arrowok="t"/>
              <v:stroke dashstyle="solid"/>
            </v:shape>
            <v:line style="position:absolute" from="1039,4879" to="1061,4879" stroked="true" strokeweight=".54527pt" strokecolor="#000080">
              <v:stroke dashstyle="solid"/>
            </v:line>
            <v:shape style="position:absolute;left:1060;top:3602;width:3981;height:1343" coordorigin="1061,3603" coordsize="3981,1343" path="m1061,4879l1177,4879,1198,4891,1294,4891,1314,4902,1336,4913,1430,4913,1452,4924,1483,4924,1526,4945,1643,4945,1663,4924,1685,4945,1706,4935,1843,4935,1876,4924,1918,4924,1939,4935,2056,4935,2077,4924,2130,4924,2150,4935,2246,4935,2267,4945,2405,4945,2426,4935,2447,4935,2468,4924,2500,4924,2521,4913,2563,4913,2585,4902,2616,4902,2638,4891,2659,4879,2701,4879,2732,4869,2754,4869,2776,4858,2796,4858,2839,4836,2870,4836,2892,4825,2912,4825,2934,4815,2956,4815,2987,4804,3029,4804,3072,4782,3092,4782,3125,4770,3167,4770,3188,4759,3263,4759,3283,4749,3305,4749,3326,4738,3347,4727,3379,4716,3400,4705,3443,4684,3463,4661,3496,4661,3516,4639,3559,4618,3580,4607,3612,4596,3696,4596,3718,4585,3749,4585,3770,4575,3792,4575,3812,4564,3834,4553,3865,4541,3908,4519,3929,4498,3972,4476,4003,4455,4025,4465,4045,4444,4067,4410,4088,4399,4162,4356,4205,4279,4236,4258,4258,4247,4278,4203,4300,4159,4321,4138,4342,4116,4374,4093,4396,4072,4416,4050,4438,4039,4458,4029,4490,4007,4512,3985,4532,3963,4554,3941,4574,3909,4596,3898,4628,3864,4649,3832,4670,3789,4692,3756,4712,3723,4745,3690,4765,3669,4787,3635,4808,3635,4829,3624,4861,3635,4881,3635,4903,3613,4925,3603,5041,3603e" filled="false" stroked="true" strokeweight=".543591pt" strokecolor="#000080">
              <v:path arrowok="t"/>
              <v:stroke dashstyle="solid"/>
            </v:shape>
            <w10:wrap type="none"/>
          </v:group>
        </w:pict>
      </w:r>
      <w:r>
        <w:rPr/>
        <w:pict>
          <v:group style="position:absolute;margin-left:318.809998pt;margin-top:161.009995pt;width:208.65pt;height:122.3pt;mso-position-horizontal-relative:page;mso-position-vertical-relative:page;z-index:-254045184" coordorigin="6376,3220" coordsize="4173,2446">
            <v:shape style="position:absolute;left:6376;top:3220;width:4172;height:2445" coordorigin="6377,3221" coordsize="4172,2445" path="m10516,3221l10516,5665,10548,5665m10516,5262l10548,5262m10516,4847l10548,4847m10516,4444l10548,4444m10516,4039l10548,4039m10516,3624l10548,3624m10516,3221l10548,3221m6377,5665l10516,5665m6377,5665l6377,5633m6956,5665l6956,5633m7524,5665l7524,5633m8104,5665l8104,5633m8671,5665l8671,5633m9251,5665l9251,5633m9820,5665l9820,5633m10398,5665l10398,5633e" filled="false" stroked="true" strokeweight=".06pt" strokecolor="#000000">
              <v:path arrowok="t"/>
              <v:stroke dashstyle="solid"/>
            </v:shape>
            <v:shape style="position:absolute;left:6495;top:3428;width:4021;height:2031" coordorigin="6496,3429" coordsize="4021,2031" path="m6496,4869l6516,4858,6549,4891,6570,5022,6592,5022,6613,4999,6646,4945,6666,5044,6688,5175,6709,5262,6731,5284,6763,5207,6785,5131,6807,5011,6828,4967,6859,5076,6881,5273,6903,5459,6924,5382,6957,5207,6978,4978,7000,4825,7020,4650,7042,4607,7074,4585,7096,4825,7117,4782,7139,4836,7170,4727,7192,4782,7213,4782,7235,4793,7267,4727,7289,4661,7311,4695,7332,4869,7353,5098,7385,5098,7407,4999,7428,4815,7450,4738,7482,4673,7503,4661,7524,4815,7546,4956,7578,5065,7600,4999,7621,4935,7643,4978,7665,5065,7696,5121,7717,5033,7739,4935,7761,4825,7793,4782,7815,4705,7835,4661,7857,4575,7889,4498,7911,4444,7932,4421,7954,4487,7975,4519,8007,4541,8028,4444,8071,4290,8104,4378,8126,4487,8147,4585,8167,4509,8200,4432,8222,4367,8243,4324,8265,4301,8286,4290,8319,4345,8339,4378,8361,4444,8382,4444,8415,4487,8436,4498,8458,4530,8480,4519,8511,4476,8532,4421,8554,4444,8576,4530,8608,4639,8630,4673,8651,4650,8672,4639,8693,4618,8726,4564,8747,4541,8769,4432,8790,4367,8823,4192,8843,4116,8865,4061,8886,4018,8919,4061,8940,4018,8962,4072,8984,4029,9004,4116,9036,4192,9058,4335,9080,4509,9101,4705,9134,4825,9155,4759,9176,4661,9197,4530,9230,4575,9251,4476,9273,4465,9294,4335,9316,4335,9347,4269,9369,4215,9390,4149,9412,4105,9444,4105,9466,4181,9488,4258,9508,4258,9540,4083,9562,3952,9584,4007,9605,4093,9627,4039,9659,3723,9680,3483,9701,3483,9723,3570,9755,3592,9777,3429,9798,3461,9820,3624,9851,3876,9873,3973,9894,4093,9916,4149,9938,4269,9970,4247,9992,4215,10012,4127,10034,4039,10066,3996,10088,3919,10109,3930,10131,3832,10162,3778,10184,3669,10227,3744,10248,3843,10281,4050,10302,4225,10324,4541,10344,4673,10377,4804,10398,4705,10420,4661,10442,4629,10474,4705,10494,4759,10516,4793e" filled="false" stroked="true" strokeweight=".543869pt" strokecolor="#000080">
              <v:path arrowok="t"/>
              <v:stroke dashstyle="solid"/>
            </v:shape>
            <v:line style="position:absolute" from="6496,4847" to="10516,4847" stroked="true" strokeweight=".545815pt" strokecolor="#000000">
              <v:stroke dashstyle="solid"/>
            </v:line>
            <w10:wrap type="none"/>
          </v:group>
        </w:pict>
      </w:r>
      <w:r>
        <w:rPr/>
        <w:pict>
          <v:group style="position:absolute;margin-left:52.709999pt;margin-top:418.170013pt;width:223.75pt;height:127.75pt;mso-position-horizontal-relative:page;mso-position-vertical-relative:page;z-index:-254044160" coordorigin="1054,8363" coordsize="4475,2555">
            <v:shape style="position:absolute;left:1054;top:8364;width:4474;height:2554" coordorigin="1055,8364" coordsize="4474,2554" path="m5495,8364l5495,10918,5528,10918m5495,10553l5528,10553m5495,10188l5528,10188m5495,9823l5528,9823m5495,9458l5528,9458m5495,9094l5528,9094m5495,8729l5528,8729m5495,8364l5528,8364m1055,10918l5495,10918m1055,10918l1055,10883m1636,10918l1636,10883m2216,10918l2216,10883m2797,10918l2797,10883m3366,10918l3366,10883m3947,10918l3947,10883m4526,10918l4526,10883m5107,10918l5107,10883e" filled="false" stroked="true" strokeweight=".06pt" strokecolor="#000000">
              <v:path arrowok="t"/>
              <v:stroke dashstyle="solid"/>
            </v:shape>
            <v:line style="position:absolute" from="1055,9618" to="1100,9618" stroked="true" strokeweight=".569pt" strokecolor="#000080">
              <v:stroke dashstyle="solid"/>
            </v:line>
            <v:shape style="position:absolute;left:1100;top:8649;width:4395;height:1118" coordorigin="1100,8650" coordsize="4395,1118" path="m1100,9618l1146,9641,1204,9618,1249,9607,1294,9607,1339,9584,1397,9584,1442,9562,1488,9550,1534,9550,1590,9539,1636,9527,1681,9539,1727,9550,1783,9527,1829,9527,1874,9516,1920,9493,1978,9470,2023,9425,2068,9413,2113,9390,2171,9402,2216,9356,2262,9276,2308,9151,2353,9083,2410,9025,2455,9025,2501,9060,2546,9128,2603,9174,2648,9253,2694,9322,2740,9379,2797,9367,2843,9413,2887,9458,2933,9493,2990,9539,3036,9572,3082,9607,3127,9653,3229,9653,3275,9664,3366,9664,3422,9698,3468,9709,3514,9709,3559,9721,3617,9744,3662,9755,3707,9767,3752,9755,3810,9744,3856,9744,3901,9721,3947,9709,4003,9686,4049,9676,4094,9676,4140,9664,4196,9653,4333,9653,4391,9630,4436,9607,4481,9572,4526,9539,4572,9516,4630,9527,4675,9539,4721,9516,4766,9481,4823,9448,4868,9402,4914,9367,4960,9299,5016,9208,5062,9106,5107,9037,5153,8992,5210,8957,5256,8878,5300,8809,5346,8695,5404,8650,5449,8672,5495,8706e" filled="false" stroked="true" strokeweight=".569pt" strokecolor="#000080">
              <v:path arrowok="t"/>
              <v:stroke dashstyle="solid"/>
            </v:shape>
            <v:shape style="position:absolute;left:1056;top:9435;width:4394;height:12" coordorigin="1056,9436" coordsize="4394,12" path="m1078,9436l1056,9436,1056,9448,1078,9448,1078,9436m1146,9436l1123,9436,1123,9448,1146,9448,1146,9436m1214,9436l1192,9436,1192,9448,1214,9448,1214,9436m1283,9436l1260,9436,1260,9448,1283,9448,1283,9436m1351,9436l1328,9436,1328,9448,1351,9448,1351,9436m1420,9436l1397,9436,1397,9448,1420,9448,1420,9436m1488,9436l1465,9436,1465,9448,1488,9448,1488,9436m1556,9436l1534,9436,1534,9448,1556,9448,1556,9436m1625,9436l1602,9436,1602,9448,1625,9448,1625,9436m1692,9436l1669,9436,1669,9448,1692,9448,1692,9436m1760,9436l1738,9436,1738,9448,1760,9448,1760,9436m1829,9436l1806,9436,1806,9448,1829,9448,1829,9436m1897,9436l1874,9436,1874,9448,1897,9448,1897,9436m1966,9436l1943,9436,1943,9448,1966,9448,1966,9436m2034,9436l2011,9436,2011,9448,2034,9448,2034,9436m2102,9436l2080,9436,2080,9448,2102,9448,2102,9436m2171,9436l2148,9436,2148,9448,2171,9448,2171,9436m2239,9436l2216,9436,2216,9448,2239,9448,2239,9436m2308,9436l2285,9436,2285,9448,2308,9448,2308,9436m2376,9436l2353,9436,2353,9448,2376,9448,2376,9436m2444,9436l2422,9436,2422,9448,2444,9448,2444,9436m2512,9436l2489,9436,2489,9448,2512,9448,2512,9436m2580,9436l2557,9436,2557,9448,2580,9448,2580,9436m2648,9436l2626,9436,2626,9448,2648,9448,2648,9436m2717,9436l2694,9436,2694,9448,2717,9448,2717,9436m2785,9436l2762,9436,2762,9448,2785,9448,2785,9436m2854,9436l2831,9436,2831,9448,2854,9448,2854,9436m2922,9436l2899,9436,2899,9448,2922,9448,2922,9436m2990,9436l2968,9436,2968,9448,2990,9448,2990,9436m3059,9436l3036,9436,3036,9448,3059,9448,3059,9436m3127,9436l3104,9436,3104,9448,3127,9448,3127,9436m3196,9436l3173,9436,3173,9448,3196,9448,3196,9436m3264,9436l3241,9436,3241,9448,3264,9448,3264,9436m3331,9436l3308,9436,3308,9448,3331,9448,3331,9436m3400,9436l3377,9436,3377,9448,3400,9448,3400,9436m3468,9436l3445,9436,3445,9448,3468,9448,3468,9436m3536,9436l3514,9436,3514,9448,3536,9448,3536,9436m3605,9436l3582,9436,3582,9448,3605,9448,3605,9436m3673,9436l3650,9436,3650,9448,3673,9448,3673,9436m3742,9436l3719,9436,3719,9448,3742,9448,3742,9436m3810,9436l3787,9436,3787,9448,3810,9448,3810,9436m3878,9436l3856,9436,3856,9448,3878,9448,3878,9436m3947,9436l3924,9436,3924,9448,3947,9448,3947,9436m4015,9436l3992,9436,3992,9448,4015,9448,4015,9436m4082,9436l4061,9436,4061,9448,4082,9448,4082,9436m4151,9436l4128,9436,4128,9448,4151,9448,4151,9436m4219,9436l4196,9436,4196,9448,4219,9448,4219,9436m4288,9436l4265,9436,4265,9448,4288,9448,4288,9436m4356,9436l4333,9436,4333,9448,4356,9448,4356,9436m4424,9436l4402,9436,4402,9448,4424,9448,4424,9436m4493,9436l4470,9436,4470,9448,4493,9448,4493,9436m4561,9436l4538,9436,4538,9448,4561,9448,4561,9436m4630,9436l4607,9436,4607,9448,4630,9448,4630,9436m4698,9436l4675,9436,4675,9448,4698,9448,4698,9436m4766,9436l4744,9436,4744,9448,4766,9448,4766,9436m4835,9436l4812,9436,4812,9448,4835,9448,4835,9436m4902,9436l4879,9436,4879,9448,4902,9448,4902,9436m4970,9436l4948,9436,4948,9448,4970,9448,4970,9436m5039,9436l5016,9436,5016,9448,5039,9448,5039,9436m5107,9436l5084,9436,5084,9448,5107,9448,5107,9436m5176,9436l5153,9436,5153,9448,5176,9448,5176,9436m5244,9436l5221,9436,5221,9448,5244,9448,5244,9436m5312,9436l5290,9436,5290,9448,5312,9448,5312,9436m5381,9436l5358,9436,5358,9448,5381,9448,5381,9436m5449,9436l5426,9436,5426,9448,5449,9448,5449,9436e" filled="true" fillcolor="#000000" stroked="false">
              <v:path arrowok="t"/>
              <v:fill type="solid"/>
            </v:shape>
            <w10:wrap type="none"/>
          </v:group>
        </w:pict>
      </w:r>
      <w:r>
        <w:rPr/>
        <w:pict>
          <v:group style="position:absolute;margin-left:319.15799pt;margin-top:417.450012pt;width:221.7pt;height:126.9pt;mso-position-horizontal-relative:page;mso-position-vertical-relative:page;z-index:-254043136" coordorigin="6383,8349" coordsize="4434,2538">
            <v:shape style="position:absolute;left:6388;top:8349;width:4427;height:2537" coordorigin="6389,8350" coordsize="4427,2537" path="m10781,8350l10781,10886,10816,10886m10781,10525l10816,10525m10781,10165l10816,10165m10781,9804l10816,9804m10781,9432l10816,9432m10781,9071l10816,9071m10781,8710l10816,8710m10781,8350l10816,8350m6389,10886l10781,10886m6389,10886l6389,10853m6965,10886l6965,10853m7529,10886l7529,10853m8105,10886l8105,10853m8681,10886l8681,10853m9257,10886l9257,10853m9821,10886l9821,10853m10397,10886l10397,10853e" filled="false" stroked="true" strokeweight=".06pt" strokecolor="#000000">
              <v:path arrowok="t"/>
              <v:stroke dashstyle="solid"/>
            </v:shape>
            <v:line style="position:absolute" from="6389,10052" to="6433,10063" stroked="true" strokeweight=".564pt" strokecolor="#000080">
              <v:stroke dashstyle="solid"/>
            </v:line>
            <v:shape style="position:absolute;left:6433;top:9544;width:4348;height:665" coordorigin="6433,9545" coordsize="4348,665" path="m6433,10063l6535,10063,6581,10040,6625,10040,6671,10018,6727,10018,6773,10007,6817,9996,6919,9996,6965,9973,7009,9996,7055,9984,7100,9984,7157,9973,7201,9984,7247,9950,7292,9928,7349,9905,7393,9894,7439,9883,7484,9905,7529,9871,7585,9838,7631,9748,7675,9702,7721,9680,7777,9680,7823,9725,7867,9758,7913,9792,7969,9827,8015,9860,8059,9894,8105,9905,8150,9917,8207,9961,8251,9973,8297,10018,8342,10052,8399,10063,8443,10097,8489,10109,8534,10120,8591,10130,8635,10142,8681,10130,8726,10130,8771,10142,8827,10142,8873,10165,8918,10176,8963,10187,9019,10187,9065,10210,9110,10187,9155,10199,9200,10165,9257,10165,9302,10176,9347,10165,9392,10130,9449,10120,9494,10097,9584,10097,9641,10086,9685,10109,9731,10074,9776,10074,9821,10063,9877,10052,9923,10074,9968,10063,10013,10063,10069,10052,10160,10007,10205,9973,10250,9940,10307,9883,10352,9827,10397,9792,10442,9770,10499,9736,10544,9702,10589,9635,10634,9568,10691,9545,10736,9545,10781,9556e" filled="false" stroked="true" strokeweight=".564pt" strokecolor="#000080">
              <v:path arrowok="t"/>
              <v:stroke dashstyle="solid"/>
            </v:shape>
            <v:shape style="position:absolute;left:6388;top:9961;width:4348;height:12" coordorigin="6389,9961" coordsize="4348,12" path="m6412,9961l6389,9961,6389,9973,6412,9973,6412,9961m6479,9961l6456,9961,6456,9973,6479,9973,6479,9961m6546,9961l6524,9961,6524,9973,6546,9973,6546,9961m6614,9961l6592,9961,6592,9973,6614,9973,6614,9961m6682,9961l6660,9961,6660,9973,6682,9973,6682,9961m6750,9961l6727,9961,6727,9973,6750,9973,6750,9961m6817,9961l6794,9961,6794,9973,6817,9973,6817,9961m6886,9961l6863,9961,6863,9973,6886,9973,6886,9961m6953,9961l6930,9961,6930,9973,6953,9973,6953,9961m7021,9961l6998,9961,6998,9973,7021,9973,7021,9961m7088,9961l7066,9961,7066,9973,7088,9973,7088,9961m7157,9961l7134,9961,7134,9973,7157,9973,7157,9961m7224,9961l7201,9961,7201,9973,7224,9973,7224,9961m7292,9961l7270,9961,7270,9973,7292,9973,7292,9961m7360,9961l7337,9961,7337,9973,7360,9973,7360,9961m7427,9961l7405,9961,7405,9973,7427,9973,7427,9961m7495,9961l7472,9961,7472,9973,7495,9973,7495,9961m7562,9961l7541,9961,7541,9973,7562,9973,7562,9961m7631,9961l7608,9961,7608,9973,7631,9973,7631,9961m7698,9961l7675,9961,7675,9973,7698,9973,7698,9961m7766,9961l7744,9961,7744,9973,7766,9973,7766,9961m7834,9961l7811,9961,7811,9973,7834,9973,7834,9961m7902,9961l7879,9961,7879,9973,7902,9973,7902,9961m7969,9961l7946,9961,7946,9973,7969,9973,7969,9961m8038,9961l8015,9961,8015,9973,8038,9973,8038,9961m8105,9961l8082,9961,8082,9973,8105,9973,8105,9961m8173,9961l8150,9961,8150,9973,8173,9973,8173,9961m8240,9961l8218,9961,8218,9973,8240,9973,8240,9961m8308,9961l8286,9961,8286,9973,8308,9973,8308,9961m8376,9961l8353,9961,8353,9973,8376,9973,8376,9961m8443,9961l8422,9961,8422,9973,8443,9973,8443,9961m8512,9961l8489,9961,8489,9973,8512,9973,8512,9961m8579,9961l8556,9961,8556,9973,8579,9973,8579,9961m8647,9961l8624,9961,8624,9973,8647,9973,8647,9961m8714,9961l8692,9961,8692,9973,8714,9973,8714,9961m8783,9961l8760,9961,8760,9973,8783,9973,8783,9961m8850,9961l8827,9961,8827,9973,8850,9973,8850,9961m8918,9961l8896,9961,8896,9973,8918,9973,8918,9961m8986,9961l8963,9961,8963,9973,8986,9973,8986,9961m9054,9961l9031,9961,9031,9973,9054,9973,9054,9961m9121,9961l9098,9961,9098,9973,9121,9973,9121,9961m9188,9961l9167,9961,9167,9973,9188,9973,9188,9961m9257,9961l9234,9961,9234,9973,9257,9973,9257,9961m9324,9961l9302,9961,9302,9973,9324,9973,9324,9961m9392,9961l9370,9961,9370,9973,9392,9973,9392,9961m9460,9961l9437,9961,9437,9973,9460,9973,9460,9961m9528,9961l9505,9961,9505,9973,9528,9973,9528,9961m9595,9961l9572,9961,9572,9973,9595,9973,9595,9961m9664,9961l9641,9961,9641,9973,9664,9973,9664,9961m9731,9961l9708,9961,9708,9973,9731,9973,9731,9961m9799,9961l9776,9961,9776,9973,9799,9973,9799,9961m9866,9961l9844,9961,9844,9973,9866,9973,9866,9961m9935,9961l9912,9961,9912,9973,9935,9973,9935,9961m10002,9961l9979,9961,9979,9973,10002,9973,10002,9961m10069,9961l10048,9961,10048,9973,10069,9973,10069,9961m10138,9961l10115,9961,10115,9973,10138,9973,10138,9961m10205,9961l10183,9961,10183,9973,10205,9973,10205,9961m10273,9961l10250,9961,10250,9973,10273,9973,10273,9961m10340,9961l10318,9961,10318,9973,10340,9973,10340,9961m10409,9961l10386,9961,10386,9973,10409,9973,10409,9961m10476,9961l10453,9961,10453,9973,10476,9973,10476,9961m10544,9961l10522,9961,10522,9973,10544,9973,10544,9961m10612,9961l10589,9961,10589,9973,10612,9973,10612,9961m10680,9961l10657,9961,10657,9973,10680,9973,10680,9961m10736,9961l10724,9961,10724,9973,10736,9973,10736,9961e" filled="true" fillcolor="#000000" stroked="false">
              <v:path arrowok="t"/>
              <v:fill type="solid"/>
            </v:shape>
            <w10:wrap type="none"/>
          </v:group>
        </w:pict>
      </w:r>
    </w:p>
    <w:p>
      <w:pPr>
        <w:pStyle w:val="BodyText"/>
        <w:spacing w:before="3"/>
        <w:rPr>
          <w:sz w:val="11"/>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6"/>
        <w:gridCol w:w="472"/>
        <w:gridCol w:w="557"/>
        <w:gridCol w:w="556"/>
        <w:gridCol w:w="1407"/>
        <w:gridCol w:w="5222"/>
      </w:tblGrid>
      <w:tr>
        <w:trPr>
          <w:trHeight w:val="551" w:hRule="atLeast"/>
        </w:trPr>
        <w:tc>
          <w:tcPr>
            <w:tcW w:w="10560" w:type="dxa"/>
            <w:gridSpan w:val="6"/>
          </w:tcPr>
          <w:p>
            <w:pPr>
              <w:pStyle w:val="TableParagraph"/>
              <w:spacing w:line="275" w:lineRule="exact"/>
              <w:ind w:left="2071" w:right="2065"/>
              <w:jc w:val="center"/>
              <w:rPr>
                <w:b/>
                <w:sz w:val="24"/>
              </w:rPr>
            </w:pPr>
            <w:r>
              <w:rPr>
                <w:b/>
                <w:sz w:val="24"/>
              </w:rPr>
              <w:t>Figure 4</w:t>
            </w:r>
          </w:p>
          <w:p>
            <w:pPr>
              <w:pStyle w:val="TableParagraph"/>
              <w:spacing w:line="257" w:lineRule="exact"/>
              <w:ind w:left="2071" w:right="2066"/>
              <w:jc w:val="center"/>
              <w:rPr>
                <w:b/>
                <w:sz w:val="24"/>
              </w:rPr>
            </w:pPr>
            <w:r>
              <w:rPr>
                <w:b/>
                <w:sz w:val="24"/>
              </w:rPr>
              <w:t>UK House Prices (Average of Halifax and Nationwide Indices)</w:t>
            </w:r>
          </w:p>
        </w:tc>
      </w:tr>
      <w:tr>
        <w:trPr>
          <w:trHeight w:val="552" w:hRule="atLeast"/>
        </w:trPr>
        <w:tc>
          <w:tcPr>
            <w:tcW w:w="5338" w:type="dxa"/>
            <w:gridSpan w:val="5"/>
          </w:tcPr>
          <w:p>
            <w:pPr>
              <w:pStyle w:val="TableParagraph"/>
              <w:spacing w:line="275" w:lineRule="exact"/>
              <w:ind w:left="107"/>
              <w:rPr>
                <w:b/>
                <w:sz w:val="24"/>
              </w:rPr>
            </w:pPr>
            <w:r>
              <w:rPr>
                <w:b/>
                <w:sz w:val="24"/>
              </w:rPr>
              <w:t>Figure 4a</w:t>
            </w:r>
          </w:p>
          <w:p>
            <w:pPr>
              <w:pStyle w:val="TableParagraph"/>
              <w:spacing w:line="258" w:lineRule="exact"/>
              <w:ind w:left="107"/>
              <w:rPr>
                <w:b/>
                <w:sz w:val="24"/>
              </w:rPr>
            </w:pPr>
            <w:r>
              <w:rPr>
                <w:b/>
                <w:sz w:val="24"/>
              </w:rPr>
              <w:t>The Level of House Prices</w:t>
            </w:r>
          </w:p>
        </w:tc>
        <w:tc>
          <w:tcPr>
            <w:tcW w:w="5222" w:type="dxa"/>
          </w:tcPr>
          <w:p>
            <w:pPr>
              <w:pStyle w:val="TableParagraph"/>
              <w:spacing w:line="275" w:lineRule="exact"/>
              <w:ind w:left="105"/>
              <w:rPr>
                <w:b/>
                <w:sz w:val="24"/>
              </w:rPr>
            </w:pPr>
            <w:r>
              <w:rPr>
                <w:b/>
                <w:sz w:val="24"/>
              </w:rPr>
              <w:t>Figure 4b</w:t>
            </w:r>
          </w:p>
          <w:p>
            <w:pPr>
              <w:pStyle w:val="TableParagraph"/>
              <w:spacing w:line="258" w:lineRule="exact"/>
              <w:ind w:left="105"/>
              <w:rPr>
                <w:b/>
                <w:sz w:val="24"/>
              </w:rPr>
            </w:pPr>
            <w:r>
              <w:rPr>
                <w:b/>
                <w:sz w:val="24"/>
              </w:rPr>
              <w:t>House Price Inflation</w:t>
            </w:r>
          </w:p>
        </w:tc>
      </w:tr>
      <w:tr>
        <w:trPr>
          <w:trHeight w:val="3718" w:hRule="atLeast"/>
        </w:trPr>
        <w:tc>
          <w:tcPr>
            <w:tcW w:w="2346" w:type="dxa"/>
            <w:tcBorders>
              <w:right w:val="nil"/>
            </w:tcBorders>
          </w:tcPr>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spacing w:before="1"/>
              <w:rPr>
                <w:sz w:val="13"/>
              </w:rPr>
            </w:pPr>
          </w:p>
          <w:p>
            <w:pPr>
              <w:pStyle w:val="TableParagraph"/>
              <w:tabs>
                <w:tab w:pos="742" w:val="left" w:leader="none"/>
                <w:tab w:pos="1304" w:val="left" w:leader="none"/>
                <w:tab w:pos="1854" w:val="left" w:leader="none"/>
              </w:tabs>
              <w:ind w:left="193"/>
              <w:rPr>
                <w:sz w:val="12"/>
              </w:rPr>
            </w:pPr>
            <w:r>
              <w:rPr>
                <w:w w:val="105"/>
                <w:sz w:val="12"/>
              </w:rPr>
              <w:t>1991</w:t>
              <w:tab/>
              <w:t>1993</w:t>
              <w:tab/>
              <w:t>1995</w:t>
              <w:tab/>
              <w:t>1997</w:t>
            </w:r>
          </w:p>
          <w:p>
            <w:pPr>
              <w:pStyle w:val="TableParagraph"/>
              <w:rPr>
                <w:sz w:val="12"/>
              </w:rPr>
            </w:pPr>
          </w:p>
          <w:p>
            <w:pPr>
              <w:pStyle w:val="TableParagraph"/>
              <w:spacing w:before="10"/>
              <w:rPr>
                <w:sz w:val="13"/>
              </w:rPr>
            </w:pPr>
          </w:p>
          <w:p>
            <w:pPr>
              <w:pStyle w:val="TableParagraph"/>
              <w:ind w:left="107"/>
              <w:rPr>
                <w:sz w:val="16"/>
              </w:rPr>
            </w:pPr>
            <w:r>
              <w:rPr>
                <w:sz w:val="16"/>
              </w:rPr>
              <w:t>Sources: Halifax and Nationwide.</w:t>
            </w:r>
          </w:p>
        </w:tc>
        <w:tc>
          <w:tcPr>
            <w:tcW w:w="472" w:type="dxa"/>
            <w:tcBorders>
              <w:left w:val="nil"/>
              <w:right w:val="nil"/>
            </w:tcBorders>
          </w:tcPr>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spacing w:before="1"/>
              <w:rPr>
                <w:sz w:val="13"/>
              </w:rPr>
            </w:pPr>
          </w:p>
          <w:p>
            <w:pPr>
              <w:pStyle w:val="TableParagraph"/>
              <w:ind w:left="74"/>
              <w:rPr>
                <w:sz w:val="12"/>
              </w:rPr>
            </w:pPr>
            <w:r>
              <w:rPr>
                <w:w w:val="105"/>
                <w:sz w:val="12"/>
              </w:rPr>
              <w:t>1999</w:t>
            </w:r>
          </w:p>
        </w:tc>
        <w:tc>
          <w:tcPr>
            <w:tcW w:w="557" w:type="dxa"/>
            <w:tcBorders>
              <w:left w:val="nil"/>
              <w:right w:val="nil"/>
            </w:tcBorders>
          </w:tcPr>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spacing w:before="1"/>
              <w:rPr>
                <w:sz w:val="13"/>
              </w:rPr>
            </w:pPr>
          </w:p>
          <w:p>
            <w:pPr>
              <w:pStyle w:val="TableParagraph"/>
              <w:ind w:left="153"/>
              <w:rPr>
                <w:sz w:val="12"/>
              </w:rPr>
            </w:pPr>
            <w:r>
              <w:rPr>
                <w:w w:val="105"/>
                <w:sz w:val="12"/>
              </w:rPr>
              <w:t>2001</w:t>
            </w:r>
          </w:p>
        </w:tc>
        <w:tc>
          <w:tcPr>
            <w:tcW w:w="556" w:type="dxa"/>
            <w:tcBorders>
              <w:left w:val="nil"/>
              <w:right w:val="nil"/>
            </w:tcBorders>
          </w:tcPr>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spacing w:before="1"/>
              <w:rPr>
                <w:sz w:val="13"/>
              </w:rPr>
            </w:pPr>
          </w:p>
          <w:p>
            <w:pPr>
              <w:pStyle w:val="TableParagraph"/>
              <w:ind w:left="157"/>
              <w:rPr>
                <w:sz w:val="12"/>
              </w:rPr>
            </w:pPr>
            <w:r>
              <w:rPr>
                <w:w w:val="105"/>
                <w:sz w:val="12"/>
              </w:rPr>
              <w:t>2003</w:t>
            </w:r>
          </w:p>
        </w:tc>
        <w:tc>
          <w:tcPr>
            <w:tcW w:w="1407" w:type="dxa"/>
            <w:tcBorders>
              <w:left w:val="nil"/>
            </w:tcBorders>
          </w:tcPr>
          <w:p>
            <w:pPr>
              <w:pStyle w:val="TableParagraph"/>
              <w:spacing w:before="61"/>
              <w:ind w:left="134" w:right="384"/>
              <w:jc w:val="center"/>
              <w:rPr>
                <w:sz w:val="12"/>
              </w:rPr>
            </w:pPr>
            <w:r>
              <w:rPr>
                <w:w w:val="105"/>
                <w:sz w:val="12"/>
              </w:rPr>
              <w:t>1990=100</w:t>
            </w:r>
          </w:p>
          <w:p>
            <w:pPr>
              <w:pStyle w:val="TableParagraph"/>
              <w:spacing w:before="92"/>
              <w:ind w:left="134" w:right="382"/>
              <w:jc w:val="center"/>
              <w:rPr>
                <w:sz w:val="12"/>
              </w:rPr>
            </w:pPr>
            <w:r>
              <w:rPr>
                <w:w w:val="105"/>
                <w:sz w:val="12"/>
              </w:rPr>
              <w:t>300</w:t>
            </w:r>
          </w:p>
          <w:p>
            <w:pPr>
              <w:pStyle w:val="TableParagraph"/>
              <w:rPr>
                <w:sz w:val="12"/>
              </w:rPr>
            </w:pPr>
          </w:p>
          <w:p>
            <w:pPr>
              <w:pStyle w:val="TableParagraph"/>
              <w:rPr>
                <w:sz w:val="11"/>
              </w:rPr>
            </w:pPr>
          </w:p>
          <w:p>
            <w:pPr>
              <w:pStyle w:val="TableParagraph"/>
              <w:ind w:left="134" w:right="382"/>
              <w:jc w:val="center"/>
              <w:rPr>
                <w:sz w:val="12"/>
              </w:rPr>
            </w:pPr>
            <w:r>
              <w:rPr>
                <w:w w:val="105"/>
                <w:sz w:val="12"/>
              </w:rPr>
              <w:t>250</w:t>
            </w:r>
          </w:p>
          <w:p>
            <w:pPr>
              <w:pStyle w:val="TableParagraph"/>
              <w:rPr>
                <w:sz w:val="12"/>
              </w:rPr>
            </w:pPr>
          </w:p>
          <w:p>
            <w:pPr>
              <w:pStyle w:val="TableParagraph"/>
              <w:spacing w:before="1"/>
              <w:rPr>
                <w:sz w:val="12"/>
              </w:rPr>
            </w:pPr>
          </w:p>
          <w:p>
            <w:pPr>
              <w:pStyle w:val="TableParagraph"/>
              <w:spacing w:before="1"/>
              <w:ind w:left="134" w:right="382"/>
              <w:jc w:val="center"/>
              <w:rPr>
                <w:sz w:val="12"/>
              </w:rPr>
            </w:pPr>
            <w:r>
              <w:rPr>
                <w:w w:val="105"/>
                <w:sz w:val="12"/>
              </w:rPr>
              <w:t>200</w:t>
            </w:r>
          </w:p>
          <w:p>
            <w:pPr>
              <w:pStyle w:val="TableParagraph"/>
              <w:rPr>
                <w:sz w:val="12"/>
              </w:rPr>
            </w:pPr>
          </w:p>
          <w:p>
            <w:pPr>
              <w:pStyle w:val="TableParagraph"/>
              <w:rPr>
                <w:sz w:val="11"/>
              </w:rPr>
            </w:pPr>
          </w:p>
          <w:p>
            <w:pPr>
              <w:pStyle w:val="TableParagraph"/>
              <w:ind w:left="134" w:right="382"/>
              <w:jc w:val="center"/>
              <w:rPr>
                <w:sz w:val="12"/>
              </w:rPr>
            </w:pPr>
            <w:r>
              <w:rPr>
                <w:w w:val="105"/>
                <w:sz w:val="12"/>
              </w:rPr>
              <w:t>150</w:t>
            </w:r>
          </w:p>
          <w:p>
            <w:pPr>
              <w:pStyle w:val="TableParagraph"/>
              <w:rPr>
                <w:sz w:val="12"/>
              </w:rPr>
            </w:pPr>
          </w:p>
          <w:p>
            <w:pPr>
              <w:pStyle w:val="TableParagraph"/>
              <w:spacing w:before="2"/>
              <w:rPr>
                <w:sz w:val="11"/>
              </w:rPr>
            </w:pPr>
          </w:p>
          <w:p>
            <w:pPr>
              <w:pStyle w:val="TableParagraph"/>
              <w:ind w:left="134" w:right="382"/>
              <w:jc w:val="center"/>
              <w:rPr>
                <w:sz w:val="12"/>
              </w:rPr>
            </w:pPr>
            <w:r>
              <w:rPr>
                <w:w w:val="105"/>
                <w:sz w:val="12"/>
              </w:rPr>
              <w:t>100</w:t>
            </w:r>
          </w:p>
          <w:p>
            <w:pPr>
              <w:pStyle w:val="TableParagraph"/>
              <w:rPr>
                <w:sz w:val="12"/>
              </w:rPr>
            </w:pPr>
          </w:p>
          <w:p>
            <w:pPr>
              <w:pStyle w:val="TableParagraph"/>
              <w:spacing w:before="1"/>
              <w:rPr>
                <w:sz w:val="12"/>
              </w:rPr>
            </w:pPr>
          </w:p>
          <w:p>
            <w:pPr>
              <w:pStyle w:val="TableParagraph"/>
              <w:spacing w:before="1"/>
              <w:ind w:left="134" w:right="446"/>
              <w:jc w:val="center"/>
              <w:rPr>
                <w:sz w:val="12"/>
              </w:rPr>
            </w:pPr>
            <w:r>
              <w:rPr>
                <w:w w:val="105"/>
                <w:sz w:val="12"/>
              </w:rPr>
              <w:t>50</w:t>
            </w:r>
          </w:p>
          <w:p>
            <w:pPr>
              <w:pStyle w:val="TableParagraph"/>
              <w:rPr>
                <w:sz w:val="12"/>
              </w:rPr>
            </w:pPr>
          </w:p>
          <w:p>
            <w:pPr>
              <w:pStyle w:val="TableParagraph"/>
              <w:rPr>
                <w:sz w:val="11"/>
              </w:rPr>
            </w:pPr>
          </w:p>
          <w:p>
            <w:pPr>
              <w:pStyle w:val="TableParagraph"/>
              <w:ind w:right="377"/>
              <w:jc w:val="center"/>
              <w:rPr>
                <w:sz w:val="12"/>
              </w:rPr>
            </w:pPr>
            <w:r>
              <w:rPr>
                <w:w w:val="104"/>
                <w:sz w:val="12"/>
              </w:rPr>
              <w:t>0</w:t>
            </w:r>
          </w:p>
          <w:p>
            <w:pPr>
              <w:pStyle w:val="TableParagraph"/>
              <w:spacing w:before="38"/>
              <w:ind w:left="134" w:right="976"/>
              <w:jc w:val="center"/>
              <w:rPr>
                <w:sz w:val="12"/>
              </w:rPr>
            </w:pPr>
            <w:r>
              <w:rPr>
                <w:w w:val="105"/>
                <w:sz w:val="12"/>
              </w:rPr>
              <w:t>2005</w:t>
            </w:r>
          </w:p>
        </w:tc>
        <w:tc>
          <w:tcPr>
            <w:tcW w:w="5222" w:type="dxa"/>
          </w:tcPr>
          <w:p>
            <w:pPr>
              <w:pStyle w:val="TableParagraph"/>
              <w:spacing w:before="61"/>
              <w:ind w:right="654"/>
              <w:jc w:val="right"/>
              <w:rPr>
                <w:sz w:val="12"/>
              </w:rPr>
            </w:pPr>
            <w:r>
              <w:rPr>
                <w:w w:val="105"/>
                <w:sz w:val="12"/>
              </w:rPr>
              <w:t>Last 3 months on previous 3 months (per cent)</w:t>
            </w:r>
          </w:p>
          <w:p>
            <w:pPr>
              <w:pStyle w:val="TableParagraph"/>
              <w:spacing w:before="92"/>
              <w:ind w:right="602"/>
              <w:jc w:val="right"/>
              <w:rPr>
                <w:sz w:val="12"/>
              </w:rPr>
            </w:pPr>
            <w:r>
              <w:rPr>
                <w:w w:val="105"/>
                <w:sz w:val="12"/>
              </w:rPr>
              <w:t>8</w:t>
            </w:r>
          </w:p>
          <w:p>
            <w:pPr>
              <w:pStyle w:val="TableParagraph"/>
              <w:rPr>
                <w:sz w:val="12"/>
              </w:rPr>
            </w:pPr>
          </w:p>
          <w:p>
            <w:pPr>
              <w:pStyle w:val="TableParagraph"/>
              <w:rPr>
                <w:sz w:val="11"/>
              </w:rPr>
            </w:pPr>
          </w:p>
          <w:p>
            <w:pPr>
              <w:pStyle w:val="TableParagraph"/>
              <w:ind w:right="602"/>
              <w:jc w:val="right"/>
              <w:rPr>
                <w:sz w:val="12"/>
              </w:rPr>
            </w:pPr>
            <w:r>
              <w:rPr>
                <w:w w:val="105"/>
                <w:sz w:val="12"/>
              </w:rPr>
              <w:t>6</w:t>
            </w:r>
          </w:p>
          <w:p>
            <w:pPr>
              <w:pStyle w:val="TableParagraph"/>
              <w:rPr>
                <w:sz w:val="12"/>
              </w:rPr>
            </w:pPr>
          </w:p>
          <w:p>
            <w:pPr>
              <w:pStyle w:val="TableParagraph"/>
              <w:spacing w:before="1"/>
              <w:rPr>
                <w:sz w:val="12"/>
              </w:rPr>
            </w:pPr>
          </w:p>
          <w:p>
            <w:pPr>
              <w:pStyle w:val="TableParagraph"/>
              <w:spacing w:before="1"/>
              <w:ind w:right="602"/>
              <w:jc w:val="right"/>
              <w:rPr>
                <w:sz w:val="12"/>
              </w:rPr>
            </w:pPr>
            <w:r>
              <w:rPr>
                <w:w w:val="105"/>
                <w:sz w:val="12"/>
              </w:rPr>
              <w:t>4</w:t>
            </w:r>
          </w:p>
          <w:p>
            <w:pPr>
              <w:pStyle w:val="TableParagraph"/>
              <w:rPr>
                <w:sz w:val="12"/>
              </w:rPr>
            </w:pPr>
          </w:p>
          <w:p>
            <w:pPr>
              <w:pStyle w:val="TableParagraph"/>
              <w:rPr>
                <w:sz w:val="11"/>
              </w:rPr>
            </w:pPr>
          </w:p>
          <w:p>
            <w:pPr>
              <w:pStyle w:val="TableParagraph"/>
              <w:ind w:right="602"/>
              <w:jc w:val="right"/>
              <w:rPr>
                <w:sz w:val="12"/>
              </w:rPr>
            </w:pPr>
            <w:r>
              <w:rPr>
                <w:w w:val="105"/>
                <w:sz w:val="12"/>
              </w:rPr>
              <w:t>2</w:t>
            </w:r>
          </w:p>
          <w:p>
            <w:pPr>
              <w:pStyle w:val="TableParagraph"/>
              <w:rPr>
                <w:sz w:val="12"/>
              </w:rPr>
            </w:pPr>
          </w:p>
          <w:p>
            <w:pPr>
              <w:pStyle w:val="TableParagraph"/>
              <w:spacing w:before="2"/>
              <w:rPr>
                <w:sz w:val="11"/>
              </w:rPr>
            </w:pPr>
          </w:p>
          <w:p>
            <w:pPr>
              <w:pStyle w:val="TableParagraph"/>
              <w:ind w:right="602"/>
              <w:jc w:val="right"/>
              <w:rPr>
                <w:sz w:val="12"/>
              </w:rPr>
            </w:pPr>
            <w:r>
              <w:rPr>
                <w:w w:val="105"/>
                <w:sz w:val="12"/>
              </w:rPr>
              <w:t>0</w:t>
            </w:r>
          </w:p>
          <w:p>
            <w:pPr>
              <w:pStyle w:val="TableParagraph"/>
              <w:rPr>
                <w:sz w:val="12"/>
              </w:rPr>
            </w:pPr>
          </w:p>
          <w:p>
            <w:pPr>
              <w:pStyle w:val="TableParagraph"/>
              <w:spacing w:before="1"/>
              <w:rPr>
                <w:sz w:val="12"/>
              </w:rPr>
            </w:pPr>
          </w:p>
          <w:p>
            <w:pPr>
              <w:pStyle w:val="TableParagraph"/>
              <w:spacing w:before="1"/>
              <w:ind w:right="558"/>
              <w:jc w:val="right"/>
              <w:rPr>
                <w:sz w:val="12"/>
              </w:rPr>
            </w:pPr>
            <w:r>
              <w:rPr>
                <w:w w:val="105"/>
                <w:sz w:val="12"/>
              </w:rPr>
              <w:t>-2</w:t>
            </w:r>
          </w:p>
          <w:p>
            <w:pPr>
              <w:pStyle w:val="TableParagraph"/>
              <w:rPr>
                <w:sz w:val="12"/>
              </w:rPr>
            </w:pPr>
          </w:p>
          <w:p>
            <w:pPr>
              <w:pStyle w:val="TableParagraph"/>
              <w:rPr>
                <w:sz w:val="11"/>
              </w:rPr>
            </w:pPr>
          </w:p>
          <w:p>
            <w:pPr>
              <w:pStyle w:val="TableParagraph"/>
              <w:ind w:left="4543"/>
              <w:rPr>
                <w:sz w:val="12"/>
              </w:rPr>
            </w:pPr>
            <w:r>
              <w:rPr>
                <w:w w:val="105"/>
                <w:sz w:val="12"/>
              </w:rPr>
              <w:t>-4</w:t>
            </w:r>
          </w:p>
          <w:p>
            <w:pPr>
              <w:pStyle w:val="TableParagraph"/>
              <w:tabs>
                <w:tab w:pos="769" w:val="left" w:leader="none"/>
                <w:tab w:pos="1338" w:val="left" w:leader="none"/>
                <w:tab w:pos="1916" w:val="left" w:leader="none"/>
                <w:tab w:pos="2485" w:val="left" w:leader="none"/>
                <w:tab w:pos="3064" w:val="left" w:leader="none"/>
                <w:tab w:pos="3632" w:val="left" w:leader="none"/>
                <w:tab w:pos="4211" w:val="left" w:leader="none"/>
              </w:tabs>
              <w:spacing w:before="38"/>
              <w:ind w:left="191"/>
              <w:rPr>
                <w:sz w:val="12"/>
              </w:rPr>
            </w:pPr>
            <w:r>
              <w:rPr>
                <w:w w:val="105"/>
                <w:sz w:val="12"/>
              </w:rPr>
              <w:t>1991</w:t>
              <w:tab/>
              <w:t>1993</w:t>
              <w:tab/>
              <w:t>1995</w:t>
              <w:tab/>
              <w:t>1997</w:t>
              <w:tab/>
              <w:t>1999</w:t>
              <w:tab/>
              <w:t>2001</w:t>
              <w:tab/>
              <w:t>2003</w:t>
              <w:tab/>
              <w:t>2005</w:t>
            </w:r>
          </w:p>
          <w:p>
            <w:pPr>
              <w:pStyle w:val="TableParagraph"/>
              <w:rPr>
                <w:sz w:val="12"/>
              </w:rPr>
            </w:pPr>
          </w:p>
          <w:p>
            <w:pPr>
              <w:pStyle w:val="TableParagraph"/>
              <w:spacing w:before="9"/>
              <w:rPr>
                <w:sz w:val="13"/>
              </w:rPr>
            </w:pPr>
          </w:p>
          <w:p>
            <w:pPr>
              <w:pStyle w:val="TableParagraph"/>
              <w:ind w:left="105"/>
              <w:rPr>
                <w:sz w:val="16"/>
              </w:rPr>
            </w:pPr>
            <w:r>
              <w:rPr>
                <w:sz w:val="16"/>
              </w:rPr>
              <w:t>Sources: Halifax and Nationwide.</w:t>
            </w:r>
          </w:p>
        </w:tc>
      </w:tr>
    </w:tbl>
    <w:p>
      <w:pPr>
        <w:pStyle w:val="BodyText"/>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83"/>
        <w:gridCol w:w="513"/>
        <w:gridCol w:w="575"/>
        <w:gridCol w:w="666"/>
        <w:gridCol w:w="4673"/>
        <w:gridCol w:w="664"/>
      </w:tblGrid>
      <w:tr>
        <w:trPr>
          <w:trHeight w:val="827" w:hRule="atLeast"/>
        </w:trPr>
        <w:tc>
          <w:tcPr>
            <w:tcW w:w="5337" w:type="dxa"/>
            <w:gridSpan w:val="4"/>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7"/>
              <w:rPr>
                <w:b/>
                <w:sz w:val="24"/>
              </w:rPr>
            </w:pPr>
            <w:r>
              <w:rPr>
                <w:b/>
                <w:sz w:val="24"/>
              </w:rPr>
              <w:t>Figure 5</w:t>
            </w:r>
          </w:p>
          <w:p>
            <w:pPr>
              <w:pStyle w:val="TableParagraph"/>
              <w:spacing w:line="270" w:lineRule="atLeast"/>
              <w:ind w:left="107"/>
              <w:rPr>
                <w:b/>
                <w:sz w:val="24"/>
              </w:rPr>
            </w:pPr>
            <w:r>
              <w:rPr>
                <w:b/>
                <w:sz w:val="24"/>
              </w:rPr>
              <w:t>UK House Prices Relative to Average</w:t>
            </w:r>
            <w:r>
              <w:rPr>
                <w:b/>
                <w:spacing w:val="-25"/>
                <w:sz w:val="24"/>
              </w:rPr>
              <w:t> </w:t>
            </w:r>
            <w:r>
              <w:rPr>
                <w:b/>
                <w:sz w:val="24"/>
              </w:rPr>
              <w:t>Annual Earnings</w:t>
            </w:r>
          </w:p>
        </w:tc>
        <w:tc>
          <w:tcPr>
            <w:tcW w:w="53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5"/>
              <w:rPr>
                <w:b/>
                <w:sz w:val="24"/>
              </w:rPr>
            </w:pPr>
            <w:r>
              <w:rPr>
                <w:b/>
                <w:sz w:val="24"/>
              </w:rPr>
              <w:t>Figure 6</w:t>
            </w:r>
          </w:p>
          <w:p>
            <w:pPr>
              <w:pStyle w:val="TableParagraph"/>
              <w:spacing w:line="270" w:lineRule="atLeast"/>
              <w:ind w:left="105" w:right="669"/>
              <w:rPr>
                <w:b/>
                <w:sz w:val="24"/>
              </w:rPr>
            </w:pPr>
            <w:r>
              <w:rPr>
                <w:b/>
                <w:sz w:val="24"/>
              </w:rPr>
              <w:t>Ratio of House Prices to Average Household Disposable Income (top 70% of households)</w:t>
            </w:r>
          </w:p>
        </w:tc>
      </w:tr>
      <w:tr>
        <w:trPr>
          <w:trHeight w:val="520" w:hRule="atLeast"/>
        </w:trPr>
        <w:tc>
          <w:tcPr>
            <w:tcW w:w="3583" w:type="dxa"/>
            <w:vMerge w:val="restart"/>
            <w:tcBorders>
              <w:top w:val="single" w:sz="4" w:space="0" w:color="000000"/>
              <w:left w:val="single" w:sz="4" w:space="0" w:color="000000"/>
              <w:bottom w:val="single" w:sz="4" w:space="0" w:color="000000"/>
            </w:tcBorders>
          </w:tcPr>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spacing w:before="11"/>
              <w:rPr>
                <w:sz w:val="17"/>
              </w:rPr>
            </w:pPr>
          </w:p>
          <w:p>
            <w:pPr>
              <w:pStyle w:val="TableParagraph"/>
              <w:ind w:right="75"/>
              <w:jc w:val="right"/>
              <w:rPr>
                <w:sz w:val="12"/>
              </w:rPr>
            </w:pPr>
            <w:r>
              <w:rPr>
                <w:w w:val="105"/>
                <w:sz w:val="12"/>
              </w:rPr>
              <w:t>Average since 1982</w:t>
            </w: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spacing w:before="7"/>
              <w:rPr>
                <w:sz w:val="20"/>
              </w:rPr>
            </w:pPr>
          </w:p>
          <w:p>
            <w:pPr>
              <w:pStyle w:val="TableParagraph"/>
              <w:tabs>
                <w:tab w:pos="779" w:val="left" w:leader="none"/>
                <w:tab w:pos="1359" w:val="left" w:leader="none"/>
                <w:tab w:pos="1940" w:val="left" w:leader="none"/>
                <w:tab w:pos="2510" w:val="left" w:leader="none"/>
                <w:tab w:pos="3089" w:val="left" w:leader="none"/>
              </w:tabs>
              <w:ind w:left="198"/>
              <w:rPr>
                <w:sz w:val="12"/>
              </w:rPr>
            </w:pPr>
            <w:r>
              <w:rPr>
                <w:spacing w:val="3"/>
                <w:w w:val="105"/>
                <w:sz w:val="12"/>
              </w:rPr>
              <w:t>1982</w:t>
              <w:tab/>
              <w:t>1985</w:t>
              <w:tab/>
              <w:t>1988</w:t>
              <w:tab/>
              <w:t>1991</w:t>
              <w:tab/>
              <w:t>1994</w:t>
              <w:tab/>
            </w:r>
            <w:r>
              <w:rPr>
                <w:spacing w:val="5"/>
                <w:w w:val="105"/>
                <w:sz w:val="12"/>
              </w:rPr>
              <w:t>1997</w:t>
            </w:r>
          </w:p>
          <w:p>
            <w:pPr>
              <w:pStyle w:val="TableParagraph"/>
              <w:rPr>
                <w:sz w:val="14"/>
              </w:rPr>
            </w:pPr>
          </w:p>
          <w:p>
            <w:pPr>
              <w:pStyle w:val="TableParagraph"/>
              <w:spacing w:before="7"/>
              <w:rPr>
                <w:sz w:val="12"/>
              </w:rPr>
            </w:pPr>
          </w:p>
          <w:p>
            <w:pPr>
              <w:pStyle w:val="TableParagraph"/>
              <w:ind w:left="107"/>
              <w:rPr>
                <w:sz w:val="16"/>
              </w:rPr>
            </w:pPr>
            <w:r>
              <w:rPr>
                <w:sz w:val="16"/>
              </w:rPr>
              <w:t>Sources: Halifax, Nationwide and ONS.</w:t>
            </w:r>
          </w:p>
        </w:tc>
        <w:tc>
          <w:tcPr>
            <w:tcW w:w="513" w:type="dxa"/>
            <w:tcBorders>
              <w:top w:val="single" w:sz="4" w:space="0" w:color="000000"/>
            </w:tcBorders>
          </w:tcPr>
          <w:p>
            <w:pPr>
              <w:pStyle w:val="TableParagraph"/>
              <w:rPr>
                <w:sz w:val="16"/>
              </w:rPr>
            </w:pPr>
          </w:p>
        </w:tc>
        <w:tc>
          <w:tcPr>
            <w:tcW w:w="575" w:type="dxa"/>
            <w:tcBorders>
              <w:top w:val="single" w:sz="4" w:space="0" w:color="000000"/>
            </w:tcBorders>
          </w:tcPr>
          <w:p>
            <w:pPr>
              <w:pStyle w:val="TableParagraph"/>
              <w:rPr>
                <w:sz w:val="16"/>
              </w:rPr>
            </w:pPr>
          </w:p>
        </w:tc>
        <w:tc>
          <w:tcPr>
            <w:tcW w:w="666" w:type="dxa"/>
            <w:tcBorders>
              <w:top w:val="single" w:sz="4" w:space="0" w:color="000000"/>
              <w:right w:val="single" w:sz="4" w:space="0" w:color="000000"/>
            </w:tcBorders>
          </w:tcPr>
          <w:p>
            <w:pPr>
              <w:pStyle w:val="TableParagraph"/>
              <w:rPr>
                <w:sz w:val="14"/>
              </w:rPr>
            </w:pPr>
          </w:p>
          <w:p>
            <w:pPr>
              <w:pStyle w:val="TableParagraph"/>
              <w:spacing w:before="10"/>
              <w:rPr>
                <w:sz w:val="15"/>
              </w:rPr>
            </w:pPr>
          </w:p>
          <w:p>
            <w:pPr>
              <w:pStyle w:val="TableParagraph"/>
              <w:ind w:left="154"/>
              <w:rPr>
                <w:sz w:val="12"/>
              </w:rPr>
            </w:pPr>
            <w:r>
              <w:rPr>
                <w:w w:val="105"/>
                <w:sz w:val="12"/>
              </w:rPr>
              <w:t>Ratio</w:t>
            </w:r>
          </w:p>
        </w:tc>
        <w:tc>
          <w:tcPr>
            <w:tcW w:w="4673" w:type="dxa"/>
            <w:vMerge w:val="restart"/>
            <w:tcBorders>
              <w:top w:val="single" w:sz="4" w:space="0" w:color="000000"/>
              <w:left w:val="single" w:sz="4" w:space="0" w:color="000000"/>
              <w:bottom w:val="single" w:sz="4" w:space="0" w:color="000000"/>
            </w:tcBorders>
          </w:tcPr>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spacing w:before="124"/>
              <w:ind w:left="2567"/>
              <w:rPr>
                <w:sz w:val="12"/>
              </w:rPr>
            </w:pPr>
            <w:r>
              <w:rPr>
                <w:w w:val="105"/>
                <w:sz w:val="12"/>
              </w:rPr>
              <w:t>Average since 1982</w:t>
            </w: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tabs>
                <w:tab w:pos="771" w:val="left" w:leader="none"/>
                <w:tab w:pos="1337" w:val="left" w:leader="none"/>
                <w:tab w:pos="1913" w:val="left" w:leader="none"/>
                <w:tab w:pos="2489" w:val="left" w:leader="none"/>
                <w:tab w:pos="3063" w:val="left" w:leader="none"/>
                <w:tab w:pos="3629" w:val="left" w:leader="none"/>
                <w:tab w:pos="4205" w:val="left" w:leader="none"/>
              </w:tabs>
              <w:spacing w:before="125"/>
              <w:ind w:left="195"/>
              <w:rPr>
                <w:sz w:val="12"/>
              </w:rPr>
            </w:pPr>
            <w:r>
              <w:rPr>
                <w:spacing w:val="4"/>
                <w:w w:val="105"/>
                <w:sz w:val="12"/>
              </w:rPr>
              <w:t>1982</w:t>
              <w:tab/>
              <w:t>1985</w:t>
              <w:tab/>
              <w:t>1988</w:t>
              <w:tab/>
              <w:t>1991</w:t>
              <w:tab/>
              <w:t>1994</w:t>
              <w:tab/>
              <w:t>1997</w:t>
              <w:tab/>
              <w:t>2000</w:t>
              <w:tab/>
            </w:r>
            <w:r>
              <w:rPr>
                <w:spacing w:val="5"/>
                <w:w w:val="105"/>
                <w:sz w:val="12"/>
              </w:rPr>
              <w:t>2003</w:t>
            </w:r>
          </w:p>
          <w:p>
            <w:pPr>
              <w:pStyle w:val="TableParagraph"/>
              <w:rPr>
                <w:sz w:val="14"/>
              </w:rPr>
            </w:pPr>
          </w:p>
          <w:p>
            <w:pPr>
              <w:pStyle w:val="TableParagraph"/>
              <w:spacing w:before="5"/>
              <w:rPr>
                <w:sz w:val="12"/>
              </w:rPr>
            </w:pPr>
          </w:p>
          <w:p>
            <w:pPr>
              <w:pStyle w:val="TableParagraph"/>
              <w:spacing w:before="1"/>
              <w:ind w:left="105"/>
              <w:rPr>
                <w:sz w:val="16"/>
              </w:rPr>
            </w:pPr>
            <w:r>
              <w:rPr>
                <w:sz w:val="16"/>
              </w:rPr>
              <w:t>Sources: General Household Survey, Halifax, Nationwide, and</w:t>
            </w:r>
            <w:r>
              <w:rPr>
                <w:spacing w:val="-20"/>
                <w:sz w:val="16"/>
              </w:rPr>
              <w:t> </w:t>
            </w:r>
            <w:r>
              <w:rPr>
                <w:sz w:val="16"/>
              </w:rPr>
              <w:t>ONS.</w:t>
            </w:r>
          </w:p>
        </w:tc>
        <w:tc>
          <w:tcPr>
            <w:tcW w:w="664" w:type="dxa"/>
            <w:tcBorders>
              <w:top w:val="single" w:sz="4" w:space="0" w:color="000000"/>
              <w:right w:val="single" w:sz="4" w:space="0" w:color="000000"/>
            </w:tcBorders>
          </w:tcPr>
          <w:p>
            <w:pPr>
              <w:pStyle w:val="TableParagraph"/>
              <w:rPr>
                <w:sz w:val="14"/>
              </w:rPr>
            </w:pPr>
          </w:p>
          <w:p>
            <w:pPr>
              <w:pStyle w:val="TableParagraph"/>
              <w:spacing w:before="7"/>
              <w:rPr>
                <w:sz w:val="15"/>
              </w:rPr>
            </w:pPr>
          </w:p>
          <w:p>
            <w:pPr>
              <w:pStyle w:val="TableParagraph"/>
              <w:spacing w:before="1"/>
              <w:ind w:left="192"/>
              <w:rPr>
                <w:sz w:val="12"/>
              </w:rPr>
            </w:pPr>
            <w:r>
              <w:rPr>
                <w:w w:val="105"/>
                <w:sz w:val="12"/>
              </w:rPr>
              <w:t>Ratio</w:t>
            </w:r>
          </w:p>
        </w:tc>
      </w:tr>
      <w:tr>
        <w:trPr>
          <w:trHeight w:val="289" w:hRule="atLeast"/>
        </w:trPr>
        <w:tc>
          <w:tcPr>
            <w:tcW w:w="3583" w:type="dxa"/>
            <w:vMerge/>
            <w:tcBorders>
              <w:top w:val="nil"/>
              <w:left w:val="single" w:sz="4" w:space="0" w:color="000000"/>
              <w:bottom w:val="single" w:sz="4" w:space="0" w:color="000000"/>
            </w:tcBorders>
          </w:tcPr>
          <w:p>
            <w:pPr>
              <w:rPr>
                <w:sz w:val="2"/>
                <w:szCs w:val="2"/>
              </w:rPr>
            </w:pPr>
          </w:p>
        </w:tc>
        <w:tc>
          <w:tcPr>
            <w:tcW w:w="513" w:type="dxa"/>
          </w:tcPr>
          <w:p>
            <w:pPr>
              <w:pStyle w:val="TableParagraph"/>
              <w:rPr>
                <w:sz w:val="16"/>
              </w:rPr>
            </w:pPr>
          </w:p>
        </w:tc>
        <w:tc>
          <w:tcPr>
            <w:tcW w:w="575" w:type="dxa"/>
          </w:tcPr>
          <w:p>
            <w:pPr>
              <w:pStyle w:val="TableParagraph"/>
              <w:rPr>
                <w:sz w:val="16"/>
              </w:rPr>
            </w:pPr>
          </w:p>
        </w:tc>
        <w:tc>
          <w:tcPr>
            <w:tcW w:w="666" w:type="dxa"/>
            <w:tcBorders>
              <w:right w:val="single" w:sz="4" w:space="0" w:color="000000"/>
            </w:tcBorders>
          </w:tcPr>
          <w:p>
            <w:pPr>
              <w:pStyle w:val="TableParagraph"/>
              <w:spacing w:before="52"/>
              <w:ind w:left="199"/>
              <w:rPr>
                <w:sz w:val="12"/>
              </w:rPr>
            </w:pPr>
            <w:r>
              <w:rPr>
                <w:w w:val="104"/>
                <w:sz w:val="12"/>
              </w:rPr>
              <w:t>7</w:t>
            </w:r>
          </w:p>
        </w:tc>
        <w:tc>
          <w:tcPr>
            <w:tcW w:w="4673" w:type="dxa"/>
            <w:vMerge/>
            <w:tcBorders>
              <w:top w:val="nil"/>
              <w:left w:val="single" w:sz="4" w:space="0" w:color="000000"/>
              <w:bottom w:val="single" w:sz="4" w:space="0" w:color="000000"/>
            </w:tcBorders>
          </w:tcPr>
          <w:p>
            <w:pPr>
              <w:rPr>
                <w:sz w:val="2"/>
                <w:szCs w:val="2"/>
              </w:rPr>
            </w:pPr>
          </w:p>
        </w:tc>
        <w:tc>
          <w:tcPr>
            <w:tcW w:w="664" w:type="dxa"/>
            <w:tcBorders>
              <w:right w:val="single" w:sz="4" w:space="0" w:color="000000"/>
            </w:tcBorders>
          </w:tcPr>
          <w:p>
            <w:pPr>
              <w:pStyle w:val="TableParagraph"/>
              <w:spacing w:before="36"/>
              <w:ind w:left="146"/>
              <w:rPr>
                <w:sz w:val="12"/>
              </w:rPr>
            </w:pPr>
            <w:r>
              <w:rPr>
                <w:w w:val="103"/>
                <w:sz w:val="12"/>
              </w:rPr>
              <w:t>7</w:t>
            </w:r>
          </w:p>
        </w:tc>
      </w:tr>
      <w:tr>
        <w:trPr>
          <w:trHeight w:val="353" w:hRule="atLeast"/>
        </w:trPr>
        <w:tc>
          <w:tcPr>
            <w:tcW w:w="3583" w:type="dxa"/>
            <w:vMerge/>
            <w:tcBorders>
              <w:top w:val="nil"/>
              <w:left w:val="single" w:sz="4" w:space="0" w:color="000000"/>
              <w:bottom w:val="single" w:sz="4" w:space="0" w:color="000000"/>
            </w:tcBorders>
          </w:tcPr>
          <w:p>
            <w:pPr>
              <w:rPr>
                <w:sz w:val="2"/>
                <w:szCs w:val="2"/>
              </w:rPr>
            </w:pPr>
          </w:p>
        </w:tc>
        <w:tc>
          <w:tcPr>
            <w:tcW w:w="513" w:type="dxa"/>
          </w:tcPr>
          <w:p>
            <w:pPr>
              <w:pStyle w:val="TableParagraph"/>
              <w:rPr>
                <w:sz w:val="16"/>
              </w:rPr>
            </w:pPr>
          </w:p>
        </w:tc>
        <w:tc>
          <w:tcPr>
            <w:tcW w:w="575" w:type="dxa"/>
          </w:tcPr>
          <w:p>
            <w:pPr>
              <w:pStyle w:val="TableParagraph"/>
              <w:rPr>
                <w:sz w:val="16"/>
              </w:rPr>
            </w:pPr>
          </w:p>
        </w:tc>
        <w:tc>
          <w:tcPr>
            <w:tcW w:w="666" w:type="dxa"/>
            <w:tcBorders>
              <w:right w:val="single" w:sz="4" w:space="0" w:color="000000"/>
            </w:tcBorders>
          </w:tcPr>
          <w:p>
            <w:pPr>
              <w:pStyle w:val="TableParagraph"/>
              <w:spacing w:before="116"/>
              <w:ind w:left="199"/>
              <w:rPr>
                <w:sz w:val="12"/>
              </w:rPr>
            </w:pPr>
            <w:r>
              <w:rPr>
                <w:w w:val="104"/>
                <w:sz w:val="12"/>
              </w:rPr>
              <w:t>6</w:t>
            </w:r>
          </w:p>
        </w:tc>
        <w:tc>
          <w:tcPr>
            <w:tcW w:w="4673" w:type="dxa"/>
            <w:vMerge/>
            <w:tcBorders>
              <w:top w:val="nil"/>
              <w:left w:val="single" w:sz="4" w:space="0" w:color="000000"/>
              <w:bottom w:val="single" w:sz="4" w:space="0" w:color="000000"/>
            </w:tcBorders>
          </w:tcPr>
          <w:p>
            <w:pPr>
              <w:rPr>
                <w:sz w:val="2"/>
                <w:szCs w:val="2"/>
              </w:rPr>
            </w:pPr>
          </w:p>
        </w:tc>
        <w:tc>
          <w:tcPr>
            <w:tcW w:w="664" w:type="dxa"/>
            <w:tcBorders>
              <w:right w:val="single" w:sz="4" w:space="0" w:color="000000"/>
            </w:tcBorders>
          </w:tcPr>
          <w:p>
            <w:pPr>
              <w:pStyle w:val="TableParagraph"/>
              <w:spacing w:before="97"/>
              <w:ind w:left="146"/>
              <w:rPr>
                <w:sz w:val="12"/>
              </w:rPr>
            </w:pPr>
            <w:r>
              <w:rPr>
                <w:w w:val="103"/>
                <w:sz w:val="12"/>
              </w:rPr>
              <w:t>6</w:t>
            </w:r>
          </w:p>
        </w:tc>
      </w:tr>
      <w:tr>
        <w:trPr>
          <w:trHeight w:val="352" w:hRule="atLeast"/>
        </w:trPr>
        <w:tc>
          <w:tcPr>
            <w:tcW w:w="3583" w:type="dxa"/>
            <w:vMerge/>
            <w:tcBorders>
              <w:top w:val="nil"/>
              <w:left w:val="single" w:sz="4" w:space="0" w:color="000000"/>
              <w:bottom w:val="single" w:sz="4" w:space="0" w:color="000000"/>
            </w:tcBorders>
          </w:tcPr>
          <w:p>
            <w:pPr>
              <w:rPr>
                <w:sz w:val="2"/>
                <w:szCs w:val="2"/>
              </w:rPr>
            </w:pPr>
          </w:p>
        </w:tc>
        <w:tc>
          <w:tcPr>
            <w:tcW w:w="513" w:type="dxa"/>
          </w:tcPr>
          <w:p>
            <w:pPr>
              <w:pStyle w:val="TableParagraph"/>
              <w:rPr>
                <w:sz w:val="16"/>
              </w:rPr>
            </w:pPr>
          </w:p>
        </w:tc>
        <w:tc>
          <w:tcPr>
            <w:tcW w:w="575" w:type="dxa"/>
          </w:tcPr>
          <w:p>
            <w:pPr>
              <w:pStyle w:val="TableParagraph"/>
              <w:rPr>
                <w:sz w:val="16"/>
              </w:rPr>
            </w:pPr>
          </w:p>
        </w:tc>
        <w:tc>
          <w:tcPr>
            <w:tcW w:w="666" w:type="dxa"/>
            <w:tcBorders>
              <w:right w:val="single" w:sz="4" w:space="0" w:color="000000"/>
            </w:tcBorders>
          </w:tcPr>
          <w:p>
            <w:pPr>
              <w:pStyle w:val="TableParagraph"/>
              <w:spacing w:before="118"/>
              <w:ind w:left="199"/>
              <w:rPr>
                <w:sz w:val="12"/>
              </w:rPr>
            </w:pPr>
            <w:r>
              <w:rPr>
                <w:w w:val="104"/>
                <w:sz w:val="12"/>
              </w:rPr>
              <w:t>5</w:t>
            </w:r>
          </w:p>
        </w:tc>
        <w:tc>
          <w:tcPr>
            <w:tcW w:w="4673" w:type="dxa"/>
            <w:vMerge/>
            <w:tcBorders>
              <w:top w:val="nil"/>
              <w:left w:val="single" w:sz="4" w:space="0" w:color="000000"/>
              <w:bottom w:val="single" w:sz="4" w:space="0" w:color="000000"/>
            </w:tcBorders>
          </w:tcPr>
          <w:p>
            <w:pPr>
              <w:rPr>
                <w:sz w:val="2"/>
                <w:szCs w:val="2"/>
              </w:rPr>
            </w:pPr>
          </w:p>
        </w:tc>
        <w:tc>
          <w:tcPr>
            <w:tcW w:w="664" w:type="dxa"/>
            <w:tcBorders>
              <w:right w:val="single" w:sz="4" w:space="0" w:color="000000"/>
            </w:tcBorders>
          </w:tcPr>
          <w:p>
            <w:pPr>
              <w:pStyle w:val="TableParagraph"/>
              <w:spacing w:before="95"/>
              <w:ind w:left="146"/>
              <w:rPr>
                <w:sz w:val="12"/>
              </w:rPr>
            </w:pPr>
            <w:r>
              <w:rPr>
                <w:w w:val="103"/>
                <w:sz w:val="12"/>
              </w:rPr>
              <w:t>5</w:t>
            </w:r>
          </w:p>
        </w:tc>
      </w:tr>
      <w:tr>
        <w:trPr>
          <w:trHeight w:val="359" w:hRule="atLeast"/>
        </w:trPr>
        <w:tc>
          <w:tcPr>
            <w:tcW w:w="3583" w:type="dxa"/>
            <w:vMerge/>
            <w:tcBorders>
              <w:top w:val="nil"/>
              <w:left w:val="single" w:sz="4" w:space="0" w:color="000000"/>
              <w:bottom w:val="single" w:sz="4" w:space="0" w:color="000000"/>
            </w:tcBorders>
          </w:tcPr>
          <w:p>
            <w:pPr>
              <w:rPr>
                <w:sz w:val="2"/>
                <w:szCs w:val="2"/>
              </w:rPr>
            </w:pPr>
          </w:p>
        </w:tc>
        <w:tc>
          <w:tcPr>
            <w:tcW w:w="513" w:type="dxa"/>
          </w:tcPr>
          <w:p>
            <w:pPr>
              <w:pStyle w:val="TableParagraph"/>
              <w:rPr>
                <w:sz w:val="16"/>
              </w:rPr>
            </w:pPr>
          </w:p>
        </w:tc>
        <w:tc>
          <w:tcPr>
            <w:tcW w:w="575" w:type="dxa"/>
          </w:tcPr>
          <w:p>
            <w:pPr>
              <w:pStyle w:val="TableParagraph"/>
              <w:rPr>
                <w:sz w:val="16"/>
              </w:rPr>
            </w:pPr>
          </w:p>
        </w:tc>
        <w:tc>
          <w:tcPr>
            <w:tcW w:w="666" w:type="dxa"/>
            <w:tcBorders>
              <w:right w:val="single" w:sz="4" w:space="0" w:color="000000"/>
            </w:tcBorders>
          </w:tcPr>
          <w:p>
            <w:pPr>
              <w:pStyle w:val="TableParagraph"/>
              <w:spacing w:before="121"/>
              <w:ind w:left="199"/>
              <w:rPr>
                <w:sz w:val="12"/>
              </w:rPr>
            </w:pPr>
            <w:r>
              <w:rPr>
                <w:w w:val="104"/>
                <w:sz w:val="12"/>
              </w:rPr>
              <w:t>4</w:t>
            </w:r>
          </w:p>
        </w:tc>
        <w:tc>
          <w:tcPr>
            <w:tcW w:w="4673" w:type="dxa"/>
            <w:vMerge/>
            <w:tcBorders>
              <w:top w:val="nil"/>
              <w:left w:val="single" w:sz="4" w:space="0" w:color="000000"/>
              <w:bottom w:val="single" w:sz="4" w:space="0" w:color="000000"/>
            </w:tcBorders>
          </w:tcPr>
          <w:p>
            <w:pPr>
              <w:rPr>
                <w:sz w:val="2"/>
                <w:szCs w:val="2"/>
              </w:rPr>
            </w:pPr>
          </w:p>
        </w:tc>
        <w:tc>
          <w:tcPr>
            <w:tcW w:w="664" w:type="dxa"/>
            <w:tcBorders>
              <w:right w:val="single" w:sz="4" w:space="0" w:color="000000"/>
            </w:tcBorders>
          </w:tcPr>
          <w:p>
            <w:pPr>
              <w:pStyle w:val="TableParagraph"/>
              <w:spacing w:before="93"/>
              <w:ind w:left="146"/>
              <w:rPr>
                <w:sz w:val="12"/>
              </w:rPr>
            </w:pPr>
            <w:r>
              <w:rPr>
                <w:w w:val="103"/>
                <w:sz w:val="12"/>
              </w:rPr>
              <w:t>4</w:t>
            </w:r>
          </w:p>
        </w:tc>
      </w:tr>
      <w:tr>
        <w:trPr>
          <w:trHeight w:val="352" w:hRule="atLeast"/>
        </w:trPr>
        <w:tc>
          <w:tcPr>
            <w:tcW w:w="3583" w:type="dxa"/>
            <w:vMerge/>
            <w:tcBorders>
              <w:top w:val="nil"/>
              <w:left w:val="single" w:sz="4" w:space="0" w:color="000000"/>
              <w:bottom w:val="single" w:sz="4" w:space="0" w:color="000000"/>
            </w:tcBorders>
          </w:tcPr>
          <w:p>
            <w:pPr>
              <w:rPr>
                <w:sz w:val="2"/>
                <w:szCs w:val="2"/>
              </w:rPr>
            </w:pPr>
          </w:p>
        </w:tc>
        <w:tc>
          <w:tcPr>
            <w:tcW w:w="513" w:type="dxa"/>
          </w:tcPr>
          <w:p>
            <w:pPr>
              <w:pStyle w:val="TableParagraph"/>
              <w:rPr>
                <w:sz w:val="16"/>
              </w:rPr>
            </w:pPr>
          </w:p>
        </w:tc>
        <w:tc>
          <w:tcPr>
            <w:tcW w:w="575" w:type="dxa"/>
          </w:tcPr>
          <w:p>
            <w:pPr>
              <w:pStyle w:val="TableParagraph"/>
              <w:rPr>
                <w:sz w:val="16"/>
              </w:rPr>
            </w:pPr>
          </w:p>
        </w:tc>
        <w:tc>
          <w:tcPr>
            <w:tcW w:w="666" w:type="dxa"/>
            <w:tcBorders>
              <w:right w:val="single" w:sz="4" w:space="0" w:color="000000"/>
            </w:tcBorders>
          </w:tcPr>
          <w:p>
            <w:pPr>
              <w:pStyle w:val="TableParagraph"/>
              <w:spacing w:before="116"/>
              <w:ind w:left="199"/>
              <w:rPr>
                <w:sz w:val="12"/>
              </w:rPr>
            </w:pPr>
            <w:r>
              <w:rPr>
                <w:w w:val="104"/>
                <w:sz w:val="12"/>
              </w:rPr>
              <w:t>3</w:t>
            </w:r>
          </w:p>
        </w:tc>
        <w:tc>
          <w:tcPr>
            <w:tcW w:w="4673" w:type="dxa"/>
            <w:vMerge/>
            <w:tcBorders>
              <w:top w:val="nil"/>
              <w:left w:val="single" w:sz="4" w:space="0" w:color="000000"/>
              <w:bottom w:val="single" w:sz="4" w:space="0" w:color="000000"/>
            </w:tcBorders>
          </w:tcPr>
          <w:p>
            <w:pPr>
              <w:rPr>
                <w:sz w:val="2"/>
                <w:szCs w:val="2"/>
              </w:rPr>
            </w:pPr>
          </w:p>
        </w:tc>
        <w:tc>
          <w:tcPr>
            <w:tcW w:w="664" w:type="dxa"/>
            <w:tcBorders>
              <w:right w:val="single" w:sz="4" w:space="0" w:color="000000"/>
            </w:tcBorders>
          </w:tcPr>
          <w:p>
            <w:pPr>
              <w:pStyle w:val="TableParagraph"/>
              <w:spacing w:before="97"/>
              <w:ind w:left="146"/>
              <w:rPr>
                <w:sz w:val="12"/>
              </w:rPr>
            </w:pPr>
            <w:r>
              <w:rPr>
                <w:w w:val="103"/>
                <w:sz w:val="12"/>
              </w:rPr>
              <w:t>3</w:t>
            </w:r>
          </w:p>
        </w:tc>
      </w:tr>
      <w:tr>
        <w:trPr>
          <w:trHeight w:val="353" w:hRule="atLeast"/>
        </w:trPr>
        <w:tc>
          <w:tcPr>
            <w:tcW w:w="3583" w:type="dxa"/>
            <w:vMerge/>
            <w:tcBorders>
              <w:top w:val="nil"/>
              <w:left w:val="single" w:sz="4" w:space="0" w:color="000000"/>
              <w:bottom w:val="single" w:sz="4" w:space="0" w:color="000000"/>
            </w:tcBorders>
          </w:tcPr>
          <w:p>
            <w:pPr>
              <w:rPr>
                <w:sz w:val="2"/>
                <w:szCs w:val="2"/>
              </w:rPr>
            </w:pPr>
          </w:p>
        </w:tc>
        <w:tc>
          <w:tcPr>
            <w:tcW w:w="513" w:type="dxa"/>
          </w:tcPr>
          <w:p>
            <w:pPr>
              <w:pStyle w:val="TableParagraph"/>
              <w:rPr>
                <w:sz w:val="16"/>
              </w:rPr>
            </w:pPr>
          </w:p>
        </w:tc>
        <w:tc>
          <w:tcPr>
            <w:tcW w:w="575" w:type="dxa"/>
          </w:tcPr>
          <w:p>
            <w:pPr>
              <w:pStyle w:val="TableParagraph"/>
              <w:rPr>
                <w:sz w:val="16"/>
              </w:rPr>
            </w:pPr>
          </w:p>
        </w:tc>
        <w:tc>
          <w:tcPr>
            <w:tcW w:w="666" w:type="dxa"/>
            <w:tcBorders>
              <w:right w:val="single" w:sz="4" w:space="0" w:color="000000"/>
            </w:tcBorders>
          </w:tcPr>
          <w:p>
            <w:pPr>
              <w:pStyle w:val="TableParagraph"/>
              <w:spacing w:before="119"/>
              <w:ind w:left="199"/>
              <w:rPr>
                <w:sz w:val="12"/>
              </w:rPr>
            </w:pPr>
            <w:r>
              <w:rPr>
                <w:w w:val="104"/>
                <w:sz w:val="12"/>
              </w:rPr>
              <w:t>2</w:t>
            </w:r>
          </w:p>
        </w:tc>
        <w:tc>
          <w:tcPr>
            <w:tcW w:w="4673" w:type="dxa"/>
            <w:vMerge/>
            <w:tcBorders>
              <w:top w:val="nil"/>
              <w:left w:val="single" w:sz="4" w:space="0" w:color="000000"/>
              <w:bottom w:val="single" w:sz="4" w:space="0" w:color="000000"/>
            </w:tcBorders>
          </w:tcPr>
          <w:p>
            <w:pPr>
              <w:rPr>
                <w:sz w:val="2"/>
                <w:szCs w:val="2"/>
              </w:rPr>
            </w:pPr>
          </w:p>
        </w:tc>
        <w:tc>
          <w:tcPr>
            <w:tcW w:w="664" w:type="dxa"/>
            <w:tcBorders>
              <w:right w:val="single" w:sz="4" w:space="0" w:color="000000"/>
            </w:tcBorders>
          </w:tcPr>
          <w:p>
            <w:pPr>
              <w:pStyle w:val="TableParagraph"/>
              <w:spacing w:before="95"/>
              <w:ind w:left="146"/>
              <w:rPr>
                <w:sz w:val="12"/>
              </w:rPr>
            </w:pPr>
            <w:r>
              <w:rPr>
                <w:w w:val="103"/>
                <w:sz w:val="12"/>
              </w:rPr>
              <w:t>2</w:t>
            </w:r>
          </w:p>
        </w:tc>
      </w:tr>
      <w:tr>
        <w:trPr>
          <w:trHeight w:val="353" w:hRule="atLeast"/>
        </w:trPr>
        <w:tc>
          <w:tcPr>
            <w:tcW w:w="3583" w:type="dxa"/>
            <w:vMerge/>
            <w:tcBorders>
              <w:top w:val="nil"/>
              <w:left w:val="single" w:sz="4" w:space="0" w:color="000000"/>
              <w:bottom w:val="single" w:sz="4" w:space="0" w:color="000000"/>
            </w:tcBorders>
          </w:tcPr>
          <w:p>
            <w:pPr>
              <w:rPr>
                <w:sz w:val="2"/>
                <w:szCs w:val="2"/>
              </w:rPr>
            </w:pPr>
          </w:p>
        </w:tc>
        <w:tc>
          <w:tcPr>
            <w:tcW w:w="513" w:type="dxa"/>
          </w:tcPr>
          <w:p>
            <w:pPr>
              <w:pStyle w:val="TableParagraph"/>
              <w:rPr>
                <w:sz w:val="16"/>
              </w:rPr>
            </w:pPr>
          </w:p>
        </w:tc>
        <w:tc>
          <w:tcPr>
            <w:tcW w:w="575" w:type="dxa"/>
          </w:tcPr>
          <w:p>
            <w:pPr>
              <w:pStyle w:val="TableParagraph"/>
              <w:rPr>
                <w:sz w:val="16"/>
              </w:rPr>
            </w:pPr>
          </w:p>
        </w:tc>
        <w:tc>
          <w:tcPr>
            <w:tcW w:w="666" w:type="dxa"/>
            <w:tcBorders>
              <w:right w:val="single" w:sz="4" w:space="0" w:color="000000"/>
            </w:tcBorders>
          </w:tcPr>
          <w:p>
            <w:pPr>
              <w:pStyle w:val="TableParagraph"/>
              <w:spacing w:before="121"/>
              <w:ind w:left="199"/>
              <w:rPr>
                <w:sz w:val="12"/>
              </w:rPr>
            </w:pPr>
            <w:r>
              <w:rPr>
                <w:w w:val="104"/>
                <w:sz w:val="12"/>
              </w:rPr>
              <w:t>1</w:t>
            </w:r>
          </w:p>
        </w:tc>
        <w:tc>
          <w:tcPr>
            <w:tcW w:w="4673" w:type="dxa"/>
            <w:vMerge/>
            <w:tcBorders>
              <w:top w:val="nil"/>
              <w:left w:val="single" w:sz="4" w:space="0" w:color="000000"/>
              <w:bottom w:val="single" w:sz="4" w:space="0" w:color="000000"/>
            </w:tcBorders>
          </w:tcPr>
          <w:p>
            <w:pPr>
              <w:rPr>
                <w:sz w:val="2"/>
                <w:szCs w:val="2"/>
              </w:rPr>
            </w:pPr>
          </w:p>
        </w:tc>
        <w:tc>
          <w:tcPr>
            <w:tcW w:w="664" w:type="dxa"/>
            <w:tcBorders>
              <w:right w:val="single" w:sz="4" w:space="0" w:color="000000"/>
            </w:tcBorders>
          </w:tcPr>
          <w:p>
            <w:pPr>
              <w:pStyle w:val="TableParagraph"/>
              <w:spacing w:before="93"/>
              <w:ind w:left="146"/>
              <w:rPr>
                <w:sz w:val="12"/>
              </w:rPr>
            </w:pPr>
            <w:r>
              <w:rPr>
                <w:w w:val="103"/>
                <w:sz w:val="12"/>
              </w:rPr>
              <w:t>1</w:t>
            </w:r>
          </w:p>
        </w:tc>
      </w:tr>
      <w:tr>
        <w:trPr>
          <w:trHeight w:val="278" w:hRule="atLeast"/>
        </w:trPr>
        <w:tc>
          <w:tcPr>
            <w:tcW w:w="3583" w:type="dxa"/>
            <w:vMerge/>
            <w:tcBorders>
              <w:top w:val="nil"/>
              <w:left w:val="single" w:sz="4" w:space="0" w:color="000000"/>
              <w:bottom w:val="single" w:sz="4" w:space="0" w:color="000000"/>
            </w:tcBorders>
          </w:tcPr>
          <w:p>
            <w:pPr>
              <w:rPr>
                <w:sz w:val="2"/>
                <w:szCs w:val="2"/>
              </w:rPr>
            </w:pPr>
          </w:p>
        </w:tc>
        <w:tc>
          <w:tcPr>
            <w:tcW w:w="513" w:type="dxa"/>
          </w:tcPr>
          <w:p>
            <w:pPr>
              <w:pStyle w:val="TableParagraph"/>
              <w:rPr>
                <w:sz w:val="16"/>
              </w:rPr>
            </w:pPr>
          </w:p>
        </w:tc>
        <w:tc>
          <w:tcPr>
            <w:tcW w:w="575" w:type="dxa"/>
          </w:tcPr>
          <w:p>
            <w:pPr>
              <w:pStyle w:val="TableParagraph"/>
              <w:rPr>
                <w:sz w:val="16"/>
              </w:rPr>
            </w:pPr>
          </w:p>
        </w:tc>
        <w:tc>
          <w:tcPr>
            <w:tcW w:w="666" w:type="dxa"/>
            <w:tcBorders>
              <w:right w:val="single" w:sz="4" w:space="0" w:color="000000"/>
            </w:tcBorders>
          </w:tcPr>
          <w:p>
            <w:pPr>
              <w:pStyle w:val="TableParagraph"/>
              <w:spacing w:line="136" w:lineRule="exact" w:before="122"/>
              <w:ind w:left="199"/>
              <w:rPr>
                <w:sz w:val="12"/>
              </w:rPr>
            </w:pPr>
            <w:r>
              <w:rPr>
                <w:w w:val="104"/>
                <w:sz w:val="12"/>
              </w:rPr>
              <w:t>0</w:t>
            </w:r>
          </w:p>
        </w:tc>
        <w:tc>
          <w:tcPr>
            <w:tcW w:w="4673" w:type="dxa"/>
            <w:vMerge/>
            <w:tcBorders>
              <w:top w:val="nil"/>
              <w:left w:val="single" w:sz="4" w:space="0" w:color="000000"/>
              <w:bottom w:val="single" w:sz="4" w:space="0" w:color="000000"/>
            </w:tcBorders>
          </w:tcPr>
          <w:p>
            <w:pPr>
              <w:rPr>
                <w:sz w:val="2"/>
                <w:szCs w:val="2"/>
              </w:rPr>
            </w:pPr>
          </w:p>
        </w:tc>
        <w:tc>
          <w:tcPr>
            <w:tcW w:w="664" w:type="dxa"/>
            <w:tcBorders>
              <w:right w:val="single" w:sz="4" w:space="0" w:color="000000"/>
            </w:tcBorders>
          </w:tcPr>
          <w:p>
            <w:pPr>
              <w:pStyle w:val="TableParagraph"/>
              <w:spacing w:before="91"/>
              <w:ind w:left="146"/>
              <w:rPr>
                <w:sz w:val="12"/>
              </w:rPr>
            </w:pPr>
            <w:r>
              <w:rPr>
                <w:w w:val="103"/>
                <w:sz w:val="12"/>
              </w:rPr>
              <w:t>0</w:t>
            </w:r>
          </w:p>
        </w:tc>
      </w:tr>
      <w:tr>
        <w:trPr>
          <w:trHeight w:val="925" w:hRule="atLeast"/>
        </w:trPr>
        <w:tc>
          <w:tcPr>
            <w:tcW w:w="3583" w:type="dxa"/>
            <w:vMerge/>
            <w:tcBorders>
              <w:top w:val="nil"/>
              <w:left w:val="single" w:sz="4" w:space="0" w:color="000000"/>
              <w:bottom w:val="single" w:sz="4" w:space="0" w:color="000000"/>
            </w:tcBorders>
          </w:tcPr>
          <w:p>
            <w:pPr>
              <w:rPr>
                <w:sz w:val="2"/>
                <w:szCs w:val="2"/>
              </w:rPr>
            </w:pPr>
          </w:p>
        </w:tc>
        <w:tc>
          <w:tcPr>
            <w:tcW w:w="513" w:type="dxa"/>
            <w:tcBorders>
              <w:bottom w:val="single" w:sz="4" w:space="0" w:color="000000"/>
            </w:tcBorders>
          </w:tcPr>
          <w:p>
            <w:pPr>
              <w:pStyle w:val="TableParagraph"/>
              <w:spacing w:before="16"/>
              <w:ind w:left="92"/>
              <w:rPr>
                <w:sz w:val="12"/>
              </w:rPr>
            </w:pPr>
            <w:r>
              <w:rPr>
                <w:w w:val="105"/>
                <w:sz w:val="12"/>
              </w:rPr>
              <w:t>2000</w:t>
            </w:r>
          </w:p>
        </w:tc>
        <w:tc>
          <w:tcPr>
            <w:tcW w:w="575" w:type="dxa"/>
            <w:tcBorders>
              <w:bottom w:val="single" w:sz="4" w:space="0" w:color="000000"/>
            </w:tcBorders>
          </w:tcPr>
          <w:p>
            <w:pPr>
              <w:pStyle w:val="TableParagraph"/>
              <w:spacing w:before="16"/>
              <w:ind w:left="160"/>
              <w:rPr>
                <w:sz w:val="12"/>
              </w:rPr>
            </w:pPr>
            <w:r>
              <w:rPr>
                <w:w w:val="105"/>
                <w:sz w:val="12"/>
              </w:rPr>
              <w:t>2003</w:t>
            </w:r>
          </w:p>
        </w:tc>
        <w:tc>
          <w:tcPr>
            <w:tcW w:w="666" w:type="dxa"/>
            <w:tcBorders>
              <w:bottom w:val="single" w:sz="4" w:space="0" w:color="000000"/>
              <w:right w:val="single" w:sz="4" w:space="0" w:color="000000"/>
            </w:tcBorders>
          </w:tcPr>
          <w:p>
            <w:pPr>
              <w:pStyle w:val="TableParagraph"/>
              <w:rPr>
                <w:sz w:val="16"/>
              </w:rPr>
            </w:pPr>
          </w:p>
        </w:tc>
        <w:tc>
          <w:tcPr>
            <w:tcW w:w="4673" w:type="dxa"/>
            <w:vMerge/>
            <w:tcBorders>
              <w:top w:val="nil"/>
              <w:left w:val="single" w:sz="4" w:space="0" w:color="000000"/>
              <w:bottom w:val="single" w:sz="4" w:space="0" w:color="000000"/>
            </w:tcBorders>
          </w:tcPr>
          <w:p>
            <w:pPr>
              <w:rPr>
                <w:sz w:val="2"/>
                <w:szCs w:val="2"/>
              </w:rPr>
            </w:pPr>
          </w:p>
        </w:tc>
        <w:tc>
          <w:tcPr>
            <w:tcW w:w="664" w:type="dxa"/>
            <w:tcBorders>
              <w:bottom w:val="single" w:sz="4" w:space="0" w:color="000000"/>
              <w:right w:val="single" w:sz="4" w:space="0" w:color="000000"/>
            </w:tcBorders>
          </w:tcPr>
          <w:p>
            <w:pPr>
              <w:pStyle w:val="TableParagraph"/>
              <w:rPr>
                <w:sz w:val="16"/>
              </w:rPr>
            </w:pPr>
          </w:p>
        </w:tc>
      </w:tr>
    </w:tbl>
    <w:p>
      <w:pPr>
        <w:spacing w:after="0"/>
        <w:rPr>
          <w:sz w:val="16"/>
        </w:rPr>
        <w:sectPr>
          <w:pgSz w:w="11900" w:h="16840"/>
          <w:pgMar w:header="716" w:footer="0" w:top="1340" w:bottom="280" w:left="600" w:right="400"/>
        </w:sectPr>
      </w:pPr>
    </w:p>
    <w:p>
      <w:pPr>
        <w:pStyle w:val="BodyText"/>
        <w:rPr>
          <w:sz w:val="20"/>
        </w:rPr>
      </w:pPr>
      <w:r>
        <w:rPr/>
        <w:pict>
          <v:group style="position:absolute;margin-left:51.692375pt;margin-top:133.229996pt;width:208.3pt;height:124.7pt;mso-position-horizontal-relative:page;mso-position-vertical-relative:page;z-index:-254042112" coordorigin="1034,2665" coordsize="4166,2494">
            <v:shape style="position:absolute;left:1039;top:2665;width:4161;height:2493" coordorigin="1039,2665" coordsize="4161,2493" path="m5168,2665l5168,5158m5168,5158l5200,5158m5168,4746l5200,4746m5168,4322l5200,4322m5168,3911l5200,3911m5168,3499l5200,3499m5168,3077l5200,3077m5168,2665l5200,2665m1039,5158l5168,5158m1039,5158l1039,5124m1643,5158l1643,5124m2246,5158l2246,5124m2850,5158l2850,5124m3452,5158l3452,5124m4056,5158l4056,5124m4660,5158l4660,5124e" filled="false" stroked="true" strokeweight=".06pt" strokecolor="#000000">
              <v:path arrowok="t"/>
              <v:stroke dashstyle="solid"/>
            </v:shape>
            <v:shape style="position:absolute;left:1033;top:3037;width:4140;height:1580" type="#_x0000_t75" stroked="false">
              <v:imagedata r:id="rId13" o:title=""/>
            </v:shape>
            <w10:wrap type="none"/>
          </v:group>
        </w:pict>
      </w:r>
      <w:r>
        <w:rPr/>
        <w:pict>
          <v:group style="position:absolute;margin-left:55.349998pt;margin-top:407.790009pt;width:203pt;height:140.1pt;mso-position-horizontal-relative:page;mso-position-vertical-relative:page;z-index:-254041088" coordorigin="1107,8156" coordsize="4060,2802">
            <v:shape style="position:absolute;left:1107;top:8156;width:4059;height:2801" coordorigin="1108,8156" coordsize="4059,2801" path="m5122,8156l5122,10957,5166,10957m5122,10603l5166,10603m5122,10265l5166,10265m5122,9911l5166,9911m5122,9557l5166,9557m5122,9203l5166,9203m5122,8864l5166,8864m5122,8510l5166,8510m5122,8156l5166,8156m1108,10957l5122,10957m1108,10957l1108,10913m1536,10957l1536,10913m1964,10957l1964,10913m2392,10957l2392,10913m2834,10957l2834,10913m3263,10957l3263,10913m3690,10957l3690,10913m4118,10957l4118,10913m4547,10957l4547,10913m4974,10957l4974,10913e" filled="false" stroked="true" strokeweight=".06pt" strokecolor="#000000">
              <v:path arrowok="t"/>
              <v:stroke dashstyle="solid"/>
            </v:shape>
            <v:line style="position:absolute" from="1123,10427" to="1241,10265" stroked="true" strokeweight="1.475pt" strokecolor="#000080">
              <v:stroke dashstyle="solid"/>
            </v:line>
            <v:shape style="position:absolute;left:1240;top:8598;width:3867;height:2271" coordorigin="1241,8598" coordsize="3867,2271" path="m1241,10265l1344,10471,1447,9984,1550,10411,1669,10132,1772,10087,1876,10235,1993,10324,2096,10279,2200,10471,2303,10589,2422,10471,2525,10043,2628,9704,2746,9571,2849,9587,2953,10427,3056,10868,3174,10368,3277,10176,3380,9778,3499,9763,3602,9852,3706,9601,3809,8996,3926,8776,4030,8598,4133,9409,4252,9808,4355,9763,4458,9292,4561,9071,4679,9071,4783,9896,4886,10781,5004,10721,5107,10721e" filled="false" stroked="true" strokeweight="1.475pt" strokecolor="#000080">
              <v:path arrowok="t"/>
              <v:stroke dashstyle="solid"/>
            </v:shape>
            <v:shape style="position:absolute;left:4236;top:9836;width:842;height:945" coordorigin="4236,9836" coordsize="842,945" path="m4296,9881l4266,9836,4236,9852,4266,9896,4296,9881m4399,10028l4369,9984,4340,9998,4369,10043,4399,10028m4502,10190l4472,10146,4458,10132,4444,10146,4453,10156,4444,10162,4472,10205,4502,10190m4606,10338l4576,10294,4561,10279,4547,10294,4556,10303,4547,10308,4576,10352,4606,10338m4709,10486l4694,10456,4679,10427,4650,10441,4664,10471,4679,10500,4709,10486m4812,10633l4798,10603,4783,10574,4753,10589,4768,10618,4783,10648,4812,10633m4901,10765l4871,10721,4842,10736,4871,10781,4881,10775,4886,10781,4901,10765m5077,10706l5018,10706,5018,10736,5077,10736,5077,10706e" filled="true" fillcolor="#339a65" stroked="false">
              <v:path arrowok="t"/>
              <v:fill type="solid"/>
            </v:shape>
            <v:line style="position:absolute" from="3906,8489" to="3906,10937" stroked="true" strokeweight=".738pt" strokecolor="#010101">
              <v:stroke dashstyle="solid"/>
            </v:line>
            <w10:wrap type="none"/>
          </v:group>
        </w:pict>
      </w:r>
      <w:r>
        <w:rPr/>
        <w:pict>
          <v:group style="position:absolute;margin-left:323.070007pt;margin-top:395.429993pt;width:205.65pt;height:151.5pt;mso-position-horizontal-relative:page;mso-position-vertical-relative:page;z-index:-254040064" coordorigin="6461,7909" coordsize="4113,3030">
            <v:shape style="position:absolute;left:6462;top:7909;width:4112;height:2991" coordorigin="6462,7909" coordsize="4112,2991" path="m10529,7909l10529,10900,10573,10900m10529,10585l10573,10585m10529,10256l10573,10256m10529,9942l10573,9942m10529,9629l10573,9629m10529,9314l10573,9314m10529,8986l10573,8986m10529,8671l10573,8671m10529,8358l10573,8358m10529,8044l10573,8044m6462,10900l10529,10900m6462,10900l6462,10854m6911,10900l6911,10854m7358,10900l7358,10854m7807,10900l7807,10854m8256,10900l8256,10854m8705,10900l8705,10854m9154,10900l9154,10854m9601,10900l9601,10854m10050,10900l10050,10854m10499,10900l10499,10854e" filled="false" stroked="true" strokeweight=".06pt" strokecolor="#000000">
              <v:path arrowok="t"/>
              <v:stroke dashstyle="solid"/>
            </v:shape>
            <v:shape style="position:absolute;left:6476;top:8298;width:4037;height:2602" coordorigin="6476,8298" coordsize="4037,2602" path="m6476,10900l6596,10870,6701,10854,6821,10810,6925,10780,7045,10750,7150,10705,7270,10675,7374,10645,7493,10615,7598,10585,7717,10571,7823,10541,7942,10495,8046,10436,8166,10361,8270,10272,8390,10242,8495,10242,8600,10212,8719,10166,8824,10092,8944,10018,9048,9942,9168,9838,9272,9703,9392,9539,9497,9359,9617,9224,9721,9120,9841,9016,9946,8851,10066,8671,10170,8462,10289,8358,10394,8328,10513,8298e" filled="false" stroked="true" strokeweight="1.495pt" strokecolor="#000080">
              <v:path arrowok="t"/>
              <v:stroke dashstyle="solid"/>
            </v:shape>
            <v:shape style="position:absolute;left:9706;top:8761;width:748;height:375" coordorigin="9707,8761" coordsize="748,375" path="m9766,9106l9751,9076,9707,9106,9721,9136,9766,9106m9916,8971l9901,8956,9856,9000,9871,9016,9916,8971m10096,8896l10080,8866,10050,8881,10020,8896,10036,8926,10066,8911,10096,8896m10274,8806l10214,8821,10214,8851,10274,8836,10274,8806m10454,8761l10394,8777,10394,8806,10454,8791,10454,8761e" filled="true" fillcolor="#339a65" stroked="false">
              <v:path arrowok="t"/>
              <v:fill type="solid"/>
            </v:shape>
            <v:shape style="position:absolute;left:9242;top:9344;width:285;height:389" coordorigin="9242,9344" coordsize="285,389" path="m9272,9703l9242,9673m9272,9703l9302,9733m9272,9703l9242,9733m9272,9703l9302,9673m9392,9539l9362,9509m9392,9539l9422,9569m9392,9539l9362,9569m9392,9539l9422,9509m9497,9374l9467,9344m9497,9374l9527,9404m9497,9374l9467,9404m9497,9374l9527,9344e" filled="false" stroked="true" strokeweight=".747pt" strokecolor="#008000">
              <v:path arrowok="t"/>
              <v:stroke dashstyle="solid"/>
            </v:shape>
            <v:shape style="position:absolute;left:9579;top:9262;width:180;height:104" type="#_x0000_t75" stroked="false">
              <v:imagedata r:id="rId14" o:title=""/>
            </v:shape>
            <v:shape style="position:absolute;left:9803;top:9112;width:180;height:180" type="#_x0000_t75" stroked="false">
              <v:imagedata r:id="rId15" o:title=""/>
            </v:shape>
            <v:shape style="position:absolute;left:10035;top:8716;width:508;height:344" coordorigin="10036,8717" coordsize="508,344" path="m10066,9030l10036,9000m10066,9030l10096,9060m10066,9030l10036,9060m10066,9030l10096,9000m10170,8881l10140,8851m10170,8881l10200,8911m10170,8881l10140,8911m10170,8881l10200,8851m10289,8791l10260,8761m10289,8791l10319,8821m10289,8791l10260,8821m10289,8791l10319,8761m10394,8777l10364,8747m10394,8777l10424,8806m10394,8777l10364,8806m10394,8777l10424,8747m10513,8747l10483,8717m10513,8747l10543,8777m10513,8747l10483,8777m10513,8747l10543,8717e" filled="false" stroked="true" strokeweight=".747pt" strokecolor="#008000">
              <v:path arrowok="t"/>
              <v:stroke dashstyle="solid"/>
            </v:shape>
            <v:line style="position:absolute" from="9326,8456" to="9326,10938" stroked="true" strokeweight=".748pt" strokecolor="#010101">
              <v:stroke dashstyle="solid"/>
            </v:line>
            <v:shape style="position:absolute;left:9823;top:8608;width:161;height:296" type="#_x0000_t75" stroked="false">
              <v:imagedata r:id="rId16" o:title=""/>
            </v:shape>
            <w10:wrap type="none"/>
          </v:group>
        </w:pict>
      </w:r>
    </w:p>
    <w:p>
      <w:pPr>
        <w:pStyle w:val="BodyText"/>
        <w:spacing w:before="3"/>
        <w:rPr>
          <w:sz w:val="11"/>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35"/>
        <w:gridCol w:w="5335"/>
      </w:tblGrid>
      <w:tr>
        <w:trPr>
          <w:trHeight w:val="551" w:hRule="atLeast"/>
        </w:trPr>
        <w:tc>
          <w:tcPr>
            <w:tcW w:w="5335" w:type="dxa"/>
          </w:tcPr>
          <w:p>
            <w:pPr>
              <w:pStyle w:val="TableParagraph"/>
              <w:spacing w:line="275" w:lineRule="exact"/>
              <w:ind w:left="107"/>
              <w:rPr>
                <w:b/>
                <w:sz w:val="24"/>
              </w:rPr>
            </w:pPr>
            <w:r>
              <w:rPr>
                <w:b/>
                <w:sz w:val="24"/>
              </w:rPr>
              <w:t>Figure 7</w:t>
            </w:r>
          </w:p>
          <w:p>
            <w:pPr>
              <w:pStyle w:val="TableParagraph"/>
              <w:spacing w:line="257" w:lineRule="exact"/>
              <w:ind w:left="107"/>
              <w:rPr>
                <w:b/>
                <w:sz w:val="24"/>
              </w:rPr>
            </w:pPr>
            <w:r>
              <w:rPr>
                <w:b/>
                <w:sz w:val="24"/>
              </w:rPr>
              <w:t>10-Year Real Interest Rates</w:t>
            </w:r>
          </w:p>
        </w:tc>
        <w:tc>
          <w:tcPr>
            <w:tcW w:w="5335" w:type="dxa"/>
          </w:tcPr>
          <w:p>
            <w:pPr>
              <w:pStyle w:val="TableParagraph"/>
              <w:rPr>
                <w:sz w:val="16"/>
              </w:rPr>
            </w:pPr>
          </w:p>
        </w:tc>
      </w:tr>
      <w:tr>
        <w:trPr>
          <w:trHeight w:val="3964" w:hRule="atLeast"/>
        </w:trPr>
        <w:tc>
          <w:tcPr>
            <w:tcW w:w="5335" w:type="dxa"/>
          </w:tcPr>
          <w:p>
            <w:pPr>
              <w:pStyle w:val="TableParagraph"/>
              <w:spacing w:line="405" w:lineRule="auto" w:before="64"/>
              <w:ind w:left="4533" w:right="534" w:hanging="171"/>
              <w:rPr>
                <w:sz w:val="12"/>
              </w:rPr>
            </w:pPr>
            <w:r>
              <w:rPr>
                <w:w w:val="105"/>
                <w:sz w:val="12"/>
              </w:rPr>
              <w:t>Per </w:t>
            </w:r>
            <w:r>
              <w:rPr>
                <w:spacing w:val="-6"/>
                <w:w w:val="105"/>
                <w:sz w:val="12"/>
              </w:rPr>
              <w:t>cent </w:t>
            </w:r>
            <w:r>
              <w:rPr>
                <w:w w:val="105"/>
                <w:sz w:val="12"/>
              </w:rPr>
              <w:t>6</w:t>
            </w:r>
          </w:p>
          <w:p>
            <w:pPr>
              <w:pStyle w:val="TableParagraph"/>
              <w:tabs>
                <w:tab w:pos="4595" w:val="right" w:leader="none"/>
              </w:tabs>
              <w:spacing w:before="178"/>
              <w:ind w:left="2235"/>
              <w:rPr>
                <w:sz w:val="12"/>
              </w:rPr>
            </w:pPr>
            <w:r>
              <w:rPr>
                <w:color w:val="FF00FF"/>
                <w:w w:val="105"/>
                <w:sz w:val="12"/>
              </w:rPr>
              <w:t>Ten-year </w:t>
            </w:r>
            <w:r>
              <w:rPr>
                <w:color w:val="FF00FF"/>
                <w:spacing w:val="-3"/>
                <w:w w:val="105"/>
                <w:sz w:val="12"/>
              </w:rPr>
              <w:t>forward </w:t>
            </w:r>
            <w:r>
              <w:rPr>
                <w:color w:val="FF00FF"/>
                <w:w w:val="105"/>
                <w:sz w:val="12"/>
              </w:rPr>
              <w:t>ten</w:t>
            </w:r>
            <w:r>
              <w:rPr>
                <w:color w:val="FF00FF"/>
                <w:spacing w:val="-8"/>
                <w:w w:val="105"/>
                <w:sz w:val="12"/>
              </w:rPr>
              <w:t> </w:t>
            </w:r>
            <w:r>
              <w:rPr>
                <w:color w:val="FF00FF"/>
                <w:w w:val="105"/>
                <w:sz w:val="12"/>
              </w:rPr>
              <w:t>years</w:t>
            </w:r>
            <w:r>
              <w:rPr>
                <w:color w:val="FF00FF"/>
                <w:spacing w:val="-6"/>
                <w:w w:val="105"/>
                <w:sz w:val="12"/>
              </w:rPr>
              <w:t> </w:t>
            </w:r>
            <w:r>
              <w:rPr>
                <w:color w:val="FF00FF"/>
                <w:spacing w:val="-3"/>
                <w:w w:val="105"/>
                <w:sz w:val="12"/>
              </w:rPr>
              <w:t>out</w:t>
              <w:tab/>
            </w:r>
            <w:r>
              <w:rPr>
                <w:w w:val="105"/>
                <w:position w:val="9"/>
                <w:sz w:val="12"/>
              </w:rPr>
              <w:t>5</w:t>
            </w:r>
          </w:p>
          <w:p>
            <w:pPr>
              <w:pStyle w:val="TableParagraph"/>
              <w:spacing w:before="195"/>
              <w:ind w:left="4533"/>
              <w:rPr>
                <w:sz w:val="12"/>
              </w:rPr>
            </w:pPr>
            <w:r>
              <w:rPr>
                <w:w w:val="104"/>
                <w:sz w:val="12"/>
              </w:rPr>
              <w:t>4</w:t>
            </w:r>
          </w:p>
          <w:p>
            <w:pPr>
              <w:pStyle w:val="TableParagraph"/>
              <w:rPr>
                <w:sz w:val="14"/>
              </w:rPr>
            </w:pPr>
          </w:p>
          <w:p>
            <w:pPr>
              <w:pStyle w:val="TableParagraph"/>
              <w:spacing w:before="113"/>
              <w:ind w:left="4533"/>
              <w:rPr>
                <w:sz w:val="12"/>
              </w:rPr>
            </w:pPr>
            <w:r>
              <w:rPr>
                <w:w w:val="104"/>
                <w:sz w:val="12"/>
              </w:rPr>
              <w:t>3</w:t>
            </w:r>
          </w:p>
          <w:p>
            <w:pPr>
              <w:pStyle w:val="TableParagraph"/>
              <w:spacing w:before="1"/>
              <w:rPr>
                <w:sz w:val="14"/>
              </w:rPr>
            </w:pPr>
          </w:p>
          <w:p>
            <w:pPr>
              <w:pStyle w:val="TableParagraph"/>
              <w:spacing w:line="125" w:lineRule="exact"/>
              <w:ind w:left="1834" w:right="2754"/>
              <w:jc w:val="center"/>
              <w:rPr>
                <w:sz w:val="12"/>
              </w:rPr>
            </w:pPr>
            <w:r>
              <w:rPr>
                <w:color w:val="000080"/>
                <w:w w:val="105"/>
                <w:sz w:val="12"/>
              </w:rPr>
              <w:t>Ten-year spot</w:t>
            </w:r>
          </w:p>
          <w:p>
            <w:pPr>
              <w:pStyle w:val="TableParagraph"/>
              <w:spacing w:line="125" w:lineRule="exact"/>
              <w:ind w:left="4533"/>
              <w:rPr>
                <w:sz w:val="12"/>
              </w:rPr>
            </w:pPr>
            <w:r>
              <w:rPr>
                <w:w w:val="104"/>
                <w:sz w:val="12"/>
              </w:rPr>
              <w:t>2</w:t>
            </w:r>
          </w:p>
          <w:p>
            <w:pPr>
              <w:pStyle w:val="TableParagraph"/>
              <w:rPr>
                <w:sz w:val="14"/>
              </w:rPr>
            </w:pPr>
          </w:p>
          <w:p>
            <w:pPr>
              <w:pStyle w:val="TableParagraph"/>
              <w:spacing w:before="124"/>
              <w:ind w:left="4533"/>
              <w:rPr>
                <w:sz w:val="12"/>
              </w:rPr>
            </w:pPr>
            <w:r>
              <w:rPr>
                <w:w w:val="104"/>
                <w:sz w:val="12"/>
              </w:rPr>
              <w:t>1</w:t>
            </w:r>
          </w:p>
          <w:p>
            <w:pPr>
              <w:pStyle w:val="TableParagraph"/>
              <w:rPr>
                <w:sz w:val="14"/>
              </w:rPr>
            </w:pPr>
          </w:p>
          <w:p>
            <w:pPr>
              <w:pStyle w:val="TableParagraph"/>
              <w:spacing w:before="112"/>
              <w:ind w:left="4533"/>
              <w:rPr>
                <w:sz w:val="12"/>
              </w:rPr>
            </w:pPr>
            <w:r>
              <w:rPr>
                <w:w w:val="104"/>
                <w:sz w:val="12"/>
              </w:rPr>
              <w:t>0</w:t>
            </w:r>
          </w:p>
          <w:p>
            <w:pPr>
              <w:pStyle w:val="TableParagraph"/>
              <w:tabs>
                <w:tab w:pos="795" w:val="left" w:leader="none"/>
                <w:tab w:pos="1398" w:val="left" w:leader="none"/>
                <w:tab w:pos="2002" w:val="left" w:leader="none"/>
                <w:tab w:pos="2606" w:val="left" w:leader="none"/>
                <w:tab w:pos="3209" w:val="left" w:leader="none"/>
                <w:tab w:pos="3813" w:val="left" w:leader="none"/>
              </w:tabs>
              <w:spacing w:before="41"/>
              <w:ind w:left="193"/>
              <w:rPr>
                <w:sz w:val="12"/>
              </w:rPr>
            </w:pPr>
            <w:r>
              <w:rPr>
                <w:w w:val="105"/>
                <w:sz w:val="12"/>
              </w:rPr>
              <w:t>1985</w:t>
              <w:tab/>
              <w:t>1988</w:t>
              <w:tab/>
              <w:t>1991</w:t>
              <w:tab/>
              <w:t>1994</w:t>
              <w:tab/>
              <w:t>1997</w:t>
              <w:tab/>
              <w:t>2000</w:t>
              <w:tab/>
              <w:t>2003</w:t>
            </w:r>
          </w:p>
          <w:p>
            <w:pPr>
              <w:pStyle w:val="TableParagraph"/>
              <w:rPr>
                <w:sz w:val="14"/>
              </w:rPr>
            </w:pPr>
          </w:p>
          <w:p>
            <w:pPr>
              <w:pStyle w:val="TableParagraph"/>
              <w:spacing w:before="2"/>
              <w:rPr>
                <w:sz w:val="12"/>
              </w:rPr>
            </w:pPr>
          </w:p>
          <w:p>
            <w:pPr>
              <w:pStyle w:val="TableParagraph"/>
              <w:ind w:left="107"/>
              <w:rPr>
                <w:sz w:val="16"/>
              </w:rPr>
            </w:pPr>
            <w:r>
              <w:rPr>
                <w:sz w:val="16"/>
              </w:rPr>
              <w:t>Source: Bank of England.</w:t>
            </w:r>
          </w:p>
          <w:p>
            <w:pPr>
              <w:pStyle w:val="TableParagraph"/>
              <w:spacing w:before="1"/>
              <w:ind w:left="107"/>
              <w:rPr>
                <w:sz w:val="16"/>
              </w:rPr>
            </w:pPr>
            <w:r>
              <w:rPr>
                <w:sz w:val="16"/>
              </w:rPr>
              <w:t>Note: Real interest rates implied by index-linked gilts.</w:t>
            </w:r>
          </w:p>
        </w:tc>
        <w:tc>
          <w:tcPr>
            <w:tcW w:w="5335" w:type="dxa"/>
          </w:tcPr>
          <w:p>
            <w:pPr>
              <w:pStyle w:val="TableParagraph"/>
              <w:rPr>
                <w:sz w:val="16"/>
              </w:rPr>
            </w:pPr>
          </w:p>
        </w:tc>
      </w:tr>
    </w:tbl>
    <w:p>
      <w:pPr>
        <w:pStyle w:val="BodyText"/>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35"/>
        <w:gridCol w:w="5335"/>
      </w:tblGrid>
      <w:tr>
        <w:trPr>
          <w:trHeight w:val="551" w:hRule="atLeast"/>
        </w:trPr>
        <w:tc>
          <w:tcPr>
            <w:tcW w:w="10670" w:type="dxa"/>
            <w:gridSpan w:val="2"/>
          </w:tcPr>
          <w:p>
            <w:pPr>
              <w:pStyle w:val="TableParagraph"/>
              <w:spacing w:line="275" w:lineRule="exact"/>
              <w:ind w:left="3640" w:right="3631"/>
              <w:jc w:val="center"/>
              <w:rPr>
                <w:b/>
                <w:sz w:val="24"/>
              </w:rPr>
            </w:pPr>
            <w:r>
              <w:rPr>
                <w:b/>
                <w:sz w:val="24"/>
              </w:rPr>
              <w:t>Figure 8</w:t>
            </w:r>
          </w:p>
          <w:p>
            <w:pPr>
              <w:pStyle w:val="TableParagraph"/>
              <w:spacing w:line="257" w:lineRule="exact"/>
              <w:ind w:left="3641" w:right="3631"/>
              <w:jc w:val="center"/>
              <w:rPr>
                <w:b/>
                <w:sz w:val="24"/>
              </w:rPr>
            </w:pPr>
            <w:r>
              <w:rPr>
                <w:b/>
                <w:sz w:val="24"/>
              </w:rPr>
              <w:t>Pricking the House Price Bubble</w:t>
            </w:r>
          </w:p>
        </w:tc>
      </w:tr>
      <w:tr>
        <w:trPr>
          <w:trHeight w:val="552" w:hRule="atLeast"/>
        </w:trPr>
        <w:tc>
          <w:tcPr>
            <w:tcW w:w="5335" w:type="dxa"/>
          </w:tcPr>
          <w:p>
            <w:pPr>
              <w:pStyle w:val="TableParagraph"/>
              <w:spacing w:line="275" w:lineRule="exact"/>
              <w:ind w:left="107"/>
              <w:rPr>
                <w:b/>
                <w:sz w:val="24"/>
              </w:rPr>
            </w:pPr>
            <w:r>
              <w:rPr>
                <w:b/>
                <w:sz w:val="24"/>
              </w:rPr>
              <w:t>Figure 8a</w:t>
            </w:r>
          </w:p>
          <w:p>
            <w:pPr>
              <w:pStyle w:val="TableParagraph"/>
              <w:spacing w:line="258" w:lineRule="exact"/>
              <w:ind w:left="107"/>
              <w:rPr>
                <w:b/>
                <w:sz w:val="24"/>
              </w:rPr>
            </w:pPr>
            <w:r>
              <w:rPr>
                <w:b/>
                <w:sz w:val="24"/>
              </w:rPr>
              <w:t>Alternative Path of House Price Inflation</w:t>
            </w:r>
          </w:p>
        </w:tc>
        <w:tc>
          <w:tcPr>
            <w:tcW w:w="5335" w:type="dxa"/>
          </w:tcPr>
          <w:p>
            <w:pPr>
              <w:pStyle w:val="TableParagraph"/>
              <w:spacing w:line="275" w:lineRule="exact"/>
              <w:ind w:left="107"/>
              <w:rPr>
                <w:b/>
                <w:sz w:val="24"/>
              </w:rPr>
            </w:pPr>
            <w:r>
              <w:rPr>
                <w:b/>
                <w:sz w:val="24"/>
              </w:rPr>
              <w:t>Figure 8b</w:t>
            </w:r>
          </w:p>
          <w:p>
            <w:pPr>
              <w:pStyle w:val="TableParagraph"/>
              <w:spacing w:line="258" w:lineRule="exact"/>
              <w:ind w:left="107"/>
              <w:rPr>
                <w:b/>
                <w:sz w:val="24"/>
              </w:rPr>
            </w:pPr>
            <w:r>
              <w:rPr>
                <w:b/>
                <w:sz w:val="24"/>
              </w:rPr>
              <w:t>Alternative Path of House Prices</w:t>
            </w:r>
          </w:p>
        </w:tc>
      </w:tr>
      <w:tr>
        <w:trPr>
          <w:trHeight w:val="4395" w:hRule="atLeast"/>
        </w:trPr>
        <w:tc>
          <w:tcPr>
            <w:tcW w:w="5335" w:type="dxa"/>
          </w:tcPr>
          <w:p>
            <w:pPr>
              <w:pStyle w:val="TableParagraph"/>
              <w:spacing w:before="82"/>
              <w:ind w:right="625"/>
              <w:jc w:val="right"/>
              <w:rPr>
                <w:sz w:val="16"/>
              </w:rPr>
            </w:pPr>
            <w:r>
              <w:rPr>
                <w:w w:val="110"/>
                <w:sz w:val="16"/>
              </w:rPr>
              <w:t>Percentage change on a quarter earlier</w:t>
            </w:r>
          </w:p>
          <w:p>
            <w:pPr>
              <w:pStyle w:val="TableParagraph"/>
              <w:tabs>
                <w:tab w:pos="4520" w:val="left" w:leader="none"/>
              </w:tabs>
              <w:spacing w:before="100"/>
              <w:ind w:left="2926"/>
              <w:rPr>
                <w:sz w:val="16"/>
              </w:rPr>
            </w:pPr>
            <w:r>
              <w:rPr>
                <w:w w:val="110"/>
                <w:position w:val="1"/>
                <w:sz w:val="16"/>
              </w:rPr>
              <w:t>Rate</w:t>
            </w:r>
            <w:r>
              <w:rPr>
                <w:spacing w:val="-7"/>
                <w:w w:val="110"/>
                <w:position w:val="1"/>
                <w:sz w:val="16"/>
              </w:rPr>
              <w:t> </w:t>
            </w:r>
            <w:r>
              <w:rPr>
                <w:spacing w:val="-4"/>
                <w:w w:val="110"/>
                <w:position w:val="1"/>
                <w:sz w:val="16"/>
              </w:rPr>
              <w:t>Hike</w:t>
              <w:tab/>
            </w:r>
            <w:r>
              <w:rPr>
                <w:w w:val="110"/>
                <w:sz w:val="16"/>
              </w:rPr>
              <w:t>8.0</w:t>
            </w:r>
          </w:p>
          <w:p>
            <w:pPr>
              <w:pStyle w:val="TableParagraph"/>
              <w:spacing w:line="166" w:lineRule="exact" w:before="22"/>
              <w:ind w:left="2926"/>
              <w:rPr>
                <w:sz w:val="16"/>
              </w:rPr>
            </w:pPr>
            <w:r>
              <w:rPr>
                <w:w w:val="110"/>
                <w:sz w:val="16"/>
              </w:rPr>
              <w:t>2002Q3</w:t>
            </w:r>
          </w:p>
          <w:p>
            <w:pPr>
              <w:pStyle w:val="TableParagraph"/>
              <w:spacing w:line="166" w:lineRule="exact"/>
              <w:ind w:left="4520"/>
              <w:rPr>
                <w:sz w:val="16"/>
              </w:rPr>
            </w:pPr>
            <w:r>
              <w:rPr>
                <w:w w:val="110"/>
                <w:sz w:val="16"/>
              </w:rPr>
              <w:t>7.0</w:t>
            </w:r>
          </w:p>
          <w:p>
            <w:pPr>
              <w:pStyle w:val="TableParagraph"/>
              <w:spacing w:before="9"/>
              <w:rPr>
                <w:sz w:val="14"/>
              </w:rPr>
            </w:pPr>
          </w:p>
          <w:p>
            <w:pPr>
              <w:pStyle w:val="TableParagraph"/>
              <w:ind w:right="581"/>
              <w:jc w:val="right"/>
              <w:rPr>
                <w:sz w:val="16"/>
              </w:rPr>
            </w:pPr>
            <w:r>
              <w:rPr>
                <w:w w:val="110"/>
                <w:sz w:val="16"/>
              </w:rPr>
              <w:t>6.0</w:t>
            </w:r>
          </w:p>
          <w:p>
            <w:pPr>
              <w:pStyle w:val="TableParagraph"/>
              <w:spacing w:before="156"/>
              <w:ind w:right="581"/>
              <w:jc w:val="right"/>
              <w:rPr>
                <w:sz w:val="16"/>
              </w:rPr>
            </w:pPr>
            <w:r>
              <w:rPr>
                <w:w w:val="110"/>
                <w:sz w:val="16"/>
              </w:rPr>
              <w:t>5.0</w:t>
            </w:r>
          </w:p>
          <w:p>
            <w:pPr>
              <w:pStyle w:val="TableParagraph"/>
              <w:tabs>
                <w:tab w:pos="4520" w:val="left" w:leader="none"/>
              </w:tabs>
              <w:spacing w:line="182" w:lineRule="auto" w:before="77"/>
              <w:ind w:left="225"/>
              <w:rPr>
                <w:sz w:val="16"/>
              </w:rPr>
            </w:pPr>
            <w:r>
              <w:rPr>
                <w:spacing w:val="-5"/>
                <w:w w:val="110"/>
                <w:sz w:val="16"/>
              </w:rPr>
              <w:t>Average</w:t>
            </w:r>
            <w:r>
              <w:rPr>
                <w:spacing w:val="-4"/>
                <w:w w:val="110"/>
                <w:sz w:val="16"/>
              </w:rPr>
              <w:t> </w:t>
            </w:r>
            <w:r>
              <w:rPr>
                <w:w w:val="110"/>
                <w:sz w:val="16"/>
              </w:rPr>
              <w:t>of</w:t>
            </w:r>
            <w:r>
              <w:rPr>
                <w:spacing w:val="2"/>
                <w:w w:val="110"/>
                <w:sz w:val="16"/>
              </w:rPr>
              <w:t> </w:t>
            </w:r>
            <w:r>
              <w:rPr>
                <w:spacing w:val="-5"/>
                <w:w w:val="110"/>
                <w:sz w:val="16"/>
              </w:rPr>
              <w:t>Halifax</w:t>
              <w:tab/>
            </w:r>
            <w:r>
              <w:rPr>
                <w:w w:val="110"/>
                <w:position w:val="-9"/>
                <w:sz w:val="16"/>
              </w:rPr>
              <w:t>4.0</w:t>
            </w:r>
          </w:p>
          <w:p>
            <w:pPr>
              <w:pStyle w:val="TableParagraph"/>
              <w:spacing w:line="153" w:lineRule="exact"/>
              <w:ind w:left="225"/>
              <w:rPr>
                <w:sz w:val="16"/>
              </w:rPr>
            </w:pPr>
            <w:r>
              <w:rPr>
                <w:w w:val="110"/>
                <w:sz w:val="16"/>
              </w:rPr>
              <w:t>and Nationwide Indices</w:t>
            </w:r>
          </w:p>
          <w:p>
            <w:pPr>
              <w:pStyle w:val="TableParagraph"/>
              <w:spacing w:before="51"/>
              <w:ind w:left="4520"/>
              <w:rPr>
                <w:sz w:val="16"/>
              </w:rPr>
            </w:pPr>
            <w:r>
              <w:rPr>
                <w:w w:val="110"/>
                <w:sz w:val="16"/>
              </w:rPr>
              <w:t>3.0</w:t>
            </w:r>
          </w:p>
          <w:p>
            <w:pPr>
              <w:pStyle w:val="TableParagraph"/>
              <w:spacing w:before="9"/>
              <w:rPr>
                <w:sz w:val="14"/>
              </w:rPr>
            </w:pPr>
          </w:p>
          <w:p>
            <w:pPr>
              <w:pStyle w:val="TableParagraph"/>
              <w:spacing w:line="159" w:lineRule="exact"/>
              <w:ind w:left="4520"/>
              <w:rPr>
                <w:sz w:val="16"/>
              </w:rPr>
            </w:pPr>
            <w:r>
              <w:rPr>
                <w:w w:val="110"/>
                <w:sz w:val="16"/>
              </w:rPr>
              <w:t>2.0</w:t>
            </w:r>
          </w:p>
          <w:p>
            <w:pPr>
              <w:pStyle w:val="TableParagraph"/>
              <w:spacing w:line="159" w:lineRule="exact"/>
              <w:ind w:left="3221"/>
              <w:rPr>
                <w:sz w:val="16"/>
              </w:rPr>
            </w:pPr>
            <w:r>
              <w:rPr>
                <w:w w:val="110"/>
                <w:sz w:val="16"/>
              </w:rPr>
              <w:t>Desired</w:t>
            </w:r>
          </w:p>
          <w:p>
            <w:pPr>
              <w:pStyle w:val="TableParagraph"/>
              <w:tabs>
                <w:tab w:pos="4520" w:val="left" w:leader="none"/>
              </w:tabs>
              <w:spacing w:before="27"/>
              <w:ind w:left="3221"/>
              <w:rPr>
                <w:sz w:val="16"/>
              </w:rPr>
            </w:pPr>
            <w:r>
              <w:rPr>
                <w:w w:val="110"/>
                <w:sz w:val="16"/>
              </w:rPr>
              <w:t>path</w:t>
              <w:tab/>
            </w:r>
            <w:r>
              <w:rPr>
                <w:w w:val="110"/>
                <w:position w:val="1"/>
                <w:sz w:val="16"/>
              </w:rPr>
              <w:t>1.0</w:t>
            </w:r>
          </w:p>
          <w:p>
            <w:pPr>
              <w:pStyle w:val="TableParagraph"/>
              <w:spacing w:before="155"/>
              <w:ind w:left="4520"/>
              <w:rPr>
                <w:sz w:val="16"/>
              </w:rPr>
            </w:pPr>
            <w:r>
              <w:rPr>
                <w:w w:val="110"/>
                <w:sz w:val="16"/>
              </w:rPr>
              <w:t>0.0</w:t>
            </w:r>
          </w:p>
          <w:p>
            <w:pPr>
              <w:pStyle w:val="TableParagraph"/>
              <w:spacing w:before="52"/>
              <w:ind w:left="225"/>
              <w:rPr>
                <w:sz w:val="16"/>
              </w:rPr>
            </w:pPr>
            <w:r>
              <w:rPr>
                <w:w w:val="110"/>
                <w:sz w:val="16"/>
              </w:rPr>
              <w:t>1996 1997 1998 1999 2000 2001 2002 2003 2004 2005</w:t>
            </w:r>
          </w:p>
          <w:p>
            <w:pPr>
              <w:pStyle w:val="TableParagraph"/>
              <w:rPr>
                <w:sz w:val="18"/>
              </w:rPr>
            </w:pPr>
          </w:p>
          <w:p>
            <w:pPr>
              <w:pStyle w:val="TableParagraph"/>
              <w:spacing w:before="3"/>
              <w:rPr>
                <w:sz w:val="14"/>
              </w:rPr>
            </w:pPr>
          </w:p>
          <w:p>
            <w:pPr>
              <w:pStyle w:val="TableParagraph"/>
              <w:ind w:left="107"/>
              <w:rPr>
                <w:sz w:val="16"/>
              </w:rPr>
            </w:pPr>
            <w:r>
              <w:rPr>
                <w:sz w:val="16"/>
              </w:rPr>
              <w:t>Sources: Halifax, Nationwide and Bank of England.</w:t>
            </w:r>
          </w:p>
        </w:tc>
        <w:tc>
          <w:tcPr>
            <w:tcW w:w="5335" w:type="dxa"/>
          </w:tcPr>
          <w:p>
            <w:pPr>
              <w:pStyle w:val="TableParagraph"/>
              <w:spacing w:line="181" w:lineRule="exact" w:before="87"/>
              <w:ind w:left="4054"/>
              <w:rPr>
                <w:sz w:val="16"/>
              </w:rPr>
            </w:pPr>
            <w:r>
              <w:rPr>
                <w:w w:val="110"/>
                <w:sz w:val="16"/>
              </w:rPr>
              <w:t>Index</w:t>
            </w:r>
          </w:p>
          <w:p>
            <w:pPr>
              <w:pStyle w:val="TableParagraph"/>
              <w:tabs>
                <w:tab w:pos="4816" w:val="right" w:leader="none"/>
              </w:tabs>
              <w:spacing w:line="211" w:lineRule="exact"/>
              <w:ind w:left="2874"/>
              <w:rPr>
                <w:sz w:val="16"/>
              </w:rPr>
            </w:pPr>
            <w:r>
              <w:rPr>
                <w:w w:val="110"/>
                <w:sz w:val="16"/>
              </w:rPr>
              <w:t>Rate</w:t>
            </w:r>
            <w:r>
              <w:rPr>
                <w:spacing w:val="-5"/>
                <w:w w:val="110"/>
                <w:sz w:val="16"/>
              </w:rPr>
              <w:t> </w:t>
            </w:r>
            <w:r>
              <w:rPr>
                <w:spacing w:val="-3"/>
                <w:w w:val="110"/>
                <w:sz w:val="16"/>
              </w:rPr>
              <w:t>Hike</w:t>
              <w:tab/>
            </w:r>
            <w:r>
              <w:rPr>
                <w:w w:val="110"/>
                <w:position w:val="3"/>
                <w:sz w:val="16"/>
              </w:rPr>
              <w:t>2.7</w:t>
            </w:r>
          </w:p>
          <w:p>
            <w:pPr>
              <w:pStyle w:val="TableParagraph"/>
              <w:tabs>
                <w:tab w:pos="4816" w:val="right" w:leader="none"/>
              </w:tabs>
              <w:spacing w:line="197" w:lineRule="exact" w:before="40"/>
              <w:ind w:left="2874"/>
              <w:rPr>
                <w:sz w:val="16"/>
              </w:rPr>
            </w:pPr>
            <w:r>
              <w:rPr>
                <w:w w:val="110"/>
                <w:sz w:val="16"/>
              </w:rPr>
              <w:t>2002Q3</w:t>
              <w:tab/>
            </w:r>
            <w:r>
              <w:rPr>
                <w:w w:val="110"/>
                <w:position w:val="-5"/>
                <w:sz w:val="16"/>
              </w:rPr>
              <w:t>2.5</w:t>
            </w:r>
          </w:p>
          <w:p>
            <w:pPr>
              <w:pStyle w:val="TableParagraph"/>
              <w:spacing w:line="137" w:lineRule="exact"/>
              <w:ind w:left="3472"/>
              <w:rPr>
                <w:sz w:val="16"/>
              </w:rPr>
            </w:pPr>
            <w:r>
              <w:rPr>
                <w:w w:val="110"/>
                <w:sz w:val="16"/>
              </w:rPr>
              <w:t>Desired</w:t>
            </w:r>
          </w:p>
          <w:p>
            <w:pPr>
              <w:pStyle w:val="TableParagraph"/>
              <w:tabs>
                <w:tab w:pos="4816" w:val="right" w:leader="none"/>
              </w:tabs>
              <w:spacing w:before="40"/>
              <w:ind w:left="3472"/>
              <w:rPr>
                <w:sz w:val="16"/>
              </w:rPr>
            </w:pPr>
            <w:r>
              <w:rPr>
                <w:w w:val="110"/>
                <w:sz w:val="16"/>
              </w:rPr>
              <w:t>path</w:t>
              <w:tab/>
              <w:t>2.3</w:t>
            </w:r>
          </w:p>
          <w:p>
            <w:pPr>
              <w:pStyle w:val="TableParagraph"/>
              <w:spacing w:before="130"/>
              <w:ind w:left="4593"/>
              <w:rPr>
                <w:sz w:val="16"/>
              </w:rPr>
            </w:pPr>
            <w:r>
              <w:rPr>
                <w:w w:val="110"/>
                <w:sz w:val="16"/>
              </w:rPr>
              <w:t>2.1</w:t>
            </w:r>
          </w:p>
          <w:p>
            <w:pPr>
              <w:pStyle w:val="TableParagraph"/>
              <w:tabs>
                <w:tab w:pos="4816" w:val="right" w:leader="none"/>
              </w:tabs>
              <w:spacing w:before="144"/>
              <w:ind w:left="3561"/>
              <w:rPr>
                <w:sz w:val="16"/>
              </w:rPr>
            </w:pPr>
            <w:r>
              <w:rPr>
                <w:w w:val="110"/>
                <w:sz w:val="16"/>
              </w:rPr>
              <w:t>Alternative</w:t>
              <w:tab/>
            </w:r>
            <w:r>
              <w:rPr>
                <w:w w:val="110"/>
                <w:position w:val="12"/>
                <w:sz w:val="16"/>
              </w:rPr>
              <w:t>1.9</w:t>
            </w:r>
          </w:p>
          <w:p>
            <w:pPr>
              <w:pStyle w:val="TableParagraph"/>
              <w:tabs>
                <w:tab w:pos="4816" w:val="right" w:leader="none"/>
              </w:tabs>
              <w:spacing w:before="11"/>
              <w:ind w:left="3561"/>
              <w:rPr>
                <w:sz w:val="16"/>
              </w:rPr>
            </w:pPr>
            <w:r>
              <w:rPr>
                <w:w w:val="110"/>
                <w:sz w:val="16"/>
              </w:rPr>
              <w:t>path</w:t>
              <w:tab/>
            </w:r>
            <w:r>
              <w:rPr>
                <w:w w:val="110"/>
                <w:position w:val="3"/>
                <w:sz w:val="16"/>
              </w:rPr>
              <w:t>1.7</w:t>
            </w:r>
          </w:p>
          <w:p>
            <w:pPr>
              <w:pStyle w:val="TableParagraph"/>
              <w:tabs>
                <w:tab w:pos="4816" w:val="right" w:leader="none"/>
              </w:tabs>
              <w:spacing w:before="105"/>
              <w:ind w:left="496"/>
              <w:rPr>
                <w:sz w:val="16"/>
              </w:rPr>
            </w:pPr>
            <w:r>
              <w:rPr>
                <w:spacing w:val="-4"/>
                <w:w w:val="110"/>
                <w:sz w:val="16"/>
              </w:rPr>
              <w:t>Average</w:t>
            </w:r>
            <w:r>
              <w:rPr>
                <w:spacing w:val="-3"/>
                <w:w w:val="110"/>
                <w:sz w:val="16"/>
              </w:rPr>
              <w:t> </w:t>
            </w:r>
            <w:r>
              <w:rPr>
                <w:w w:val="110"/>
                <w:sz w:val="16"/>
              </w:rPr>
              <w:t>of</w:t>
            </w:r>
            <w:r>
              <w:rPr>
                <w:spacing w:val="1"/>
                <w:w w:val="110"/>
                <w:sz w:val="16"/>
              </w:rPr>
              <w:t> </w:t>
            </w:r>
            <w:r>
              <w:rPr>
                <w:spacing w:val="-4"/>
                <w:w w:val="110"/>
                <w:sz w:val="16"/>
              </w:rPr>
              <w:t>Halifax</w:t>
              <w:tab/>
            </w:r>
            <w:r>
              <w:rPr>
                <w:w w:val="110"/>
                <w:position w:val="1"/>
                <w:sz w:val="16"/>
              </w:rPr>
              <w:t>1.5</w:t>
            </w:r>
          </w:p>
          <w:p>
            <w:pPr>
              <w:pStyle w:val="TableParagraph"/>
              <w:tabs>
                <w:tab w:pos="4816" w:val="right" w:leader="none"/>
              </w:tabs>
              <w:spacing w:before="40"/>
              <w:ind w:left="496"/>
              <w:rPr>
                <w:sz w:val="16"/>
              </w:rPr>
            </w:pPr>
            <w:r>
              <w:rPr>
                <w:w w:val="110"/>
                <w:sz w:val="16"/>
              </w:rPr>
              <w:t>and</w:t>
            </w:r>
            <w:r>
              <w:rPr>
                <w:spacing w:val="-13"/>
                <w:w w:val="110"/>
                <w:sz w:val="16"/>
              </w:rPr>
              <w:t> </w:t>
            </w:r>
            <w:r>
              <w:rPr>
                <w:spacing w:val="-5"/>
                <w:w w:val="110"/>
                <w:sz w:val="16"/>
              </w:rPr>
              <w:t>Nationwide</w:t>
            </w:r>
            <w:r>
              <w:rPr>
                <w:spacing w:val="-3"/>
                <w:w w:val="110"/>
                <w:sz w:val="16"/>
              </w:rPr>
              <w:t> </w:t>
            </w:r>
            <w:r>
              <w:rPr>
                <w:spacing w:val="-4"/>
                <w:w w:val="110"/>
                <w:sz w:val="16"/>
              </w:rPr>
              <w:t>Indices</w:t>
              <w:tab/>
            </w:r>
            <w:r>
              <w:rPr>
                <w:w w:val="110"/>
                <w:position w:val="-6"/>
                <w:sz w:val="16"/>
              </w:rPr>
              <w:t>1.3</w:t>
            </w:r>
          </w:p>
          <w:p>
            <w:pPr>
              <w:pStyle w:val="TableParagraph"/>
              <w:spacing w:before="149"/>
              <w:ind w:left="4593"/>
              <w:rPr>
                <w:sz w:val="16"/>
              </w:rPr>
            </w:pPr>
            <w:r>
              <w:rPr>
                <w:w w:val="110"/>
                <w:sz w:val="16"/>
              </w:rPr>
              <w:t>1.1</w:t>
            </w:r>
          </w:p>
          <w:p>
            <w:pPr>
              <w:pStyle w:val="TableParagraph"/>
              <w:spacing w:before="131"/>
              <w:ind w:left="4593"/>
              <w:rPr>
                <w:sz w:val="16"/>
              </w:rPr>
            </w:pPr>
            <w:r>
              <w:rPr>
                <w:w w:val="110"/>
                <w:sz w:val="16"/>
              </w:rPr>
              <w:t>0.9</w:t>
            </w:r>
          </w:p>
          <w:p>
            <w:pPr>
              <w:pStyle w:val="TableParagraph"/>
              <w:spacing w:before="55"/>
              <w:ind w:left="242"/>
              <w:rPr>
                <w:sz w:val="16"/>
              </w:rPr>
            </w:pPr>
            <w:r>
              <w:rPr>
                <w:w w:val="110"/>
                <w:sz w:val="16"/>
              </w:rPr>
              <w:t>1996 1997 1998 1999 2000 2001 2002 2003 2004 2005</w:t>
            </w:r>
          </w:p>
          <w:p>
            <w:pPr>
              <w:pStyle w:val="TableParagraph"/>
              <w:rPr>
                <w:sz w:val="18"/>
              </w:rPr>
            </w:pPr>
          </w:p>
          <w:p>
            <w:pPr>
              <w:pStyle w:val="TableParagraph"/>
              <w:spacing w:before="6"/>
              <w:rPr>
                <w:sz w:val="23"/>
              </w:rPr>
            </w:pPr>
          </w:p>
          <w:p>
            <w:pPr>
              <w:pStyle w:val="TableParagraph"/>
              <w:ind w:left="108"/>
              <w:rPr>
                <w:sz w:val="16"/>
              </w:rPr>
            </w:pPr>
            <w:r>
              <w:rPr>
                <w:sz w:val="16"/>
              </w:rPr>
              <w:t>Sources: Halifax, Nationwide and Bank of England.</w:t>
            </w:r>
          </w:p>
        </w:tc>
      </w:tr>
    </w:tbl>
    <w:p>
      <w:pPr>
        <w:spacing w:after="0"/>
        <w:rPr>
          <w:sz w:val="16"/>
        </w:rPr>
        <w:sectPr>
          <w:pgSz w:w="11900" w:h="16840"/>
          <w:pgMar w:header="716" w:footer="0" w:top="1340" w:bottom="280" w:left="600" w:right="400"/>
        </w:sectPr>
      </w:pPr>
    </w:p>
    <w:p>
      <w:pPr>
        <w:pStyle w:val="BodyText"/>
        <w:rPr>
          <w:sz w:val="20"/>
        </w:rPr>
      </w:pPr>
      <w:r>
        <w:rPr/>
        <w:pict>
          <v:group style="position:absolute;margin-left:51.812pt;margin-top:187.649994pt;width:221.15pt;height:125pt;mso-position-horizontal-relative:page;mso-position-vertical-relative:page;z-index:-254039040" coordorigin="1036,3753" coordsize="4423,2500">
            <v:shape style="position:absolute;left:1041;top:3753;width:4418;height:2499" coordorigin="1042,3754" coordsize="4418,2499" path="m5428,3754l5428,6252m5428,6252l5459,6252m5428,5899l5459,5899m5428,5534l5459,5534m5428,5180l5459,5180m5428,4826l5459,4826m5428,4472l5459,4472m5428,4108l5459,4108m5428,3754l5459,3754m1042,6252l5428,6252m1042,6252l1042,6221m1460,6252l1460,6221m1889,6252l1889,6221m2308,6252l2308,6221m2725,6252l2725,6221m3143,6252l3143,6221m3572,6252l3572,6221m3990,6252l3990,6221m4409,6252l4409,6221m4826,6252l4826,6221m5256,6252l5256,6221e" filled="false" stroked="true" strokeweight=".06pt" strokecolor="#000000">
              <v:path arrowok="t"/>
              <v:stroke dashstyle="solid"/>
            </v:shape>
            <v:line style="position:absolute" from="1042,4258" to="1074,4322" stroked="true" strokeweight=".536pt" strokecolor="#000080">
              <v:stroke dashstyle="solid"/>
            </v:line>
            <v:shape style="position:absolute;left:1074;top:3894;width:4354;height:1287" coordorigin="1074,3894" coordsize="4354,1287" path="m1074,4322l1117,4258,1150,4398,1181,4322,1213,4258,1256,4258,1289,4183,1321,4044,1352,4183,1396,4183,1428,4108,1460,4258,1502,4183,1567,4183,1600,4258,1706,4258,1739,4183,1782,3894,1814,3894,1846,4044,1889,4044,1954,4322,1985,4472,2028,4472,2060,4322,2093,4108,2125,4258,2167,4322,2200,4258,2232,4258,2275,4322,2308,4472,2339,4398,2371,4398,2414,4108,2447,3968,2478,4258,2510,4398,2554,4472,2660,4472,2693,4398,2725,4398,2758,4537,2801,4322,2832,4537,2864,4751,2897,4687,2940,4687,2971,4751,3004,4751,3047,4687,3112,4687,3143,4751,3186,4687,3218,4826,3251,4902,3283,4826,3325,4687,3358,4687,3390,4902,3422,4687,3464,4826,3497,4687,3529,4826,3572,4966,3605,4902,3636,4902,3668,4826,3712,4537,3744,4537,3776,4687,3808,4398,3851,4612,3883,4612,3916,4966,3958,4902,3990,4398,4022,4687,4055,4612,4098,4612,4129,4966,4162,5180,4194,4826,4237,4902,4270,4751,4301,4612,4344,4258,4376,4322,4409,4322,4441,4108,4516,4108,4548,4183,4580,4258,4622,4183,4655,4183,4687,4258,4730,4322,4763,4472,4794,4398,4826,4537,4870,4612,4902,4751,4934,4826,4966,4612,5009,4612,5041,4687,5074,4687,5116,4902,5148,4751,5180,4687,5213,4472,5256,4751,5287,4751,5320,4537,5352,4612,5395,4751,5428,4687e" filled="false" stroked="true" strokeweight=".536pt" strokecolor="#000080">
              <v:path arrowok="t"/>
              <v:stroke dashstyle="solid"/>
            </v:shape>
            <v:line style="position:absolute" from="1042,4472" to="1074,4612" stroked="true" strokeweight=".536pt" strokecolor="#ff00ff">
              <v:stroke dashstyle="solid"/>
            </v:line>
            <v:shape style="position:absolute;left:1074;top:4107;width:4354;height:1792" coordorigin="1074,4108" coordsize="4354,1792" path="m1074,4612l1117,4472,1150,4612,1181,4472,1213,4472,1256,4398,1289,4398,1321,4108,1352,4183,1396,4258,1428,4108,1460,4322,1535,4322,1567,4398,1600,4612,1643,4472,1674,4612,1739,4612,1782,4537,1814,4472,1846,4687,1889,4751,1921,4902,1954,5041,1985,5180,2028,5180,2060,5041,2093,4826,2125,4826,2167,4966,2200,4902,2232,4902,2275,5041,2308,5180,2339,5105,2371,5105,2414,4902,2447,4751,2478,5041,2510,5180,2554,5320,2586,5180,2618,5255,2660,5255,2693,5105,2725,5105,2758,5180,2801,5041,2832,5180,2864,5320,2897,5255,2940,5320,2971,5320,3004,5395,3047,5395,3079,5320,3112,5395,3143,5684,3186,5534,3218,5748,3283,5899,3325,5684,3358,5534,3390,5824,3422,5534,3497,5534,3529,5609,3572,5609,3605,5684,3636,5534,3668,5470,3712,5041,3744,5041,3776,5255,3808,4966,3851,5320,3883,5395,3916,5684,3958,5534,3990,5105,4022,5180,4055,5180,4098,5320,4129,5684,4162,5824,4194,5470,4237,5534,4270,5534,4301,5255,4344,5105,4376,5041,4409,5255,4441,5105,4483,5105,4516,5180,4548,5395,4580,5470,4622,5320,4655,5255,4730,5255,4763,5320,4794,5320,4826,5255,4870,5320,4902,5470,4934,5395,4966,5180,5009,5105,5041,5255,5074,5320,5116,5470,5148,5395,5180,5180,5213,5105,5287,5105,5320,4902,5395,4902,5428,4826e" filled="false" stroked="true" strokeweight=".536pt" strokecolor="#ff00ff">
              <v:path arrowok="t"/>
              <v:stroke dashstyle="solid"/>
            </v:shape>
            <v:shape style="position:absolute;left:1042;top:4815;width:4385;height:11" coordorigin="1043,4816" coordsize="4385,11" path="m1063,4816l1043,4816,1043,4826,1063,4826,1063,4816m1128,4816l1106,4816,1106,4826,1128,4826,1128,4816m1192,4816l1170,4816,1170,4826,1192,4826,1192,4816m1256,4816l1235,4816,1235,4826,1256,4826,1256,4816m1321,4816l1300,4816,1300,4826,1321,4826,1321,4816m1385,4816l1363,4816,1363,4826,1385,4826,1385,4816m1450,4816l1428,4816,1428,4826,1450,4826,1450,4816m1513,4816l1492,4816,1492,4826,1513,4826,1513,4816m1578,4816l1556,4816,1556,4826,1578,4826,1578,4816m1643,4816l1621,4816,1621,4826,1643,4826,1643,4816m1706,4816l1685,4816,1685,4826,1706,4826,1706,4816m1771,4816l1750,4816,1750,4826,1771,4826,1771,4816m1835,4816l1814,4816,1814,4826,1835,4826,1835,4816m1900,4816l1878,4816,1878,4826,1900,4826,1900,4816m1964,4816l1943,4816,1943,4826,1964,4826,1964,4816m2028,4816l2006,4816,2006,4826,2028,4826,2028,4816m2093,4816l2071,4816,2071,4826,2093,4826,2093,4816m2156,4816l2136,4816,2136,4826,2156,4826,2156,4816m2221,4816l2200,4816,2200,4826,2221,4826,2221,4816m2286,4816l2264,4816,2264,4826,2286,4826,2286,4816m2350,4816l2328,4816,2328,4826,2350,4826,2350,4816m2414,4816l2393,4816,2393,4826,2414,4826,2414,4816m2478,4816l2458,4816,2458,4826,2478,4826,2478,4816m2543,4816l2521,4816,2521,4826,2543,4826,2543,4816m2608,4816l2586,4816,2586,4826,2608,4826,2608,4816m2671,4816l2650,4816,2650,4826,2671,4826,2671,4816m2736,4816l2714,4816,2714,4826,2736,4826,2736,4816m2801,4816l2779,4816,2779,4826,2801,4826,2801,4816m2864,4816l2843,4816,2843,4826,2864,4826,2864,4816m2929,4816l2908,4816,2908,4826,2929,4826,2929,4816m2993,4816l2971,4816,2971,4826,2993,4826,2993,4816m3058,4816l3036,4816,3036,4826,3058,4826,3058,4816m3122,4816l3101,4816,3101,4826,3122,4826,3122,4816m3186,4816l3164,4816,3164,4826,3186,4826,3186,4816m3251,4816l3229,4816,3229,4826,3251,4826,3251,4816m3314,4816l3294,4816,3294,4826,3314,4826,3314,4816m3379,4816l3358,4816,3358,4826,3379,4826,3379,4816m3444,4816l3422,4816,3422,4826,3444,4826,3444,4816m3508,4816l3486,4816,3486,4826,3508,4826,3508,4816m3572,4816l3551,4816,3551,4826,3572,4826,3572,4816m3636,4816l3616,4816,3616,4826,3636,4826,3636,4816m3701,4816l3679,4816,3679,4826,3701,4826,3701,4816m3766,4816l3744,4816,3744,4826,3766,4826,3766,4816m3829,4816l3808,4816,3808,4826,3829,4826,3829,4816m3894,4816l3872,4816,3872,4826,3894,4826,3894,4816m3958,4816l3937,4816,3937,4826,3958,4826,3958,4816m4022,4816l4001,4816,4001,4826,4022,4826,4022,4816m4087,4816l4066,4816,4066,4826,4087,4826,4087,4816m4151,4816l4129,4816,4129,4826,4151,4826,4151,4816m4216,4816l4194,4816,4194,4826,4216,4826,4216,4816m4280,4816l4259,4816,4259,4826,4280,4826,4280,4816m4344,4816l4322,4816,4322,4826,4344,4826,4344,4816m4409,4816l4387,4816,4387,4826,4409,4826,4409,4816m4472,4816l4451,4816,4451,4826,4472,4826,4472,4816m4537,4816l4516,4816,4516,4826,4537,4826,4537,4816m4602,4816l4580,4816,4580,4826,4602,4826,4602,4816m4666,4816l4644,4816,4644,4826,4666,4826,4666,4816m4730,4816l4709,4816,4709,4826,4730,4826,4730,4816m4794,4816l4774,4816,4774,4826,4794,4826,4794,4816m4859,4816l4837,4816,4837,4826,4859,4826,4859,4816m4924,4816l4902,4816,4902,4826,4924,4826,4924,4816m4987,4816l4966,4816,4966,4826,4987,4826,4987,4816m5052,4816l5030,4816,5030,4826,5052,4826,5052,4816m5116,4816l5095,4816,5095,4826,5116,4826,5116,4816m5180,4816l5159,4816,5159,4826,5180,4826,5180,4816m5245,4816l5224,4816,5224,4826,5245,4826,5245,4816m5309,4816l5287,4816,5287,4826,5309,4826,5309,4816m5374,4816l5352,4816,5352,4826,5374,4826,5374,4816m5428,4816l5417,4816,5417,4826,5428,4826,5428,4816e" filled="true" fillcolor="#ff00ff" stroked="false">
              <v:path arrowok="t"/>
              <v:fill type="solid"/>
            </v:shape>
            <v:shape style="position:absolute;left:1042;top:4461;width:4385;height:11" coordorigin="1043,4462" coordsize="4385,11" path="m1063,4462l1043,4462,1043,4472,1063,4472,1063,4462m1128,4462l1106,4462,1106,4472,1128,4472,1128,4462m1192,4462l1170,4462,1170,4472,1192,4472,1192,4462m1256,4462l1235,4462,1235,4472,1256,4472,1256,4462m1321,4462l1300,4462,1300,4472,1321,4472,1321,4462m1385,4462l1363,4462,1363,4472,1385,4472,1385,4462m1450,4462l1428,4462,1428,4472,1450,4472,1450,4462m1513,4462l1492,4462,1492,4472,1513,4472,1513,4462m1578,4462l1556,4462,1556,4472,1578,4472,1578,4462m1643,4462l1621,4462,1621,4472,1643,4472,1643,4462m1706,4462l1685,4462,1685,4472,1706,4472,1706,4462m1771,4462l1750,4462,1750,4472,1771,4472,1771,4462m1835,4462l1814,4462,1814,4472,1835,4472,1835,4462m1900,4462l1878,4462,1878,4472,1900,4472,1900,4462m1964,4462l1943,4462,1943,4472,1964,4472,1964,4462m2028,4462l2006,4462,2006,4472,2028,4472,2028,4462m2093,4462l2071,4462,2071,4472,2093,4472,2093,4462m2156,4462l2136,4462,2136,4472,2156,4472,2156,4462m2221,4462l2200,4462,2200,4472,2221,4472,2221,4462m2286,4462l2264,4462,2264,4472,2286,4472,2286,4462m2350,4462l2328,4462,2328,4472,2350,4472,2350,4462m2414,4462l2393,4462,2393,4472,2414,4472,2414,4462m2478,4462l2458,4462,2458,4472,2478,4472,2478,4462m2543,4462l2521,4462,2521,4472,2543,4472,2543,4462m2608,4462l2586,4462,2586,4472,2608,4472,2608,4462m2671,4462l2650,4462,2650,4472,2671,4472,2671,4462m2736,4462l2714,4462,2714,4472,2736,4472,2736,4462m2801,4462l2779,4462,2779,4472,2801,4472,2801,4462m2864,4462l2843,4462,2843,4472,2864,4472,2864,4462m2929,4462l2908,4462,2908,4472,2929,4472,2929,4462m2993,4462l2971,4462,2971,4472,2993,4472,2993,4462m3058,4462l3036,4462,3036,4472,3058,4472,3058,4462m3122,4462l3101,4462,3101,4472,3122,4472,3122,4462m3186,4462l3164,4462,3164,4472,3186,4472,3186,4462m3251,4462l3229,4462,3229,4472,3251,4472,3251,4462m3314,4462l3294,4462,3294,4472,3314,4472,3314,4462m3379,4462l3358,4462,3358,4472,3379,4472,3379,4462m3444,4462l3422,4462,3422,4472,3444,4472,3444,4462m3508,4462l3486,4462,3486,4472,3508,4472,3508,4462m3572,4462l3551,4462,3551,4472,3572,4472,3572,4462m3636,4462l3616,4462,3616,4472,3636,4472,3636,4462m3701,4462l3679,4462,3679,4472,3701,4472,3701,4462m3766,4462l3744,4462,3744,4472,3766,4472,3766,4462m3829,4462l3808,4462,3808,4472,3829,4472,3829,4462m3894,4462l3872,4462,3872,4472,3894,4472,3894,4462m3958,4462l3937,4462,3937,4472,3958,4472,3958,4462m4022,4462l4001,4462,4001,4472,4022,4472,4022,4462m4087,4462l4066,4462,4066,4472,4087,4472,4087,4462m4151,4462l4129,4462,4129,4472,4151,4472,4151,4462m4216,4462l4194,4462,4194,4472,4216,4472,4216,4462m4280,4462l4259,4462,4259,4472,4280,4472,4280,4462m4344,4462l4322,4462,4322,4472,4344,4472,4344,4462m4409,4462l4387,4462,4387,4472,4409,4472,4409,4462m4472,4462l4451,4462,4451,4472,4472,4472,4472,4462m4537,4462l4516,4462,4516,4472,4537,4472,4537,4462m4602,4462l4580,4462,4580,4472,4602,4472,4602,4462m4666,4462l4644,4462,4644,4472,4666,4472,4666,4462m4730,4462l4709,4462,4709,4472,4730,4472,4730,4462m4794,4462l4774,4462,4774,4472,4794,4472,4794,4462m4859,4462l4837,4462,4837,4472,4859,4472,4859,4462m4924,4462l4902,4462,4902,4472,4924,4472,4924,4462m4987,4462l4966,4462,4966,4472,4987,4472,4987,4462m5052,4462l5030,4462,5030,4472,5052,4472,5052,4462m5116,4462l5095,4462,5095,4472,5116,4472,5116,4462m5180,4462l5159,4462,5159,4472,5180,4472,5180,4462m5245,4462l5224,4462,5224,4472,5245,4472,5245,4462m5309,4462l5287,4462,5287,4472,5309,4472,5309,4462m5374,4462l5352,4462,5352,4472,5374,4472,5374,4462m5428,4462l5417,4462,5417,4472,5428,4472,5428,4462e" filled="true" fillcolor="#000080" stroked="false">
              <v:path arrowok="t"/>
              <v:fill type="solid"/>
            </v:shape>
            <w10:wrap type="none"/>
          </v:group>
        </w:pict>
      </w:r>
      <w:r>
        <w:rPr/>
        <w:pict>
          <v:group style="position:absolute;margin-left:319.241364pt;margin-top:198.210007pt;width:219.35pt;height:114.75pt;mso-position-horizontal-relative:page;mso-position-vertical-relative:page;z-index:-254038016" coordorigin="6385,3964" coordsize="4387,2295">
            <v:line style="position:absolute" from="6396,5278" to="6396,5652" stroked="true" strokeweight="1.08pt" strokecolor="#000080">
              <v:stroke dashstyle="solid"/>
            </v:line>
            <v:line style="position:absolute" from="6429,5310" to="6429,5652" stroked="true" strokeweight="1.140pt" strokecolor="#000080">
              <v:stroke dashstyle="solid"/>
            </v:line>
            <v:line style="position:absolute" from="6462,5299" to="6462,5652" stroked="true" strokeweight="1.08pt" strokecolor="#000080">
              <v:stroke dashstyle="solid"/>
            </v:line>
            <v:line style="position:absolute" from="6501,5288" to="6501,5652" stroked="true" strokeweight="1.62pt" strokecolor="#000080">
              <v:stroke dashstyle="solid"/>
            </v:line>
            <v:line style="position:absolute" from="6540,5310" to="6540,5652" stroked="true" strokeweight="1.08pt" strokecolor="#000080">
              <v:stroke dashstyle="solid"/>
            </v:line>
            <v:line style="position:absolute" from="6573,5299" to="6573,5652" stroked="true" strokeweight="1.140pt" strokecolor="#000080">
              <v:stroke dashstyle="solid"/>
            </v:line>
            <v:shape style="position:absolute;left:6606;top:5288;width:34;height:364" coordorigin="6606,5288" coordsize="34,364" path="m6606,5299l6606,5652m6640,5288l6640,5652e" filled="false" stroked="true" strokeweight="1.08pt" strokecolor="#000080">
              <v:path arrowok="t"/>
              <v:stroke dashstyle="solid"/>
            </v:shape>
            <v:shape style="position:absolute;left:6672;top:5299;width:34;height:353" coordorigin="6673,5299" coordsize="34,353" path="m6673,5299l6673,5652m6706,5310l6706,5652e" filled="false" stroked="true" strokeweight="1.140pt" strokecolor="#000080">
              <v:path arrowok="t"/>
              <v:stroke dashstyle="solid"/>
            </v:shape>
            <v:line style="position:absolute" from="6739,5310" to="6739,5652" stroked="true" strokeweight="1.08pt" strokecolor="#000080">
              <v:stroke dashstyle="solid"/>
            </v:line>
            <v:line style="position:absolute" from="6778,5310" to="6778,5652" stroked="true" strokeweight="1.68pt" strokecolor="#000080">
              <v:stroke dashstyle="solid"/>
            </v:line>
            <v:shape style="position:absolute;left:6816;top:5265;width:34;height:387" coordorigin="6817,5266" coordsize="34,387" path="m6817,5278l6817,5652m6850,5266l6850,5652e" filled="false" stroked="true" strokeweight="1.140pt" strokecolor="#000080">
              <v:path arrowok="t"/>
              <v:stroke dashstyle="solid"/>
            </v:shape>
            <v:line style="position:absolute" from="6883,5244" to="6883,5652" stroked="true" strokeweight="1.08pt" strokecolor="#000080">
              <v:stroke dashstyle="solid"/>
            </v:line>
            <v:shape style="position:absolute;left:6916;top:5244;width:34;height:408" coordorigin="6916,5244" coordsize="34,408" path="m6916,5244l6916,5652m6950,5255l6950,5652e" filled="false" stroked="true" strokeweight="1.140pt" strokecolor="#000080">
              <v:path arrowok="t"/>
              <v:stroke dashstyle="solid"/>
            </v:shape>
            <v:shape style="position:absolute;left:6982;top:5222;width:34;height:430" coordorigin="6983,5222" coordsize="34,430" path="m6983,5244l6983,5652m7016,5222l7016,5652e" filled="false" stroked="true" strokeweight="1.08pt" strokecolor="#000080">
              <v:path arrowok="t"/>
              <v:stroke dashstyle="solid"/>
            </v:shape>
            <v:line style="position:absolute" from="7055,5244" to="7055,5652" stroked="true" strokeweight="1.68pt" strokecolor="#000080">
              <v:stroke dashstyle="solid"/>
            </v:line>
            <v:line style="position:absolute" from="7094,5222" to="7094,5652" stroked="true" strokeweight="1.140pt" strokecolor="#000080">
              <v:stroke dashstyle="solid"/>
            </v:line>
            <v:shape style="position:absolute;left:7126;top:5199;width:34;height:453" coordorigin="7127,5200" coordsize="34,453" path="m7127,5200l7127,5652m7160,5210l7160,5652e" filled="false" stroked="true" strokeweight="1.08pt" strokecolor="#000080">
              <v:path arrowok="t"/>
              <v:stroke dashstyle="solid"/>
            </v:shape>
            <v:line style="position:absolute" from="7193,5210" to="7193,5652" stroked="true" strokeweight="1.140pt" strokecolor="#000080">
              <v:stroke dashstyle="solid"/>
            </v:line>
            <v:shape style="position:absolute;left:7226;top:5178;width:34;height:474" coordorigin="7226,5178" coordsize="34,474" path="m7226,5178l7226,5652m7260,5178l7260,5652e" filled="false" stroked="true" strokeweight="1.08pt" strokecolor="#000080">
              <v:path arrowok="t"/>
              <v:stroke dashstyle="solid"/>
            </v:shape>
            <v:line style="position:absolute" from="7293,5134" to="7293,5652" stroked="true" strokeweight="1.140pt" strokecolor="#000080">
              <v:stroke dashstyle="solid"/>
            </v:line>
            <v:line style="position:absolute" from="7332,5144" to="7332,5652" stroked="true" strokeweight="1.68pt" strokecolor="#000080">
              <v:stroke dashstyle="solid"/>
            </v:line>
            <v:shape style="position:absolute;left:7370;top:5144;width:34;height:508" coordorigin="7370,5144" coordsize="34,508" path="m7370,5144l7370,5652m7404,5144l7404,5652e" filled="false" stroked="true" strokeweight="1.08pt" strokecolor="#000080">
              <v:path arrowok="t"/>
              <v:stroke dashstyle="solid"/>
            </v:shape>
            <v:line style="position:absolute" from="7437,5144" to="7437,5652" stroked="true" strokeweight="1.140pt" strokecolor="#000080">
              <v:stroke dashstyle="solid"/>
            </v:line>
            <v:shape style="position:absolute;left:7470;top:5133;width:34;height:519" coordorigin="7470,5134" coordsize="34,519" path="m7470,5134l7470,5652m7504,5178l7504,5652e" filled="false" stroked="true" strokeweight="1.08pt" strokecolor="#000080">
              <v:path arrowok="t"/>
              <v:stroke dashstyle="solid"/>
            </v:shape>
            <v:shape style="position:absolute;left:7536;top:5178;width:34;height:474" coordorigin="7537,5178" coordsize="34,474" path="m7537,5178l7537,5652m7570,5189l7570,5652e" filled="false" stroked="true" strokeweight="1.140pt" strokecolor="#000080">
              <v:path arrowok="t"/>
              <v:stroke dashstyle="solid"/>
            </v:shape>
            <v:line style="position:absolute" from="7609,5178" to="7609,5652" stroked="true" strokeweight="1.62pt" strokecolor="#000080">
              <v:stroke dashstyle="solid"/>
            </v:line>
            <v:line style="position:absolute" from="7648,5200" to="7648,5652" stroked="true" strokeweight="1.08pt" strokecolor="#000080">
              <v:stroke dashstyle="solid"/>
            </v:line>
            <v:shape style="position:absolute;left:7680;top:5133;width:34;height:519" coordorigin="7681,5134" coordsize="34,519" path="m7681,5134l7681,5652m7714,5144l7714,5652e" filled="false" stroked="true" strokeweight="1.140pt" strokecolor="#000080">
              <v:path arrowok="t"/>
              <v:stroke dashstyle="solid"/>
            </v:shape>
            <v:line style="position:absolute" from="7747,5167" to="7747,5652" stroked="true" strokeweight="1.08pt" strokecolor="#000080">
              <v:stroke dashstyle="solid"/>
            </v:line>
            <v:shape style="position:absolute;left:7780;top:5122;width:34;height:530" coordorigin="7780,5123" coordsize="34,530" path="m7780,5134l7780,5652m7814,5123l7814,5652e" filled="false" stroked="true" strokeweight="1.140pt" strokecolor="#000080">
              <v:path arrowok="t"/>
              <v:stroke dashstyle="solid"/>
            </v:shape>
            <v:line style="position:absolute" from="7853,5134" to="7853,5652" stroked="true" strokeweight="1.68pt" strokecolor="#000080">
              <v:stroke dashstyle="solid"/>
            </v:line>
            <v:line style="position:absolute" from="7891,5144" to="7891,5652" stroked="true" strokeweight="1.08pt" strokecolor="#000080">
              <v:stroke dashstyle="solid"/>
            </v:line>
            <v:shape style="position:absolute;left:7924;top:5156;width:34;height:496" coordorigin="7924,5156" coordsize="34,496" path="m7924,5156l7924,5652m7958,5178l7958,5652e" filled="false" stroked="true" strokeweight="1.140pt" strokecolor="#000080">
              <v:path arrowok="t"/>
              <v:stroke dashstyle="solid"/>
            </v:shape>
            <v:shape style="position:absolute;left:7990;top:5122;width:34;height:530" coordorigin="7991,5123" coordsize="34,530" path="m7991,5144l7991,5652m8024,5123l8024,5652e" filled="false" stroked="true" strokeweight="1.08pt" strokecolor="#000080">
              <v:path arrowok="t"/>
              <v:stroke dashstyle="solid"/>
            </v:shape>
            <v:line style="position:absolute" from="8057,5167" to="8057,5652" stroked="true" strokeweight="1.140pt" strokecolor="#000080">
              <v:stroke dashstyle="solid"/>
            </v:line>
            <v:line style="position:absolute" from="8090,5178" to="8090,5652" stroked="true" strokeweight="1.08pt" strokecolor="#000080">
              <v:stroke dashstyle="solid"/>
            </v:line>
            <v:line style="position:absolute" from="8129,5178" to="8129,5652" stroked="true" strokeweight="1.62pt" strokecolor="#000080">
              <v:stroke dashstyle="solid"/>
            </v:line>
            <v:line style="position:absolute" from="8168,5189" to="8168,5652" stroked="true" strokeweight="1.08pt" strokecolor="#000080">
              <v:stroke dashstyle="solid"/>
            </v:line>
            <v:line style="position:absolute" from="8201,5222" to="8201,5652" stroked="true" strokeweight="1.140pt" strokecolor="#000080">
              <v:stroke dashstyle="solid"/>
            </v:line>
            <v:shape style="position:absolute;left:8234;top:5178;width:34;height:474" coordorigin="8234,5178" coordsize="34,474" path="m8234,5210l8234,5652m8268,5178l8268,5652e" filled="false" stroked="true" strokeweight="1.08pt" strokecolor="#000080">
              <v:path arrowok="t"/>
              <v:stroke dashstyle="solid"/>
            </v:shape>
            <v:line style="position:absolute" from="8301,5200" to="8301,5652" stroked="true" strokeweight="1.140pt" strokecolor="#000080">
              <v:stroke dashstyle="solid"/>
            </v:line>
            <v:shape style="position:absolute;left:8334;top:5178;width:34;height:474" coordorigin="8334,5178" coordsize="34,474" path="m8334,5189l8334,5652m8368,5178l8368,5652e" filled="false" stroked="true" strokeweight="1.08pt" strokecolor="#000080">
              <v:path arrowok="t"/>
              <v:stroke dashstyle="solid"/>
            </v:shape>
            <v:line style="position:absolute" from="8406,5178" to="8406,5652" stroked="true" strokeweight="1.68pt" strokecolor="#000080">
              <v:stroke dashstyle="solid"/>
            </v:line>
            <v:line style="position:absolute" from="8445,5178" to="8445,5652" stroked="true" strokeweight="1.140pt" strokecolor="#000080">
              <v:stroke dashstyle="solid"/>
            </v:line>
            <v:shape style="position:absolute;left:8478;top:5101;width:34;height:551" coordorigin="8478,5101" coordsize="34,551" path="m8478,5134l8478,5652m8512,5101l8512,5652e" filled="false" stroked="true" strokeweight="1.08pt" strokecolor="#000080">
              <v:path arrowok="t"/>
              <v:stroke dashstyle="solid"/>
            </v:shape>
            <v:shape style="position:absolute;left:8544;top:5056;width:34;height:596" coordorigin="8545,5057" coordsize="34,596" path="m8545,5112l8545,5652m8578,5057l8578,5652e" filled="false" stroked="true" strokeweight="1.140pt" strokecolor="#000080">
              <v:path arrowok="t"/>
              <v:stroke dashstyle="solid"/>
            </v:shape>
            <v:line style="position:absolute" from="8611,5057" to="8611,5652" stroked="true" strokeweight="1.08pt" strokecolor="#000080">
              <v:stroke dashstyle="solid"/>
            </v:line>
            <v:line style="position:absolute" from="8644,5046" to="8644,5652" stroked="true" strokeweight="1.140pt" strokecolor="#000080">
              <v:stroke dashstyle="solid"/>
            </v:line>
            <v:line style="position:absolute" from="8683,5057" to="8683,5652" stroked="true" strokeweight="1.68pt" strokecolor="#000080">
              <v:stroke dashstyle="solid"/>
            </v:line>
            <v:line style="position:absolute" from="8722,5034" to="8722,5652" stroked="true" strokeweight="1.140pt" strokecolor="#000080">
              <v:stroke dashstyle="solid"/>
            </v:line>
            <v:line style="position:absolute" from="8755,5012" to="8755,5652" stroked="true" strokeweight="1.08pt" strokecolor="#000080">
              <v:stroke dashstyle="solid"/>
            </v:line>
            <v:shape style="position:absolute;left:8788;top:5034;width:34;height:618" coordorigin="8788,5034" coordsize="34,618" path="m8788,5046l8788,5652m8822,5034l8822,5652e" filled="false" stroked="true" strokeweight="1.140pt" strokecolor="#000080">
              <v:path arrowok="t"/>
              <v:stroke dashstyle="solid"/>
            </v:shape>
            <v:shape style="position:absolute;left:8854;top:5078;width:34;height:574" coordorigin="8855,5078" coordsize="34,574" path="m8855,5078l8855,5652m8888,5112l8888,5652e" filled="false" stroked="true" strokeweight="1.08pt" strokecolor="#000080">
              <v:path arrowok="t"/>
              <v:stroke dashstyle="solid"/>
            </v:shape>
            <v:line style="position:absolute" from="8921,5123" to="8921,5652" stroked="true" strokeweight="1.140pt" strokecolor="#000080">
              <v:stroke dashstyle="solid"/>
            </v:line>
            <v:line style="position:absolute" from="8960,5123" to="8960,5652" stroked="true" strokeweight="1.68pt" strokecolor="#000080">
              <v:stroke dashstyle="solid"/>
            </v:line>
            <v:shape style="position:absolute;left:8998;top:5167;width:34;height:485" coordorigin="8999,5167" coordsize="34,485" path="m8999,5167l8999,5652m9032,5167l9032,5652e" filled="false" stroked="true" strokeweight="1.08pt" strokecolor="#000080">
              <v:path arrowok="t"/>
              <v:stroke dashstyle="solid"/>
            </v:shape>
            <v:line style="position:absolute" from="9065,5178" to="9065,5652" stroked="true" strokeweight="1.140pt" strokecolor="#000080">
              <v:stroke dashstyle="solid"/>
            </v:line>
            <v:shape style="position:absolute;left:9098;top:5178;width:34;height:474" coordorigin="9098,5178" coordsize="34,474" path="m9098,5178l9098,5652m9132,5189l9132,5652e" filled="false" stroked="true" strokeweight="1.08pt" strokecolor="#000080">
              <v:path arrowok="t"/>
              <v:stroke dashstyle="solid"/>
            </v:shape>
            <v:line style="position:absolute" from="9165,5233" to="9165,5652" stroked="true" strokeweight="1.140pt" strokecolor="#000080">
              <v:stroke dashstyle="solid"/>
            </v:line>
            <v:line style="position:absolute" from="9198,5200" to="9198,5652" stroked="true" strokeweight="1.08pt" strokecolor="#000080">
              <v:stroke dashstyle="solid"/>
            </v:line>
            <v:line style="position:absolute" from="9237,5244" to="9237,5652" stroked="true" strokeweight="1.62pt" strokecolor="#000080">
              <v:stroke dashstyle="solid"/>
            </v:line>
            <v:line style="position:absolute" from="9276,5200" to="9276,5652" stroked="true" strokeweight="1.08pt" strokecolor="#000080">
              <v:stroke dashstyle="solid"/>
            </v:line>
            <v:line style="position:absolute" from="9309,5178" to="9309,5652" stroked="true" strokeweight="1.140pt" strokecolor="#000080">
              <v:stroke dashstyle="solid"/>
            </v:line>
            <v:shape style="position:absolute;left:9342;top:5254;width:34;height:398" coordorigin="9342,5255" coordsize="34,398" path="m9342,5255l9342,5652m9376,5255l9376,5652e" filled="false" stroked="true" strokeweight="1.08pt" strokecolor="#000080">
              <v:path arrowok="t"/>
              <v:stroke dashstyle="solid"/>
            </v:shape>
            <v:shape style="position:absolute;left:9408;top:5254;width:34;height:398" coordorigin="9409,5255" coordsize="34,398" path="m9409,5255l9409,5652m9442,5255l9442,5652e" filled="false" stroked="true" strokeweight="1.140pt" strokecolor="#000080">
              <v:path arrowok="t"/>
              <v:stroke dashstyle="solid"/>
            </v:shape>
            <v:line style="position:absolute" from="9481,5255" to="9481,5652" stroked="true" strokeweight="1.62pt" strokecolor="#000080">
              <v:stroke dashstyle="solid"/>
            </v:line>
            <v:line style="position:absolute" from="9520,5266" to="9520,5652" stroked="true" strokeweight="1.08pt" strokecolor="#000080">
              <v:stroke dashstyle="solid"/>
            </v:line>
            <v:shape style="position:absolute;left:9552;top:5244;width:34;height:408" coordorigin="9553,5244" coordsize="34,408" path="m9553,5244l9553,5652m9586,5244l9586,5652e" filled="false" stroked="true" strokeweight="1.140pt" strokecolor="#000080">
              <v:path arrowok="t"/>
              <v:stroke dashstyle="solid"/>
            </v:shape>
            <v:line style="position:absolute" from="9619,5266" to="9619,5652" stroked="true" strokeweight="1.08pt" strokecolor="#000080">
              <v:stroke dashstyle="solid"/>
            </v:line>
            <v:shape style="position:absolute;left:9652;top:5210;width:34;height:442" coordorigin="9652,5210" coordsize="34,442" path="m9652,5244l9652,5652m9686,5210l9686,5652e" filled="false" stroked="true" strokeweight="1.140pt" strokecolor="#000080">
              <v:path arrowok="t"/>
              <v:stroke dashstyle="solid"/>
            </v:shape>
            <v:line style="position:absolute" from="9719,5255" to="9719,5652" stroked="true" strokeweight="1.08pt" strokecolor="#000080">
              <v:stroke dashstyle="solid"/>
            </v:line>
            <v:line style="position:absolute" from="9758,5244" to="9758,5652" stroked="true" strokeweight="1.62pt" strokecolor="#000080">
              <v:stroke dashstyle="solid"/>
            </v:line>
            <v:shape style="position:absolute;left:9796;top:5244;width:34;height:408" coordorigin="9796,5244" coordsize="34,408" path="m9796,5244l9796,5652m9830,5244l9830,5652e" filled="false" stroked="true" strokeweight="1.140pt" strokecolor="#000080">
              <v:path arrowok="t"/>
              <v:stroke dashstyle="solid"/>
            </v:shape>
            <v:shape style="position:absolute;left:9862;top:5222;width:34;height:430" coordorigin="9863,5222" coordsize="34,430" path="m9863,5244l9863,5652m9896,5222l9896,5652e" filled="false" stroked="true" strokeweight="1.08pt" strokecolor="#000080">
              <v:path arrowok="t"/>
              <v:stroke dashstyle="solid"/>
            </v:shape>
            <v:line style="position:absolute" from="9929,5244" to="9929,5652" stroked="true" strokeweight="1.140pt" strokecolor="#000080">
              <v:stroke dashstyle="solid"/>
            </v:line>
            <v:shape style="position:absolute;left:9962;top:5244;width:34;height:408" coordorigin="9962,5244" coordsize="34,408" path="m9962,5266l9962,5652m9996,5244l9996,5652e" filled="false" stroked="true" strokeweight="1.08pt" strokecolor="#000080">
              <v:path arrowok="t"/>
              <v:stroke dashstyle="solid"/>
            </v:shape>
            <v:line style="position:absolute" from="10034,5244" to="10034,5652" stroked="true" strokeweight="1.68pt" strokecolor="#000080">
              <v:stroke dashstyle="solid"/>
            </v:line>
            <v:line style="position:absolute" from="10073,5244" to="10073,5652" stroked="true" strokeweight="1.140pt" strokecolor="#000080">
              <v:stroke dashstyle="solid"/>
            </v:line>
            <v:shape style="position:absolute;left:10106;top:5254;width:34;height:398" coordorigin="10106,5255" coordsize="34,398" path="m10106,5255l10106,5652m10140,5255l10140,5652e" filled="false" stroked="true" strokeweight="1.08pt" strokecolor="#000080">
              <v:path arrowok="t"/>
              <v:stroke dashstyle="solid"/>
            </v:shape>
            <v:line style="position:absolute" from="10173,5244" to="10173,5652" stroked="true" strokeweight="1.140pt" strokecolor="#000080">
              <v:stroke dashstyle="solid"/>
            </v:line>
            <v:shape style="position:absolute;left:10206;top:5244;width:34;height:408" coordorigin="10206,5244" coordsize="34,408" path="m10206,5266l10206,5652m10240,5244l10240,5652e" filled="false" stroked="true" strokeweight="1.08pt" strokecolor="#000080">
              <v:path arrowok="t"/>
              <v:stroke dashstyle="solid"/>
            </v:shape>
            <v:line style="position:absolute" from="10273,5244" to="10273,5652" stroked="true" strokeweight="1.140pt" strokecolor="#000080">
              <v:stroke dashstyle="solid"/>
            </v:line>
            <v:line style="position:absolute" from="10312,5244" to="10312,5652" stroked="true" strokeweight="1.68pt" strokecolor="#000080">
              <v:stroke dashstyle="solid"/>
            </v:line>
            <v:shape style="position:absolute;left:10350;top:5210;width:34;height:442" coordorigin="10350,5210" coordsize="34,442" path="m10350,5255l10350,5652m10384,5210l10384,5652e" filled="false" stroked="true" strokeweight="1.08pt" strokecolor="#000080">
              <v:path arrowok="t"/>
              <v:stroke dashstyle="solid"/>
            </v:shape>
            <v:shape style="position:absolute;left:10416;top:5222;width:34;height:430" coordorigin="10417,5222" coordsize="34,430" path="m10417,5233l10417,5652m10450,5222l10450,5652e" filled="false" stroked="true" strokeweight="1.140pt" strokecolor="#000080">
              <v:path arrowok="t"/>
              <v:stroke dashstyle="solid"/>
            </v:shape>
            <v:line style="position:absolute" from="10483,5210" to="10483,5652" stroked="true" strokeweight="1.08pt" strokecolor="#000080">
              <v:stroke dashstyle="solid"/>
            </v:line>
            <v:shape style="position:absolute;left:10516;top:5188;width:34;height:464" coordorigin="10516,5189" coordsize="34,464" path="m10516,5189l10516,5652m10550,5200l10550,5652e" filled="false" stroked="true" strokeweight="1.140pt" strokecolor="#000080">
              <v:path arrowok="t"/>
              <v:stroke dashstyle="solid"/>
            </v:shape>
            <v:line style="position:absolute" from="10589,5178" to="10589,5652" stroked="true" strokeweight="1.68pt" strokecolor="#000080">
              <v:stroke dashstyle="solid"/>
            </v:line>
            <v:line style="position:absolute" from="10627,5156" to="10627,5652" stroked="true" strokeweight="1.08pt" strokecolor="#000080">
              <v:stroke dashstyle="solid"/>
            </v:line>
            <v:shape style="position:absolute;left:10660;top:5167;width:34;height:485" coordorigin="10660,5167" coordsize="34,485" path="m10660,5167l10660,5652m10694,5178l10694,5652e" filled="false" stroked="true" strokeweight="1.140pt" strokecolor="#000080">
              <v:path arrowok="t"/>
              <v:stroke dashstyle="solid"/>
            </v:shape>
            <v:line style="position:absolute" from="10721,5167" to="10721,5652" stroked="true" strokeweight=".54pt" strokecolor="#000080">
              <v:stroke dashstyle="solid"/>
            </v:line>
            <v:shape style="position:absolute;left:6451;top:5122;width:654;height:662" coordorigin="6451,5123" coordsize="654,662" path="m6473,5652l6451,5652,6451,5752,6473,5752,6473,5652m6517,5255l6485,5255,6485,5288,6517,5288,6517,5255m6551,5652l6529,5652,6529,5696,6551,5696,6551,5652m6584,5266l6562,5266,6562,5299,6584,5299,6584,5266m6617,5652l6595,5652,6595,5663,6617,5663,6617,5652m6650,5652l6629,5652,6629,5675,6650,5675,6650,5652m6684,5652l6661,5652,6661,5686,6684,5686,6684,5652m6718,5652l6695,5652,6695,5762,6718,5762,6718,5652m6750,5652l6728,5652,6728,5741,6750,5741,6750,5652m6794,5652l6761,5652,6761,5784,6794,5784,6794,5652m6828,5652l6805,5652,6805,5784,6828,5784,6828,5652m6862,5652l6839,5652,6839,5707,6862,5707,6862,5652m6894,5233l6872,5233,6872,5244,6894,5244,6894,5233m6928,5178l6905,5178,6905,5244,6928,5244,6928,5178m6961,5156l6938,5156,6938,5255,6961,5255,6961,5156m6994,5652l6972,5652,6972,5675,6994,5675,6994,5652m7027,5156l7006,5156,7006,5222,7027,5222,7027,5156m7072,5156l7038,5156,7038,5244,7072,5244,7072,5156m7105,5123l7082,5123,7082,5222,7105,5222,7105,5123e" filled="true" fillcolor="#ff00ff" stroked="false">
              <v:path arrowok="t"/>
              <v:fill type="solid"/>
            </v:shape>
            <v:shape style="position:absolute;left:7126;top:5023;width:34;height:188" coordorigin="7127,5023" coordsize="34,188" path="m7127,5023l7127,5200m7160,5057l7160,5210e" filled="false" stroked="true" strokeweight="1.08pt" strokecolor="#ff00ff">
              <v:path arrowok="t"/>
              <v:stroke dashstyle="solid"/>
            </v:shape>
            <v:line style="position:absolute" from="7193,5023" to="7193,5210" stroked="true" strokeweight="1.140pt" strokecolor="#ff00ff">
              <v:stroke dashstyle="solid"/>
            </v:line>
            <v:shape style="position:absolute;left:7226;top:4968;width:34;height:210" coordorigin="7226,4968" coordsize="34,210" path="m7226,4968l7226,5178m7260,5002l7260,5178e" filled="false" stroked="true" strokeweight="1.08pt" strokecolor="#ff00ff">
              <v:path arrowok="t"/>
              <v:stroke dashstyle="solid"/>
            </v:shape>
            <v:line style="position:absolute" from="7293,4979" to="7293,5134" stroked="true" strokeweight="1.140pt" strokecolor="#ff00ff">
              <v:stroke dashstyle="solid"/>
            </v:line>
            <v:rect style="position:absolute;left:7315;top:5023;width:34;height:122" filled="true" fillcolor="#ff00ff" stroked="false">
              <v:fill type="solid"/>
            </v:rect>
            <v:shape style="position:absolute;left:7370;top:4935;width:34;height:209" coordorigin="7370,4936" coordsize="34,209" path="m7370,4968l7370,5144m7404,4936l7404,5144e" filled="false" stroked="true" strokeweight="1.08pt" strokecolor="#ff00ff">
              <v:path arrowok="t"/>
              <v:stroke dashstyle="solid"/>
            </v:shape>
            <v:line style="position:absolute" from="7437,4936" to="7437,5144" stroked="true" strokeweight="1.140pt" strokecolor="#ff00ff">
              <v:stroke dashstyle="solid"/>
            </v:line>
            <v:shape style="position:absolute;left:7470;top:4935;width:34;height:243" coordorigin="7470,4936" coordsize="34,243" path="m7470,4936l7470,5134m7504,4957l7504,5178e" filled="false" stroked="true" strokeweight="1.08pt" strokecolor="#ff00ff">
              <v:path arrowok="t"/>
              <v:stroke dashstyle="solid"/>
            </v:shape>
            <v:shape style="position:absolute;left:7536;top:4968;width:34;height:221" coordorigin="7537,4968" coordsize="34,221" path="m7537,4968l7537,5178m7570,4968l7570,5189e" filled="false" stroked="true" strokeweight="1.140pt" strokecolor="#ff00ff">
              <v:path arrowok="t"/>
              <v:stroke dashstyle="solid"/>
            </v:shape>
            <v:line style="position:absolute" from="7609,4924" to="7609,5178" stroked="true" strokeweight="1.62pt" strokecolor="#ff00ff">
              <v:stroke dashstyle="solid"/>
            </v:line>
            <v:line style="position:absolute" from="7648,4936" to="7648,5200" stroked="true" strokeweight="1.08pt" strokecolor="#ff00ff">
              <v:stroke dashstyle="solid"/>
            </v:line>
            <v:shape style="position:absolute;left:7680;top:4891;width:34;height:254" coordorigin="7681,4891" coordsize="34,254" path="m7681,4891l7681,5134m7714,4891l7714,5144e" filled="false" stroked="true" strokeweight="1.140pt" strokecolor="#ff00ff">
              <v:path arrowok="t"/>
              <v:stroke dashstyle="solid"/>
            </v:shape>
            <v:line style="position:absolute" from="7747,4858" to="7747,5167" stroked="true" strokeweight="1.08pt" strokecolor="#ff00ff">
              <v:stroke dashstyle="solid"/>
            </v:line>
            <v:shape style="position:absolute;left:7780;top:4791;width:34;height:342" coordorigin="7780,4792" coordsize="34,342" path="m7780,4814l7780,5134m7814,4792l7814,5123e" filled="false" stroked="true" strokeweight="1.140pt" strokecolor="#ff00ff">
              <v:path arrowok="t"/>
              <v:stroke dashstyle="solid"/>
            </v:shape>
            <v:line style="position:absolute" from="7853,4747" to="7853,5134" stroked="true" strokeweight="1.68pt" strokecolor="#ff00ff">
              <v:stroke dashstyle="solid"/>
            </v:line>
            <v:line style="position:absolute" from="7891,4747" to="7891,5144" stroked="true" strokeweight="1.08pt" strokecolor="#ff00ff">
              <v:stroke dashstyle="solid"/>
            </v:line>
            <v:shape style="position:absolute;left:7924;top:4770;width:34;height:408" coordorigin="7924,4770" coordsize="34,408" path="m7924,4770l7924,5156m7958,4792l7958,5178e" filled="false" stroked="true" strokeweight="1.140pt" strokecolor="#ff00ff">
              <v:path arrowok="t"/>
              <v:stroke dashstyle="solid"/>
            </v:shape>
            <v:shape style="position:absolute;left:7990;top:4747;width:34;height:398" coordorigin="7991,4747" coordsize="34,398" path="m7991,4747l7991,5144m8024,4747l8024,5123e" filled="false" stroked="true" strokeweight="1.08pt" strokecolor="#ff00ff">
              <v:path arrowok="t"/>
              <v:stroke dashstyle="solid"/>
            </v:shape>
            <v:line style="position:absolute" from="8057,4759" to="8057,5167" stroked="true" strokeweight="1.140pt" strokecolor="#ff00ff">
              <v:stroke dashstyle="solid"/>
            </v:line>
            <v:line style="position:absolute" from="8090,4759" to="8090,5178" stroked="true" strokeweight="1.08pt" strokecolor="#ff00ff">
              <v:stroke dashstyle="solid"/>
            </v:line>
            <v:line style="position:absolute" from="8129,4781" to="8129,5178" stroked="true" strokeweight="1.62pt" strokecolor="#ff00ff">
              <v:stroke dashstyle="solid"/>
            </v:line>
            <v:line style="position:absolute" from="8168,4825" to="8168,5189" stroked="true" strokeweight="1.08pt" strokecolor="#ff00ff">
              <v:stroke dashstyle="solid"/>
            </v:line>
            <v:line style="position:absolute" from="8201,4870" to="8201,5222" stroked="true" strokeweight="1.140pt" strokecolor="#ff00ff">
              <v:stroke dashstyle="solid"/>
            </v:line>
            <v:shape style="position:absolute;left:8234;top:4825;width:34;height:386" coordorigin="8234,4825" coordsize="34,386" path="m8234,4825l8234,5210m8268,4836l8268,5178e" filled="false" stroked="true" strokeweight="1.08pt" strokecolor="#ff00ff">
              <v:path arrowok="t"/>
              <v:stroke dashstyle="solid"/>
            </v:shape>
            <v:line style="position:absolute" from="8301,4858" to="8301,5200" stroked="true" strokeweight="1.140pt" strokecolor="#ff00ff">
              <v:stroke dashstyle="solid"/>
            </v:line>
            <v:shape style="position:absolute;left:8334;top:4747;width:34;height:442" coordorigin="8334,4747" coordsize="34,442" path="m8334,4814l8334,5189m8368,4747l8368,5178e" filled="false" stroked="true" strokeweight="1.08pt" strokecolor="#ff00ff">
              <v:path arrowok="t"/>
              <v:stroke dashstyle="solid"/>
            </v:shape>
            <v:line style="position:absolute" from="8406,4770" to="8406,5178" stroked="true" strokeweight="1.68pt" strokecolor="#ff00ff">
              <v:stroke dashstyle="solid"/>
            </v:line>
            <v:line style="position:absolute" from="8445,4770" to="8445,5178" stroked="true" strokeweight="1.140pt" strokecolor="#ff00ff">
              <v:stroke dashstyle="solid"/>
            </v:line>
            <v:shape style="position:absolute;left:8478;top:4604;width:34;height:530" coordorigin="8478,4604" coordsize="34,530" path="m8478,4604l8478,5134m8512,4604l8512,5101e" filled="false" stroked="true" strokeweight="1.08pt" strokecolor="#ff00ff">
              <v:path arrowok="t"/>
              <v:stroke dashstyle="solid"/>
            </v:shape>
            <v:shape style="position:absolute;left:8544;top:4549;width:34;height:563" coordorigin="8545,4549" coordsize="34,563" path="m8545,4583l8545,5112m8578,4549l8578,5057e" filled="false" stroked="true" strokeweight="1.140pt" strokecolor="#ff00ff">
              <v:path arrowok="t"/>
              <v:stroke dashstyle="solid"/>
            </v:shape>
            <v:line style="position:absolute" from="8611,4505" to="8611,5057" stroked="true" strokeweight="1.08pt" strokecolor="#ff00ff">
              <v:stroke dashstyle="solid"/>
            </v:line>
            <v:line style="position:absolute" from="8644,4472" to="8644,5046" stroked="true" strokeweight="1.140pt" strokecolor="#ff00ff">
              <v:stroke dashstyle="solid"/>
            </v:line>
            <v:line style="position:absolute" from="8683,4472" to="8683,5057" stroked="true" strokeweight="1.68pt" strokecolor="#ff00ff">
              <v:stroke dashstyle="solid"/>
            </v:line>
            <v:line style="position:absolute" from="8722,4439" to="8722,5034" stroked="true" strokeweight="1.140pt" strokecolor="#ff00ff">
              <v:stroke dashstyle="solid"/>
            </v:line>
            <v:line style="position:absolute" from="8755,4428" to="8755,5012" stroked="true" strokeweight="1.08pt" strokecolor="#ff00ff">
              <v:stroke dashstyle="solid"/>
            </v:line>
            <v:shape style="position:absolute;left:8788;top:4527;width:34;height:519" coordorigin="8788,4528" coordsize="34,519" path="m8788,4528l8788,5046m8822,4560l8822,5034e" filled="false" stroked="true" strokeweight="1.140pt" strokecolor="#ff00ff">
              <v:path arrowok="t"/>
              <v:stroke dashstyle="solid"/>
            </v:shape>
            <v:shape style="position:absolute;left:8854;top:4560;width:34;height:552" coordorigin="8855,4560" coordsize="34,552" path="m8855,4560l8855,5078m8888,4649l8888,5112e" filled="false" stroked="true" strokeweight="1.08pt" strokecolor="#ff00ff">
              <v:path arrowok="t"/>
              <v:stroke dashstyle="solid"/>
            </v:shape>
            <v:line style="position:absolute" from="8921,4615" to="8921,5123" stroked="true" strokeweight="1.140pt" strokecolor="#ff00ff">
              <v:stroke dashstyle="solid"/>
            </v:line>
            <v:line style="position:absolute" from="8960,4604" to="8960,5123" stroked="true" strokeweight="1.68pt" strokecolor="#ff00ff">
              <v:stroke dashstyle="solid"/>
            </v:line>
            <v:shape style="position:absolute;left:8998;top:4670;width:34;height:497" coordorigin="8999,4670" coordsize="34,497" path="m8999,4670l8999,5167m9032,4726l9032,5167e" filled="false" stroked="true" strokeweight="1.08pt" strokecolor="#ff00ff">
              <v:path arrowok="t"/>
              <v:stroke dashstyle="solid"/>
            </v:shape>
            <v:line style="position:absolute" from="9065,4802" to="9065,5178" stroked="true" strokeweight="1.140pt" strokecolor="#ff00ff">
              <v:stroke dashstyle="solid"/>
            </v:line>
            <v:shape style="position:absolute;left:9098;top:4692;width:34;height:497" coordorigin="9098,4692" coordsize="34,497" path="m9098,4692l9098,5178m9132,4704l9132,5189e" filled="false" stroked="true" strokeweight="1.08pt" strokecolor="#ff00ff">
              <v:path arrowok="t"/>
              <v:stroke dashstyle="solid"/>
            </v:shape>
            <v:line style="position:absolute" from="9165,4715" to="9165,5233" stroked="true" strokeweight="1.140pt" strokecolor="#ff00ff">
              <v:stroke dashstyle="solid"/>
            </v:line>
            <v:line style="position:absolute" from="9198,4692" to="9198,5200" stroked="true" strokeweight="1.08pt" strokecolor="#ff00ff">
              <v:stroke dashstyle="solid"/>
            </v:line>
            <v:line style="position:absolute" from="9237,4715" to="9237,5244" stroked="true" strokeweight="1.62pt" strokecolor="#ff00ff">
              <v:stroke dashstyle="solid"/>
            </v:line>
            <v:line style="position:absolute" from="9276,4736" to="9276,5200" stroked="true" strokeweight="1.08pt" strokecolor="#ff00ff">
              <v:stroke dashstyle="solid"/>
            </v:line>
            <v:line style="position:absolute" from="9309,4747" to="9309,5178" stroked="true" strokeweight="1.140pt" strokecolor="#ff00ff">
              <v:stroke dashstyle="solid"/>
            </v:line>
            <v:shape style="position:absolute;left:9342;top:4869;width:34;height:386" coordorigin="9342,4870" coordsize="34,386" path="m9342,4870l9342,5255m9376,4880l9376,5255e" filled="false" stroked="true" strokeweight="1.08pt" strokecolor="#ff00ff">
              <v:path arrowok="t"/>
              <v:stroke dashstyle="solid"/>
            </v:shape>
            <v:shape style="position:absolute;left:9408;top:4681;width:34;height:574" coordorigin="9409,4681" coordsize="34,574" path="m9409,4770l9409,5255m9442,4681l9442,5255e" filled="false" stroked="true" strokeweight="1.140pt" strokecolor="#ff00ff">
              <v:path arrowok="t"/>
              <v:stroke dashstyle="solid"/>
            </v:shape>
            <v:line style="position:absolute" from="9481,4560" to="9481,5255" stroked="true" strokeweight="1.62pt" strokecolor="#ff00ff">
              <v:stroke dashstyle="solid"/>
            </v:line>
            <v:line style="position:absolute" from="9520,4560" to="9520,5266" stroked="true" strokeweight="1.08pt" strokecolor="#ff00ff">
              <v:stroke dashstyle="solid"/>
            </v:line>
            <v:shape style="position:absolute;left:9552;top:4449;width:34;height:795" coordorigin="9553,4450" coordsize="34,795" path="m9553,4494l9553,5244m9586,4450l9586,5244e" filled="false" stroked="true" strokeweight="1.140pt" strokecolor="#ff00ff">
              <v:path arrowok="t"/>
              <v:stroke dashstyle="solid"/>
            </v:shape>
            <v:line style="position:absolute" from="9619,4362" to="9619,5266" stroked="true" strokeweight="1.08pt" strokecolor="#ff00ff">
              <v:stroke dashstyle="solid"/>
            </v:line>
            <v:shape style="position:absolute;left:9652;top:4130;width:34;height:1114" coordorigin="9652,4130" coordsize="34,1114" path="m9652,4252l9652,5244m9686,4130l9686,5210e" filled="false" stroked="true" strokeweight="1.140pt" strokecolor="#ff00ff">
              <v:path arrowok="t"/>
              <v:stroke dashstyle="solid"/>
            </v:shape>
            <v:line style="position:absolute" from="9719,4118" to="9719,5255" stroked="true" strokeweight="1.08pt" strokecolor="#ff00ff">
              <v:stroke dashstyle="solid"/>
            </v:line>
            <v:line style="position:absolute" from="9758,4118" to="9758,5244" stroked="true" strokeweight="1.62pt" strokecolor="#ff00ff">
              <v:stroke dashstyle="solid"/>
            </v:line>
            <v:shape style="position:absolute;left:9796;top:3997;width:34;height:1247" coordorigin="9796,3997" coordsize="34,1247" path="m9796,4152l9796,5244m9830,3997l9830,5244e" filled="false" stroked="true" strokeweight="1.140pt" strokecolor="#ff00ff">
              <v:path arrowok="t"/>
              <v:stroke dashstyle="solid"/>
            </v:shape>
            <v:shape style="position:absolute;left:9862;top:4064;width:34;height:1180" coordorigin="9863,4064" coordsize="34,1180" path="m9863,4064l9863,5244m9896,4097l9896,5222e" filled="false" stroked="true" strokeweight="1.08pt" strokecolor="#ff00ff">
              <v:path arrowok="t"/>
              <v:stroke dashstyle="solid"/>
            </v:shape>
            <v:line style="position:absolute" from="9929,4186" to="9929,5244" stroked="true" strokeweight="1.140pt" strokecolor="#ff00ff">
              <v:stroke dashstyle="solid"/>
            </v:line>
            <v:shape style="position:absolute;left:9962;top:4240;width:34;height:1025" coordorigin="9962,4241" coordsize="34,1025" path="m9962,4252l9962,5266m9996,4241l9996,5244e" filled="false" stroked="true" strokeweight="1.08pt" strokecolor="#ff00ff">
              <v:path arrowok="t"/>
              <v:stroke dashstyle="solid"/>
            </v:shape>
            <v:line style="position:absolute" from="10034,4307" to="10034,5244" stroked="true" strokeweight="1.68pt" strokecolor="#ff00ff">
              <v:stroke dashstyle="solid"/>
            </v:line>
            <v:line style="position:absolute" from="10073,4339" to="10073,5244" stroked="true" strokeweight="1.140pt" strokecolor="#ff00ff">
              <v:stroke dashstyle="solid"/>
            </v:line>
            <v:shape style="position:absolute;left:10106;top:4405;width:34;height:850" coordorigin="10106,4405" coordsize="34,850" path="m10106,4405l10106,5255m10140,4450l10140,5255e" filled="false" stroked="true" strokeweight="1.08pt" strokecolor="#ff00ff">
              <v:path arrowok="t"/>
              <v:stroke dashstyle="solid"/>
            </v:shape>
            <v:line style="position:absolute" from="10173,4417" to="10173,5244" stroked="true" strokeweight="1.140pt" strokecolor="#ff00ff">
              <v:stroke dashstyle="solid"/>
            </v:line>
            <v:shape style="position:absolute;left:10206;top:4339;width:34;height:927" coordorigin="10206,4339" coordsize="34,927" path="m10206,4339l10206,5266m10240,4483l10240,5244e" filled="false" stroked="true" strokeweight="1.08pt" strokecolor="#ff00ff">
              <v:path arrowok="t"/>
              <v:stroke dashstyle="solid"/>
            </v:shape>
            <v:line style="position:absolute" from="10273,4439" to="10273,5244" stroked="true" strokeweight="1.140pt" strokecolor="#ff00ff">
              <v:stroke dashstyle="solid"/>
            </v:line>
            <v:line style="position:absolute" from="10312,4405" to="10312,5244" stroked="true" strokeweight="1.68pt" strokecolor="#ff00ff">
              <v:stroke dashstyle="solid"/>
            </v:line>
            <v:shape style="position:absolute;left:10350;top:4339;width:34;height:916" coordorigin="10350,4339" coordsize="34,916" path="m10350,4373l10350,5255m10384,4339l10384,5210e" filled="false" stroked="true" strokeweight="1.08pt" strokecolor="#ff00ff">
              <v:path arrowok="t"/>
              <v:stroke dashstyle="solid"/>
            </v:shape>
            <v:shape style="position:absolute;left:10416;top:4296;width:34;height:938" coordorigin="10417,4296" coordsize="34,938" path="m10417,4339l10417,5233m10450,4296l10450,5222e" filled="false" stroked="true" strokeweight="1.140pt" strokecolor="#ff00ff">
              <v:path arrowok="t"/>
              <v:stroke dashstyle="solid"/>
            </v:shape>
            <v:line style="position:absolute" from="10483,4351" to="10483,5210" stroked="true" strokeweight="1.08pt" strokecolor="#ff00ff">
              <v:stroke dashstyle="solid"/>
            </v:line>
            <v:shape style="position:absolute;left:10516;top:4339;width:34;height:861" coordorigin="10516,4339" coordsize="34,861" path="m10516,4339l10516,5189m10550,4339l10550,5200e" filled="false" stroked="true" strokeweight="1.140pt" strokecolor="#ff00ff">
              <v:path arrowok="t"/>
              <v:stroke dashstyle="solid"/>
            </v:shape>
            <v:line style="position:absolute" from="10589,4339" to="10589,5178" stroked="true" strokeweight="1.68pt" strokecolor="#ff00ff">
              <v:stroke dashstyle="solid"/>
            </v:line>
            <v:line style="position:absolute" from="10627,4417" to="10627,5156" stroked="true" strokeweight="1.08pt" strokecolor="#ff00ff">
              <v:stroke dashstyle="solid"/>
            </v:line>
            <v:shape style="position:absolute;left:10660;top:4527;width:34;height:651" coordorigin="10660,4528" coordsize="34,651" path="m10660,4528l10660,5167m10694,4638l10694,5178e" filled="false" stroked="true" strokeweight="1.140pt" strokecolor="#ff00ff">
              <v:path arrowok="t"/>
              <v:stroke dashstyle="solid"/>
            </v:shape>
            <v:line style="position:absolute" from="10721,4681" to="10721,5167" stroked="true" strokeweight=".54pt" strokecolor="#ff00ff">
              <v:stroke dashstyle="solid"/>
            </v:line>
            <v:shape style="position:absolute;left:6385;top:5652;width:166;height:145" coordorigin="6385,5652" coordsize="166,145" path="m6407,5652l6385,5652,6385,5707,6407,5707,6407,5652m6440,5652l6418,5652,6418,5707,6440,5707,6440,5652m6473,5752l6451,5752,6451,5796,6473,5796,6473,5752m6517,5652l6485,5652,6485,5741,6517,5741,6517,5652m6551,5696l6529,5696,6529,5796,6551,5796,6551,5696e" filled="true" fillcolor="#008000" stroked="false">
              <v:path arrowok="t"/>
              <v:fill type="solid"/>
            </v:shape>
            <v:line style="position:absolute" from="6573,5652" to="6573,5796" stroked="true" strokeweight="1.140pt" strokecolor="#008000">
              <v:stroke dashstyle="solid"/>
            </v:line>
            <v:line style="position:absolute" from="6606,5663" to="6606,5807" stroked="true" strokeweight="1.08pt" strokecolor="#008000">
              <v:stroke dashstyle="solid"/>
            </v:line>
            <v:rect style="position:absolute;left:6628;top:5674;width:22;height:110" filled="true" fillcolor="#008000" stroked="false">
              <v:fill type="solid"/>
            </v:rect>
            <v:shape style="position:absolute;left:6672;top:5685;width:34;height:287" coordorigin="6673,5686" coordsize="34,287" path="m6673,5686l6673,5862m6706,5762l6706,5972e" filled="false" stroked="true" strokeweight="1.140pt" strokecolor="#008000">
              <v:path arrowok="t"/>
              <v:stroke dashstyle="solid"/>
            </v:shape>
            <v:line style="position:absolute" from="6739,5741" to="6739,5950" stroked="true" strokeweight="1.08pt" strokecolor="#008000">
              <v:stroke dashstyle="solid"/>
            </v:line>
            <v:line style="position:absolute" from="6778,5784" to="6778,6016" stroked="true" strokeweight="1.68pt" strokecolor="#008000">
              <v:stroke dashstyle="solid"/>
            </v:line>
            <v:shape style="position:absolute;left:6816;top:5707;width:34;height:221" coordorigin="6817,5707" coordsize="34,221" path="m6817,5784l6817,5928m6850,5707l6850,5894e" filled="false" stroked="true" strokeweight="1.140pt" strokecolor="#008000">
              <v:path arrowok="t"/>
              <v:stroke dashstyle="solid"/>
            </v:shape>
            <v:line style="position:absolute" from="6883,5652" to="6883,5807" stroked="true" strokeweight="1.08pt" strokecolor="#008000">
              <v:stroke dashstyle="solid"/>
            </v:line>
            <v:shape style="position:absolute;left:6904;top:4946;width:300;height:827" coordorigin="6905,4946" coordsize="300,827" path="m6928,5652l6905,5652,6905,5773,6928,5773,6928,5652m6961,5652l6938,5652,6938,5741,6961,5741,6961,5652m6994,5675l6972,5675,6972,5707,6994,5707,6994,5675m7027,5144l7006,5144,7006,5156,7027,5156,7027,5144m7072,5144l7038,5144,7038,5156,7072,5156,7072,5144m7105,5078l7082,5078,7082,5123,7105,5123,7105,5078m7138,4946l7116,4946,7116,5023,7138,5023,7138,4946m7171,4991l7150,4991,7150,5057,7171,5057,7171,4991m7205,4957l7182,4957,7182,5023,7205,5023,7205,4957e" filled="true" fillcolor="#008000" stroked="false">
              <v:path arrowok="t"/>
              <v:fill type="solid"/>
            </v:shape>
            <v:shape style="position:absolute;left:7226;top:4759;width:34;height:243" coordorigin="7226,4759" coordsize="34,243" path="m7226,4781l7226,4968m7260,4759l7260,5002e" filled="false" stroked="true" strokeweight="1.08pt" strokecolor="#008000">
              <v:path arrowok="t"/>
              <v:stroke dashstyle="solid"/>
            </v:shape>
            <v:line style="position:absolute" from="7293,4770" to="7293,4979" stroked="true" strokeweight="1.140pt" strokecolor="#008000">
              <v:stroke dashstyle="solid"/>
            </v:line>
            <v:line style="position:absolute" from="7332,4802" to="7332,5023" stroked="true" strokeweight="1.68pt" strokecolor="#008000">
              <v:stroke dashstyle="solid"/>
            </v:line>
            <v:shape style="position:absolute;left:7370;top:4747;width:34;height:221" coordorigin="7370,4747" coordsize="34,221" path="m7370,4759l7370,4968m7404,4747l7404,4936e" filled="false" stroked="true" strokeweight="1.08pt" strokecolor="#008000">
              <v:path arrowok="t"/>
              <v:stroke dashstyle="solid"/>
            </v:shape>
            <v:shape style="position:absolute;left:7425;top:4802;width:56;height:134" coordorigin="7426,4802" coordsize="56,134" path="m7448,4802l7426,4802,7426,4936,7448,4936,7448,4802m7481,4814l7459,4814,7459,4936,7481,4936,7481,4814e" filled="true" fillcolor="#008000" stroked="false">
              <v:path arrowok="t"/>
              <v:fill type="solid"/>
            </v:shape>
            <v:line style="position:absolute" from="7504,4814" to="7504,4957" stroked="true" strokeweight="1.08pt" strokecolor="#008000">
              <v:stroke dashstyle="solid"/>
            </v:line>
            <v:shape style="position:absolute;left:7536;top:4759;width:34;height:209" coordorigin="7537,4759" coordsize="34,209" path="m7537,4759l7537,4968m7570,4802l7570,4968e" filled="false" stroked="true" strokeweight="1.140pt" strokecolor="#008000">
              <v:path arrowok="t"/>
              <v:stroke dashstyle="solid"/>
            </v:shape>
            <v:line style="position:absolute" from="7609,4759" to="7609,4924" stroked="true" strokeweight="1.62pt" strokecolor="#008000">
              <v:stroke dashstyle="solid"/>
            </v:line>
            <v:line style="position:absolute" from="7648,4747" to="7648,4936" stroked="true" strokeweight="1.08pt" strokecolor="#008000">
              <v:stroke dashstyle="solid"/>
            </v:line>
            <v:shape style="position:absolute;left:7680;top:4692;width:34;height:200" coordorigin="7681,4692" coordsize="34,200" path="m7681,4692l7681,4891m7714,4736l7714,4891e" filled="false" stroked="true" strokeweight="1.140pt" strokecolor="#008000">
              <v:path arrowok="t"/>
              <v:stroke dashstyle="solid"/>
            </v:shape>
            <v:line style="position:absolute" from="7747,4604" to="7747,4858" stroked="true" strokeweight="1.08pt" strokecolor="#008000">
              <v:stroke dashstyle="solid"/>
            </v:line>
            <v:shape style="position:absolute;left:7780;top:4560;width:34;height:255" coordorigin="7780,4560" coordsize="34,255" path="m7780,4594l7780,4814m7814,4560l7814,4792e" filled="false" stroked="true" strokeweight="1.140pt" strokecolor="#008000">
              <v:path arrowok="t"/>
              <v:stroke dashstyle="solid"/>
            </v:shape>
            <v:line style="position:absolute" from="7853,4528" to="7853,4747" stroked="true" strokeweight="1.68pt" strokecolor="#008000">
              <v:stroke dashstyle="solid"/>
            </v:line>
            <v:line style="position:absolute" from="7891,4516" to="7891,4747" stroked="true" strokeweight="1.08pt" strokecolor="#008000">
              <v:stroke dashstyle="solid"/>
            </v:line>
            <v:shape style="position:absolute;left:7924;top:4560;width:34;height:232" coordorigin="7924,4560" coordsize="34,232" path="m7924,4560l7924,4770m7958,4604l7958,4792e" filled="false" stroked="true" strokeweight="1.140pt" strokecolor="#008000">
              <v:path arrowok="t"/>
              <v:stroke dashstyle="solid"/>
            </v:shape>
            <v:line style="position:absolute" from="7991,4560" to="7991,4747" stroked="true" strokeweight="1.08pt" strokecolor="#008000">
              <v:stroke dashstyle="solid"/>
            </v:line>
            <v:shape style="position:absolute;left:8013;top:4638;width:443;height:1025" coordorigin="8014,4638" coordsize="443,1025" path="m8035,4638l8014,4638,8014,4747,8035,4747,8035,4638m8101,4715l8080,4715,8080,4759,8101,4759,8101,4715m8146,4726l8113,4726,8113,4781,8146,4781,8146,4726m8179,4814l8158,4814,8158,4825,8179,4825,8179,4814m8213,5652l8190,5652,8190,5663,8213,5663,8213,5652m8245,5652l8224,5652,8224,5663,8245,5663,8245,5652m8279,4747l8257,4747,8257,4836,8279,4836,8279,4747m8312,4792l8290,4792,8290,4858,8312,4858,8312,4792m8345,4792l8323,4792,8323,4814,8345,4814,8345,4792m8378,4649l8357,4649,8357,4747,8378,4747,8378,4649m8423,4692l8389,4692,8389,4770,8423,4770,8423,4692m8456,4704l8434,4704,8434,4770,8456,4770,8456,4704e" filled="true" fillcolor="#008000" stroked="false">
              <v:path arrowok="t"/>
              <v:fill type="solid"/>
            </v:shape>
            <v:line style="position:absolute" from="8478,4439" to="8478,4604" stroked="true" strokeweight="1.08pt" strokecolor="#008000">
              <v:stroke dashstyle="solid"/>
            </v:line>
            <v:rect style="position:absolute;left:8500;top:4515;width:22;height:89" filled="true" fillcolor="#008000" stroked="false">
              <v:fill type="solid"/>
            </v:rect>
            <v:shape style="position:absolute;left:8544;top:4328;width:34;height:255" coordorigin="8545,4328" coordsize="34,255" path="m8545,4373l8545,4583m8578,4328l8578,4549e" filled="false" stroked="true" strokeweight="1.140pt" strokecolor="#008000">
              <v:path arrowok="t"/>
              <v:stroke dashstyle="solid"/>
            </v:shape>
            <v:line style="position:absolute" from="8611,4307" to="8611,4505" stroked="true" strokeweight="1.08pt" strokecolor="#008000">
              <v:stroke dashstyle="solid"/>
            </v:line>
            <v:line style="position:absolute" from="8644,4262" to="8644,4472" stroked="true" strokeweight="1.140pt" strokecolor="#008000">
              <v:stroke dashstyle="solid"/>
            </v:line>
            <v:shape style="position:absolute;left:8666;top:4417;width:100;height:1269" coordorigin="8666,4417" coordsize="100,1269" path="m8700,4417l8666,4417,8666,4472,8700,4472,8700,4417m8734,5652l8711,5652,8711,5675,8734,5675,8734,5652m8766,5652l8744,5652,8744,5686,8766,5686,8766,5652e" filled="true" fillcolor="#008000" stroked="false">
              <v:path arrowok="t"/>
              <v:fill type="solid"/>
            </v:shape>
            <v:line style="position:absolute" from="8788,5652" to="8788,5818" stroked="true" strokeweight="1.140pt" strokecolor="#008000">
              <v:stroke dashstyle="solid"/>
            </v:line>
            <v:shape style="position:absolute;left:8810;top:4494;width:56;height:1192" coordorigin="8810,4494" coordsize="56,1192" path="m8833,5652l8810,5652,8810,5686,8833,5686,8833,5652m8866,4494l8844,4494,8844,4560,8866,4560,8866,4494e" filled="true" fillcolor="#008000" stroked="false">
              <v:path arrowok="t"/>
              <v:fill type="solid"/>
            </v:shape>
            <v:line style="position:absolute" from="8888,5652" to="8888,5807" stroked="true" strokeweight="1.08pt" strokecolor="#008000">
              <v:stroke dashstyle="solid"/>
            </v:line>
            <v:rect style="position:absolute;left:8943;top:5652;width:34;height:100" filled="true" fillcolor="#008000" stroked="false">
              <v:fill type="solid"/>
            </v:rect>
            <v:shape style="position:absolute;left:8998;top:5652;width:34;height:243" coordorigin="8999,5652" coordsize="34,243" path="m8999,5652l8999,5894m9032,5652l9032,5839e" filled="false" stroked="true" strokeweight="1.08pt" strokecolor="#008000">
              <v:path arrowok="t"/>
              <v:stroke dashstyle="solid"/>
            </v:shape>
            <v:line style="position:absolute" from="9065,5652" to="9065,5807" stroked="true" strokeweight="1.140pt" strokecolor="#008000">
              <v:stroke dashstyle="solid"/>
            </v:line>
            <v:shape style="position:absolute;left:9098;top:5652;width:34;height:255" coordorigin="9098,5652" coordsize="34,255" path="m9098,5652l9098,5906m9132,5652l9132,5862e" filled="false" stroked="true" strokeweight="1.08pt" strokecolor="#008000">
              <v:path arrowok="t"/>
              <v:stroke dashstyle="solid"/>
            </v:shape>
            <v:shape style="position:absolute;left:9187;top:4615;width:267;height:1158" coordorigin="9187,4615" coordsize="267,1158" path="m9209,4615l9187,4615,9187,4692,9209,4692,9209,4615m9253,5652l9221,5652,9221,5663,9253,5663,9253,5652m9287,5652l9265,5652,9265,5773,9287,5773,9287,5652m9320,5652l9298,5652,9298,5707,9320,5707,9320,5652m9353,5652l9331,5652,9331,5718,9353,5718,9353,5652m9386,5652l9365,5652,9365,5752,9386,5752,9386,5652m9420,4759l9397,4759,9397,4770,9420,4770,9420,4759m9454,5652l9431,5652,9431,5729,9454,5729,9454,5652e" filled="true" fillcolor="#008000" stroked="false">
              <v:path arrowok="t"/>
              <v:fill type="solid"/>
            </v:shape>
            <v:line style="position:absolute" from="9481,5652" to="9481,5917" stroked="true" strokeweight="1.62pt" strokecolor="#008000">
              <v:stroke dashstyle="solid"/>
            </v:line>
            <v:line style="position:absolute" from="9520,5652" to="9520,5950" stroked="true" strokeweight="1.08pt" strokecolor="#008000">
              <v:stroke dashstyle="solid"/>
            </v:line>
            <v:shape style="position:absolute;left:9552;top:5652;width:34;height:332" coordorigin="9553,5652" coordsize="34,332" path="m9553,5652l9553,5983m9586,5652l9586,5828e" filled="false" stroked="true" strokeweight="1.140pt" strokecolor="#008000">
              <v:path arrowok="t"/>
              <v:stroke dashstyle="solid"/>
            </v:shape>
            <v:line style="position:absolute" from="9619,5652" to="9619,6049" stroked="true" strokeweight="1.08pt" strokecolor="#008000">
              <v:stroke dashstyle="solid"/>
            </v:line>
            <v:shape style="position:absolute;left:9652;top:5652;width:34;height:486" coordorigin="9652,5652" coordsize="34,486" path="m9652,5652l9652,5906m9686,5652l9686,6138e" filled="false" stroked="true" strokeweight="1.140pt" strokecolor="#008000">
              <v:path arrowok="t"/>
              <v:stroke dashstyle="solid"/>
            </v:shape>
            <v:line style="position:absolute" from="9719,5652" to="9719,5873" stroked="true" strokeweight="1.08pt" strokecolor="#008000">
              <v:stroke dashstyle="solid"/>
            </v:line>
            <v:line style="position:absolute" from="9758,5652" to="9758,5873" stroked="true" strokeweight="1.62pt" strokecolor="#008000">
              <v:stroke dashstyle="solid"/>
            </v:line>
            <v:rect style="position:absolute;left:9784;top:5652;width:23;height:100" filled="true" fillcolor="#008000" stroked="false">
              <v:fill type="solid"/>
            </v:rect>
            <v:line style="position:absolute" from="9830,5652" to="9830,5839" stroked="true" strokeweight="1.140pt" strokecolor="#008000">
              <v:stroke dashstyle="solid"/>
            </v:line>
            <v:shape style="position:absolute;left:9852;top:4052;width:122;height:1700" coordorigin="9852,4052" coordsize="122,1700" path="m9874,5652l9852,5652,9852,5752,9874,5752,9874,5652m9907,4052l9886,4052,9886,4097,9907,4097,9907,4052m9941,4141l9918,4141,9918,4186,9941,4186,9941,4141m9973,4186l9952,4186,9952,4252,9973,4252,9973,4186e" filled="true" fillcolor="#008000" stroked="false">
              <v:path arrowok="t"/>
              <v:fill type="solid"/>
            </v:shape>
            <v:line style="position:absolute" from="9996,5652" to="9996,5796" stroked="true" strokeweight="1.08pt" strokecolor="#008000">
              <v:stroke dashstyle="solid"/>
            </v:line>
            <v:rect style="position:absolute;left:10017;top:5652;width:34;height:132" filled="true" fillcolor="#008000" stroked="false">
              <v:fill type="solid"/>
            </v:rect>
            <v:line style="position:absolute" from="10073,5652" to="10073,5894" stroked="true" strokeweight="1.140pt" strokecolor="#008000">
              <v:stroke dashstyle="solid"/>
            </v:line>
            <v:rect style="position:absolute;left:10095;top:5652;width:22;height:11" filled="true" fillcolor="#008000" stroked="false">
              <v:fill type="solid"/>
            </v:rect>
            <v:line style="position:absolute" from="10140,5652" to="10140,5939" stroked="true" strokeweight="1.08pt" strokecolor="#008000">
              <v:stroke dashstyle="solid"/>
            </v:line>
            <v:line style="position:absolute" from="10173,5652" to="10173,5939" stroked="true" strokeweight="1.140pt" strokecolor="#008000">
              <v:stroke dashstyle="solid"/>
            </v:line>
            <v:shape style="position:absolute;left:10206;top:5652;width:34;height:387" coordorigin="10206,5652" coordsize="34,387" path="m10206,5652l10206,6038m10240,5652l10240,6005e" filled="false" stroked="true" strokeweight="1.08pt" strokecolor="#008000">
              <v:path arrowok="t"/>
              <v:stroke dashstyle="solid"/>
            </v:shape>
            <v:line style="position:absolute" from="10273,5652" to="10273,6126" stroked="true" strokeweight="1.140pt" strokecolor="#008000">
              <v:stroke dashstyle="solid"/>
            </v:line>
            <v:line style="position:absolute" from="10312,5652" to="10312,6181" stroked="true" strokeweight="1.68pt" strokecolor="#008000">
              <v:stroke dashstyle="solid"/>
            </v:line>
            <v:shape style="position:absolute;left:10350;top:5652;width:34;height:542" coordorigin="10350,5652" coordsize="34,542" path="m10350,5652l10350,6193m10384,5652l10384,6160e" filled="false" stroked="true" strokeweight="1.08pt" strokecolor="#008000">
              <v:path arrowok="t"/>
              <v:stroke dashstyle="solid"/>
            </v:shape>
            <v:shape style="position:absolute;left:10416;top:5652;width:34;height:563" coordorigin="10417,5652" coordsize="34,563" path="m10417,5652l10417,6215m10450,5652l10450,6181e" filled="false" stroked="true" strokeweight="1.140pt" strokecolor="#008000">
              <v:path arrowok="t"/>
              <v:stroke dashstyle="solid"/>
            </v:shape>
            <v:line style="position:absolute" from="10483,5652" to="10483,6215" stroked="true" strokeweight="1.08pt" strokecolor="#008000">
              <v:stroke dashstyle="solid"/>
            </v:line>
            <v:shape style="position:absolute;left:10516;top:5652;width:34;height:563" coordorigin="10516,5652" coordsize="34,563" path="m10516,5652l10516,6181m10550,5652l10550,6215e" filled="false" stroked="true" strokeweight="1.140pt" strokecolor="#008000">
              <v:path arrowok="t"/>
              <v:stroke dashstyle="solid"/>
            </v:shape>
            <v:line style="position:absolute" from="10589,5652" to="10589,6215" stroked="true" strokeweight="1.68pt" strokecolor="#008000">
              <v:stroke dashstyle="solid"/>
            </v:line>
            <v:line style="position:absolute" from="10627,5652" to="10627,6215" stroked="true" strokeweight="1.08pt" strokecolor="#008000">
              <v:stroke dashstyle="solid"/>
            </v:line>
            <v:shape style="position:absolute;left:10660;top:5652;width:34;height:563" coordorigin="10660,5652" coordsize="34,563" path="m10660,5652l10660,6215m10694,5652l10694,6215e" filled="false" stroked="true" strokeweight="1.140pt" strokecolor="#008000">
              <v:path arrowok="t"/>
              <v:stroke dashstyle="solid"/>
            </v:shape>
            <v:line style="position:absolute" from="10721,5652" to="10721,6215" stroked="true" strokeweight=".54pt" strokecolor="#008000">
              <v:stroke dashstyle="solid"/>
            </v:line>
            <v:shape style="position:absolute;left:6396;top:3964;width:4376;height:2295" coordorigin="6396,3965" coordsize="4376,2295" path="m10727,3965l10727,6215,10771,6215m10727,5652l10771,5652m10727,5089l10771,5089m10727,4528l10771,4528m10727,3965l10771,3965m6396,6215l10727,6215m6396,6259l6396,6215m6817,6259l6817,6215m7226,6259l7226,6215m7648,6259l7648,6215m8057,6259l8057,6215m8478,6259l8478,6215m8888,6259l8888,6215m9310,6259l9310,6215m9719,6259l9719,6215m10140,6259l10140,6215m10549,6259l10549,6215e" filled="false" stroked="true" strokeweight=".06pt" strokecolor="#000000">
              <v:path arrowok="t"/>
              <v:stroke dashstyle="solid"/>
            </v:shape>
            <v:line style="position:absolute" from="6396,5333" to="6429,5376" stroked="true" strokeweight="1.105572pt" strokecolor="#000000">
              <v:stroke dashstyle="solid"/>
            </v:line>
            <v:shape style="position:absolute;left:6429;top:4064;width:4264;height:1611" coordorigin="6429,4064" coordsize="4264,1611" path="m6429,5376l6462,5431,6495,5343,6540,5454,6573,5409,6606,5454,6639,5420,6673,5497,6705,5630,6739,5607,6773,5675,6817,5552,6849,5509,6883,5376,6917,5310,6949,5244,6983,5310,7016,5144,7049,5144,7093,5078,7127,4946,7160,4991,7193,4957,7226,4781,7260,4759,7293,4770,7326,4802,7370,4759,7404,4747,7437,4802,7470,4814,7503,4814,7537,4759,7569,4802,7603,4759,7647,4747,7681,4692,7713,4736,7747,4604,7781,4593,7813,4560,7847,4527,7891,4515,7925,4560,7957,4604,7991,4560,8024,4638,8057,4681,8090,4715,8124,4725,8168,4814,8201,4869,8234,4847,8268,4747,8301,4802,8334,4791,8367,4659,8401,4692,8445,4704,8478,4439,8511,4515,8545,4373,8577,4339,8611,4307,8645,4251,8677,4405,8721,4439,8755,4472,8789,4692,8821,4583,8855,4505,8888,4791,8921,4604,8954,4692,8999,4923,9032,4923,9065,4957,9098,4946,9132,4913,9165,4715,9198,4604,9231,4715,9276,4869,9309,4814,9342,4935,9375,4968,9409,4747,9441,4747,9475,4836,9519,4857,9553,4825,9585,4626,9619,4747,9653,4494,9685,4626,9719,4317,9752,4328,9797,4251,9829,4185,9863,4141,9896,4064,9929,4141,9962,4185,9996,4373,10029,4439,10073,4583,10106,4428,10140,4736,10173,4704,10206,4725,10239,4836,10273,4913,10305,4935,10350,4935,10383,4847,10417,4923,10449,4814,10483,4913,10517,4869,10549,5167,10583,5210,10627,5210,10661,5310,10693,5443e" filled="false" stroked="true" strokeweight="1.103259pt" strokecolor="#000000">
              <v:path arrowok="t"/>
              <v:stroke dashstyle="solid"/>
            </v:shape>
            <v:line style="position:absolute" from="10693,5443" to="10727,5465" stroked="true" strokeweight="1.104036pt" strokecolor="#000000">
              <v:stroke dashstyle="solid"/>
            </v:line>
            <v:line style="position:absolute" from="10737,5652" to="6407,5652" stroked="true" strokeweight=".551839pt" strokecolor="#000000">
              <v:stroke dashstyle="solid"/>
            </v:line>
            <w10:wrap type="none"/>
          </v:group>
        </w:pict>
      </w:r>
      <w:r>
        <w:rPr/>
        <w:pict>
          <v:group style="position:absolute;margin-left:52.512714pt;margin-top:437.790009pt;width:218.6pt;height:111.7pt;mso-position-horizontal-relative:page;mso-position-vertical-relative:page;z-index:-254036992" coordorigin="1050,8756" coordsize="4372,2234">
            <v:shape style="position:absolute;left:1056;top:8756;width:4366;height:2232" coordorigin="1056,8756" coordsize="4366,2232" path="m5376,8756l5376,10988,5422,10988m5376,10715l5422,10715m5376,10430l5422,10430m5376,10157l5422,10157m5376,9872l5422,9872m5376,9599l5422,9599m5376,9314l5422,9314m5376,9040l5422,9040m5376,8756l5422,8756m1056,10988l5376,10988m1056,10988l1056,10949m1579,10988l1579,10949m2116,10988l2116,10949m2640,10988l2640,10949m3164,10988l3164,10949m3689,10988l3689,10949m4224,10988l4224,10949m4748,10988l4748,10949m5273,10988l5273,10949e" filled="false" stroked="true" strokeweight=".06pt" strokecolor="#000000">
              <v:path arrowok="t"/>
              <v:stroke dashstyle="solid"/>
            </v:shape>
            <v:shape style="position:absolute;left:1050;top:8892;width:4332;height:1271" type="#_x0000_t75" stroked="false">
              <v:imagedata r:id="rId17" o:title=""/>
            </v:shape>
            <w10:wrap type="none"/>
          </v:group>
        </w:pict>
      </w:r>
      <w:r>
        <w:rPr/>
        <w:pict>
          <v:group style="position:absolute;margin-left:318.269989pt;margin-top:441.630005pt;width:208.8pt;height:109.15pt;mso-position-horizontal-relative:page;mso-position-vertical-relative:page;z-index:-254035968" coordorigin="6365,8833" coordsize="4176,2183">
            <v:shape style="position:absolute;left:6366;top:8833;width:4175;height:2182" coordorigin="6366,8833" coordsize="4175,2182" path="m10498,8833l10498,11015,10541,11015m10498,10739l10541,10739m10498,10475l10541,10475m10498,10199l10541,10199m10498,9924l10541,9924m10498,9649l10541,9649m10498,9384l10541,9384m10498,9109l10541,9109m10498,8833l10541,8833m6366,11015l10498,11015m6366,11015l6366,10972m6846,11015l6846,10972m7337,11015l7337,10972m7818,11015l7818,10972m8298,11015l8298,10972m8790,11015l8790,10972m9270,11015l9270,10972m9750,11015l9750,10972m10242,11015l10242,10972e" filled="false" stroked="true" strokeweight=".06pt" strokecolor="#000000">
              <v:path arrowok="t"/>
              <v:stroke dashstyle="solid"/>
            </v:shape>
            <v:shape style="position:absolute;left:6530;top:8834;width:3972;height:2181" type="#_x0000_t75" stroked="false">
              <v:imagedata r:id="rId18" o:title=""/>
            </v:shape>
            <w10:wrap type="none"/>
          </v:group>
        </w:pict>
      </w:r>
    </w:p>
    <w:p>
      <w:pPr>
        <w:pStyle w:val="BodyText"/>
        <w:spacing w:before="3"/>
        <w:rPr>
          <w:sz w:val="11"/>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9"/>
        <w:gridCol w:w="280"/>
        <w:gridCol w:w="499"/>
        <w:gridCol w:w="419"/>
        <w:gridCol w:w="454"/>
        <w:gridCol w:w="395"/>
        <w:gridCol w:w="419"/>
        <w:gridCol w:w="1857"/>
        <w:gridCol w:w="5336"/>
      </w:tblGrid>
      <w:tr>
        <w:trPr>
          <w:trHeight w:val="551" w:hRule="atLeast"/>
        </w:trPr>
        <w:tc>
          <w:tcPr>
            <w:tcW w:w="10678" w:type="dxa"/>
            <w:gridSpan w:val="9"/>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817" w:right="2816"/>
              <w:jc w:val="center"/>
              <w:rPr>
                <w:b/>
                <w:sz w:val="24"/>
              </w:rPr>
            </w:pPr>
            <w:r>
              <w:rPr>
                <w:b/>
                <w:sz w:val="24"/>
              </w:rPr>
              <w:t>Figure 9</w:t>
            </w:r>
          </w:p>
          <w:p>
            <w:pPr>
              <w:pStyle w:val="TableParagraph"/>
              <w:spacing w:line="257" w:lineRule="exact"/>
              <w:ind w:left="2817" w:right="2816"/>
              <w:jc w:val="center"/>
              <w:rPr>
                <w:b/>
                <w:sz w:val="24"/>
              </w:rPr>
            </w:pPr>
            <w:r>
              <w:rPr>
                <w:b/>
                <w:sz w:val="24"/>
              </w:rPr>
              <w:t>Aspects of the RPIX and CPI Inflation Measures</w:t>
            </w:r>
          </w:p>
        </w:tc>
      </w:tr>
      <w:tr>
        <w:trPr>
          <w:trHeight w:val="1104" w:hRule="atLeast"/>
        </w:trPr>
        <w:tc>
          <w:tcPr>
            <w:tcW w:w="5342" w:type="dxa"/>
            <w:gridSpan w:val="8"/>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7"/>
              <w:rPr>
                <w:b/>
                <w:sz w:val="24"/>
              </w:rPr>
            </w:pPr>
            <w:r>
              <w:rPr>
                <w:b/>
                <w:sz w:val="24"/>
              </w:rPr>
              <w:t>Figure 9a</w:t>
            </w:r>
          </w:p>
          <w:p>
            <w:pPr>
              <w:pStyle w:val="TableParagraph"/>
              <w:ind w:left="107"/>
              <w:rPr>
                <w:b/>
                <w:sz w:val="24"/>
              </w:rPr>
            </w:pPr>
            <w:r>
              <w:rPr>
                <w:b/>
                <w:sz w:val="24"/>
              </w:rPr>
              <w:t>RPIX and CPI Inflation</w:t>
            </w:r>
          </w:p>
        </w:tc>
        <w:tc>
          <w:tcPr>
            <w:tcW w:w="53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1"/>
              <w:rPr>
                <w:b/>
                <w:sz w:val="24"/>
              </w:rPr>
            </w:pPr>
            <w:r>
              <w:rPr>
                <w:b/>
                <w:sz w:val="24"/>
              </w:rPr>
              <w:t>Figure 9b</w:t>
            </w:r>
          </w:p>
          <w:p>
            <w:pPr>
              <w:pStyle w:val="TableParagraph"/>
              <w:ind w:left="101" w:right="131"/>
              <w:rPr>
                <w:b/>
                <w:sz w:val="24"/>
              </w:rPr>
            </w:pPr>
            <w:r>
              <w:rPr>
                <w:b/>
                <w:sz w:val="24"/>
              </w:rPr>
              <w:t>Contributions to the Differential Between Annual RPIX Inflation and HICP Inflation</w:t>
            </w:r>
          </w:p>
        </w:tc>
      </w:tr>
      <w:tr>
        <w:trPr>
          <w:trHeight w:val="232" w:hRule="atLeast"/>
        </w:trPr>
        <w:tc>
          <w:tcPr>
            <w:tcW w:w="1019" w:type="dxa"/>
            <w:tcBorders>
              <w:top w:val="single" w:sz="4" w:space="0" w:color="000000"/>
              <w:left w:val="single" w:sz="4" w:space="0" w:color="000000"/>
            </w:tcBorders>
          </w:tcPr>
          <w:p>
            <w:pPr>
              <w:pStyle w:val="TableParagraph"/>
              <w:rPr>
                <w:sz w:val="16"/>
              </w:rPr>
            </w:pPr>
          </w:p>
        </w:tc>
        <w:tc>
          <w:tcPr>
            <w:tcW w:w="280" w:type="dxa"/>
            <w:tcBorders>
              <w:top w:val="single" w:sz="4" w:space="0" w:color="000000"/>
            </w:tcBorders>
          </w:tcPr>
          <w:p>
            <w:pPr>
              <w:pStyle w:val="TableParagraph"/>
              <w:rPr>
                <w:sz w:val="16"/>
              </w:rPr>
            </w:pPr>
          </w:p>
        </w:tc>
        <w:tc>
          <w:tcPr>
            <w:tcW w:w="499" w:type="dxa"/>
            <w:tcBorders>
              <w:top w:val="single" w:sz="4" w:space="0" w:color="000000"/>
            </w:tcBorders>
          </w:tcPr>
          <w:p>
            <w:pPr>
              <w:pStyle w:val="TableParagraph"/>
              <w:rPr>
                <w:sz w:val="16"/>
              </w:rPr>
            </w:pPr>
          </w:p>
        </w:tc>
        <w:tc>
          <w:tcPr>
            <w:tcW w:w="419" w:type="dxa"/>
            <w:tcBorders>
              <w:top w:val="single" w:sz="4" w:space="0" w:color="000000"/>
            </w:tcBorders>
          </w:tcPr>
          <w:p>
            <w:pPr>
              <w:pStyle w:val="TableParagraph"/>
              <w:rPr>
                <w:sz w:val="16"/>
              </w:rPr>
            </w:pPr>
          </w:p>
        </w:tc>
        <w:tc>
          <w:tcPr>
            <w:tcW w:w="454" w:type="dxa"/>
            <w:tcBorders>
              <w:top w:val="single" w:sz="4" w:space="0" w:color="000000"/>
            </w:tcBorders>
          </w:tcPr>
          <w:p>
            <w:pPr>
              <w:pStyle w:val="TableParagraph"/>
              <w:rPr>
                <w:sz w:val="16"/>
              </w:rPr>
            </w:pPr>
          </w:p>
        </w:tc>
        <w:tc>
          <w:tcPr>
            <w:tcW w:w="395" w:type="dxa"/>
            <w:tcBorders>
              <w:top w:val="single" w:sz="4" w:space="0" w:color="000000"/>
            </w:tcBorders>
          </w:tcPr>
          <w:p>
            <w:pPr>
              <w:pStyle w:val="TableParagraph"/>
              <w:rPr>
                <w:sz w:val="16"/>
              </w:rPr>
            </w:pPr>
          </w:p>
        </w:tc>
        <w:tc>
          <w:tcPr>
            <w:tcW w:w="419" w:type="dxa"/>
            <w:tcBorders>
              <w:top w:val="single" w:sz="4" w:space="0" w:color="000000"/>
            </w:tcBorders>
          </w:tcPr>
          <w:p>
            <w:pPr>
              <w:pStyle w:val="TableParagraph"/>
              <w:rPr>
                <w:sz w:val="16"/>
              </w:rPr>
            </w:pPr>
          </w:p>
        </w:tc>
        <w:tc>
          <w:tcPr>
            <w:tcW w:w="1857" w:type="dxa"/>
            <w:tcBorders>
              <w:top w:val="single" w:sz="4" w:space="0" w:color="000000"/>
              <w:right w:val="single" w:sz="4" w:space="0" w:color="000000"/>
            </w:tcBorders>
          </w:tcPr>
          <w:p>
            <w:pPr>
              <w:pStyle w:val="TableParagraph"/>
              <w:spacing w:before="67"/>
              <w:ind w:left="316"/>
              <w:rPr>
                <w:b/>
                <w:sz w:val="11"/>
              </w:rPr>
            </w:pPr>
            <w:r>
              <w:rPr>
                <w:b/>
                <w:w w:val="115"/>
                <w:sz w:val="11"/>
              </w:rPr>
              <w:t>Percentage Change yoy</w:t>
            </w:r>
          </w:p>
        </w:tc>
        <w:tc>
          <w:tcPr>
            <w:tcW w:w="533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80" w:lineRule="auto" w:before="76"/>
              <w:ind w:left="4342" w:right="465" w:hanging="155"/>
              <w:rPr>
                <w:b/>
                <w:sz w:val="14"/>
              </w:rPr>
            </w:pPr>
            <w:r>
              <w:rPr>
                <w:b/>
                <w:sz w:val="14"/>
              </w:rPr>
              <w:t>percentage points</w:t>
            </w:r>
          </w:p>
          <w:p>
            <w:pPr>
              <w:pStyle w:val="TableParagraph"/>
              <w:spacing w:before="32"/>
              <w:ind w:left="4775"/>
              <w:rPr>
                <w:b/>
                <w:sz w:val="14"/>
              </w:rPr>
            </w:pPr>
            <w:r>
              <w:rPr>
                <w:b/>
                <w:sz w:val="14"/>
              </w:rPr>
              <w:t>1.8</w:t>
            </w:r>
          </w:p>
          <w:p>
            <w:pPr>
              <w:pStyle w:val="TableParagraph"/>
              <w:spacing w:before="50"/>
              <w:ind w:left="2360"/>
              <w:rPr>
                <w:b/>
                <w:sz w:val="15"/>
              </w:rPr>
            </w:pPr>
            <w:r>
              <w:rPr>
                <w:b/>
                <w:w w:val="105"/>
                <w:sz w:val="15"/>
              </w:rPr>
              <w:t>Total</w:t>
            </w:r>
          </w:p>
          <w:p>
            <w:pPr>
              <w:pStyle w:val="TableParagraph"/>
              <w:tabs>
                <w:tab w:pos="4958" w:val="right" w:leader="none"/>
              </w:tabs>
              <w:spacing w:line="200" w:lineRule="exact" w:before="136"/>
              <w:ind w:left="189"/>
              <w:rPr>
                <w:b/>
                <w:sz w:val="14"/>
              </w:rPr>
            </w:pPr>
            <w:r>
              <w:rPr>
                <w:b/>
                <w:color w:val="FF00FF"/>
                <w:w w:val="105"/>
                <w:sz w:val="15"/>
              </w:rPr>
              <w:t>Exclusion</w:t>
            </w:r>
            <w:r>
              <w:rPr>
                <w:b/>
                <w:color w:val="FF00FF"/>
                <w:spacing w:val="6"/>
                <w:w w:val="105"/>
                <w:sz w:val="15"/>
              </w:rPr>
              <w:t> </w:t>
            </w:r>
            <w:r>
              <w:rPr>
                <w:b/>
                <w:color w:val="FF00FF"/>
                <w:w w:val="105"/>
                <w:sz w:val="15"/>
              </w:rPr>
              <w:t>of</w:t>
            </w:r>
            <w:r>
              <w:rPr>
                <w:b/>
                <w:color w:val="FF00FF"/>
                <w:spacing w:val="8"/>
                <w:w w:val="105"/>
                <w:sz w:val="15"/>
              </w:rPr>
              <w:t> </w:t>
            </w:r>
            <w:r>
              <w:rPr>
                <w:b/>
                <w:color w:val="FF00FF"/>
                <w:w w:val="105"/>
                <w:sz w:val="15"/>
              </w:rPr>
              <w:t>housing</w:t>
              <w:tab/>
            </w:r>
            <w:r>
              <w:rPr>
                <w:b/>
                <w:w w:val="105"/>
                <w:position w:val="-2"/>
                <w:sz w:val="14"/>
              </w:rPr>
              <w:t>1.2</w:t>
            </w:r>
          </w:p>
          <w:p>
            <w:pPr>
              <w:pStyle w:val="TableParagraph"/>
              <w:spacing w:line="172" w:lineRule="exact"/>
              <w:ind w:left="189"/>
              <w:rPr>
                <w:b/>
                <w:sz w:val="15"/>
              </w:rPr>
            </w:pPr>
            <w:r>
              <w:rPr>
                <w:b/>
                <w:color w:val="FF00FF"/>
                <w:w w:val="105"/>
                <w:sz w:val="15"/>
              </w:rPr>
              <w:t>components</w:t>
            </w:r>
          </w:p>
          <w:p>
            <w:pPr>
              <w:pStyle w:val="TableParagraph"/>
              <w:spacing w:before="4"/>
              <w:rPr>
                <w:sz w:val="20"/>
              </w:rPr>
            </w:pPr>
          </w:p>
          <w:p>
            <w:pPr>
              <w:pStyle w:val="TableParagraph"/>
              <w:ind w:left="4775"/>
              <w:rPr>
                <w:b/>
                <w:sz w:val="14"/>
              </w:rPr>
            </w:pPr>
            <w:r>
              <w:rPr>
                <w:b/>
                <w:sz w:val="14"/>
              </w:rPr>
              <w:t>0.6</w:t>
            </w:r>
          </w:p>
          <w:p>
            <w:pPr>
              <w:pStyle w:val="TableParagraph"/>
              <w:rPr>
                <w:sz w:val="16"/>
              </w:rPr>
            </w:pPr>
          </w:p>
          <w:p>
            <w:pPr>
              <w:pStyle w:val="TableParagraph"/>
              <w:spacing w:before="11"/>
              <w:rPr>
                <w:sz w:val="18"/>
              </w:rPr>
            </w:pPr>
          </w:p>
          <w:p>
            <w:pPr>
              <w:pStyle w:val="TableParagraph"/>
              <w:ind w:left="4775"/>
              <w:rPr>
                <w:b/>
                <w:sz w:val="14"/>
              </w:rPr>
            </w:pPr>
            <w:r>
              <w:rPr>
                <w:b/>
                <w:sz w:val="14"/>
              </w:rPr>
              <w:t>0.0</w:t>
            </w:r>
          </w:p>
          <w:p>
            <w:pPr>
              <w:pStyle w:val="TableParagraph"/>
              <w:spacing w:before="10"/>
              <w:rPr>
                <w:sz w:val="14"/>
              </w:rPr>
            </w:pPr>
          </w:p>
          <w:p>
            <w:pPr>
              <w:pStyle w:val="TableParagraph"/>
              <w:tabs>
                <w:tab w:pos="2858" w:val="left" w:leader="none"/>
              </w:tabs>
              <w:spacing w:before="1"/>
              <w:ind w:left="1363"/>
              <w:rPr>
                <w:b/>
                <w:sz w:val="15"/>
              </w:rPr>
            </w:pPr>
            <w:r>
              <w:rPr>
                <w:b/>
                <w:color w:val="000080"/>
                <w:w w:val="105"/>
                <w:sz w:val="15"/>
              </w:rPr>
              <w:t>Formula</w:t>
            </w:r>
            <w:r>
              <w:rPr>
                <w:b/>
                <w:color w:val="000080"/>
                <w:spacing w:val="-2"/>
                <w:w w:val="105"/>
                <w:sz w:val="15"/>
              </w:rPr>
              <w:t> </w:t>
            </w:r>
            <w:r>
              <w:rPr>
                <w:b/>
                <w:color w:val="000080"/>
                <w:spacing w:val="3"/>
                <w:w w:val="105"/>
                <w:sz w:val="15"/>
              </w:rPr>
              <w:t>effect</w:t>
              <w:tab/>
            </w:r>
            <w:r>
              <w:rPr>
                <w:b/>
                <w:color w:val="008000"/>
                <w:spacing w:val="3"/>
                <w:w w:val="105"/>
                <w:sz w:val="15"/>
              </w:rPr>
              <w:t>Other</w:t>
            </w:r>
          </w:p>
          <w:p>
            <w:pPr>
              <w:pStyle w:val="TableParagraph"/>
              <w:spacing w:before="57"/>
              <w:ind w:left="4775"/>
              <w:rPr>
                <w:b/>
                <w:sz w:val="14"/>
              </w:rPr>
            </w:pPr>
            <w:r>
              <w:rPr>
                <w:b/>
                <w:sz w:val="14"/>
              </w:rPr>
              <w:t>-0.6</w:t>
            </w:r>
          </w:p>
          <w:p>
            <w:pPr>
              <w:pStyle w:val="TableParagraph"/>
              <w:spacing w:before="48"/>
              <w:ind w:left="179"/>
              <w:rPr>
                <w:b/>
                <w:sz w:val="14"/>
              </w:rPr>
            </w:pPr>
            <w:r>
              <w:rPr>
                <w:b/>
                <w:sz w:val="14"/>
              </w:rPr>
              <w:t>1995 1996 1997 1998 1999 2000 2001 2002 2003 2004 2005</w:t>
            </w:r>
          </w:p>
          <w:p>
            <w:pPr>
              <w:pStyle w:val="TableParagraph"/>
              <w:rPr>
                <w:sz w:val="16"/>
              </w:rPr>
            </w:pPr>
          </w:p>
          <w:p>
            <w:pPr>
              <w:pStyle w:val="TableParagraph"/>
              <w:spacing w:before="111"/>
              <w:ind w:left="101"/>
              <w:rPr>
                <w:sz w:val="16"/>
              </w:rPr>
            </w:pPr>
            <w:r>
              <w:rPr>
                <w:sz w:val="16"/>
              </w:rPr>
              <w:t>Sources: ONS and Bank of England.</w:t>
            </w:r>
          </w:p>
        </w:tc>
      </w:tr>
      <w:tr>
        <w:trPr>
          <w:trHeight w:val="273" w:hRule="atLeast"/>
        </w:trPr>
        <w:tc>
          <w:tcPr>
            <w:tcW w:w="1019" w:type="dxa"/>
            <w:tcBorders>
              <w:left w:val="single" w:sz="4" w:space="0" w:color="000000"/>
            </w:tcBorders>
          </w:tcPr>
          <w:p>
            <w:pPr>
              <w:pStyle w:val="TableParagraph"/>
              <w:rPr>
                <w:sz w:val="16"/>
              </w:rPr>
            </w:pPr>
          </w:p>
        </w:tc>
        <w:tc>
          <w:tcPr>
            <w:tcW w:w="280" w:type="dxa"/>
          </w:tcPr>
          <w:p>
            <w:pPr>
              <w:pStyle w:val="TableParagraph"/>
              <w:rPr>
                <w:sz w:val="16"/>
              </w:rPr>
            </w:pPr>
          </w:p>
        </w:tc>
        <w:tc>
          <w:tcPr>
            <w:tcW w:w="499" w:type="dxa"/>
          </w:tcPr>
          <w:p>
            <w:pPr>
              <w:pStyle w:val="TableParagraph"/>
              <w:rPr>
                <w:sz w:val="16"/>
              </w:rPr>
            </w:pPr>
          </w:p>
        </w:tc>
        <w:tc>
          <w:tcPr>
            <w:tcW w:w="419" w:type="dxa"/>
          </w:tcPr>
          <w:p>
            <w:pPr>
              <w:pStyle w:val="TableParagraph"/>
              <w:rPr>
                <w:sz w:val="16"/>
              </w:rPr>
            </w:pPr>
          </w:p>
        </w:tc>
        <w:tc>
          <w:tcPr>
            <w:tcW w:w="454" w:type="dxa"/>
          </w:tcPr>
          <w:p>
            <w:pPr>
              <w:pStyle w:val="TableParagraph"/>
              <w:rPr>
                <w:sz w:val="16"/>
              </w:rPr>
            </w:pPr>
          </w:p>
        </w:tc>
        <w:tc>
          <w:tcPr>
            <w:tcW w:w="395" w:type="dxa"/>
          </w:tcPr>
          <w:p>
            <w:pPr>
              <w:pStyle w:val="TableParagraph"/>
              <w:rPr>
                <w:sz w:val="16"/>
              </w:rPr>
            </w:pPr>
          </w:p>
        </w:tc>
        <w:tc>
          <w:tcPr>
            <w:tcW w:w="419" w:type="dxa"/>
          </w:tcPr>
          <w:p>
            <w:pPr>
              <w:pStyle w:val="TableParagraph"/>
              <w:rPr>
                <w:sz w:val="16"/>
              </w:rPr>
            </w:pPr>
          </w:p>
        </w:tc>
        <w:tc>
          <w:tcPr>
            <w:tcW w:w="1857" w:type="dxa"/>
            <w:tcBorders>
              <w:right w:val="single" w:sz="4" w:space="0" w:color="000000"/>
            </w:tcBorders>
          </w:tcPr>
          <w:p>
            <w:pPr>
              <w:pStyle w:val="TableParagraph"/>
              <w:spacing w:before="39"/>
              <w:ind w:right="376"/>
              <w:jc w:val="right"/>
              <w:rPr>
                <w:b/>
                <w:sz w:val="11"/>
              </w:rPr>
            </w:pPr>
            <w:r>
              <w:rPr>
                <w:b/>
                <w:w w:val="115"/>
                <w:sz w:val="11"/>
              </w:rPr>
              <w:t>3.5</w:t>
            </w:r>
          </w:p>
        </w:tc>
        <w:tc>
          <w:tcPr>
            <w:tcW w:w="5336" w:type="dxa"/>
            <w:vMerge/>
            <w:tcBorders>
              <w:top w:val="nil"/>
              <w:left w:val="single" w:sz="4" w:space="0" w:color="000000"/>
              <w:bottom w:val="single" w:sz="4" w:space="0" w:color="000000"/>
              <w:right w:val="single" w:sz="4" w:space="0" w:color="000000"/>
            </w:tcBorders>
          </w:tcPr>
          <w:p>
            <w:pPr>
              <w:rPr>
                <w:sz w:val="2"/>
                <w:szCs w:val="2"/>
              </w:rPr>
            </w:pPr>
          </w:p>
        </w:tc>
      </w:tr>
      <w:tr>
        <w:trPr>
          <w:trHeight w:val="258" w:hRule="atLeast"/>
        </w:trPr>
        <w:tc>
          <w:tcPr>
            <w:tcW w:w="1019" w:type="dxa"/>
            <w:tcBorders>
              <w:left w:val="single" w:sz="4" w:space="0" w:color="000000"/>
            </w:tcBorders>
          </w:tcPr>
          <w:p>
            <w:pPr>
              <w:pStyle w:val="TableParagraph"/>
              <w:rPr>
                <w:sz w:val="16"/>
              </w:rPr>
            </w:pPr>
          </w:p>
        </w:tc>
        <w:tc>
          <w:tcPr>
            <w:tcW w:w="280" w:type="dxa"/>
          </w:tcPr>
          <w:p>
            <w:pPr>
              <w:pStyle w:val="TableParagraph"/>
              <w:rPr>
                <w:sz w:val="16"/>
              </w:rPr>
            </w:pPr>
          </w:p>
        </w:tc>
        <w:tc>
          <w:tcPr>
            <w:tcW w:w="499" w:type="dxa"/>
          </w:tcPr>
          <w:p>
            <w:pPr>
              <w:pStyle w:val="TableParagraph"/>
              <w:rPr>
                <w:sz w:val="16"/>
              </w:rPr>
            </w:pPr>
          </w:p>
        </w:tc>
        <w:tc>
          <w:tcPr>
            <w:tcW w:w="419" w:type="dxa"/>
          </w:tcPr>
          <w:p>
            <w:pPr>
              <w:pStyle w:val="TableParagraph"/>
              <w:rPr>
                <w:sz w:val="16"/>
              </w:rPr>
            </w:pPr>
          </w:p>
        </w:tc>
        <w:tc>
          <w:tcPr>
            <w:tcW w:w="454" w:type="dxa"/>
          </w:tcPr>
          <w:p>
            <w:pPr>
              <w:pStyle w:val="TableParagraph"/>
              <w:rPr>
                <w:sz w:val="16"/>
              </w:rPr>
            </w:pPr>
          </w:p>
        </w:tc>
        <w:tc>
          <w:tcPr>
            <w:tcW w:w="395" w:type="dxa"/>
          </w:tcPr>
          <w:p>
            <w:pPr>
              <w:pStyle w:val="TableParagraph"/>
              <w:rPr>
                <w:sz w:val="16"/>
              </w:rPr>
            </w:pPr>
          </w:p>
        </w:tc>
        <w:tc>
          <w:tcPr>
            <w:tcW w:w="419" w:type="dxa"/>
          </w:tcPr>
          <w:p>
            <w:pPr>
              <w:pStyle w:val="TableParagraph"/>
              <w:rPr>
                <w:sz w:val="16"/>
              </w:rPr>
            </w:pPr>
          </w:p>
        </w:tc>
        <w:tc>
          <w:tcPr>
            <w:tcW w:w="1857" w:type="dxa"/>
            <w:tcBorders>
              <w:right w:val="single" w:sz="4" w:space="0" w:color="000000"/>
            </w:tcBorders>
          </w:tcPr>
          <w:p>
            <w:pPr>
              <w:pStyle w:val="TableParagraph"/>
              <w:spacing w:before="5"/>
              <w:rPr>
                <w:sz w:val="9"/>
              </w:rPr>
            </w:pPr>
          </w:p>
          <w:p>
            <w:pPr>
              <w:pStyle w:val="TableParagraph"/>
              <w:ind w:right="472"/>
              <w:jc w:val="right"/>
              <w:rPr>
                <w:b/>
                <w:sz w:val="11"/>
              </w:rPr>
            </w:pPr>
            <w:r>
              <w:rPr>
                <w:b/>
                <w:w w:val="115"/>
                <w:sz w:val="11"/>
              </w:rPr>
              <w:t>3</w:t>
            </w:r>
          </w:p>
        </w:tc>
        <w:tc>
          <w:tcPr>
            <w:tcW w:w="5336" w:type="dxa"/>
            <w:vMerge/>
            <w:tcBorders>
              <w:top w:val="nil"/>
              <w:left w:val="single" w:sz="4" w:space="0" w:color="000000"/>
              <w:bottom w:val="single" w:sz="4" w:space="0" w:color="000000"/>
              <w:right w:val="single" w:sz="4" w:space="0" w:color="000000"/>
            </w:tcBorders>
          </w:tcPr>
          <w:p>
            <w:pPr>
              <w:rPr>
                <w:sz w:val="2"/>
                <w:szCs w:val="2"/>
              </w:rPr>
            </w:pPr>
          </w:p>
        </w:tc>
      </w:tr>
      <w:tr>
        <w:trPr>
          <w:trHeight w:val="172" w:hRule="atLeast"/>
        </w:trPr>
        <w:tc>
          <w:tcPr>
            <w:tcW w:w="1019" w:type="dxa"/>
            <w:tcBorders>
              <w:left w:val="single" w:sz="4" w:space="0" w:color="000000"/>
            </w:tcBorders>
          </w:tcPr>
          <w:p>
            <w:pPr>
              <w:pStyle w:val="TableParagraph"/>
              <w:rPr>
                <w:sz w:val="10"/>
              </w:rPr>
            </w:pPr>
          </w:p>
        </w:tc>
        <w:tc>
          <w:tcPr>
            <w:tcW w:w="280" w:type="dxa"/>
          </w:tcPr>
          <w:p>
            <w:pPr>
              <w:pStyle w:val="TableParagraph"/>
              <w:rPr>
                <w:sz w:val="10"/>
              </w:rPr>
            </w:pPr>
          </w:p>
        </w:tc>
        <w:tc>
          <w:tcPr>
            <w:tcW w:w="499" w:type="dxa"/>
          </w:tcPr>
          <w:p>
            <w:pPr>
              <w:pStyle w:val="TableParagraph"/>
              <w:rPr>
                <w:sz w:val="10"/>
              </w:rPr>
            </w:pPr>
          </w:p>
        </w:tc>
        <w:tc>
          <w:tcPr>
            <w:tcW w:w="419" w:type="dxa"/>
          </w:tcPr>
          <w:p>
            <w:pPr>
              <w:pStyle w:val="TableParagraph"/>
              <w:rPr>
                <w:sz w:val="10"/>
              </w:rPr>
            </w:pPr>
          </w:p>
        </w:tc>
        <w:tc>
          <w:tcPr>
            <w:tcW w:w="454" w:type="dxa"/>
          </w:tcPr>
          <w:p>
            <w:pPr>
              <w:pStyle w:val="TableParagraph"/>
              <w:spacing w:before="23"/>
              <w:ind w:left="104"/>
              <w:rPr>
                <w:b/>
                <w:sz w:val="11"/>
              </w:rPr>
            </w:pPr>
            <w:r>
              <w:rPr>
                <w:b/>
                <w:color w:val="000080"/>
                <w:w w:val="115"/>
                <w:sz w:val="11"/>
              </w:rPr>
              <w:t>RPIX</w:t>
            </w:r>
          </w:p>
        </w:tc>
        <w:tc>
          <w:tcPr>
            <w:tcW w:w="395" w:type="dxa"/>
          </w:tcPr>
          <w:p>
            <w:pPr>
              <w:pStyle w:val="TableParagraph"/>
              <w:rPr>
                <w:sz w:val="10"/>
              </w:rPr>
            </w:pPr>
          </w:p>
        </w:tc>
        <w:tc>
          <w:tcPr>
            <w:tcW w:w="419" w:type="dxa"/>
          </w:tcPr>
          <w:p>
            <w:pPr>
              <w:pStyle w:val="TableParagraph"/>
              <w:rPr>
                <w:sz w:val="10"/>
              </w:rPr>
            </w:pPr>
          </w:p>
        </w:tc>
        <w:tc>
          <w:tcPr>
            <w:tcW w:w="1857" w:type="dxa"/>
            <w:tcBorders>
              <w:right w:val="single" w:sz="4" w:space="0" w:color="000000"/>
            </w:tcBorders>
          </w:tcPr>
          <w:p>
            <w:pPr>
              <w:pStyle w:val="TableParagraph"/>
              <w:rPr>
                <w:sz w:val="10"/>
              </w:rPr>
            </w:pPr>
          </w:p>
        </w:tc>
        <w:tc>
          <w:tcPr>
            <w:tcW w:w="5336" w:type="dxa"/>
            <w:vMerge/>
            <w:tcBorders>
              <w:top w:val="nil"/>
              <w:left w:val="single" w:sz="4" w:space="0" w:color="000000"/>
              <w:bottom w:val="single" w:sz="4" w:space="0" w:color="000000"/>
              <w:right w:val="single" w:sz="4" w:space="0" w:color="000000"/>
            </w:tcBorders>
          </w:tcPr>
          <w:p>
            <w:pPr>
              <w:rPr>
                <w:sz w:val="2"/>
                <w:szCs w:val="2"/>
              </w:rPr>
            </w:pPr>
          </w:p>
        </w:tc>
      </w:tr>
      <w:tr>
        <w:trPr>
          <w:trHeight w:val="258" w:hRule="atLeast"/>
        </w:trPr>
        <w:tc>
          <w:tcPr>
            <w:tcW w:w="1019" w:type="dxa"/>
            <w:tcBorders>
              <w:left w:val="single" w:sz="4" w:space="0" w:color="000000"/>
            </w:tcBorders>
          </w:tcPr>
          <w:p>
            <w:pPr>
              <w:pStyle w:val="TableParagraph"/>
              <w:rPr>
                <w:sz w:val="16"/>
              </w:rPr>
            </w:pPr>
          </w:p>
        </w:tc>
        <w:tc>
          <w:tcPr>
            <w:tcW w:w="280" w:type="dxa"/>
          </w:tcPr>
          <w:p>
            <w:pPr>
              <w:pStyle w:val="TableParagraph"/>
              <w:rPr>
                <w:sz w:val="16"/>
              </w:rPr>
            </w:pPr>
          </w:p>
        </w:tc>
        <w:tc>
          <w:tcPr>
            <w:tcW w:w="499" w:type="dxa"/>
          </w:tcPr>
          <w:p>
            <w:pPr>
              <w:pStyle w:val="TableParagraph"/>
              <w:rPr>
                <w:sz w:val="16"/>
              </w:rPr>
            </w:pPr>
          </w:p>
        </w:tc>
        <w:tc>
          <w:tcPr>
            <w:tcW w:w="419" w:type="dxa"/>
          </w:tcPr>
          <w:p>
            <w:pPr>
              <w:pStyle w:val="TableParagraph"/>
              <w:rPr>
                <w:sz w:val="16"/>
              </w:rPr>
            </w:pPr>
          </w:p>
        </w:tc>
        <w:tc>
          <w:tcPr>
            <w:tcW w:w="454" w:type="dxa"/>
          </w:tcPr>
          <w:p>
            <w:pPr>
              <w:pStyle w:val="TableParagraph"/>
              <w:rPr>
                <w:sz w:val="16"/>
              </w:rPr>
            </w:pPr>
          </w:p>
        </w:tc>
        <w:tc>
          <w:tcPr>
            <w:tcW w:w="395" w:type="dxa"/>
          </w:tcPr>
          <w:p>
            <w:pPr>
              <w:pStyle w:val="TableParagraph"/>
              <w:rPr>
                <w:sz w:val="16"/>
              </w:rPr>
            </w:pPr>
          </w:p>
        </w:tc>
        <w:tc>
          <w:tcPr>
            <w:tcW w:w="419" w:type="dxa"/>
          </w:tcPr>
          <w:p>
            <w:pPr>
              <w:pStyle w:val="TableParagraph"/>
              <w:rPr>
                <w:sz w:val="16"/>
              </w:rPr>
            </w:pPr>
          </w:p>
        </w:tc>
        <w:tc>
          <w:tcPr>
            <w:tcW w:w="1857" w:type="dxa"/>
            <w:tcBorders>
              <w:right w:val="single" w:sz="4" w:space="0" w:color="000000"/>
            </w:tcBorders>
          </w:tcPr>
          <w:p>
            <w:pPr>
              <w:pStyle w:val="TableParagraph"/>
              <w:spacing w:before="23"/>
              <w:ind w:right="376"/>
              <w:jc w:val="right"/>
              <w:rPr>
                <w:b/>
                <w:sz w:val="11"/>
              </w:rPr>
            </w:pPr>
            <w:r>
              <w:rPr>
                <w:b/>
                <w:w w:val="115"/>
                <w:sz w:val="11"/>
              </w:rPr>
              <w:t>2.5</w:t>
            </w:r>
          </w:p>
        </w:tc>
        <w:tc>
          <w:tcPr>
            <w:tcW w:w="5336" w:type="dxa"/>
            <w:vMerge/>
            <w:tcBorders>
              <w:top w:val="nil"/>
              <w:left w:val="single" w:sz="4" w:space="0" w:color="000000"/>
              <w:bottom w:val="single" w:sz="4" w:space="0" w:color="000000"/>
              <w:right w:val="single" w:sz="4" w:space="0" w:color="000000"/>
            </w:tcBorders>
          </w:tcPr>
          <w:p>
            <w:pPr>
              <w:rPr>
                <w:sz w:val="2"/>
                <w:szCs w:val="2"/>
              </w:rPr>
            </w:pPr>
          </w:p>
        </w:tc>
      </w:tr>
      <w:tr>
        <w:trPr>
          <w:trHeight w:val="343" w:hRule="atLeast"/>
        </w:trPr>
        <w:tc>
          <w:tcPr>
            <w:tcW w:w="1019" w:type="dxa"/>
            <w:tcBorders>
              <w:left w:val="single" w:sz="4" w:space="0" w:color="000000"/>
            </w:tcBorders>
          </w:tcPr>
          <w:p>
            <w:pPr>
              <w:pStyle w:val="TableParagraph"/>
              <w:rPr>
                <w:sz w:val="16"/>
              </w:rPr>
            </w:pPr>
          </w:p>
        </w:tc>
        <w:tc>
          <w:tcPr>
            <w:tcW w:w="280" w:type="dxa"/>
          </w:tcPr>
          <w:p>
            <w:pPr>
              <w:pStyle w:val="TableParagraph"/>
              <w:rPr>
                <w:sz w:val="16"/>
              </w:rPr>
            </w:pPr>
          </w:p>
        </w:tc>
        <w:tc>
          <w:tcPr>
            <w:tcW w:w="499" w:type="dxa"/>
          </w:tcPr>
          <w:p>
            <w:pPr>
              <w:pStyle w:val="TableParagraph"/>
              <w:rPr>
                <w:sz w:val="16"/>
              </w:rPr>
            </w:pPr>
          </w:p>
        </w:tc>
        <w:tc>
          <w:tcPr>
            <w:tcW w:w="419" w:type="dxa"/>
          </w:tcPr>
          <w:p>
            <w:pPr>
              <w:pStyle w:val="TableParagraph"/>
              <w:rPr>
                <w:sz w:val="16"/>
              </w:rPr>
            </w:pPr>
          </w:p>
        </w:tc>
        <w:tc>
          <w:tcPr>
            <w:tcW w:w="454" w:type="dxa"/>
          </w:tcPr>
          <w:p>
            <w:pPr>
              <w:pStyle w:val="TableParagraph"/>
              <w:rPr>
                <w:sz w:val="16"/>
              </w:rPr>
            </w:pPr>
          </w:p>
        </w:tc>
        <w:tc>
          <w:tcPr>
            <w:tcW w:w="395" w:type="dxa"/>
          </w:tcPr>
          <w:p>
            <w:pPr>
              <w:pStyle w:val="TableParagraph"/>
              <w:rPr>
                <w:sz w:val="16"/>
              </w:rPr>
            </w:pPr>
          </w:p>
        </w:tc>
        <w:tc>
          <w:tcPr>
            <w:tcW w:w="419" w:type="dxa"/>
          </w:tcPr>
          <w:p>
            <w:pPr>
              <w:pStyle w:val="TableParagraph"/>
              <w:rPr>
                <w:sz w:val="16"/>
              </w:rPr>
            </w:pPr>
          </w:p>
        </w:tc>
        <w:tc>
          <w:tcPr>
            <w:tcW w:w="1857" w:type="dxa"/>
            <w:tcBorders>
              <w:right w:val="single" w:sz="4" w:space="0" w:color="000000"/>
            </w:tcBorders>
          </w:tcPr>
          <w:p>
            <w:pPr>
              <w:pStyle w:val="TableParagraph"/>
              <w:spacing w:before="5"/>
              <w:rPr>
                <w:sz w:val="9"/>
              </w:rPr>
            </w:pPr>
          </w:p>
          <w:p>
            <w:pPr>
              <w:pStyle w:val="TableParagraph"/>
              <w:ind w:right="472"/>
              <w:jc w:val="right"/>
              <w:rPr>
                <w:b/>
                <w:sz w:val="11"/>
              </w:rPr>
            </w:pPr>
            <w:r>
              <w:rPr>
                <w:b/>
                <w:w w:val="115"/>
                <w:sz w:val="11"/>
              </w:rPr>
              <w:t>2</w:t>
            </w:r>
          </w:p>
        </w:tc>
        <w:tc>
          <w:tcPr>
            <w:tcW w:w="5336" w:type="dxa"/>
            <w:vMerge/>
            <w:tcBorders>
              <w:top w:val="nil"/>
              <w:left w:val="single" w:sz="4" w:space="0" w:color="000000"/>
              <w:bottom w:val="single" w:sz="4" w:space="0" w:color="000000"/>
              <w:right w:val="single" w:sz="4" w:space="0" w:color="000000"/>
            </w:tcBorders>
          </w:tcPr>
          <w:p>
            <w:pPr>
              <w:rPr>
                <w:sz w:val="2"/>
                <w:szCs w:val="2"/>
              </w:rPr>
            </w:pPr>
          </w:p>
        </w:tc>
      </w:tr>
      <w:tr>
        <w:trPr>
          <w:trHeight w:val="370" w:hRule="atLeast"/>
        </w:trPr>
        <w:tc>
          <w:tcPr>
            <w:tcW w:w="1019" w:type="dxa"/>
            <w:tcBorders>
              <w:left w:val="single" w:sz="4" w:space="0" w:color="000000"/>
            </w:tcBorders>
          </w:tcPr>
          <w:p>
            <w:pPr>
              <w:pStyle w:val="TableParagraph"/>
              <w:rPr>
                <w:sz w:val="16"/>
              </w:rPr>
            </w:pPr>
          </w:p>
        </w:tc>
        <w:tc>
          <w:tcPr>
            <w:tcW w:w="280" w:type="dxa"/>
          </w:tcPr>
          <w:p>
            <w:pPr>
              <w:pStyle w:val="TableParagraph"/>
              <w:rPr>
                <w:sz w:val="16"/>
              </w:rPr>
            </w:pPr>
          </w:p>
        </w:tc>
        <w:tc>
          <w:tcPr>
            <w:tcW w:w="499" w:type="dxa"/>
          </w:tcPr>
          <w:p>
            <w:pPr>
              <w:pStyle w:val="TableParagraph"/>
              <w:rPr>
                <w:sz w:val="16"/>
              </w:rPr>
            </w:pPr>
          </w:p>
        </w:tc>
        <w:tc>
          <w:tcPr>
            <w:tcW w:w="419" w:type="dxa"/>
          </w:tcPr>
          <w:p>
            <w:pPr>
              <w:pStyle w:val="TableParagraph"/>
              <w:rPr>
                <w:sz w:val="16"/>
              </w:rPr>
            </w:pPr>
          </w:p>
        </w:tc>
        <w:tc>
          <w:tcPr>
            <w:tcW w:w="454" w:type="dxa"/>
          </w:tcPr>
          <w:p>
            <w:pPr>
              <w:pStyle w:val="TableParagraph"/>
              <w:rPr>
                <w:sz w:val="16"/>
              </w:rPr>
            </w:pPr>
          </w:p>
        </w:tc>
        <w:tc>
          <w:tcPr>
            <w:tcW w:w="395" w:type="dxa"/>
          </w:tcPr>
          <w:p>
            <w:pPr>
              <w:pStyle w:val="TableParagraph"/>
              <w:rPr>
                <w:sz w:val="16"/>
              </w:rPr>
            </w:pPr>
          </w:p>
        </w:tc>
        <w:tc>
          <w:tcPr>
            <w:tcW w:w="419" w:type="dxa"/>
          </w:tcPr>
          <w:p>
            <w:pPr>
              <w:pStyle w:val="TableParagraph"/>
              <w:rPr>
                <w:sz w:val="16"/>
              </w:rPr>
            </w:pPr>
          </w:p>
        </w:tc>
        <w:tc>
          <w:tcPr>
            <w:tcW w:w="1857" w:type="dxa"/>
            <w:tcBorders>
              <w:right w:val="single" w:sz="4" w:space="0" w:color="000000"/>
            </w:tcBorders>
          </w:tcPr>
          <w:p>
            <w:pPr>
              <w:pStyle w:val="TableParagraph"/>
              <w:spacing w:before="5"/>
              <w:rPr>
                <w:sz w:val="9"/>
              </w:rPr>
            </w:pPr>
          </w:p>
          <w:p>
            <w:pPr>
              <w:pStyle w:val="TableParagraph"/>
              <w:ind w:right="376"/>
              <w:jc w:val="right"/>
              <w:rPr>
                <w:b/>
                <w:sz w:val="11"/>
              </w:rPr>
            </w:pPr>
            <w:r>
              <w:rPr>
                <w:b/>
                <w:w w:val="115"/>
                <w:sz w:val="11"/>
              </w:rPr>
              <w:t>1.5</w:t>
            </w:r>
          </w:p>
        </w:tc>
        <w:tc>
          <w:tcPr>
            <w:tcW w:w="5336" w:type="dxa"/>
            <w:vMerge/>
            <w:tcBorders>
              <w:top w:val="nil"/>
              <w:left w:val="single" w:sz="4" w:space="0" w:color="000000"/>
              <w:bottom w:val="single" w:sz="4" w:space="0" w:color="000000"/>
              <w:right w:val="single" w:sz="4" w:space="0" w:color="000000"/>
            </w:tcBorders>
          </w:tcPr>
          <w:p>
            <w:pPr>
              <w:rPr>
                <w:sz w:val="2"/>
                <w:szCs w:val="2"/>
              </w:rPr>
            </w:pPr>
          </w:p>
        </w:tc>
      </w:tr>
      <w:tr>
        <w:trPr>
          <w:trHeight w:val="349" w:hRule="atLeast"/>
        </w:trPr>
        <w:tc>
          <w:tcPr>
            <w:tcW w:w="1019" w:type="dxa"/>
            <w:tcBorders>
              <w:left w:val="single" w:sz="4" w:space="0" w:color="000000"/>
            </w:tcBorders>
          </w:tcPr>
          <w:p>
            <w:pPr>
              <w:pStyle w:val="TableParagraph"/>
              <w:rPr>
                <w:sz w:val="16"/>
              </w:rPr>
            </w:pPr>
          </w:p>
        </w:tc>
        <w:tc>
          <w:tcPr>
            <w:tcW w:w="280" w:type="dxa"/>
          </w:tcPr>
          <w:p>
            <w:pPr>
              <w:pStyle w:val="TableParagraph"/>
              <w:rPr>
                <w:sz w:val="16"/>
              </w:rPr>
            </w:pPr>
          </w:p>
        </w:tc>
        <w:tc>
          <w:tcPr>
            <w:tcW w:w="499" w:type="dxa"/>
          </w:tcPr>
          <w:p>
            <w:pPr>
              <w:pStyle w:val="TableParagraph"/>
              <w:spacing w:before="9"/>
              <w:rPr>
                <w:sz w:val="11"/>
              </w:rPr>
            </w:pPr>
          </w:p>
          <w:p>
            <w:pPr>
              <w:pStyle w:val="TableParagraph"/>
              <w:ind w:left="4"/>
              <w:rPr>
                <w:b/>
                <w:sz w:val="11"/>
              </w:rPr>
            </w:pPr>
            <w:r>
              <w:rPr>
                <w:b/>
                <w:color w:val="FF00FF"/>
                <w:w w:val="115"/>
                <w:sz w:val="11"/>
              </w:rPr>
              <w:t>CPI</w:t>
            </w:r>
          </w:p>
        </w:tc>
        <w:tc>
          <w:tcPr>
            <w:tcW w:w="419" w:type="dxa"/>
          </w:tcPr>
          <w:p>
            <w:pPr>
              <w:pStyle w:val="TableParagraph"/>
              <w:rPr>
                <w:sz w:val="16"/>
              </w:rPr>
            </w:pPr>
          </w:p>
        </w:tc>
        <w:tc>
          <w:tcPr>
            <w:tcW w:w="454" w:type="dxa"/>
          </w:tcPr>
          <w:p>
            <w:pPr>
              <w:pStyle w:val="TableParagraph"/>
              <w:rPr>
                <w:sz w:val="16"/>
              </w:rPr>
            </w:pPr>
          </w:p>
        </w:tc>
        <w:tc>
          <w:tcPr>
            <w:tcW w:w="395" w:type="dxa"/>
          </w:tcPr>
          <w:p>
            <w:pPr>
              <w:pStyle w:val="TableParagraph"/>
              <w:rPr>
                <w:sz w:val="16"/>
              </w:rPr>
            </w:pPr>
          </w:p>
        </w:tc>
        <w:tc>
          <w:tcPr>
            <w:tcW w:w="419" w:type="dxa"/>
          </w:tcPr>
          <w:p>
            <w:pPr>
              <w:pStyle w:val="TableParagraph"/>
              <w:rPr>
                <w:sz w:val="16"/>
              </w:rPr>
            </w:pPr>
          </w:p>
        </w:tc>
        <w:tc>
          <w:tcPr>
            <w:tcW w:w="1857" w:type="dxa"/>
            <w:tcBorders>
              <w:right w:val="single" w:sz="4" w:space="0" w:color="000000"/>
            </w:tcBorders>
          </w:tcPr>
          <w:p>
            <w:pPr>
              <w:pStyle w:val="TableParagraph"/>
              <w:spacing w:before="82"/>
              <w:ind w:right="472"/>
              <w:jc w:val="right"/>
              <w:rPr>
                <w:b/>
                <w:sz w:val="11"/>
              </w:rPr>
            </w:pPr>
            <w:r>
              <w:rPr>
                <w:b/>
                <w:w w:val="115"/>
                <w:sz w:val="11"/>
              </w:rPr>
              <w:t>1</w:t>
            </w:r>
          </w:p>
        </w:tc>
        <w:tc>
          <w:tcPr>
            <w:tcW w:w="5336" w:type="dxa"/>
            <w:vMerge/>
            <w:tcBorders>
              <w:top w:val="nil"/>
              <w:left w:val="single" w:sz="4" w:space="0" w:color="000000"/>
              <w:bottom w:val="single" w:sz="4" w:space="0" w:color="000000"/>
              <w:right w:val="single" w:sz="4" w:space="0" w:color="000000"/>
            </w:tcBorders>
          </w:tcPr>
          <w:p>
            <w:pPr>
              <w:rPr>
                <w:sz w:val="2"/>
                <w:szCs w:val="2"/>
              </w:rPr>
            </w:pPr>
          </w:p>
        </w:tc>
      </w:tr>
      <w:tr>
        <w:trPr>
          <w:trHeight w:val="322" w:hRule="atLeast"/>
        </w:trPr>
        <w:tc>
          <w:tcPr>
            <w:tcW w:w="1019" w:type="dxa"/>
            <w:tcBorders>
              <w:left w:val="single" w:sz="4" w:space="0" w:color="000000"/>
            </w:tcBorders>
          </w:tcPr>
          <w:p>
            <w:pPr>
              <w:pStyle w:val="TableParagraph"/>
              <w:rPr>
                <w:sz w:val="16"/>
              </w:rPr>
            </w:pPr>
          </w:p>
        </w:tc>
        <w:tc>
          <w:tcPr>
            <w:tcW w:w="280" w:type="dxa"/>
          </w:tcPr>
          <w:p>
            <w:pPr>
              <w:pStyle w:val="TableParagraph"/>
              <w:rPr>
                <w:sz w:val="16"/>
              </w:rPr>
            </w:pPr>
          </w:p>
        </w:tc>
        <w:tc>
          <w:tcPr>
            <w:tcW w:w="499" w:type="dxa"/>
          </w:tcPr>
          <w:p>
            <w:pPr>
              <w:pStyle w:val="TableParagraph"/>
              <w:rPr>
                <w:sz w:val="16"/>
              </w:rPr>
            </w:pPr>
          </w:p>
        </w:tc>
        <w:tc>
          <w:tcPr>
            <w:tcW w:w="419" w:type="dxa"/>
          </w:tcPr>
          <w:p>
            <w:pPr>
              <w:pStyle w:val="TableParagraph"/>
              <w:rPr>
                <w:sz w:val="16"/>
              </w:rPr>
            </w:pPr>
          </w:p>
        </w:tc>
        <w:tc>
          <w:tcPr>
            <w:tcW w:w="454" w:type="dxa"/>
          </w:tcPr>
          <w:p>
            <w:pPr>
              <w:pStyle w:val="TableParagraph"/>
              <w:rPr>
                <w:sz w:val="16"/>
              </w:rPr>
            </w:pPr>
          </w:p>
        </w:tc>
        <w:tc>
          <w:tcPr>
            <w:tcW w:w="395" w:type="dxa"/>
          </w:tcPr>
          <w:p>
            <w:pPr>
              <w:pStyle w:val="TableParagraph"/>
              <w:rPr>
                <w:sz w:val="16"/>
              </w:rPr>
            </w:pPr>
          </w:p>
        </w:tc>
        <w:tc>
          <w:tcPr>
            <w:tcW w:w="419" w:type="dxa"/>
          </w:tcPr>
          <w:p>
            <w:pPr>
              <w:pStyle w:val="TableParagraph"/>
              <w:rPr>
                <w:sz w:val="16"/>
              </w:rPr>
            </w:pPr>
          </w:p>
        </w:tc>
        <w:tc>
          <w:tcPr>
            <w:tcW w:w="1857" w:type="dxa"/>
            <w:tcBorders>
              <w:right w:val="single" w:sz="4" w:space="0" w:color="000000"/>
            </w:tcBorders>
          </w:tcPr>
          <w:p>
            <w:pPr>
              <w:pStyle w:val="TableParagraph"/>
              <w:spacing w:before="88"/>
              <w:ind w:right="376"/>
              <w:jc w:val="right"/>
              <w:rPr>
                <w:b/>
                <w:sz w:val="11"/>
              </w:rPr>
            </w:pPr>
            <w:r>
              <w:rPr>
                <w:b/>
                <w:w w:val="115"/>
                <w:sz w:val="11"/>
              </w:rPr>
              <w:t>0.5</w:t>
            </w:r>
          </w:p>
        </w:tc>
        <w:tc>
          <w:tcPr>
            <w:tcW w:w="5336" w:type="dxa"/>
            <w:vMerge/>
            <w:tcBorders>
              <w:top w:val="nil"/>
              <w:left w:val="single" w:sz="4" w:space="0" w:color="000000"/>
              <w:bottom w:val="single" w:sz="4" w:space="0" w:color="000000"/>
              <w:right w:val="single" w:sz="4" w:space="0" w:color="000000"/>
            </w:tcBorders>
          </w:tcPr>
          <w:p>
            <w:pPr>
              <w:rPr>
                <w:sz w:val="2"/>
                <w:szCs w:val="2"/>
              </w:rPr>
            </w:pPr>
          </w:p>
        </w:tc>
      </w:tr>
      <w:tr>
        <w:trPr>
          <w:trHeight w:val="246" w:hRule="atLeast"/>
        </w:trPr>
        <w:tc>
          <w:tcPr>
            <w:tcW w:w="1019" w:type="dxa"/>
            <w:tcBorders>
              <w:left w:val="single" w:sz="4" w:space="0" w:color="000000"/>
            </w:tcBorders>
          </w:tcPr>
          <w:p>
            <w:pPr>
              <w:pStyle w:val="TableParagraph"/>
              <w:rPr>
                <w:sz w:val="16"/>
              </w:rPr>
            </w:pPr>
          </w:p>
        </w:tc>
        <w:tc>
          <w:tcPr>
            <w:tcW w:w="280" w:type="dxa"/>
          </w:tcPr>
          <w:p>
            <w:pPr>
              <w:pStyle w:val="TableParagraph"/>
              <w:rPr>
                <w:sz w:val="16"/>
              </w:rPr>
            </w:pPr>
          </w:p>
        </w:tc>
        <w:tc>
          <w:tcPr>
            <w:tcW w:w="499" w:type="dxa"/>
          </w:tcPr>
          <w:p>
            <w:pPr>
              <w:pStyle w:val="TableParagraph"/>
              <w:rPr>
                <w:sz w:val="16"/>
              </w:rPr>
            </w:pPr>
          </w:p>
        </w:tc>
        <w:tc>
          <w:tcPr>
            <w:tcW w:w="419" w:type="dxa"/>
          </w:tcPr>
          <w:p>
            <w:pPr>
              <w:pStyle w:val="TableParagraph"/>
              <w:rPr>
                <w:sz w:val="16"/>
              </w:rPr>
            </w:pPr>
          </w:p>
        </w:tc>
        <w:tc>
          <w:tcPr>
            <w:tcW w:w="454" w:type="dxa"/>
          </w:tcPr>
          <w:p>
            <w:pPr>
              <w:pStyle w:val="TableParagraph"/>
              <w:rPr>
                <w:sz w:val="16"/>
              </w:rPr>
            </w:pPr>
          </w:p>
        </w:tc>
        <w:tc>
          <w:tcPr>
            <w:tcW w:w="395" w:type="dxa"/>
          </w:tcPr>
          <w:p>
            <w:pPr>
              <w:pStyle w:val="TableParagraph"/>
              <w:rPr>
                <w:sz w:val="16"/>
              </w:rPr>
            </w:pPr>
          </w:p>
        </w:tc>
        <w:tc>
          <w:tcPr>
            <w:tcW w:w="419" w:type="dxa"/>
          </w:tcPr>
          <w:p>
            <w:pPr>
              <w:pStyle w:val="TableParagraph"/>
              <w:rPr>
                <w:sz w:val="16"/>
              </w:rPr>
            </w:pPr>
          </w:p>
        </w:tc>
        <w:tc>
          <w:tcPr>
            <w:tcW w:w="1857" w:type="dxa"/>
            <w:tcBorders>
              <w:right w:val="single" w:sz="4" w:space="0" w:color="000000"/>
            </w:tcBorders>
          </w:tcPr>
          <w:p>
            <w:pPr>
              <w:pStyle w:val="TableParagraph"/>
              <w:spacing w:before="5"/>
              <w:rPr>
                <w:sz w:val="9"/>
              </w:rPr>
            </w:pPr>
          </w:p>
          <w:p>
            <w:pPr>
              <w:pStyle w:val="TableParagraph"/>
              <w:spacing w:line="118" w:lineRule="exact"/>
              <w:ind w:right="472"/>
              <w:jc w:val="right"/>
              <w:rPr>
                <w:b/>
                <w:sz w:val="11"/>
              </w:rPr>
            </w:pPr>
            <w:r>
              <w:rPr>
                <w:b/>
                <w:w w:val="115"/>
                <w:sz w:val="11"/>
              </w:rPr>
              <w:t>0</w:t>
            </w:r>
          </w:p>
        </w:tc>
        <w:tc>
          <w:tcPr>
            <w:tcW w:w="5336" w:type="dxa"/>
            <w:vMerge/>
            <w:tcBorders>
              <w:top w:val="nil"/>
              <w:left w:val="single" w:sz="4" w:space="0" w:color="000000"/>
              <w:bottom w:val="single" w:sz="4" w:space="0" w:color="000000"/>
              <w:right w:val="single" w:sz="4" w:space="0" w:color="000000"/>
            </w:tcBorders>
          </w:tcPr>
          <w:p>
            <w:pPr>
              <w:rPr>
                <w:sz w:val="2"/>
                <w:szCs w:val="2"/>
              </w:rPr>
            </w:pPr>
          </w:p>
        </w:tc>
      </w:tr>
      <w:tr>
        <w:trPr>
          <w:trHeight w:val="276" w:hRule="atLeast"/>
        </w:trPr>
        <w:tc>
          <w:tcPr>
            <w:tcW w:w="1019" w:type="dxa"/>
            <w:tcBorders>
              <w:left w:val="single" w:sz="4" w:space="0" w:color="000000"/>
            </w:tcBorders>
          </w:tcPr>
          <w:p>
            <w:pPr>
              <w:pStyle w:val="TableParagraph"/>
              <w:spacing w:before="12"/>
              <w:ind w:left="49"/>
              <w:jc w:val="center"/>
              <w:rPr>
                <w:b/>
                <w:sz w:val="11"/>
              </w:rPr>
            </w:pPr>
            <w:r>
              <w:rPr>
                <w:b/>
                <w:w w:val="115"/>
                <w:sz w:val="11"/>
              </w:rPr>
              <w:t>1995 1996</w:t>
            </w:r>
          </w:p>
        </w:tc>
        <w:tc>
          <w:tcPr>
            <w:tcW w:w="280" w:type="dxa"/>
          </w:tcPr>
          <w:p>
            <w:pPr>
              <w:pStyle w:val="TableParagraph"/>
              <w:spacing w:before="12"/>
              <w:ind w:left="26" w:right="-15"/>
              <w:rPr>
                <w:b/>
                <w:sz w:val="11"/>
              </w:rPr>
            </w:pPr>
            <w:r>
              <w:rPr>
                <w:b/>
                <w:w w:val="115"/>
                <w:sz w:val="11"/>
              </w:rPr>
              <w:t>1997</w:t>
            </w:r>
          </w:p>
        </w:tc>
        <w:tc>
          <w:tcPr>
            <w:tcW w:w="499" w:type="dxa"/>
          </w:tcPr>
          <w:p>
            <w:pPr>
              <w:pStyle w:val="TableParagraph"/>
              <w:spacing w:before="12"/>
              <w:ind w:left="164"/>
              <w:rPr>
                <w:b/>
                <w:sz w:val="11"/>
              </w:rPr>
            </w:pPr>
            <w:r>
              <w:rPr>
                <w:b/>
                <w:w w:val="115"/>
                <w:sz w:val="11"/>
              </w:rPr>
              <w:t>1998</w:t>
            </w:r>
          </w:p>
        </w:tc>
        <w:tc>
          <w:tcPr>
            <w:tcW w:w="419" w:type="dxa"/>
          </w:tcPr>
          <w:p>
            <w:pPr>
              <w:pStyle w:val="TableParagraph"/>
              <w:spacing w:before="12"/>
              <w:ind w:left="83"/>
              <w:rPr>
                <w:b/>
                <w:sz w:val="11"/>
              </w:rPr>
            </w:pPr>
            <w:r>
              <w:rPr>
                <w:b/>
                <w:w w:val="115"/>
                <w:sz w:val="11"/>
              </w:rPr>
              <w:t>1999</w:t>
            </w:r>
          </w:p>
        </w:tc>
        <w:tc>
          <w:tcPr>
            <w:tcW w:w="454" w:type="dxa"/>
          </w:tcPr>
          <w:p>
            <w:pPr>
              <w:pStyle w:val="TableParagraph"/>
              <w:spacing w:before="12"/>
              <w:ind w:left="83"/>
              <w:rPr>
                <w:b/>
                <w:sz w:val="11"/>
              </w:rPr>
            </w:pPr>
            <w:r>
              <w:rPr>
                <w:b/>
                <w:w w:val="115"/>
                <w:sz w:val="11"/>
              </w:rPr>
              <w:t>2000</w:t>
            </w:r>
          </w:p>
        </w:tc>
        <w:tc>
          <w:tcPr>
            <w:tcW w:w="395" w:type="dxa"/>
          </w:tcPr>
          <w:p>
            <w:pPr>
              <w:pStyle w:val="TableParagraph"/>
              <w:spacing w:before="12"/>
              <w:ind w:left="57"/>
              <w:rPr>
                <w:b/>
                <w:sz w:val="11"/>
              </w:rPr>
            </w:pPr>
            <w:r>
              <w:rPr>
                <w:b/>
                <w:w w:val="115"/>
                <w:sz w:val="11"/>
              </w:rPr>
              <w:t>2001</w:t>
            </w:r>
          </w:p>
        </w:tc>
        <w:tc>
          <w:tcPr>
            <w:tcW w:w="419" w:type="dxa"/>
          </w:tcPr>
          <w:p>
            <w:pPr>
              <w:pStyle w:val="TableParagraph"/>
              <w:spacing w:before="12"/>
              <w:ind w:left="81"/>
              <w:rPr>
                <w:b/>
                <w:sz w:val="11"/>
              </w:rPr>
            </w:pPr>
            <w:r>
              <w:rPr>
                <w:b/>
                <w:w w:val="115"/>
                <w:sz w:val="11"/>
              </w:rPr>
              <w:t>2002</w:t>
            </w:r>
          </w:p>
        </w:tc>
        <w:tc>
          <w:tcPr>
            <w:tcW w:w="1857" w:type="dxa"/>
            <w:tcBorders>
              <w:right w:val="single" w:sz="4" w:space="0" w:color="000000"/>
            </w:tcBorders>
          </w:tcPr>
          <w:p>
            <w:pPr>
              <w:pStyle w:val="TableParagraph"/>
              <w:spacing w:before="12"/>
              <w:ind w:left="80"/>
              <w:rPr>
                <w:b/>
                <w:sz w:val="11"/>
              </w:rPr>
            </w:pPr>
            <w:r>
              <w:rPr>
                <w:b/>
                <w:w w:val="115"/>
                <w:sz w:val="11"/>
              </w:rPr>
              <w:t>2003 2004 2005</w:t>
            </w:r>
          </w:p>
        </w:tc>
        <w:tc>
          <w:tcPr>
            <w:tcW w:w="5336" w:type="dxa"/>
            <w:vMerge/>
            <w:tcBorders>
              <w:top w:val="nil"/>
              <w:left w:val="single" w:sz="4" w:space="0" w:color="000000"/>
              <w:bottom w:val="single" w:sz="4" w:space="0" w:color="000000"/>
              <w:right w:val="single" w:sz="4" w:space="0" w:color="000000"/>
            </w:tcBorders>
          </w:tcPr>
          <w:p>
            <w:pPr>
              <w:rPr>
                <w:sz w:val="2"/>
                <w:szCs w:val="2"/>
              </w:rPr>
            </w:pPr>
          </w:p>
        </w:tc>
      </w:tr>
      <w:tr>
        <w:trPr>
          <w:trHeight w:val="650" w:hRule="atLeast"/>
        </w:trPr>
        <w:tc>
          <w:tcPr>
            <w:tcW w:w="1019" w:type="dxa"/>
            <w:tcBorders>
              <w:left w:val="single" w:sz="4" w:space="0" w:color="000000"/>
              <w:bottom w:val="single" w:sz="4" w:space="0" w:color="000000"/>
            </w:tcBorders>
          </w:tcPr>
          <w:p>
            <w:pPr>
              <w:pStyle w:val="TableParagraph"/>
              <w:spacing w:before="128"/>
              <w:ind w:left="90"/>
              <w:jc w:val="center"/>
              <w:rPr>
                <w:sz w:val="16"/>
              </w:rPr>
            </w:pPr>
            <w:r>
              <w:rPr>
                <w:sz w:val="16"/>
              </w:rPr>
              <w:t>Source: ONS.</w:t>
            </w:r>
          </w:p>
        </w:tc>
        <w:tc>
          <w:tcPr>
            <w:tcW w:w="280" w:type="dxa"/>
            <w:tcBorders>
              <w:bottom w:val="single" w:sz="4" w:space="0" w:color="000000"/>
            </w:tcBorders>
          </w:tcPr>
          <w:p>
            <w:pPr>
              <w:pStyle w:val="TableParagraph"/>
              <w:rPr>
                <w:sz w:val="16"/>
              </w:rPr>
            </w:pPr>
          </w:p>
        </w:tc>
        <w:tc>
          <w:tcPr>
            <w:tcW w:w="499" w:type="dxa"/>
            <w:tcBorders>
              <w:bottom w:val="single" w:sz="4" w:space="0" w:color="000000"/>
            </w:tcBorders>
          </w:tcPr>
          <w:p>
            <w:pPr>
              <w:pStyle w:val="TableParagraph"/>
              <w:rPr>
                <w:sz w:val="16"/>
              </w:rPr>
            </w:pPr>
          </w:p>
        </w:tc>
        <w:tc>
          <w:tcPr>
            <w:tcW w:w="419" w:type="dxa"/>
            <w:tcBorders>
              <w:bottom w:val="single" w:sz="4" w:space="0" w:color="000000"/>
            </w:tcBorders>
          </w:tcPr>
          <w:p>
            <w:pPr>
              <w:pStyle w:val="TableParagraph"/>
              <w:rPr>
                <w:sz w:val="16"/>
              </w:rPr>
            </w:pPr>
          </w:p>
        </w:tc>
        <w:tc>
          <w:tcPr>
            <w:tcW w:w="454" w:type="dxa"/>
            <w:tcBorders>
              <w:bottom w:val="single" w:sz="4" w:space="0" w:color="000000"/>
            </w:tcBorders>
          </w:tcPr>
          <w:p>
            <w:pPr>
              <w:pStyle w:val="TableParagraph"/>
              <w:rPr>
                <w:sz w:val="16"/>
              </w:rPr>
            </w:pPr>
          </w:p>
        </w:tc>
        <w:tc>
          <w:tcPr>
            <w:tcW w:w="395" w:type="dxa"/>
            <w:tcBorders>
              <w:bottom w:val="single" w:sz="4" w:space="0" w:color="000000"/>
            </w:tcBorders>
          </w:tcPr>
          <w:p>
            <w:pPr>
              <w:pStyle w:val="TableParagraph"/>
              <w:rPr>
                <w:sz w:val="16"/>
              </w:rPr>
            </w:pPr>
          </w:p>
        </w:tc>
        <w:tc>
          <w:tcPr>
            <w:tcW w:w="419" w:type="dxa"/>
            <w:tcBorders>
              <w:bottom w:val="single" w:sz="4" w:space="0" w:color="000000"/>
            </w:tcBorders>
          </w:tcPr>
          <w:p>
            <w:pPr>
              <w:pStyle w:val="TableParagraph"/>
              <w:rPr>
                <w:sz w:val="16"/>
              </w:rPr>
            </w:pPr>
          </w:p>
        </w:tc>
        <w:tc>
          <w:tcPr>
            <w:tcW w:w="1857" w:type="dxa"/>
            <w:tcBorders>
              <w:bottom w:val="single" w:sz="4" w:space="0" w:color="000000"/>
              <w:right w:val="single" w:sz="4" w:space="0" w:color="000000"/>
            </w:tcBorders>
          </w:tcPr>
          <w:p>
            <w:pPr>
              <w:pStyle w:val="TableParagraph"/>
              <w:rPr>
                <w:sz w:val="16"/>
              </w:rPr>
            </w:pPr>
          </w:p>
        </w:tc>
        <w:tc>
          <w:tcPr>
            <w:tcW w:w="5336" w:type="dxa"/>
            <w:vMerge/>
            <w:tcBorders>
              <w:top w:val="nil"/>
              <w:left w:val="single" w:sz="4" w:space="0" w:color="000000"/>
              <w:bottom w:val="single" w:sz="4" w:space="0" w:color="000000"/>
              <w:right w:val="single" w:sz="4" w:space="0" w:color="000000"/>
            </w:tcBorders>
          </w:tcPr>
          <w:p>
            <w:pPr>
              <w:rPr>
                <w:sz w:val="2"/>
                <w:szCs w:val="2"/>
              </w:rPr>
            </w:pPr>
          </w:p>
        </w:tc>
      </w:tr>
    </w:tbl>
    <w:p>
      <w:pPr>
        <w:pStyle w:val="BodyText"/>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35"/>
        <w:gridCol w:w="5335"/>
      </w:tblGrid>
      <w:tr>
        <w:trPr>
          <w:trHeight w:val="828" w:hRule="atLeast"/>
        </w:trPr>
        <w:tc>
          <w:tcPr>
            <w:tcW w:w="5335" w:type="dxa"/>
          </w:tcPr>
          <w:p>
            <w:pPr>
              <w:pStyle w:val="TableParagraph"/>
              <w:spacing w:line="275" w:lineRule="exact"/>
              <w:ind w:left="107"/>
              <w:rPr>
                <w:b/>
                <w:sz w:val="24"/>
              </w:rPr>
            </w:pPr>
            <w:r>
              <w:rPr>
                <w:b/>
                <w:sz w:val="24"/>
              </w:rPr>
              <w:t>Figure 10</w:t>
            </w:r>
          </w:p>
          <w:p>
            <w:pPr>
              <w:pStyle w:val="TableParagraph"/>
              <w:ind w:left="107"/>
              <w:rPr>
                <w:b/>
                <w:sz w:val="24"/>
              </w:rPr>
            </w:pPr>
            <w:r>
              <w:rPr>
                <w:b/>
                <w:sz w:val="24"/>
              </w:rPr>
              <w:t>10-year UK Forward Real Interest Rates</w:t>
            </w:r>
          </w:p>
        </w:tc>
        <w:tc>
          <w:tcPr>
            <w:tcW w:w="5335" w:type="dxa"/>
          </w:tcPr>
          <w:p>
            <w:pPr>
              <w:pStyle w:val="TableParagraph"/>
              <w:spacing w:line="275" w:lineRule="exact"/>
              <w:ind w:left="108"/>
              <w:rPr>
                <w:b/>
                <w:sz w:val="24"/>
              </w:rPr>
            </w:pPr>
            <w:r>
              <w:rPr>
                <w:b/>
                <w:sz w:val="24"/>
              </w:rPr>
              <w:t>Figure 11</w:t>
            </w:r>
          </w:p>
          <w:p>
            <w:pPr>
              <w:pStyle w:val="TableParagraph"/>
              <w:spacing w:line="270" w:lineRule="atLeast"/>
              <w:ind w:left="108" w:right="1183"/>
              <w:rPr>
                <w:b/>
                <w:sz w:val="24"/>
              </w:rPr>
            </w:pPr>
            <w:r>
              <w:rPr>
                <w:b/>
                <w:sz w:val="24"/>
              </w:rPr>
              <w:t>Market Based 10-Year Ahead Inflation Expectations</w:t>
            </w:r>
          </w:p>
        </w:tc>
      </w:tr>
      <w:tr>
        <w:trPr>
          <w:trHeight w:val="4196" w:hRule="atLeast"/>
        </w:trPr>
        <w:tc>
          <w:tcPr>
            <w:tcW w:w="5335" w:type="dxa"/>
          </w:tcPr>
          <w:p>
            <w:pPr>
              <w:pStyle w:val="TableParagraph"/>
              <w:spacing w:line="369" w:lineRule="auto" w:before="60"/>
              <w:ind w:left="4769" w:right="224" w:hanging="228"/>
              <w:rPr>
                <w:b/>
                <w:sz w:val="12"/>
              </w:rPr>
            </w:pPr>
            <w:r>
              <w:rPr>
                <w:b/>
                <w:w w:val="120"/>
                <w:sz w:val="12"/>
              </w:rPr>
              <w:t>Per cent 4</w:t>
            </w:r>
          </w:p>
          <w:p>
            <w:pPr>
              <w:pStyle w:val="TableParagraph"/>
              <w:spacing w:before="72"/>
              <w:ind w:left="4769"/>
              <w:rPr>
                <w:b/>
                <w:sz w:val="12"/>
              </w:rPr>
            </w:pPr>
            <w:r>
              <w:rPr>
                <w:b/>
                <w:spacing w:val="-3"/>
                <w:w w:val="120"/>
                <w:sz w:val="12"/>
              </w:rPr>
              <w:t>3.5</w:t>
            </w:r>
          </w:p>
          <w:p>
            <w:pPr>
              <w:pStyle w:val="TableParagraph"/>
              <w:spacing w:before="10"/>
              <w:rPr>
                <w:sz w:val="11"/>
              </w:rPr>
            </w:pPr>
          </w:p>
          <w:p>
            <w:pPr>
              <w:pStyle w:val="TableParagraph"/>
              <w:ind w:left="4769"/>
              <w:rPr>
                <w:b/>
                <w:sz w:val="12"/>
              </w:rPr>
            </w:pPr>
            <w:r>
              <w:rPr>
                <w:b/>
                <w:w w:val="122"/>
                <w:sz w:val="12"/>
              </w:rPr>
              <w:t>3</w:t>
            </w:r>
          </w:p>
          <w:p>
            <w:pPr>
              <w:pStyle w:val="TableParagraph"/>
              <w:spacing w:before="7"/>
              <w:rPr>
                <w:sz w:val="12"/>
              </w:rPr>
            </w:pPr>
          </w:p>
          <w:p>
            <w:pPr>
              <w:pStyle w:val="TableParagraph"/>
              <w:spacing w:before="1"/>
              <w:ind w:left="4769"/>
              <w:rPr>
                <w:b/>
                <w:sz w:val="12"/>
              </w:rPr>
            </w:pPr>
            <w:r>
              <w:rPr>
                <w:b/>
                <w:spacing w:val="-3"/>
                <w:w w:val="120"/>
                <w:sz w:val="12"/>
              </w:rPr>
              <w:t>2.5</w:t>
            </w:r>
          </w:p>
          <w:p>
            <w:pPr>
              <w:pStyle w:val="TableParagraph"/>
              <w:spacing w:before="10"/>
              <w:rPr>
                <w:sz w:val="11"/>
              </w:rPr>
            </w:pPr>
          </w:p>
          <w:p>
            <w:pPr>
              <w:pStyle w:val="TableParagraph"/>
              <w:ind w:left="4769"/>
              <w:rPr>
                <w:b/>
                <w:sz w:val="12"/>
              </w:rPr>
            </w:pPr>
            <w:r>
              <w:rPr>
                <w:b/>
                <w:w w:val="122"/>
                <w:sz w:val="12"/>
              </w:rPr>
              <w:t>2</w:t>
            </w:r>
          </w:p>
          <w:p>
            <w:pPr>
              <w:pStyle w:val="TableParagraph"/>
              <w:spacing w:before="8"/>
              <w:rPr>
                <w:sz w:val="12"/>
              </w:rPr>
            </w:pPr>
          </w:p>
          <w:p>
            <w:pPr>
              <w:pStyle w:val="TableParagraph"/>
              <w:ind w:left="4769"/>
              <w:rPr>
                <w:b/>
                <w:sz w:val="12"/>
              </w:rPr>
            </w:pPr>
            <w:r>
              <w:rPr>
                <w:b/>
                <w:spacing w:val="-3"/>
                <w:w w:val="120"/>
                <w:sz w:val="12"/>
              </w:rPr>
              <w:t>1.5</w:t>
            </w:r>
          </w:p>
          <w:p>
            <w:pPr>
              <w:pStyle w:val="TableParagraph"/>
              <w:spacing w:before="9"/>
              <w:rPr>
                <w:sz w:val="11"/>
              </w:rPr>
            </w:pPr>
          </w:p>
          <w:p>
            <w:pPr>
              <w:pStyle w:val="TableParagraph"/>
              <w:ind w:left="4769"/>
              <w:rPr>
                <w:b/>
                <w:sz w:val="12"/>
              </w:rPr>
            </w:pPr>
            <w:r>
              <w:rPr>
                <w:b/>
                <w:w w:val="122"/>
                <w:sz w:val="12"/>
              </w:rPr>
              <w:t>1</w:t>
            </w:r>
          </w:p>
          <w:p>
            <w:pPr>
              <w:pStyle w:val="TableParagraph"/>
              <w:spacing w:before="9"/>
              <w:rPr>
                <w:sz w:val="12"/>
              </w:rPr>
            </w:pPr>
          </w:p>
          <w:p>
            <w:pPr>
              <w:pStyle w:val="TableParagraph"/>
              <w:ind w:left="4769"/>
              <w:rPr>
                <w:b/>
                <w:sz w:val="12"/>
              </w:rPr>
            </w:pPr>
            <w:r>
              <w:rPr>
                <w:b/>
                <w:spacing w:val="-3"/>
                <w:w w:val="120"/>
                <w:sz w:val="12"/>
              </w:rPr>
              <w:t>0.5</w:t>
            </w:r>
          </w:p>
          <w:p>
            <w:pPr>
              <w:pStyle w:val="TableParagraph"/>
              <w:spacing w:before="9"/>
              <w:rPr>
                <w:sz w:val="11"/>
              </w:rPr>
            </w:pPr>
          </w:p>
          <w:p>
            <w:pPr>
              <w:pStyle w:val="TableParagraph"/>
              <w:ind w:left="4769"/>
              <w:rPr>
                <w:b/>
                <w:sz w:val="12"/>
              </w:rPr>
            </w:pPr>
            <w:r>
              <w:rPr>
                <w:b/>
                <w:w w:val="122"/>
                <w:sz w:val="12"/>
              </w:rPr>
              <w:t>0</w:t>
            </w:r>
          </w:p>
          <w:p>
            <w:pPr>
              <w:pStyle w:val="TableParagraph"/>
              <w:tabs>
                <w:tab w:pos="723" w:val="left" w:leader="none"/>
                <w:tab w:pos="1258" w:val="left" w:leader="none"/>
                <w:tab w:pos="1782" w:val="left" w:leader="none"/>
                <w:tab w:pos="2307" w:val="left" w:leader="none"/>
                <w:tab w:pos="2831" w:val="left" w:leader="none"/>
                <w:tab w:pos="3368" w:val="left" w:leader="none"/>
                <w:tab w:pos="3892" w:val="left" w:leader="none"/>
                <w:tab w:pos="4417" w:val="left" w:leader="none"/>
              </w:tabs>
              <w:spacing w:before="55"/>
              <w:ind w:left="199"/>
              <w:rPr>
                <w:b/>
                <w:sz w:val="12"/>
              </w:rPr>
            </w:pPr>
            <w:r>
              <w:rPr>
                <w:b/>
                <w:spacing w:val="-5"/>
                <w:w w:val="120"/>
                <w:sz w:val="12"/>
              </w:rPr>
              <w:t>1997</w:t>
              <w:tab/>
              <w:t>1998</w:t>
              <w:tab/>
              <w:t>1999</w:t>
              <w:tab/>
              <w:t>2000</w:t>
              <w:tab/>
              <w:t>2001</w:t>
              <w:tab/>
              <w:t>2002</w:t>
              <w:tab/>
              <w:t>2003</w:t>
              <w:tab/>
              <w:t>2004</w:t>
              <w:tab/>
            </w:r>
            <w:r>
              <w:rPr>
                <w:b/>
                <w:spacing w:val="-6"/>
                <w:w w:val="120"/>
                <w:sz w:val="12"/>
              </w:rPr>
              <w:t>2005</w:t>
            </w:r>
          </w:p>
          <w:p>
            <w:pPr>
              <w:pStyle w:val="TableParagraph"/>
              <w:rPr>
                <w:sz w:val="12"/>
              </w:rPr>
            </w:pPr>
          </w:p>
          <w:p>
            <w:pPr>
              <w:pStyle w:val="TableParagraph"/>
              <w:spacing w:before="11"/>
              <w:rPr>
                <w:sz w:val="12"/>
              </w:rPr>
            </w:pPr>
          </w:p>
          <w:p>
            <w:pPr>
              <w:pStyle w:val="TableParagraph"/>
              <w:spacing w:line="184" w:lineRule="exact"/>
              <w:ind w:left="107"/>
              <w:rPr>
                <w:sz w:val="16"/>
              </w:rPr>
            </w:pPr>
            <w:r>
              <w:rPr>
                <w:sz w:val="16"/>
              </w:rPr>
              <w:t>Source: Bank of England</w:t>
            </w:r>
          </w:p>
          <w:p>
            <w:pPr>
              <w:pStyle w:val="TableParagraph"/>
              <w:ind w:left="107" w:right="306"/>
              <w:rPr>
                <w:sz w:val="16"/>
              </w:rPr>
            </w:pPr>
            <w:r>
              <w:rPr>
                <w:sz w:val="16"/>
              </w:rPr>
              <w:t>Note: These rates are based on the yields on index-linked gilts and are based throughout on the RPI.</w:t>
            </w:r>
          </w:p>
        </w:tc>
        <w:tc>
          <w:tcPr>
            <w:tcW w:w="5335" w:type="dxa"/>
          </w:tcPr>
          <w:p>
            <w:pPr>
              <w:pStyle w:val="TableParagraph"/>
              <w:spacing w:before="64"/>
              <w:ind w:left="4378"/>
              <w:rPr>
                <w:sz w:val="12"/>
              </w:rPr>
            </w:pPr>
            <w:r>
              <w:rPr>
                <w:w w:val="115"/>
                <w:sz w:val="12"/>
              </w:rPr>
              <w:t>Per cent</w:t>
            </w:r>
          </w:p>
          <w:p>
            <w:pPr>
              <w:pStyle w:val="TableParagraph"/>
              <w:spacing w:before="9"/>
              <w:ind w:left="2820"/>
              <w:rPr>
                <w:sz w:val="12"/>
              </w:rPr>
            </w:pPr>
            <w:r>
              <w:rPr>
                <w:w w:val="115"/>
                <w:sz w:val="12"/>
              </w:rPr>
              <w:t>Change in inflation target</w:t>
            </w:r>
          </w:p>
          <w:p>
            <w:pPr>
              <w:pStyle w:val="TableParagraph"/>
              <w:ind w:left="4550"/>
              <w:rPr>
                <w:sz w:val="12"/>
              </w:rPr>
            </w:pPr>
            <w:r>
              <w:rPr>
                <w:spacing w:val="-3"/>
                <w:w w:val="115"/>
                <w:sz w:val="12"/>
              </w:rPr>
              <w:t>4.0</w:t>
            </w:r>
          </w:p>
          <w:p>
            <w:pPr>
              <w:pStyle w:val="TableParagraph"/>
              <w:rPr>
                <w:sz w:val="12"/>
              </w:rPr>
            </w:pPr>
          </w:p>
          <w:p>
            <w:pPr>
              <w:pStyle w:val="TableParagraph"/>
              <w:ind w:left="4550"/>
              <w:rPr>
                <w:sz w:val="12"/>
              </w:rPr>
            </w:pPr>
            <w:r>
              <w:rPr>
                <w:spacing w:val="-3"/>
                <w:w w:val="115"/>
                <w:sz w:val="12"/>
              </w:rPr>
              <w:t>3.5</w:t>
            </w:r>
          </w:p>
          <w:p>
            <w:pPr>
              <w:pStyle w:val="TableParagraph"/>
              <w:spacing w:before="11"/>
              <w:rPr>
                <w:sz w:val="11"/>
              </w:rPr>
            </w:pPr>
          </w:p>
          <w:p>
            <w:pPr>
              <w:pStyle w:val="TableParagraph"/>
              <w:ind w:left="4550"/>
              <w:rPr>
                <w:sz w:val="12"/>
              </w:rPr>
            </w:pPr>
            <w:r>
              <w:rPr>
                <w:spacing w:val="-3"/>
                <w:w w:val="115"/>
                <w:sz w:val="12"/>
              </w:rPr>
              <w:t>3.0</w:t>
            </w:r>
          </w:p>
          <w:p>
            <w:pPr>
              <w:pStyle w:val="TableParagraph"/>
              <w:spacing w:before="11"/>
              <w:rPr>
                <w:sz w:val="10"/>
              </w:rPr>
            </w:pPr>
          </w:p>
          <w:p>
            <w:pPr>
              <w:pStyle w:val="TableParagraph"/>
              <w:ind w:left="4550"/>
              <w:rPr>
                <w:sz w:val="12"/>
              </w:rPr>
            </w:pPr>
            <w:r>
              <w:rPr>
                <w:spacing w:val="-3"/>
                <w:w w:val="115"/>
                <w:sz w:val="12"/>
              </w:rPr>
              <w:t>2.5</w:t>
            </w:r>
          </w:p>
          <w:p>
            <w:pPr>
              <w:pStyle w:val="TableParagraph"/>
              <w:rPr>
                <w:sz w:val="12"/>
              </w:rPr>
            </w:pPr>
          </w:p>
          <w:p>
            <w:pPr>
              <w:pStyle w:val="TableParagraph"/>
              <w:ind w:left="4550"/>
              <w:rPr>
                <w:sz w:val="12"/>
              </w:rPr>
            </w:pPr>
            <w:r>
              <w:rPr>
                <w:spacing w:val="-3"/>
                <w:w w:val="115"/>
                <w:sz w:val="12"/>
              </w:rPr>
              <w:t>2.0</w:t>
            </w:r>
          </w:p>
          <w:p>
            <w:pPr>
              <w:pStyle w:val="TableParagraph"/>
              <w:spacing w:before="10"/>
              <w:rPr>
                <w:sz w:val="11"/>
              </w:rPr>
            </w:pPr>
          </w:p>
          <w:p>
            <w:pPr>
              <w:pStyle w:val="TableParagraph"/>
              <w:ind w:left="4550"/>
              <w:rPr>
                <w:sz w:val="12"/>
              </w:rPr>
            </w:pPr>
            <w:r>
              <w:rPr>
                <w:spacing w:val="-3"/>
                <w:w w:val="115"/>
                <w:sz w:val="12"/>
              </w:rPr>
              <w:t>1.5</w:t>
            </w:r>
          </w:p>
          <w:p>
            <w:pPr>
              <w:pStyle w:val="TableParagraph"/>
              <w:spacing w:line="124" w:lineRule="exact" w:before="31"/>
              <w:ind w:left="395"/>
              <w:rPr>
                <w:sz w:val="12"/>
              </w:rPr>
            </w:pPr>
            <w:r>
              <w:rPr>
                <w:w w:val="115"/>
                <w:sz w:val="12"/>
              </w:rPr>
              <w:t>RPIX inflation</w:t>
            </w:r>
          </w:p>
          <w:p>
            <w:pPr>
              <w:pStyle w:val="TableParagraph"/>
              <w:tabs>
                <w:tab w:pos="4550" w:val="left" w:leader="none"/>
              </w:tabs>
              <w:spacing w:line="184" w:lineRule="exact"/>
              <w:ind w:left="395"/>
              <w:rPr>
                <w:sz w:val="12"/>
              </w:rPr>
            </w:pPr>
            <w:r>
              <w:rPr>
                <w:spacing w:val="-7"/>
                <w:w w:val="115"/>
                <w:sz w:val="12"/>
              </w:rPr>
              <w:t>target</w:t>
              <w:tab/>
            </w:r>
            <w:r>
              <w:rPr>
                <w:spacing w:val="-3"/>
                <w:w w:val="115"/>
                <w:position w:val="6"/>
                <w:sz w:val="12"/>
              </w:rPr>
              <w:t>1.0</w:t>
            </w:r>
          </w:p>
          <w:p>
            <w:pPr>
              <w:pStyle w:val="TableParagraph"/>
              <w:spacing w:before="64"/>
              <w:ind w:left="4550"/>
              <w:rPr>
                <w:sz w:val="12"/>
              </w:rPr>
            </w:pPr>
            <w:r>
              <w:rPr>
                <w:spacing w:val="-3"/>
                <w:w w:val="115"/>
                <w:sz w:val="12"/>
              </w:rPr>
              <w:t>0.5</w:t>
            </w:r>
          </w:p>
          <w:p>
            <w:pPr>
              <w:pStyle w:val="TableParagraph"/>
              <w:spacing w:before="10"/>
              <w:rPr>
                <w:sz w:val="11"/>
              </w:rPr>
            </w:pPr>
          </w:p>
          <w:p>
            <w:pPr>
              <w:pStyle w:val="TableParagraph"/>
              <w:ind w:left="4550"/>
              <w:rPr>
                <w:sz w:val="12"/>
              </w:rPr>
            </w:pPr>
            <w:r>
              <w:rPr>
                <w:spacing w:val="-3"/>
                <w:w w:val="115"/>
                <w:sz w:val="12"/>
              </w:rPr>
              <w:t>0.0</w:t>
            </w:r>
          </w:p>
          <w:p>
            <w:pPr>
              <w:pStyle w:val="TableParagraph"/>
              <w:tabs>
                <w:tab w:pos="663" w:val="left" w:leader="none"/>
                <w:tab w:pos="1154" w:val="left" w:leader="none"/>
                <w:tab w:pos="1634" w:val="left" w:leader="none"/>
                <w:tab w:pos="2115" w:val="left" w:leader="none"/>
                <w:tab w:pos="2606" w:val="left" w:leader="none"/>
                <w:tab w:pos="3087" w:val="left" w:leader="none"/>
                <w:tab w:pos="3567" w:val="left" w:leader="none"/>
                <w:tab w:pos="4058" w:val="left" w:leader="none"/>
              </w:tabs>
              <w:spacing w:before="64"/>
              <w:ind w:left="182"/>
              <w:rPr>
                <w:sz w:val="12"/>
              </w:rPr>
            </w:pPr>
            <w:r>
              <w:rPr>
                <w:spacing w:val="-4"/>
                <w:w w:val="115"/>
                <w:sz w:val="12"/>
              </w:rPr>
              <w:t>1997</w:t>
              <w:tab/>
            </w:r>
            <w:r>
              <w:rPr>
                <w:spacing w:val="-5"/>
                <w:w w:val="115"/>
                <w:sz w:val="12"/>
              </w:rPr>
              <w:t>1998</w:t>
              <w:tab/>
              <w:t>1999</w:t>
              <w:tab/>
            </w:r>
            <w:r>
              <w:rPr>
                <w:spacing w:val="-4"/>
                <w:w w:val="115"/>
                <w:sz w:val="12"/>
              </w:rPr>
              <w:t>2000</w:t>
              <w:tab/>
            </w:r>
            <w:r>
              <w:rPr>
                <w:spacing w:val="-5"/>
                <w:w w:val="115"/>
                <w:sz w:val="12"/>
              </w:rPr>
              <w:t>2001</w:t>
              <w:tab/>
              <w:t>2002</w:t>
              <w:tab/>
              <w:t>2003</w:t>
              <w:tab/>
              <w:t>2004</w:t>
              <w:tab/>
            </w:r>
            <w:r>
              <w:rPr>
                <w:spacing w:val="-4"/>
                <w:w w:val="115"/>
                <w:sz w:val="12"/>
              </w:rPr>
              <w:t>2005</w:t>
            </w:r>
          </w:p>
          <w:p>
            <w:pPr>
              <w:pStyle w:val="TableParagraph"/>
              <w:spacing w:before="10"/>
              <w:rPr>
                <w:sz w:val="18"/>
              </w:rPr>
            </w:pPr>
          </w:p>
          <w:p>
            <w:pPr>
              <w:pStyle w:val="TableParagraph"/>
              <w:ind w:left="108"/>
              <w:rPr>
                <w:sz w:val="16"/>
              </w:rPr>
            </w:pPr>
            <w:r>
              <w:rPr>
                <w:sz w:val="16"/>
              </w:rPr>
              <w:t>Source: Bank of England</w:t>
            </w:r>
          </w:p>
          <w:p>
            <w:pPr>
              <w:pStyle w:val="TableParagraph"/>
              <w:spacing w:before="1"/>
              <w:ind w:left="108" w:right="268"/>
              <w:rPr>
                <w:sz w:val="16"/>
              </w:rPr>
            </w:pPr>
            <w:r>
              <w:rPr>
                <w:sz w:val="16"/>
              </w:rPr>
              <w:t>Note: This chart shows the ten-year ahead annual inflation forward rate, defined as the difference between the ten-year ahead annual nominal rate and the ten-year ahead annual real rate. The real rates are based on the yields on index-linked gilts and are based throughout on the RPI.</w:t>
            </w:r>
          </w:p>
        </w:tc>
      </w:tr>
    </w:tbl>
    <w:p>
      <w:pPr>
        <w:spacing w:after="0"/>
        <w:rPr>
          <w:sz w:val="16"/>
        </w:rPr>
        <w:sectPr>
          <w:pgSz w:w="11900" w:h="16840"/>
          <w:pgMar w:header="716" w:footer="0" w:top="1340" w:bottom="280" w:left="600" w:right="400"/>
        </w:sectPr>
      </w:pPr>
    </w:p>
    <w:p>
      <w:pPr>
        <w:pStyle w:val="BodyText"/>
        <w:rPr>
          <w:sz w:val="20"/>
        </w:rPr>
      </w:pPr>
    </w:p>
    <w:p>
      <w:pPr>
        <w:pStyle w:val="BodyText"/>
        <w:spacing w:before="3"/>
        <w:rPr>
          <w:sz w:val="11"/>
        </w:rPr>
      </w:pPr>
    </w:p>
    <w:tbl>
      <w:tblPr>
        <w:tblW w:w="0" w:type="auto"/>
        <w:jc w:val="left"/>
        <w:tblInd w:w="1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2"/>
        <w:gridCol w:w="2701"/>
        <w:gridCol w:w="3849"/>
      </w:tblGrid>
      <w:tr>
        <w:trPr>
          <w:trHeight w:val="551" w:hRule="atLeast"/>
        </w:trPr>
        <w:tc>
          <w:tcPr>
            <w:tcW w:w="8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7"/>
              <w:rPr>
                <w:b/>
                <w:sz w:val="24"/>
              </w:rPr>
            </w:pPr>
            <w:r>
              <w:rPr>
                <w:b/>
                <w:sz w:val="24"/>
              </w:rPr>
              <w:t>Table 1</w:t>
            </w:r>
          </w:p>
          <w:p>
            <w:pPr>
              <w:pStyle w:val="TableParagraph"/>
              <w:spacing w:line="257" w:lineRule="exact"/>
              <w:ind w:left="107"/>
              <w:rPr>
                <w:b/>
                <w:sz w:val="24"/>
              </w:rPr>
            </w:pPr>
            <w:r>
              <w:rPr>
                <w:b/>
                <w:sz w:val="24"/>
              </w:rPr>
              <w:t>Accumulation of Household Debt and Assets</w:t>
            </w:r>
          </w:p>
        </w:tc>
      </w:tr>
      <w:tr>
        <w:trPr>
          <w:trHeight w:val="265" w:hRule="atLeast"/>
        </w:trPr>
        <w:tc>
          <w:tcPr>
            <w:tcW w:w="1972" w:type="dxa"/>
            <w:tcBorders>
              <w:top w:val="single" w:sz="4" w:space="0" w:color="000000"/>
              <w:left w:val="single" w:sz="4" w:space="0" w:color="000000"/>
            </w:tcBorders>
          </w:tcPr>
          <w:p>
            <w:pPr>
              <w:pStyle w:val="TableParagraph"/>
              <w:rPr>
                <w:sz w:val="18"/>
              </w:rPr>
            </w:pPr>
          </w:p>
        </w:tc>
        <w:tc>
          <w:tcPr>
            <w:tcW w:w="2701" w:type="dxa"/>
            <w:tcBorders>
              <w:top w:val="single" w:sz="4" w:space="0" w:color="000000"/>
            </w:tcBorders>
          </w:tcPr>
          <w:p>
            <w:pPr>
              <w:pStyle w:val="TableParagraph"/>
              <w:spacing w:before="26"/>
              <w:ind w:left="162"/>
              <w:rPr>
                <w:sz w:val="19"/>
              </w:rPr>
            </w:pPr>
            <w:r>
              <w:rPr>
                <w:spacing w:val="-8"/>
                <w:w w:val="110"/>
                <w:sz w:val="19"/>
              </w:rPr>
              <w:t>NA </w:t>
            </w:r>
            <w:r>
              <w:rPr>
                <w:w w:val="110"/>
                <w:sz w:val="19"/>
              </w:rPr>
              <w:t>of </w:t>
            </w:r>
            <w:r>
              <w:rPr>
                <w:spacing w:val="-6"/>
                <w:w w:val="110"/>
                <w:sz w:val="19"/>
              </w:rPr>
              <w:t>financial </w:t>
            </w:r>
            <w:r>
              <w:rPr>
                <w:spacing w:val="-8"/>
                <w:w w:val="110"/>
                <w:sz w:val="19"/>
              </w:rPr>
              <w:t>NA </w:t>
            </w:r>
            <w:r>
              <w:rPr>
                <w:w w:val="110"/>
                <w:sz w:val="19"/>
              </w:rPr>
              <w:t>of housing</w:t>
            </w:r>
          </w:p>
        </w:tc>
        <w:tc>
          <w:tcPr>
            <w:tcW w:w="3849" w:type="dxa"/>
            <w:tcBorders>
              <w:top w:val="single" w:sz="4" w:space="0" w:color="000000"/>
              <w:right w:val="single" w:sz="4" w:space="0" w:color="000000"/>
            </w:tcBorders>
          </w:tcPr>
          <w:p>
            <w:pPr>
              <w:pStyle w:val="TableParagraph"/>
              <w:spacing w:before="26"/>
              <w:ind w:left="88"/>
              <w:rPr>
                <w:sz w:val="19"/>
              </w:rPr>
            </w:pPr>
            <w:r>
              <w:rPr>
                <w:w w:val="110"/>
                <w:sz w:val="19"/>
              </w:rPr>
              <w:t>NA of financial liabilities / PT</w:t>
            </w:r>
          </w:p>
        </w:tc>
      </w:tr>
      <w:tr>
        <w:trPr>
          <w:trHeight w:val="255" w:hRule="atLeast"/>
        </w:trPr>
        <w:tc>
          <w:tcPr>
            <w:tcW w:w="1972" w:type="dxa"/>
            <w:tcBorders>
              <w:left w:val="single" w:sz="4" w:space="0" w:color="000000"/>
            </w:tcBorders>
          </w:tcPr>
          <w:p>
            <w:pPr>
              <w:pStyle w:val="TableParagraph"/>
              <w:rPr>
                <w:sz w:val="18"/>
              </w:rPr>
            </w:pPr>
          </w:p>
        </w:tc>
        <w:tc>
          <w:tcPr>
            <w:tcW w:w="2701" w:type="dxa"/>
          </w:tcPr>
          <w:p>
            <w:pPr>
              <w:pStyle w:val="TableParagraph"/>
              <w:tabs>
                <w:tab w:pos="1422" w:val="left" w:leader="none"/>
              </w:tabs>
              <w:spacing w:before="15"/>
              <w:ind w:left="162"/>
              <w:rPr>
                <w:sz w:val="19"/>
              </w:rPr>
            </w:pPr>
            <w:r>
              <w:rPr>
                <w:w w:val="110"/>
                <w:sz w:val="19"/>
              </w:rPr>
              <w:t>assets</w:t>
            </w:r>
            <w:r>
              <w:rPr>
                <w:spacing w:val="4"/>
                <w:w w:val="110"/>
                <w:sz w:val="19"/>
              </w:rPr>
              <w:t> </w:t>
            </w:r>
            <w:r>
              <w:rPr>
                <w:w w:val="110"/>
                <w:sz w:val="19"/>
              </w:rPr>
              <w:t>/</w:t>
            </w:r>
            <w:r>
              <w:rPr>
                <w:spacing w:val="-4"/>
                <w:w w:val="110"/>
                <w:sz w:val="19"/>
              </w:rPr>
              <w:t> </w:t>
            </w:r>
            <w:r>
              <w:rPr>
                <w:spacing w:val="-6"/>
                <w:w w:val="110"/>
                <w:sz w:val="19"/>
              </w:rPr>
              <w:t>PT</w:t>
              <w:tab/>
            </w:r>
            <w:r>
              <w:rPr>
                <w:w w:val="110"/>
                <w:sz w:val="19"/>
              </w:rPr>
              <w:t>assets /</w:t>
            </w:r>
            <w:r>
              <w:rPr>
                <w:spacing w:val="-2"/>
                <w:w w:val="110"/>
                <w:sz w:val="19"/>
              </w:rPr>
              <w:t> </w:t>
            </w:r>
            <w:r>
              <w:rPr>
                <w:spacing w:val="-6"/>
                <w:w w:val="110"/>
                <w:sz w:val="19"/>
              </w:rPr>
              <w:t>PT</w:t>
            </w:r>
          </w:p>
        </w:tc>
        <w:tc>
          <w:tcPr>
            <w:tcW w:w="3849" w:type="dxa"/>
            <w:tcBorders>
              <w:right w:val="single" w:sz="4" w:space="0" w:color="000000"/>
            </w:tcBorders>
          </w:tcPr>
          <w:p>
            <w:pPr>
              <w:pStyle w:val="TableParagraph"/>
              <w:spacing w:before="15"/>
              <w:ind w:left="87"/>
              <w:rPr>
                <w:sz w:val="19"/>
              </w:rPr>
            </w:pPr>
            <w:r>
              <w:rPr>
                <w:w w:val="110"/>
                <w:sz w:val="19"/>
              </w:rPr>
              <w:t>income (%)</w:t>
            </w:r>
          </w:p>
        </w:tc>
      </w:tr>
      <w:tr>
        <w:trPr>
          <w:trHeight w:val="255" w:hRule="atLeast"/>
        </w:trPr>
        <w:tc>
          <w:tcPr>
            <w:tcW w:w="1972" w:type="dxa"/>
            <w:tcBorders>
              <w:left w:val="single" w:sz="4" w:space="0" w:color="000000"/>
            </w:tcBorders>
          </w:tcPr>
          <w:p>
            <w:pPr>
              <w:pStyle w:val="TableParagraph"/>
              <w:rPr>
                <w:sz w:val="18"/>
              </w:rPr>
            </w:pPr>
          </w:p>
        </w:tc>
        <w:tc>
          <w:tcPr>
            <w:tcW w:w="2701" w:type="dxa"/>
          </w:tcPr>
          <w:p>
            <w:pPr>
              <w:pStyle w:val="TableParagraph"/>
              <w:tabs>
                <w:tab w:pos="1422" w:val="left" w:leader="none"/>
              </w:tabs>
              <w:spacing w:before="16"/>
              <w:ind w:left="162"/>
              <w:rPr>
                <w:sz w:val="19"/>
              </w:rPr>
            </w:pPr>
            <w:r>
              <w:rPr>
                <w:spacing w:val="-8"/>
                <w:w w:val="110"/>
                <w:sz w:val="19"/>
              </w:rPr>
              <w:t>income</w:t>
            </w:r>
            <w:r>
              <w:rPr>
                <w:spacing w:val="-9"/>
                <w:w w:val="110"/>
                <w:sz w:val="19"/>
              </w:rPr>
              <w:t> </w:t>
            </w:r>
            <w:r>
              <w:rPr>
                <w:spacing w:val="-7"/>
                <w:w w:val="110"/>
                <w:sz w:val="19"/>
              </w:rPr>
              <w:t>(%)</w:t>
              <w:tab/>
            </w:r>
            <w:r>
              <w:rPr>
                <w:spacing w:val="-8"/>
                <w:w w:val="110"/>
                <w:sz w:val="19"/>
              </w:rPr>
              <w:t>income</w:t>
            </w:r>
            <w:r>
              <w:rPr>
                <w:spacing w:val="-10"/>
                <w:w w:val="110"/>
                <w:sz w:val="19"/>
              </w:rPr>
              <w:t> </w:t>
            </w:r>
            <w:r>
              <w:rPr>
                <w:spacing w:val="-7"/>
                <w:w w:val="110"/>
                <w:sz w:val="19"/>
              </w:rPr>
              <w:t>(%)</w:t>
            </w:r>
          </w:p>
        </w:tc>
        <w:tc>
          <w:tcPr>
            <w:tcW w:w="3849" w:type="dxa"/>
            <w:tcBorders>
              <w:right w:val="single" w:sz="4" w:space="0" w:color="000000"/>
            </w:tcBorders>
          </w:tcPr>
          <w:p>
            <w:pPr>
              <w:pStyle w:val="TableParagraph"/>
              <w:rPr>
                <w:sz w:val="18"/>
              </w:rPr>
            </w:pPr>
          </w:p>
        </w:tc>
      </w:tr>
      <w:tr>
        <w:trPr>
          <w:trHeight w:val="255" w:hRule="atLeast"/>
        </w:trPr>
        <w:tc>
          <w:tcPr>
            <w:tcW w:w="1972" w:type="dxa"/>
            <w:tcBorders>
              <w:left w:val="single" w:sz="4" w:space="0" w:color="000000"/>
            </w:tcBorders>
          </w:tcPr>
          <w:p>
            <w:pPr>
              <w:pStyle w:val="TableParagraph"/>
              <w:rPr>
                <w:sz w:val="18"/>
              </w:rPr>
            </w:pPr>
          </w:p>
        </w:tc>
        <w:tc>
          <w:tcPr>
            <w:tcW w:w="2701" w:type="dxa"/>
          </w:tcPr>
          <w:p>
            <w:pPr>
              <w:pStyle w:val="TableParagraph"/>
              <w:rPr>
                <w:sz w:val="18"/>
              </w:rPr>
            </w:pPr>
          </w:p>
        </w:tc>
        <w:tc>
          <w:tcPr>
            <w:tcW w:w="3849" w:type="dxa"/>
            <w:tcBorders>
              <w:right w:val="single" w:sz="4" w:space="0" w:color="000000"/>
            </w:tcBorders>
          </w:tcPr>
          <w:p>
            <w:pPr>
              <w:pStyle w:val="TableParagraph"/>
              <w:tabs>
                <w:tab w:pos="851" w:val="left" w:leader="none"/>
              </w:tabs>
              <w:spacing w:before="15"/>
              <w:ind w:left="87"/>
              <w:rPr>
                <w:sz w:val="19"/>
              </w:rPr>
            </w:pPr>
            <w:r>
              <w:rPr>
                <w:spacing w:val="-3"/>
                <w:w w:val="110"/>
                <w:sz w:val="19"/>
              </w:rPr>
              <w:t>Total</w:t>
              <w:tab/>
            </w:r>
            <w:r>
              <w:rPr>
                <w:spacing w:val="-4"/>
                <w:w w:val="110"/>
                <w:sz w:val="19"/>
              </w:rPr>
              <w:t>Unsecured</w:t>
            </w:r>
            <w:r>
              <w:rPr>
                <w:spacing w:val="-1"/>
                <w:w w:val="110"/>
                <w:sz w:val="19"/>
              </w:rPr>
              <w:t> </w:t>
            </w:r>
            <w:r>
              <w:rPr>
                <w:spacing w:val="-5"/>
                <w:w w:val="110"/>
                <w:sz w:val="19"/>
              </w:rPr>
              <w:t>Secured</w:t>
            </w:r>
          </w:p>
        </w:tc>
      </w:tr>
      <w:tr>
        <w:trPr>
          <w:trHeight w:val="255" w:hRule="atLeast"/>
        </w:trPr>
        <w:tc>
          <w:tcPr>
            <w:tcW w:w="1972" w:type="dxa"/>
            <w:tcBorders>
              <w:left w:val="single" w:sz="4" w:space="0" w:color="000000"/>
            </w:tcBorders>
          </w:tcPr>
          <w:p>
            <w:pPr>
              <w:pStyle w:val="TableParagraph"/>
              <w:spacing w:before="16"/>
              <w:ind w:left="1171"/>
              <w:rPr>
                <w:sz w:val="19"/>
              </w:rPr>
            </w:pPr>
            <w:r>
              <w:rPr>
                <w:w w:val="110"/>
                <w:sz w:val="19"/>
              </w:rPr>
              <w:t>1993</w:t>
            </w:r>
          </w:p>
        </w:tc>
        <w:tc>
          <w:tcPr>
            <w:tcW w:w="2701" w:type="dxa"/>
          </w:tcPr>
          <w:p>
            <w:pPr>
              <w:pStyle w:val="TableParagraph"/>
              <w:tabs>
                <w:tab w:pos="1962" w:val="left" w:leader="none"/>
              </w:tabs>
              <w:spacing w:before="16"/>
              <w:ind w:left="642"/>
              <w:rPr>
                <w:sz w:val="19"/>
              </w:rPr>
            </w:pPr>
            <w:r>
              <w:rPr>
                <w:spacing w:val="-8"/>
                <w:w w:val="110"/>
                <w:sz w:val="19"/>
              </w:rPr>
              <w:t>8.9</w:t>
              <w:tab/>
              <w:t>4.9</w:t>
            </w:r>
          </w:p>
        </w:tc>
        <w:tc>
          <w:tcPr>
            <w:tcW w:w="3849" w:type="dxa"/>
            <w:tcBorders>
              <w:right w:val="single" w:sz="4" w:space="0" w:color="000000"/>
            </w:tcBorders>
          </w:tcPr>
          <w:p>
            <w:pPr>
              <w:pStyle w:val="TableParagraph"/>
              <w:tabs>
                <w:tab w:pos="1166" w:val="left" w:leader="none"/>
                <w:tab w:pos="2126" w:val="left" w:leader="none"/>
              </w:tabs>
              <w:spacing w:before="16"/>
              <w:ind w:left="311"/>
              <w:rPr>
                <w:sz w:val="19"/>
              </w:rPr>
            </w:pPr>
            <w:r>
              <w:rPr>
                <w:spacing w:val="-8"/>
                <w:w w:val="110"/>
                <w:sz w:val="19"/>
              </w:rPr>
              <w:t>3.8</w:t>
              <w:tab/>
              <w:t>0.6</w:t>
              <w:tab/>
              <w:t>3.2</w:t>
            </w:r>
          </w:p>
        </w:tc>
      </w:tr>
      <w:tr>
        <w:trPr>
          <w:trHeight w:val="255" w:hRule="atLeast"/>
        </w:trPr>
        <w:tc>
          <w:tcPr>
            <w:tcW w:w="1972" w:type="dxa"/>
            <w:tcBorders>
              <w:left w:val="single" w:sz="4" w:space="0" w:color="000000"/>
            </w:tcBorders>
          </w:tcPr>
          <w:p>
            <w:pPr>
              <w:pStyle w:val="TableParagraph"/>
              <w:spacing w:before="15"/>
              <w:ind w:left="1171"/>
              <w:rPr>
                <w:sz w:val="19"/>
              </w:rPr>
            </w:pPr>
            <w:r>
              <w:rPr>
                <w:w w:val="110"/>
                <w:sz w:val="19"/>
              </w:rPr>
              <w:t>1994</w:t>
            </w:r>
          </w:p>
        </w:tc>
        <w:tc>
          <w:tcPr>
            <w:tcW w:w="2701" w:type="dxa"/>
          </w:tcPr>
          <w:p>
            <w:pPr>
              <w:pStyle w:val="TableParagraph"/>
              <w:tabs>
                <w:tab w:pos="1962" w:val="left" w:leader="none"/>
              </w:tabs>
              <w:spacing w:before="15"/>
              <w:ind w:left="598"/>
              <w:rPr>
                <w:sz w:val="19"/>
              </w:rPr>
            </w:pPr>
            <w:r>
              <w:rPr>
                <w:spacing w:val="-10"/>
                <w:w w:val="110"/>
                <w:sz w:val="19"/>
              </w:rPr>
              <w:t>10.2</w:t>
              <w:tab/>
            </w:r>
            <w:r>
              <w:rPr>
                <w:spacing w:val="-8"/>
                <w:w w:val="110"/>
                <w:sz w:val="19"/>
              </w:rPr>
              <w:t>5.3</w:t>
            </w:r>
          </w:p>
        </w:tc>
        <w:tc>
          <w:tcPr>
            <w:tcW w:w="3849" w:type="dxa"/>
            <w:tcBorders>
              <w:right w:val="single" w:sz="4" w:space="0" w:color="000000"/>
            </w:tcBorders>
          </w:tcPr>
          <w:p>
            <w:pPr>
              <w:pStyle w:val="TableParagraph"/>
              <w:tabs>
                <w:tab w:pos="1166" w:val="left" w:leader="none"/>
                <w:tab w:pos="2126" w:val="left" w:leader="none"/>
              </w:tabs>
              <w:spacing w:before="15"/>
              <w:ind w:left="311"/>
              <w:rPr>
                <w:sz w:val="19"/>
              </w:rPr>
            </w:pPr>
            <w:r>
              <w:rPr>
                <w:spacing w:val="-8"/>
                <w:w w:val="110"/>
                <w:sz w:val="19"/>
              </w:rPr>
              <w:t>5.3</w:t>
              <w:tab/>
              <w:t>1.2</w:t>
              <w:tab/>
              <w:t>4.1</w:t>
            </w:r>
          </w:p>
        </w:tc>
      </w:tr>
      <w:tr>
        <w:trPr>
          <w:trHeight w:val="255" w:hRule="atLeast"/>
        </w:trPr>
        <w:tc>
          <w:tcPr>
            <w:tcW w:w="1972" w:type="dxa"/>
            <w:tcBorders>
              <w:left w:val="single" w:sz="4" w:space="0" w:color="000000"/>
            </w:tcBorders>
          </w:tcPr>
          <w:p>
            <w:pPr>
              <w:pStyle w:val="TableParagraph"/>
              <w:spacing w:before="16"/>
              <w:ind w:left="1171"/>
              <w:rPr>
                <w:sz w:val="19"/>
              </w:rPr>
            </w:pPr>
            <w:r>
              <w:rPr>
                <w:w w:val="110"/>
                <w:sz w:val="19"/>
              </w:rPr>
              <w:t>1995</w:t>
            </w:r>
          </w:p>
        </w:tc>
        <w:tc>
          <w:tcPr>
            <w:tcW w:w="2701" w:type="dxa"/>
          </w:tcPr>
          <w:p>
            <w:pPr>
              <w:pStyle w:val="TableParagraph"/>
              <w:tabs>
                <w:tab w:pos="1962" w:val="left" w:leader="none"/>
              </w:tabs>
              <w:spacing w:before="16"/>
              <w:ind w:left="598"/>
              <w:rPr>
                <w:sz w:val="19"/>
              </w:rPr>
            </w:pPr>
            <w:r>
              <w:rPr>
                <w:spacing w:val="-10"/>
                <w:w w:val="110"/>
                <w:sz w:val="19"/>
              </w:rPr>
              <w:t>11.9</w:t>
              <w:tab/>
            </w:r>
            <w:r>
              <w:rPr>
                <w:spacing w:val="-8"/>
                <w:w w:val="110"/>
                <w:sz w:val="19"/>
              </w:rPr>
              <w:t>5.4</w:t>
            </w:r>
          </w:p>
        </w:tc>
        <w:tc>
          <w:tcPr>
            <w:tcW w:w="3849" w:type="dxa"/>
            <w:tcBorders>
              <w:right w:val="single" w:sz="4" w:space="0" w:color="000000"/>
            </w:tcBorders>
          </w:tcPr>
          <w:p>
            <w:pPr>
              <w:pStyle w:val="TableParagraph"/>
              <w:tabs>
                <w:tab w:pos="1166" w:val="left" w:leader="none"/>
                <w:tab w:pos="2126" w:val="left" w:leader="none"/>
              </w:tabs>
              <w:spacing w:before="16"/>
              <w:ind w:left="311"/>
              <w:rPr>
                <w:sz w:val="19"/>
              </w:rPr>
            </w:pPr>
            <w:r>
              <w:rPr>
                <w:spacing w:val="-8"/>
                <w:w w:val="110"/>
                <w:sz w:val="19"/>
              </w:rPr>
              <w:t>5.7</w:t>
              <w:tab/>
              <w:t>1.6</w:t>
              <w:tab/>
              <w:t>4.1</w:t>
            </w:r>
          </w:p>
        </w:tc>
      </w:tr>
      <w:tr>
        <w:trPr>
          <w:trHeight w:val="254" w:hRule="atLeast"/>
        </w:trPr>
        <w:tc>
          <w:tcPr>
            <w:tcW w:w="1972" w:type="dxa"/>
            <w:tcBorders>
              <w:left w:val="single" w:sz="4" w:space="0" w:color="000000"/>
            </w:tcBorders>
          </w:tcPr>
          <w:p>
            <w:pPr>
              <w:pStyle w:val="TableParagraph"/>
              <w:spacing w:before="15"/>
              <w:ind w:left="1171"/>
              <w:rPr>
                <w:sz w:val="19"/>
              </w:rPr>
            </w:pPr>
            <w:r>
              <w:rPr>
                <w:w w:val="110"/>
                <w:sz w:val="19"/>
              </w:rPr>
              <w:t>1996</w:t>
            </w:r>
          </w:p>
        </w:tc>
        <w:tc>
          <w:tcPr>
            <w:tcW w:w="2701" w:type="dxa"/>
          </w:tcPr>
          <w:p>
            <w:pPr>
              <w:pStyle w:val="TableParagraph"/>
              <w:tabs>
                <w:tab w:pos="1962" w:val="left" w:leader="none"/>
              </w:tabs>
              <w:spacing w:before="15"/>
              <w:ind w:left="598"/>
              <w:rPr>
                <w:sz w:val="19"/>
              </w:rPr>
            </w:pPr>
            <w:r>
              <w:rPr>
                <w:spacing w:val="-10"/>
                <w:w w:val="110"/>
                <w:sz w:val="19"/>
              </w:rPr>
              <w:t>11.2</w:t>
              <w:tab/>
            </w:r>
            <w:r>
              <w:rPr>
                <w:spacing w:val="-8"/>
                <w:w w:val="110"/>
                <w:sz w:val="19"/>
              </w:rPr>
              <w:t>5.6</w:t>
            </w:r>
          </w:p>
        </w:tc>
        <w:tc>
          <w:tcPr>
            <w:tcW w:w="3849" w:type="dxa"/>
            <w:tcBorders>
              <w:right w:val="single" w:sz="4" w:space="0" w:color="000000"/>
            </w:tcBorders>
          </w:tcPr>
          <w:p>
            <w:pPr>
              <w:pStyle w:val="TableParagraph"/>
              <w:tabs>
                <w:tab w:pos="1166" w:val="left" w:leader="none"/>
                <w:tab w:pos="2126" w:val="left" w:leader="none"/>
              </w:tabs>
              <w:spacing w:before="15"/>
              <w:ind w:left="311"/>
              <w:rPr>
                <w:sz w:val="19"/>
              </w:rPr>
            </w:pPr>
            <w:r>
              <w:rPr>
                <w:spacing w:val="-8"/>
                <w:w w:val="110"/>
                <w:sz w:val="19"/>
              </w:rPr>
              <w:t>5.9</w:t>
              <w:tab/>
              <w:t>2.1</w:t>
              <w:tab/>
              <w:t>3.8</w:t>
            </w:r>
          </w:p>
        </w:tc>
      </w:tr>
      <w:tr>
        <w:trPr>
          <w:trHeight w:val="255" w:hRule="atLeast"/>
        </w:trPr>
        <w:tc>
          <w:tcPr>
            <w:tcW w:w="1972" w:type="dxa"/>
            <w:tcBorders>
              <w:left w:val="single" w:sz="4" w:space="0" w:color="000000"/>
            </w:tcBorders>
          </w:tcPr>
          <w:p>
            <w:pPr>
              <w:pStyle w:val="TableParagraph"/>
              <w:spacing w:before="15"/>
              <w:ind w:left="1171"/>
              <w:rPr>
                <w:sz w:val="19"/>
              </w:rPr>
            </w:pPr>
            <w:r>
              <w:rPr>
                <w:w w:val="110"/>
                <w:sz w:val="19"/>
              </w:rPr>
              <w:t>1997</w:t>
            </w:r>
          </w:p>
        </w:tc>
        <w:tc>
          <w:tcPr>
            <w:tcW w:w="2701" w:type="dxa"/>
          </w:tcPr>
          <w:p>
            <w:pPr>
              <w:pStyle w:val="TableParagraph"/>
              <w:tabs>
                <w:tab w:pos="1962" w:val="left" w:leader="none"/>
              </w:tabs>
              <w:spacing w:before="15"/>
              <w:ind w:left="598"/>
              <w:rPr>
                <w:sz w:val="19"/>
              </w:rPr>
            </w:pPr>
            <w:r>
              <w:rPr>
                <w:spacing w:val="-10"/>
                <w:w w:val="110"/>
                <w:sz w:val="19"/>
              </w:rPr>
              <w:t>12.2</w:t>
              <w:tab/>
            </w:r>
            <w:r>
              <w:rPr>
                <w:spacing w:val="-8"/>
                <w:w w:val="110"/>
                <w:sz w:val="19"/>
              </w:rPr>
              <w:t>5.7</w:t>
            </w:r>
          </w:p>
        </w:tc>
        <w:tc>
          <w:tcPr>
            <w:tcW w:w="3849" w:type="dxa"/>
            <w:tcBorders>
              <w:right w:val="single" w:sz="4" w:space="0" w:color="000000"/>
            </w:tcBorders>
          </w:tcPr>
          <w:p>
            <w:pPr>
              <w:pStyle w:val="TableParagraph"/>
              <w:tabs>
                <w:tab w:pos="1166" w:val="left" w:leader="none"/>
                <w:tab w:pos="2126" w:val="left" w:leader="none"/>
              </w:tabs>
              <w:spacing w:before="15"/>
              <w:ind w:left="311"/>
              <w:rPr>
                <w:sz w:val="19"/>
              </w:rPr>
            </w:pPr>
            <w:r>
              <w:rPr>
                <w:spacing w:val="-8"/>
                <w:w w:val="110"/>
                <w:sz w:val="19"/>
              </w:rPr>
              <w:t>7.0</w:t>
              <w:tab/>
              <w:t>2.1</w:t>
              <w:tab/>
              <w:t>4.9</w:t>
            </w:r>
          </w:p>
        </w:tc>
      </w:tr>
      <w:tr>
        <w:trPr>
          <w:trHeight w:val="255" w:hRule="atLeast"/>
        </w:trPr>
        <w:tc>
          <w:tcPr>
            <w:tcW w:w="1972" w:type="dxa"/>
            <w:tcBorders>
              <w:left w:val="single" w:sz="4" w:space="0" w:color="000000"/>
            </w:tcBorders>
          </w:tcPr>
          <w:p>
            <w:pPr>
              <w:pStyle w:val="TableParagraph"/>
              <w:spacing w:before="16"/>
              <w:ind w:left="1171"/>
              <w:rPr>
                <w:sz w:val="19"/>
              </w:rPr>
            </w:pPr>
            <w:r>
              <w:rPr>
                <w:w w:val="110"/>
                <w:sz w:val="19"/>
              </w:rPr>
              <w:t>1998</w:t>
            </w:r>
          </w:p>
        </w:tc>
        <w:tc>
          <w:tcPr>
            <w:tcW w:w="2701" w:type="dxa"/>
          </w:tcPr>
          <w:p>
            <w:pPr>
              <w:pStyle w:val="TableParagraph"/>
              <w:tabs>
                <w:tab w:pos="1962" w:val="left" w:leader="none"/>
              </w:tabs>
              <w:spacing w:before="16"/>
              <w:ind w:left="642"/>
              <w:rPr>
                <w:sz w:val="19"/>
              </w:rPr>
            </w:pPr>
            <w:r>
              <w:rPr>
                <w:spacing w:val="-8"/>
                <w:w w:val="110"/>
                <w:sz w:val="19"/>
              </w:rPr>
              <w:t>7.3</w:t>
              <w:tab/>
              <w:t>5.8</w:t>
            </w:r>
          </w:p>
        </w:tc>
        <w:tc>
          <w:tcPr>
            <w:tcW w:w="3849" w:type="dxa"/>
            <w:tcBorders>
              <w:right w:val="single" w:sz="4" w:space="0" w:color="000000"/>
            </w:tcBorders>
          </w:tcPr>
          <w:p>
            <w:pPr>
              <w:pStyle w:val="TableParagraph"/>
              <w:tabs>
                <w:tab w:pos="1166" w:val="left" w:leader="none"/>
                <w:tab w:pos="2126" w:val="left" w:leader="none"/>
              </w:tabs>
              <w:spacing w:before="16"/>
              <w:ind w:left="311"/>
              <w:rPr>
                <w:sz w:val="19"/>
              </w:rPr>
            </w:pPr>
            <w:r>
              <w:rPr>
                <w:spacing w:val="-8"/>
                <w:w w:val="110"/>
                <w:sz w:val="19"/>
              </w:rPr>
              <w:t>7.9</w:t>
              <w:tab/>
              <w:t>2.4</w:t>
              <w:tab/>
              <w:t>5.5</w:t>
            </w:r>
          </w:p>
        </w:tc>
      </w:tr>
      <w:tr>
        <w:trPr>
          <w:trHeight w:val="255" w:hRule="atLeast"/>
        </w:trPr>
        <w:tc>
          <w:tcPr>
            <w:tcW w:w="1972" w:type="dxa"/>
            <w:tcBorders>
              <w:left w:val="single" w:sz="4" w:space="0" w:color="000000"/>
            </w:tcBorders>
          </w:tcPr>
          <w:p>
            <w:pPr>
              <w:pStyle w:val="TableParagraph"/>
              <w:spacing w:before="15"/>
              <w:ind w:left="1171"/>
              <w:rPr>
                <w:sz w:val="19"/>
              </w:rPr>
            </w:pPr>
            <w:r>
              <w:rPr>
                <w:w w:val="110"/>
                <w:sz w:val="19"/>
              </w:rPr>
              <w:t>1999</w:t>
            </w:r>
          </w:p>
        </w:tc>
        <w:tc>
          <w:tcPr>
            <w:tcW w:w="2701" w:type="dxa"/>
          </w:tcPr>
          <w:p>
            <w:pPr>
              <w:pStyle w:val="TableParagraph"/>
              <w:tabs>
                <w:tab w:pos="1962" w:val="left" w:leader="none"/>
              </w:tabs>
              <w:spacing w:before="15"/>
              <w:ind w:left="642"/>
              <w:rPr>
                <w:sz w:val="19"/>
              </w:rPr>
            </w:pPr>
            <w:r>
              <w:rPr>
                <w:spacing w:val="-8"/>
                <w:w w:val="110"/>
                <w:sz w:val="19"/>
              </w:rPr>
              <w:t>9.3</w:t>
              <w:tab/>
              <w:t>6.1</w:t>
            </w:r>
          </w:p>
        </w:tc>
        <w:tc>
          <w:tcPr>
            <w:tcW w:w="3849" w:type="dxa"/>
            <w:tcBorders>
              <w:right w:val="single" w:sz="4" w:space="0" w:color="000000"/>
            </w:tcBorders>
          </w:tcPr>
          <w:p>
            <w:pPr>
              <w:pStyle w:val="TableParagraph"/>
              <w:tabs>
                <w:tab w:pos="1166" w:val="left" w:leader="none"/>
                <w:tab w:pos="2126" w:val="left" w:leader="none"/>
              </w:tabs>
              <w:spacing w:before="15"/>
              <w:ind w:left="266"/>
              <w:rPr>
                <w:sz w:val="19"/>
              </w:rPr>
            </w:pPr>
            <w:r>
              <w:rPr>
                <w:spacing w:val="-10"/>
                <w:w w:val="110"/>
                <w:sz w:val="19"/>
              </w:rPr>
              <w:t>10.4</w:t>
              <w:tab/>
            </w:r>
            <w:r>
              <w:rPr>
                <w:spacing w:val="-8"/>
                <w:w w:val="110"/>
                <w:sz w:val="19"/>
              </w:rPr>
              <w:t>2.4</w:t>
              <w:tab/>
              <w:t>8.1</w:t>
            </w:r>
          </w:p>
        </w:tc>
      </w:tr>
      <w:tr>
        <w:trPr>
          <w:trHeight w:val="255" w:hRule="atLeast"/>
        </w:trPr>
        <w:tc>
          <w:tcPr>
            <w:tcW w:w="1972" w:type="dxa"/>
            <w:tcBorders>
              <w:left w:val="single" w:sz="4" w:space="0" w:color="000000"/>
            </w:tcBorders>
          </w:tcPr>
          <w:p>
            <w:pPr>
              <w:pStyle w:val="TableParagraph"/>
              <w:spacing w:before="16"/>
              <w:ind w:left="1171"/>
              <w:rPr>
                <w:sz w:val="19"/>
              </w:rPr>
            </w:pPr>
            <w:r>
              <w:rPr>
                <w:w w:val="110"/>
                <w:sz w:val="19"/>
              </w:rPr>
              <w:t>2000</w:t>
            </w:r>
          </w:p>
        </w:tc>
        <w:tc>
          <w:tcPr>
            <w:tcW w:w="2701" w:type="dxa"/>
          </w:tcPr>
          <w:p>
            <w:pPr>
              <w:pStyle w:val="TableParagraph"/>
              <w:tabs>
                <w:tab w:pos="1962" w:val="left" w:leader="none"/>
              </w:tabs>
              <w:spacing w:before="16"/>
              <w:ind w:left="642"/>
              <w:rPr>
                <w:sz w:val="19"/>
              </w:rPr>
            </w:pPr>
            <w:r>
              <w:rPr>
                <w:spacing w:val="-8"/>
                <w:w w:val="110"/>
                <w:sz w:val="19"/>
              </w:rPr>
              <w:t>8.5</w:t>
              <w:tab/>
              <w:t>5.9</w:t>
            </w:r>
          </w:p>
        </w:tc>
        <w:tc>
          <w:tcPr>
            <w:tcW w:w="3849" w:type="dxa"/>
            <w:tcBorders>
              <w:right w:val="single" w:sz="4" w:space="0" w:color="000000"/>
            </w:tcBorders>
          </w:tcPr>
          <w:p>
            <w:pPr>
              <w:pStyle w:val="TableParagraph"/>
              <w:tabs>
                <w:tab w:pos="1166" w:val="left" w:leader="none"/>
                <w:tab w:pos="2126" w:val="left" w:leader="none"/>
              </w:tabs>
              <w:spacing w:before="16"/>
              <w:ind w:left="311"/>
              <w:rPr>
                <w:sz w:val="19"/>
              </w:rPr>
            </w:pPr>
            <w:r>
              <w:rPr>
                <w:spacing w:val="-8"/>
                <w:w w:val="110"/>
                <w:sz w:val="19"/>
              </w:rPr>
              <w:t>9.9</w:t>
              <w:tab/>
              <w:t>2.2</w:t>
              <w:tab/>
              <w:t>7.8</w:t>
            </w:r>
          </w:p>
        </w:tc>
      </w:tr>
      <w:tr>
        <w:trPr>
          <w:trHeight w:val="255" w:hRule="atLeast"/>
        </w:trPr>
        <w:tc>
          <w:tcPr>
            <w:tcW w:w="1972" w:type="dxa"/>
            <w:tcBorders>
              <w:left w:val="single" w:sz="4" w:space="0" w:color="000000"/>
            </w:tcBorders>
          </w:tcPr>
          <w:p>
            <w:pPr>
              <w:pStyle w:val="TableParagraph"/>
              <w:spacing w:before="15"/>
              <w:ind w:left="1171"/>
              <w:rPr>
                <w:sz w:val="19"/>
              </w:rPr>
            </w:pPr>
            <w:r>
              <w:rPr>
                <w:w w:val="110"/>
                <w:sz w:val="19"/>
              </w:rPr>
              <w:t>2001</w:t>
            </w:r>
          </w:p>
        </w:tc>
        <w:tc>
          <w:tcPr>
            <w:tcW w:w="2701" w:type="dxa"/>
          </w:tcPr>
          <w:p>
            <w:pPr>
              <w:pStyle w:val="TableParagraph"/>
              <w:tabs>
                <w:tab w:pos="1962" w:val="left" w:leader="none"/>
              </w:tabs>
              <w:spacing w:before="15"/>
              <w:ind w:left="598"/>
              <w:rPr>
                <w:sz w:val="19"/>
              </w:rPr>
            </w:pPr>
            <w:r>
              <w:rPr>
                <w:spacing w:val="-10"/>
                <w:w w:val="110"/>
                <w:sz w:val="19"/>
              </w:rPr>
              <w:t>11.6</w:t>
              <w:tab/>
            </w:r>
            <w:r>
              <w:rPr>
                <w:spacing w:val="-8"/>
                <w:w w:val="110"/>
                <w:sz w:val="19"/>
              </w:rPr>
              <w:t>6.2</w:t>
            </w:r>
          </w:p>
        </w:tc>
        <w:tc>
          <w:tcPr>
            <w:tcW w:w="3849" w:type="dxa"/>
            <w:tcBorders>
              <w:right w:val="single" w:sz="4" w:space="0" w:color="000000"/>
            </w:tcBorders>
          </w:tcPr>
          <w:p>
            <w:pPr>
              <w:pStyle w:val="TableParagraph"/>
              <w:tabs>
                <w:tab w:pos="1166" w:val="left" w:leader="none"/>
                <w:tab w:pos="2126" w:val="left" w:leader="none"/>
              </w:tabs>
              <w:spacing w:before="15"/>
              <w:ind w:left="266"/>
              <w:rPr>
                <w:sz w:val="19"/>
              </w:rPr>
            </w:pPr>
            <w:r>
              <w:rPr>
                <w:spacing w:val="-10"/>
                <w:w w:val="110"/>
                <w:sz w:val="19"/>
              </w:rPr>
              <w:t>11.6</w:t>
              <w:tab/>
            </w:r>
            <w:r>
              <w:rPr>
                <w:spacing w:val="-8"/>
                <w:w w:val="110"/>
                <w:sz w:val="19"/>
              </w:rPr>
              <w:t>2.5</w:t>
              <w:tab/>
              <w:t>9.1</w:t>
            </w:r>
          </w:p>
        </w:tc>
      </w:tr>
      <w:tr>
        <w:trPr>
          <w:trHeight w:val="255" w:hRule="atLeast"/>
        </w:trPr>
        <w:tc>
          <w:tcPr>
            <w:tcW w:w="1972" w:type="dxa"/>
            <w:tcBorders>
              <w:left w:val="single" w:sz="4" w:space="0" w:color="000000"/>
            </w:tcBorders>
          </w:tcPr>
          <w:p>
            <w:pPr>
              <w:pStyle w:val="TableParagraph"/>
              <w:spacing w:before="16"/>
              <w:ind w:left="1171"/>
              <w:rPr>
                <w:sz w:val="19"/>
              </w:rPr>
            </w:pPr>
            <w:r>
              <w:rPr>
                <w:w w:val="110"/>
                <w:sz w:val="19"/>
              </w:rPr>
              <w:t>2002</w:t>
            </w:r>
          </w:p>
        </w:tc>
        <w:tc>
          <w:tcPr>
            <w:tcW w:w="2701" w:type="dxa"/>
          </w:tcPr>
          <w:p>
            <w:pPr>
              <w:pStyle w:val="TableParagraph"/>
              <w:tabs>
                <w:tab w:pos="1962" w:val="left" w:leader="none"/>
              </w:tabs>
              <w:spacing w:before="16"/>
              <w:ind w:left="598"/>
              <w:rPr>
                <w:sz w:val="19"/>
              </w:rPr>
            </w:pPr>
            <w:r>
              <w:rPr>
                <w:spacing w:val="-10"/>
                <w:w w:val="110"/>
                <w:sz w:val="19"/>
              </w:rPr>
              <w:t>14.9</w:t>
              <w:tab/>
            </w:r>
            <w:r>
              <w:rPr>
                <w:spacing w:val="-8"/>
                <w:w w:val="110"/>
                <w:sz w:val="19"/>
              </w:rPr>
              <w:t>6.8</w:t>
            </w:r>
          </w:p>
        </w:tc>
        <w:tc>
          <w:tcPr>
            <w:tcW w:w="3849" w:type="dxa"/>
            <w:tcBorders>
              <w:right w:val="single" w:sz="4" w:space="0" w:color="000000"/>
            </w:tcBorders>
          </w:tcPr>
          <w:p>
            <w:pPr>
              <w:pStyle w:val="TableParagraph"/>
              <w:tabs>
                <w:tab w:pos="1166" w:val="left" w:leader="none"/>
                <w:tab w:pos="2081" w:val="left" w:leader="none"/>
              </w:tabs>
              <w:spacing w:before="16"/>
              <w:ind w:left="266"/>
              <w:rPr>
                <w:sz w:val="19"/>
              </w:rPr>
            </w:pPr>
            <w:r>
              <w:rPr>
                <w:spacing w:val="-10"/>
                <w:w w:val="110"/>
                <w:sz w:val="19"/>
              </w:rPr>
              <w:t>16.6</w:t>
              <w:tab/>
            </w:r>
            <w:r>
              <w:rPr>
                <w:spacing w:val="-8"/>
                <w:w w:val="110"/>
                <w:sz w:val="19"/>
              </w:rPr>
              <w:t>2.9</w:t>
              <w:tab/>
            </w:r>
            <w:r>
              <w:rPr>
                <w:spacing w:val="-10"/>
                <w:w w:val="110"/>
                <w:sz w:val="19"/>
              </w:rPr>
              <w:t>13.7</w:t>
            </w:r>
          </w:p>
        </w:tc>
      </w:tr>
      <w:tr>
        <w:trPr>
          <w:trHeight w:val="255" w:hRule="atLeast"/>
        </w:trPr>
        <w:tc>
          <w:tcPr>
            <w:tcW w:w="1972" w:type="dxa"/>
            <w:tcBorders>
              <w:left w:val="single" w:sz="4" w:space="0" w:color="000000"/>
            </w:tcBorders>
          </w:tcPr>
          <w:p>
            <w:pPr>
              <w:pStyle w:val="TableParagraph"/>
              <w:spacing w:before="15"/>
              <w:ind w:left="1171"/>
              <w:rPr>
                <w:sz w:val="19"/>
              </w:rPr>
            </w:pPr>
            <w:r>
              <w:rPr>
                <w:w w:val="110"/>
                <w:sz w:val="19"/>
              </w:rPr>
              <w:t>2003</w:t>
            </w:r>
          </w:p>
        </w:tc>
        <w:tc>
          <w:tcPr>
            <w:tcW w:w="2701" w:type="dxa"/>
          </w:tcPr>
          <w:p>
            <w:pPr>
              <w:pStyle w:val="TableParagraph"/>
              <w:tabs>
                <w:tab w:pos="1962" w:val="left" w:leader="none"/>
              </w:tabs>
              <w:spacing w:before="15"/>
              <w:ind w:left="598"/>
              <w:rPr>
                <w:sz w:val="19"/>
              </w:rPr>
            </w:pPr>
            <w:r>
              <w:rPr>
                <w:spacing w:val="-10"/>
                <w:w w:val="110"/>
                <w:sz w:val="19"/>
              </w:rPr>
              <w:t>15.7</w:t>
              <w:tab/>
            </w:r>
            <w:r>
              <w:rPr>
                <w:spacing w:val="-8"/>
                <w:w w:val="110"/>
                <w:sz w:val="19"/>
              </w:rPr>
              <w:t>7.2</w:t>
            </w:r>
          </w:p>
        </w:tc>
        <w:tc>
          <w:tcPr>
            <w:tcW w:w="3849" w:type="dxa"/>
            <w:tcBorders>
              <w:right w:val="single" w:sz="4" w:space="0" w:color="000000"/>
            </w:tcBorders>
          </w:tcPr>
          <w:p>
            <w:pPr>
              <w:pStyle w:val="TableParagraph"/>
              <w:tabs>
                <w:tab w:pos="1166" w:val="left" w:leader="none"/>
                <w:tab w:pos="2081" w:val="left" w:leader="none"/>
              </w:tabs>
              <w:spacing w:before="15"/>
              <w:ind w:left="266"/>
              <w:rPr>
                <w:sz w:val="19"/>
              </w:rPr>
            </w:pPr>
            <w:r>
              <w:rPr>
                <w:spacing w:val="-10"/>
                <w:w w:val="110"/>
                <w:sz w:val="19"/>
              </w:rPr>
              <w:t>17.4</w:t>
              <w:tab/>
            </w:r>
            <w:r>
              <w:rPr>
                <w:spacing w:val="-8"/>
                <w:w w:val="110"/>
                <w:sz w:val="19"/>
              </w:rPr>
              <w:t>2.6</w:t>
              <w:tab/>
            </w:r>
            <w:r>
              <w:rPr>
                <w:spacing w:val="-10"/>
                <w:w w:val="110"/>
                <w:sz w:val="19"/>
              </w:rPr>
              <w:t>14.8</w:t>
            </w:r>
          </w:p>
        </w:tc>
      </w:tr>
      <w:tr>
        <w:trPr>
          <w:trHeight w:val="255" w:hRule="atLeast"/>
        </w:trPr>
        <w:tc>
          <w:tcPr>
            <w:tcW w:w="1972" w:type="dxa"/>
            <w:tcBorders>
              <w:left w:val="single" w:sz="4" w:space="0" w:color="000000"/>
            </w:tcBorders>
          </w:tcPr>
          <w:p>
            <w:pPr>
              <w:pStyle w:val="TableParagraph"/>
              <w:spacing w:before="16"/>
              <w:ind w:left="1171"/>
              <w:rPr>
                <w:sz w:val="19"/>
              </w:rPr>
            </w:pPr>
            <w:r>
              <w:rPr>
                <w:w w:val="110"/>
                <w:sz w:val="19"/>
              </w:rPr>
              <w:t>2004</w:t>
            </w:r>
          </w:p>
        </w:tc>
        <w:tc>
          <w:tcPr>
            <w:tcW w:w="2701" w:type="dxa"/>
          </w:tcPr>
          <w:p>
            <w:pPr>
              <w:pStyle w:val="TableParagraph"/>
              <w:tabs>
                <w:tab w:pos="1962" w:val="left" w:leader="none"/>
              </w:tabs>
              <w:spacing w:before="16"/>
              <w:ind w:left="598"/>
              <w:rPr>
                <w:sz w:val="19"/>
              </w:rPr>
            </w:pPr>
            <w:r>
              <w:rPr>
                <w:spacing w:val="-10"/>
                <w:w w:val="110"/>
                <w:sz w:val="19"/>
              </w:rPr>
              <w:t>15.2</w:t>
              <w:tab/>
            </w:r>
            <w:r>
              <w:rPr>
                <w:spacing w:val="-8"/>
                <w:w w:val="110"/>
                <w:sz w:val="19"/>
              </w:rPr>
              <w:t>7.8</w:t>
            </w:r>
          </w:p>
        </w:tc>
        <w:tc>
          <w:tcPr>
            <w:tcW w:w="3849" w:type="dxa"/>
            <w:tcBorders>
              <w:right w:val="single" w:sz="4" w:space="0" w:color="000000"/>
            </w:tcBorders>
          </w:tcPr>
          <w:p>
            <w:pPr>
              <w:pStyle w:val="TableParagraph"/>
              <w:tabs>
                <w:tab w:pos="1166" w:val="left" w:leader="none"/>
                <w:tab w:pos="2081" w:val="left" w:leader="none"/>
              </w:tabs>
              <w:spacing w:before="16"/>
              <w:ind w:left="266"/>
              <w:rPr>
                <w:sz w:val="19"/>
              </w:rPr>
            </w:pPr>
            <w:r>
              <w:rPr>
                <w:spacing w:val="-10"/>
                <w:w w:val="110"/>
                <w:sz w:val="19"/>
              </w:rPr>
              <w:t>17.1</w:t>
              <w:tab/>
            </w:r>
            <w:r>
              <w:rPr>
                <w:spacing w:val="-8"/>
                <w:w w:val="110"/>
                <w:sz w:val="19"/>
              </w:rPr>
              <w:t>2.9</w:t>
              <w:tab/>
            </w:r>
            <w:r>
              <w:rPr>
                <w:spacing w:val="-10"/>
                <w:w w:val="110"/>
                <w:sz w:val="19"/>
              </w:rPr>
              <w:t>14.2</w:t>
            </w:r>
          </w:p>
        </w:tc>
      </w:tr>
      <w:tr>
        <w:trPr>
          <w:trHeight w:val="258" w:hRule="atLeast"/>
        </w:trPr>
        <w:tc>
          <w:tcPr>
            <w:tcW w:w="1972" w:type="dxa"/>
            <w:tcBorders>
              <w:left w:val="single" w:sz="4" w:space="0" w:color="000000"/>
              <w:bottom w:val="single" w:sz="4" w:space="0" w:color="000000"/>
            </w:tcBorders>
          </w:tcPr>
          <w:p>
            <w:pPr>
              <w:pStyle w:val="TableParagraph"/>
              <w:spacing w:before="15"/>
              <w:ind w:left="1171"/>
              <w:rPr>
                <w:sz w:val="19"/>
              </w:rPr>
            </w:pPr>
            <w:r>
              <w:rPr>
                <w:w w:val="110"/>
                <w:sz w:val="19"/>
              </w:rPr>
              <w:t>2005 Q1</w:t>
            </w:r>
          </w:p>
        </w:tc>
        <w:tc>
          <w:tcPr>
            <w:tcW w:w="2701" w:type="dxa"/>
            <w:tcBorders>
              <w:bottom w:val="thickThinMediumGap" w:sz="2" w:space="0" w:color="000000"/>
            </w:tcBorders>
          </w:tcPr>
          <w:p>
            <w:pPr>
              <w:pStyle w:val="TableParagraph"/>
              <w:tabs>
                <w:tab w:pos="1962" w:val="left" w:leader="none"/>
              </w:tabs>
              <w:spacing w:before="15"/>
              <w:ind w:left="598"/>
              <w:rPr>
                <w:sz w:val="19"/>
              </w:rPr>
            </w:pPr>
            <w:r>
              <w:rPr>
                <w:spacing w:val="-10"/>
                <w:w w:val="110"/>
                <w:sz w:val="19"/>
              </w:rPr>
              <w:t>14.6</w:t>
              <w:tab/>
            </w:r>
            <w:r>
              <w:rPr>
                <w:spacing w:val="-8"/>
                <w:w w:val="110"/>
                <w:sz w:val="19"/>
              </w:rPr>
              <w:t>7.9</w:t>
            </w:r>
          </w:p>
        </w:tc>
        <w:tc>
          <w:tcPr>
            <w:tcW w:w="3849" w:type="dxa"/>
            <w:tcBorders>
              <w:bottom w:val="thickThinMediumGap" w:sz="2" w:space="0" w:color="000000"/>
              <w:right w:val="single" w:sz="4" w:space="0" w:color="000000"/>
            </w:tcBorders>
          </w:tcPr>
          <w:p>
            <w:pPr>
              <w:pStyle w:val="TableParagraph"/>
              <w:tabs>
                <w:tab w:pos="1166" w:val="left" w:leader="none"/>
                <w:tab w:pos="2081" w:val="left" w:leader="none"/>
              </w:tabs>
              <w:spacing w:before="15"/>
              <w:ind w:left="266"/>
              <w:rPr>
                <w:sz w:val="19"/>
              </w:rPr>
            </w:pPr>
            <w:r>
              <w:rPr>
                <w:spacing w:val="-10"/>
                <w:w w:val="110"/>
                <w:sz w:val="19"/>
              </w:rPr>
              <w:t>15.7</w:t>
              <w:tab/>
            </w:r>
            <w:r>
              <w:rPr>
                <w:spacing w:val="-8"/>
                <w:w w:val="110"/>
                <w:sz w:val="19"/>
              </w:rPr>
              <w:t>2.9</w:t>
              <w:tab/>
            </w:r>
            <w:r>
              <w:rPr>
                <w:spacing w:val="-10"/>
                <w:w w:val="110"/>
                <w:sz w:val="19"/>
              </w:rPr>
              <w:t>12.8</w:t>
            </w:r>
          </w:p>
        </w:tc>
      </w:tr>
    </w:tbl>
    <w:p>
      <w:pPr>
        <w:spacing w:line="180" w:lineRule="exact" w:before="0"/>
        <w:ind w:left="1200" w:right="0" w:firstLine="0"/>
        <w:jc w:val="left"/>
        <w:rPr>
          <w:sz w:val="16"/>
        </w:rPr>
      </w:pPr>
      <w:r>
        <w:rPr>
          <w:sz w:val="16"/>
        </w:rPr>
        <w:t>Source: ONS</w:t>
      </w:r>
    </w:p>
    <w:sectPr>
      <w:pgSz w:w="11900" w:h="16840"/>
      <w:pgMar w:header="716" w:footer="0" w:top="1340" w:bottom="280" w:left="600" w:right="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0.25943pt;margin-top:34.761681pt;width:18.05pt;height:15.35pt;mso-position-horizontal-relative:page;mso-position-vertical-relative:page;z-index:-254066688" type="#_x0000_t202" filled="false" stroked="false">
          <v:textbox inset="0,0,0,0">
            <w:txbxContent>
              <w:p>
                <w:pPr>
                  <w:pStyle w:val="BodyText"/>
                  <w:spacing w:before="10"/>
                  <w:ind w:left="60"/>
                </w:pPr>
                <w:r>
                  <w:rPr/>
                  <w:fldChar w:fldCharType="begin"/>
                </w:r>
                <w:r>
                  <w:rPr/>
                  <w:instrText> PAGE </w:instrText>
                </w:r>
                <w:r>
                  <w:rPr/>
                  <w:fldChar w:fldCharType="separate"/>
                </w:r>
                <w:r>
                  <w:rPr/>
                  <w:t>18</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920" w:hanging="36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3340" w:hanging="360"/>
      </w:pPr>
      <w:rPr>
        <w:rFonts w:hint="default"/>
      </w:rPr>
    </w:lvl>
    <w:lvl w:ilvl="2">
      <w:start w:val="0"/>
      <w:numFmt w:val="bullet"/>
      <w:lvlText w:val="•"/>
      <w:lvlJc w:val="left"/>
      <w:pPr>
        <w:ind w:left="3462" w:hanging="360"/>
      </w:pPr>
      <w:rPr>
        <w:rFonts w:hint="default"/>
      </w:rPr>
    </w:lvl>
    <w:lvl w:ilvl="3">
      <w:start w:val="0"/>
      <w:numFmt w:val="bullet"/>
      <w:lvlText w:val="•"/>
      <w:lvlJc w:val="left"/>
      <w:pPr>
        <w:ind w:left="3585" w:hanging="360"/>
      </w:pPr>
      <w:rPr>
        <w:rFonts w:hint="default"/>
      </w:rPr>
    </w:lvl>
    <w:lvl w:ilvl="4">
      <w:start w:val="0"/>
      <w:numFmt w:val="bullet"/>
      <w:lvlText w:val="•"/>
      <w:lvlJc w:val="left"/>
      <w:pPr>
        <w:ind w:left="3708" w:hanging="360"/>
      </w:pPr>
      <w:rPr>
        <w:rFonts w:hint="default"/>
      </w:rPr>
    </w:lvl>
    <w:lvl w:ilvl="5">
      <w:start w:val="0"/>
      <w:numFmt w:val="bullet"/>
      <w:lvlText w:val="•"/>
      <w:lvlJc w:val="left"/>
      <w:pPr>
        <w:ind w:left="3831" w:hanging="360"/>
      </w:pPr>
      <w:rPr>
        <w:rFonts w:hint="default"/>
      </w:rPr>
    </w:lvl>
    <w:lvl w:ilvl="6">
      <w:start w:val="0"/>
      <w:numFmt w:val="bullet"/>
      <w:lvlText w:val="•"/>
      <w:lvlJc w:val="left"/>
      <w:pPr>
        <w:ind w:left="3954" w:hanging="360"/>
      </w:pPr>
      <w:rPr>
        <w:rFonts w:hint="default"/>
      </w:rPr>
    </w:lvl>
    <w:lvl w:ilvl="7">
      <w:start w:val="0"/>
      <w:numFmt w:val="bullet"/>
      <w:lvlText w:val="•"/>
      <w:lvlJc w:val="left"/>
      <w:pPr>
        <w:ind w:left="4076" w:hanging="360"/>
      </w:pPr>
      <w:rPr>
        <w:rFonts w:hint="default"/>
      </w:rPr>
    </w:lvl>
    <w:lvl w:ilvl="8">
      <w:start w:val="0"/>
      <w:numFmt w:val="bullet"/>
      <w:lvlText w:val="•"/>
      <w:lvlJc w:val="left"/>
      <w:pPr>
        <w:ind w:left="4199" w:hanging="360"/>
      </w:pPr>
      <w:rPr>
        <w:rFonts w:hint="default"/>
      </w:rPr>
    </w:lvl>
  </w:abstractNum>
  <w:abstractNum w:abstractNumId="0">
    <w:multiLevelType w:val="hybridMultilevel"/>
    <w:lvl w:ilvl="0">
      <w:start w:val="1"/>
      <w:numFmt w:val="decimal"/>
      <w:lvlText w:val="%1."/>
      <w:lvlJc w:val="left"/>
      <w:pPr>
        <w:ind w:left="5059" w:hanging="360"/>
        <w:jc w:val="right"/>
      </w:pPr>
      <w:rPr>
        <w:rFonts w:hint="default" w:ascii="Times New Roman" w:hAnsi="Times New Roman" w:eastAsia="Times New Roman" w:cs="Times New Roman"/>
        <w:b/>
        <w:bCs/>
        <w:spacing w:val="-2"/>
        <w:w w:val="100"/>
        <w:sz w:val="24"/>
        <w:szCs w:val="24"/>
      </w:rPr>
    </w:lvl>
    <w:lvl w:ilvl="1">
      <w:start w:val="0"/>
      <w:numFmt w:val="bullet"/>
      <w:lvlText w:val="•"/>
      <w:lvlJc w:val="left"/>
      <w:pPr>
        <w:ind w:left="5644" w:hanging="360"/>
      </w:pPr>
      <w:rPr>
        <w:rFonts w:hint="default"/>
      </w:rPr>
    </w:lvl>
    <w:lvl w:ilvl="2">
      <w:start w:val="0"/>
      <w:numFmt w:val="bullet"/>
      <w:lvlText w:val="•"/>
      <w:lvlJc w:val="left"/>
      <w:pPr>
        <w:ind w:left="6228" w:hanging="360"/>
      </w:pPr>
      <w:rPr>
        <w:rFonts w:hint="default"/>
      </w:rPr>
    </w:lvl>
    <w:lvl w:ilvl="3">
      <w:start w:val="0"/>
      <w:numFmt w:val="bullet"/>
      <w:lvlText w:val="•"/>
      <w:lvlJc w:val="left"/>
      <w:pPr>
        <w:ind w:left="6812" w:hanging="360"/>
      </w:pPr>
      <w:rPr>
        <w:rFonts w:hint="default"/>
      </w:rPr>
    </w:lvl>
    <w:lvl w:ilvl="4">
      <w:start w:val="0"/>
      <w:numFmt w:val="bullet"/>
      <w:lvlText w:val="•"/>
      <w:lvlJc w:val="left"/>
      <w:pPr>
        <w:ind w:left="7396" w:hanging="360"/>
      </w:pPr>
      <w:rPr>
        <w:rFonts w:hint="default"/>
      </w:rPr>
    </w:lvl>
    <w:lvl w:ilvl="5">
      <w:start w:val="0"/>
      <w:numFmt w:val="bullet"/>
      <w:lvlText w:val="•"/>
      <w:lvlJc w:val="left"/>
      <w:pPr>
        <w:ind w:left="7980" w:hanging="360"/>
      </w:pPr>
      <w:rPr>
        <w:rFonts w:hint="default"/>
      </w:rPr>
    </w:lvl>
    <w:lvl w:ilvl="6">
      <w:start w:val="0"/>
      <w:numFmt w:val="bullet"/>
      <w:lvlText w:val="•"/>
      <w:lvlJc w:val="left"/>
      <w:pPr>
        <w:ind w:left="8564" w:hanging="360"/>
      </w:pPr>
      <w:rPr>
        <w:rFonts w:hint="default"/>
      </w:rPr>
    </w:lvl>
    <w:lvl w:ilvl="7">
      <w:start w:val="0"/>
      <w:numFmt w:val="bullet"/>
      <w:lvlText w:val="•"/>
      <w:lvlJc w:val="left"/>
      <w:pPr>
        <w:ind w:left="9148" w:hanging="360"/>
      </w:pPr>
      <w:rPr>
        <w:rFonts w:hint="default"/>
      </w:rPr>
    </w:lvl>
    <w:lvl w:ilvl="8">
      <w:start w:val="0"/>
      <w:numFmt w:val="bullet"/>
      <w:lvlText w:val="•"/>
      <w:lvlJc w:val="left"/>
      <w:pPr>
        <w:ind w:left="9732" w:hanging="360"/>
      </w:pPr>
      <w:rPr>
        <w:rFonts w:hint="default"/>
      </w:rPr>
    </w:lvl>
  </w:abstractNum>
  <w:abstractNum w:abstractNumId="3">
    <w:multiLevelType w:val="hybridMultilevel"/>
    <w:lvl w:ilvl="0">
      <w:start w:val="0"/>
      <w:numFmt w:val="bullet"/>
      <w:lvlText w:val=""/>
      <w:lvlJc w:val="left"/>
      <w:pPr>
        <w:ind w:left="264" w:hanging="191"/>
      </w:pPr>
      <w:rPr>
        <w:rFonts w:hint="default" w:ascii="Symbol" w:hAnsi="Symbol" w:eastAsia="Symbol" w:cs="Symbol"/>
        <w:w w:val="100"/>
        <w:sz w:val="24"/>
        <w:szCs w:val="24"/>
      </w:rPr>
    </w:lvl>
    <w:lvl w:ilvl="1">
      <w:start w:val="0"/>
      <w:numFmt w:val="bullet"/>
      <w:lvlText w:val="•"/>
      <w:lvlJc w:val="left"/>
      <w:pPr>
        <w:ind w:left="400" w:hanging="191"/>
      </w:pPr>
      <w:rPr>
        <w:rFonts w:hint="default"/>
      </w:rPr>
    </w:lvl>
    <w:lvl w:ilvl="2">
      <w:start w:val="0"/>
      <w:numFmt w:val="bullet"/>
      <w:lvlText w:val="•"/>
      <w:lvlJc w:val="left"/>
      <w:pPr>
        <w:ind w:left="540" w:hanging="191"/>
      </w:pPr>
      <w:rPr>
        <w:rFonts w:hint="default"/>
      </w:rPr>
    </w:lvl>
    <w:lvl w:ilvl="3">
      <w:start w:val="0"/>
      <w:numFmt w:val="bullet"/>
      <w:lvlText w:val="•"/>
      <w:lvlJc w:val="left"/>
      <w:pPr>
        <w:ind w:left="681" w:hanging="191"/>
      </w:pPr>
      <w:rPr>
        <w:rFonts w:hint="default"/>
      </w:rPr>
    </w:lvl>
    <w:lvl w:ilvl="4">
      <w:start w:val="0"/>
      <w:numFmt w:val="bullet"/>
      <w:lvlText w:val="•"/>
      <w:lvlJc w:val="left"/>
      <w:pPr>
        <w:ind w:left="821" w:hanging="191"/>
      </w:pPr>
      <w:rPr>
        <w:rFonts w:hint="default"/>
      </w:rPr>
    </w:lvl>
    <w:lvl w:ilvl="5">
      <w:start w:val="0"/>
      <w:numFmt w:val="bullet"/>
      <w:lvlText w:val="•"/>
      <w:lvlJc w:val="left"/>
      <w:pPr>
        <w:ind w:left="962" w:hanging="191"/>
      </w:pPr>
      <w:rPr>
        <w:rFonts w:hint="default"/>
      </w:rPr>
    </w:lvl>
    <w:lvl w:ilvl="6">
      <w:start w:val="0"/>
      <w:numFmt w:val="bullet"/>
      <w:lvlText w:val="•"/>
      <w:lvlJc w:val="left"/>
      <w:pPr>
        <w:ind w:left="1102" w:hanging="191"/>
      </w:pPr>
      <w:rPr>
        <w:rFonts w:hint="default"/>
      </w:rPr>
    </w:lvl>
    <w:lvl w:ilvl="7">
      <w:start w:val="0"/>
      <w:numFmt w:val="bullet"/>
      <w:lvlText w:val="•"/>
      <w:lvlJc w:val="left"/>
      <w:pPr>
        <w:ind w:left="1243" w:hanging="191"/>
      </w:pPr>
      <w:rPr>
        <w:rFonts w:hint="default"/>
      </w:rPr>
    </w:lvl>
    <w:lvl w:ilvl="8">
      <w:start w:val="0"/>
      <w:numFmt w:val="bullet"/>
      <w:lvlText w:val="•"/>
      <w:lvlJc w:val="left"/>
      <w:pPr>
        <w:ind w:left="1383" w:hanging="191"/>
      </w:pPr>
      <w:rPr>
        <w:rFonts w:hint="default"/>
      </w:rPr>
    </w:lvl>
  </w:abstractNum>
  <w:abstractNum w:abstractNumId="2">
    <w:multiLevelType w:val="hybridMultilevel"/>
    <w:lvl w:ilvl="0">
      <w:start w:val="1"/>
      <w:numFmt w:val="lowerRoman"/>
      <w:lvlText w:val="%1)"/>
      <w:lvlJc w:val="left"/>
      <w:pPr>
        <w:ind w:left="2280" w:hanging="720"/>
        <w:jc w:val="left"/>
      </w:pPr>
      <w:rPr>
        <w:rFonts w:hint="default" w:ascii="Times New Roman" w:hAnsi="Times New Roman" w:eastAsia="Times New Roman" w:cs="Times New Roman"/>
        <w:w w:val="100"/>
        <w:sz w:val="24"/>
        <w:szCs w:val="24"/>
      </w:rPr>
    </w:lvl>
    <w:lvl w:ilvl="1">
      <w:start w:val="0"/>
      <w:numFmt w:val="bullet"/>
      <w:lvlText w:val="•"/>
      <w:lvlJc w:val="left"/>
      <w:pPr>
        <w:ind w:left="3142" w:hanging="720"/>
      </w:pPr>
      <w:rPr>
        <w:rFonts w:hint="default"/>
      </w:rPr>
    </w:lvl>
    <w:lvl w:ilvl="2">
      <w:start w:val="0"/>
      <w:numFmt w:val="bullet"/>
      <w:lvlText w:val="•"/>
      <w:lvlJc w:val="left"/>
      <w:pPr>
        <w:ind w:left="4004" w:hanging="720"/>
      </w:pPr>
      <w:rPr>
        <w:rFonts w:hint="default"/>
      </w:rPr>
    </w:lvl>
    <w:lvl w:ilvl="3">
      <w:start w:val="0"/>
      <w:numFmt w:val="bullet"/>
      <w:lvlText w:val="•"/>
      <w:lvlJc w:val="left"/>
      <w:pPr>
        <w:ind w:left="4866" w:hanging="720"/>
      </w:pPr>
      <w:rPr>
        <w:rFonts w:hint="default"/>
      </w:rPr>
    </w:lvl>
    <w:lvl w:ilvl="4">
      <w:start w:val="0"/>
      <w:numFmt w:val="bullet"/>
      <w:lvlText w:val="•"/>
      <w:lvlJc w:val="left"/>
      <w:pPr>
        <w:ind w:left="5728" w:hanging="720"/>
      </w:pPr>
      <w:rPr>
        <w:rFonts w:hint="default"/>
      </w:rPr>
    </w:lvl>
    <w:lvl w:ilvl="5">
      <w:start w:val="0"/>
      <w:numFmt w:val="bullet"/>
      <w:lvlText w:val="•"/>
      <w:lvlJc w:val="left"/>
      <w:pPr>
        <w:ind w:left="6590" w:hanging="720"/>
      </w:pPr>
      <w:rPr>
        <w:rFonts w:hint="default"/>
      </w:rPr>
    </w:lvl>
    <w:lvl w:ilvl="6">
      <w:start w:val="0"/>
      <w:numFmt w:val="bullet"/>
      <w:lvlText w:val="•"/>
      <w:lvlJc w:val="left"/>
      <w:pPr>
        <w:ind w:left="7452" w:hanging="720"/>
      </w:pPr>
      <w:rPr>
        <w:rFonts w:hint="default"/>
      </w:rPr>
    </w:lvl>
    <w:lvl w:ilvl="7">
      <w:start w:val="0"/>
      <w:numFmt w:val="bullet"/>
      <w:lvlText w:val="•"/>
      <w:lvlJc w:val="left"/>
      <w:pPr>
        <w:ind w:left="8314" w:hanging="720"/>
      </w:pPr>
      <w:rPr>
        <w:rFonts w:hint="default"/>
      </w:rPr>
    </w:lvl>
    <w:lvl w:ilvl="8">
      <w:start w:val="0"/>
      <w:numFmt w:val="bullet"/>
      <w:lvlText w:val="•"/>
      <w:lvlJc w:val="left"/>
      <w:pPr>
        <w:ind w:left="9176" w:hanging="720"/>
      </w:pPr>
      <w:rPr>
        <w:rFonts w:hint="default"/>
      </w:rPr>
    </w:lvl>
  </w:abstractNum>
  <w:abstractNum w:abstractNumId="1">
    <w:multiLevelType w:val="hybridMultilevel"/>
    <w:lvl w:ilvl="0">
      <w:start w:val="0"/>
      <w:numFmt w:val="bullet"/>
      <w:lvlText w:val="-"/>
      <w:lvlJc w:val="left"/>
      <w:pPr>
        <w:ind w:left="3968" w:hanging="141"/>
      </w:pPr>
      <w:rPr>
        <w:rFonts w:hint="default" w:ascii="Times New Roman" w:hAnsi="Times New Roman" w:eastAsia="Times New Roman" w:cs="Times New Roman"/>
        <w:spacing w:val="-1"/>
        <w:w w:val="100"/>
        <w:sz w:val="24"/>
        <w:szCs w:val="24"/>
      </w:rPr>
    </w:lvl>
    <w:lvl w:ilvl="1">
      <w:start w:val="0"/>
      <w:numFmt w:val="bullet"/>
      <w:lvlText w:val="•"/>
      <w:lvlJc w:val="left"/>
      <w:pPr>
        <w:ind w:left="4654" w:hanging="141"/>
      </w:pPr>
      <w:rPr>
        <w:rFonts w:hint="default"/>
      </w:rPr>
    </w:lvl>
    <w:lvl w:ilvl="2">
      <w:start w:val="0"/>
      <w:numFmt w:val="bullet"/>
      <w:lvlText w:val="•"/>
      <w:lvlJc w:val="left"/>
      <w:pPr>
        <w:ind w:left="5348" w:hanging="141"/>
      </w:pPr>
      <w:rPr>
        <w:rFonts w:hint="default"/>
      </w:rPr>
    </w:lvl>
    <w:lvl w:ilvl="3">
      <w:start w:val="0"/>
      <w:numFmt w:val="bullet"/>
      <w:lvlText w:val="•"/>
      <w:lvlJc w:val="left"/>
      <w:pPr>
        <w:ind w:left="6042" w:hanging="141"/>
      </w:pPr>
      <w:rPr>
        <w:rFonts w:hint="default"/>
      </w:rPr>
    </w:lvl>
    <w:lvl w:ilvl="4">
      <w:start w:val="0"/>
      <w:numFmt w:val="bullet"/>
      <w:lvlText w:val="•"/>
      <w:lvlJc w:val="left"/>
      <w:pPr>
        <w:ind w:left="6736" w:hanging="141"/>
      </w:pPr>
      <w:rPr>
        <w:rFonts w:hint="default"/>
      </w:rPr>
    </w:lvl>
    <w:lvl w:ilvl="5">
      <w:start w:val="0"/>
      <w:numFmt w:val="bullet"/>
      <w:lvlText w:val="•"/>
      <w:lvlJc w:val="left"/>
      <w:pPr>
        <w:ind w:left="7430" w:hanging="141"/>
      </w:pPr>
      <w:rPr>
        <w:rFonts w:hint="default"/>
      </w:rPr>
    </w:lvl>
    <w:lvl w:ilvl="6">
      <w:start w:val="0"/>
      <w:numFmt w:val="bullet"/>
      <w:lvlText w:val="•"/>
      <w:lvlJc w:val="left"/>
      <w:pPr>
        <w:ind w:left="8124" w:hanging="141"/>
      </w:pPr>
      <w:rPr>
        <w:rFonts w:hint="default"/>
      </w:rPr>
    </w:lvl>
    <w:lvl w:ilvl="7">
      <w:start w:val="0"/>
      <w:numFmt w:val="bullet"/>
      <w:lvlText w:val="•"/>
      <w:lvlJc w:val="left"/>
      <w:pPr>
        <w:ind w:left="8818" w:hanging="141"/>
      </w:pPr>
      <w:rPr>
        <w:rFonts w:hint="default"/>
      </w:rPr>
    </w:lvl>
    <w:lvl w:ilvl="8">
      <w:start w:val="0"/>
      <w:numFmt w:val="bullet"/>
      <w:lvlText w:val="•"/>
      <w:lvlJc w:val="left"/>
      <w:pPr>
        <w:ind w:left="9512" w:hanging="141"/>
      </w:pPr>
      <w:rPr>
        <w:rFonts w:hint="default"/>
      </w:rPr>
    </w:lvl>
  </w:abstractNum>
  <w:num w:numId="5">
    <w:abstractNumId w:val="4"/>
  </w:num>
  <w:num w:numId="1">
    <w:abstractNumId w:val="0"/>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283" w:hanging="361"/>
      <w:outlineLvl w:val="1"/>
    </w:pPr>
    <w:rPr>
      <w:rFonts w:ascii="Times New Roman" w:hAnsi="Times New Roman" w:eastAsia="Times New Roman" w:cs="Times New Roman"/>
      <w:b/>
      <w:bCs/>
      <w:sz w:val="24"/>
      <w:szCs w:val="24"/>
      <w:u w:val="single" w:color="000000"/>
    </w:rPr>
  </w:style>
  <w:style w:styleId="ListParagraph" w:type="paragraph">
    <w:name w:val="List Paragraph"/>
    <w:basedOn w:val="Normal"/>
    <w:uiPriority w:val="1"/>
    <w:qFormat/>
    <w:pPr>
      <w:ind w:left="1920" w:hanging="36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hyperlink" Target="http://www.housepricechat.co.uk/" TargetMode="External"/><Relationship Id="rId9" Type="http://schemas.openxmlformats.org/officeDocument/2006/relationships/hyperlink" Target="http://www.centreforsocialjustice.org.uk/page/content/pdf/pubgriff"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given by Stephen Nickell on 20 September 2005</dc:subject>
  <dc:title>Speech by Stephen Nickell at the British Academy Keynes Lecture</dc:title>
  <dcterms:created xsi:type="dcterms:W3CDTF">2020-06-02T18:12:38Z</dcterms:created>
  <dcterms:modified xsi:type="dcterms:W3CDTF">2020-06-02T18:12:38Z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2005-09-30T00:00:00Z</vt:filetime>
  </property>
  <property fmtid="{D5CDD505-2E9C-101B-9397-08002B2CF9AE}" pid="3" name="Creator">
    <vt:lpwstr>PScript5.dll Version 5.2</vt:lpwstr>
  </property>
  <property fmtid="{D5CDD505-2E9C-101B-9397-08002B2CF9AE}" pid="4" name="LastSaved">
    <vt:filetime>2020-06-02T00:00:00Z</vt:filetime>
  </property>
</Properties>
</file>