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Default Extension="png" ContentType="image/png"/>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pict>
          <v:group style="position:absolute;margin-left:50.52pt;margin-top:103.459999pt;width:488.4pt;height:1.45pt;mso-position-horizontal-relative:page;mso-position-vertical-relative:paragraph;z-index:-251658240;mso-wrap-distance-left:0;mso-wrap-distance-right:0" coordorigin="1010,2069" coordsize="9768,29">
            <v:line style="position:absolute" from="1010,2084" to="8229,2084" stroked="true" strokeweight="1.44pt" strokecolor="#000000">
              <v:stroke dashstyle="solid"/>
            </v:line>
            <v:rect style="position:absolute;left:8214;top:2069;width:29;height:29" filled="true" fillcolor="#000000" stroked="false">
              <v:fill type="solid"/>
            </v:rect>
            <v:line style="position:absolute" from="8244,2084" to="10778,2084" stroked="true" strokeweight="1.44pt" strokecolor="#000000">
              <v:stroke dashstyle="solid"/>
            </v:line>
            <w10:wrap type="topAndBottom"/>
          </v:group>
        </w:pict>
      </w: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rPr>
          <w:rFonts w:ascii="Times New Roman"/>
        </w:rPr>
      </w:pPr>
    </w:p>
    <w:p>
      <w:pPr>
        <w:spacing w:before="239"/>
        <w:ind w:left="232" w:right="0" w:firstLine="0"/>
        <w:jc w:val="left"/>
        <w:rPr>
          <w:b/>
          <w:sz w:val="32"/>
        </w:rPr>
      </w:pPr>
      <w:r>
        <w:rPr>
          <w:b/>
          <w:color w:val="6A709F"/>
          <w:sz w:val="32"/>
        </w:rPr>
        <w:t>Prospects for supply growth in Western Europe</w:t>
      </w:r>
    </w:p>
    <w:p>
      <w:pPr>
        <w:spacing w:before="281"/>
        <w:ind w:left="232" w:right="0" w:firstLine="0"/>
        <w:jc w:val="left"/>
        <w:rPr>
          <w:sz w:val="24"/>
        </w:rPr>
      </w:pPr>
      <w:r>
        <w:rPr>
          <w:sz w:val="24"/>
        </w:rPr>
        <w:t>Speech given by</w:t>
      </w:r>
    </w:p>
    <w:p>
      <w:pPr>
        <w:spacing w:before="137"/>
        <w:ind w:left="232" w:right="0" w:firstLine="0"/>
        <w:jc w:val="left"/>
        <w:rPr>
          <w:sz w:val="24"/>
        </w:rPr>
      </w:pPr>
      <w:r>
        <w:rPr>
          <w:sz w:val="24"/>
        </w:rPr>
        <w:t>Martin Weale, External Member of the Monetary Policy Committee</w:t>
      </w:r>
    </w:p>
    <w:p>
      <w:pPr>
        <w:pStyle w:val="BodyText"/>
        <w:rPr>
          <w:sz w:val="26"/>
        </w:rPr>
      </w:pPr>
    </w:p>
    <w:p>
      <w:pPr>
        <w:pStyle w:val="BodyText"/>
        <w:rPr>
          <w:sz w:val="22"/>
        </w:rPr>
      </w:pPr>
    </w:p>
    <w:p>
      <w:pPr>
        <w:spacing w:line="360" w:lineRule="auto" w:before="0"/>
        <w:ind w:left="232" w:right="6475" w:firstLine="0"/>
        <w:jc w:val="left"/>
        <w:rPr>
          <w:sz w:val="24"/>
        </w:rPr>
      </w:pPr>
      <w:r>
        <w:rPr>
          <w:sz w:val="24"/>
        </w:rPr>
        <w:t>Rijksuniversiteit Groningen, Netherlands Monday 12 October 2015</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28"/>
        </w:rPr>
      </w:pPr>
    </w:p>
    <w:p>
      <w:pPr>
        <w:pStyle w:val="BodyText"/>
        <w:spacing w:before="93"/>
        <w:ind w:left="232" w:right="1760"/>
      </w:pPr>
      <w:r>
        <w:rPr/>
        <w:t>I am grateful to Tom Key, Nicholas Fawcett and Abby Whiting for their assistance in preparing this text. I would also like to thank Marko Melolinna, Ben Nelson, Nyssa Roberts, Dan Wales and Sebastian Walsh for assistance and helpful discussions.</w:t>
      </w:r>
    </w:p>
    <w:p>
      <w:pPr>
        <w:spacing w:after="0"/>
        <w:sectPr>
          <w:footerReference w:type="default" r:id="rId5"/>
          <w:type w:val="continuous"/>
          <w:pgSz w:w="11910" w:h="16840"/>
          <w:pgMar w:footer="1338" w:top="1180" w:bottom="1520" w:left="900" w:right="0"/>
          <w:pgNumType w:start="1"/>
        </w:sectPr>
      </w:pPr>
    </w:p>
    <w:p>
      <w:pPr>
        <w:pStyle w:val="Heading1"/>
        <w:spacing w:before="79"/>
      </w:pPr>
      <w:r>
        <w:rPr>
          <w:color w:val="4F81BC"/>
        </w:rPr>
        <w:t>Introduction</w:t>
      </w:r>
    </w:p>
    <w:p>
      <w:pPr>
        <w:pStyle w:val="BodyText"/>
        <w:rPr>
          <w:b/>
          <w:sz w:val="22"/>
        </w:rPr>
      </w:pPr>
    </w:p>
    <w:p>
      <w:pPr>
        <w:pStyle w:val="BodyText"/>
        <w:spacing w:line="355" w:lineRule="auto" w:before="131"/>
        <w:ind w:left="232" w:right="1093"/>
      </w:pPr>
      <w:r>
        <w:rPr/>
        <w:t>Could I begin by thanking you for this kind invitation and by saying what a privilege it is to be here in Groningen to give this lecture. I would like to start with a reference to the golden years of the Dutch Republic, a period we look back on as the first example of economic dynamism, at least in Western Europe and which we know best of course from the wonderful pictures by artists such as Vermeer and de Hooch. Of course in Britain we also remember the greatest of your military heroes, Admiral de Ruyter!</w:t>
      </w:r>
    </w:p>
    <w:p>
      <w:pPr>
        <w:pStyle w:val="BodyText"/>
        <w:spacing w:before="8"/>
      </w:pPr>
    </w:p>
    <w:p>
      <w:pPr>
        <w:pStyle w:val="BodyText"/>
        <w:spacing w:line="355" w:lineRule="auto"/>
        <w:ind w:left="232" w:right="1093"/>
      </w:pPr>
      <w:r>
        <w:rPr/>
        <w:t>Data produced and collated by Angus Maddison’s colleagues at this University (Bolt and van Zanden, 2014) suggest that during the Golden Age living standards in Holland were more than twice those in England, but also that prosperity reached a peak in the Low Countries at this time. Measuring changes in living conditions over long periods is obviously very imprecise. But the data set suggests that the living standards of the early seventeenth century were not regained until the nineteenth century.</w:t>
      </w:r>
    </w:p>
    <w:p>
      <w:pPr>
        <w:pStyle w:val="BodyText"/>
        <w:spacing w:before="7"/>
      </w:pPr>
    </w:p>
    <w:p>
      <w:pPr>
        <w:pStyle w:val="BodyText"/>
        <w:spacing w:line="355" w:lineRule="auto" w:before="1"/>
        <w:ind w:left="232" w:right="1093"/>
      </w:pPr>
      <w:r>
        <w:rPr/>
        <w:t>Some have suggested that this spectre of stagnation has returned to haunt not just the Netherlands but also other advanced economies.</w:t>
      </w:r>
      <w:r>
        <w:rPr>
          <w:vertAlign w:val="superscript"/>
        </w:rPr>
        <w:t>1</w:t>
      </w:r>
      <w:r>
        <w:rPr>
          <w:vertAlign w:val="baseline"/>
        </w:rPr>
        <w:t> Is that justified? I would like to use this speech to explore this, looking at the potential for productivity and output growth in Western Europe.</w:t>
      </w:r>
    </w:p>
    <w:p>
      <w:pPr>
        <w:pStyle w:val="BodyText"/>
        <w:spacing w:before="8"/>
      </w:pPr>
    </w:p>
    <w:p>
      <w:pPr>
        <w:pStyle w:val="BodyText"/>
        <w:spacing w:line="355" w:lineRule="auto" w:before="1"/>
        <w:ind w:left="232" w:right="1185"/>
      </w:pPr>
      <w:r>
        <w:rPr/>
        <w:t>Europe, like other countries, was affected by the global financial crisis of 2007-09.  But while economies often experience business cycles and, less often, crises, in the end economic growth is largely constrained by supply conditions. Demand growth adjusts to these, even if in particularly severe downturns this may</w:t>
      </w:r>
      <w:r>
        <w:rPr>
          <w:spacing w:val="-40"/>
        </w:rPr>
        <w:t> </w:t>
      </w:r>
      <w:r>
        <w:rPr/>
        <w:t>take some time.  So, in </w:t>
      </w:r>
      <w:r>
        <w:rPr>
          <w:spacing w:val="3"/>
        </w:rPr>
        <w:t>my </w:t>
      </w:r>
      <w:r>
        <w:rPr/>
        <w:t>talk today, I would like to look beyond the immediate cyclical issues facing the Western European economies, and think instead about the underlying potential for productivity and output growth. I will focus on France, Germany, the Netherlands, the United Kingdom and, for reference purposes, the United States but also draw on the experience of other advanced countries where</w:t>
      </w:r>
      <w:r>
        <w:rPr>
          <w:spacing w:val="-7"/>
        </w:rPr>
        <w:t> </w:t>
      </w:r>
      <w:r>
        <w:rPr/>
        <w:t>helpful.</w:t>
      </w:r>
    </w:p>
    <w:p>
      <w:pPr>
        <w:pStyle w:val="BodyText"/>
        <w:spacing w:before="8"/>
      </w:pPr>
    </w:p>
    <w:p>
      <w:pPr>
        <w:pStyle w:val="BodyText"/>
        <w:spacing w:line="355" w:lineRule="auto"/>
        <w:ind w:left="232" w:right="1214"/>
        <w:jc w:val="both"/>
      </w:pPr>
      <w:r>
        <w:rPr/>
        <w:t>Viewed this way, the outlook for productivity growth therefore depends on its supply-side drivers, namely the contribution of capital, labour and a residual component called total factor productivity (TFP).</w:t>
      </w:r>
      <w:r>
        <w:rPr>
          <w:vertAlign w:val="superscript"/>
        </w:rPr>
        <w:t>2</w:t>
      </w:r>
      <w:r>
        <w:rPr>
          <w:vertAlign w:val="baseline"/>
        </w:rPr>
        <w:t> The three are inter-related, but it is useful to consider each separately, as I will do so below.</w:t>
      </w:r>
    </w:p>
    <w:p>
      <w:pPr>
        <w:pStyle w:val="BodyText"/>
        <w:spacing w:before="10"/>
      </w:pPr>
    </w:p>
    <w:p>
      <w:pPr>
        <w:pStyle w:val="BodyText"/>
        <w:spacing w:line="355" w:lineRule="auto"/>
        <w:ind w:left="232" w:right="1174"/>
      </w:pPr>
      <w:r>
        <w:rPr/>
        <w:t>Figure 1 sets the scene for France, Germany, the Netherlands, the UK and the US. I have split the contribution of capital into two components. The first shows capital deepening, or the extent to which there was an increase in the amount of capital services used per hour worked. The second shows how the</w:t>
      </w:r>
      <w:r>
        <w:rPr>
          <w:spacing w:val="-30"/>
        </w:rPr>
        <w:t> </w:t>
      </w:r>
      <w:r>
        <w:rPr/>
        <w:t>amount by which capital needed to grow </w:t>
      </w:r>
      <w:r>
        <w:rPr>
          <w:spacing w:val="2"/>
        </w:rPr>
        <w:t>in </w:t>
      </w:r>
      <w:r>
        <w:rPr/>
        <w:t>order to keep the total capital stock in line with a larger labour force. The prospects for growth in productivity are likely to depend on the outlook for both capital deepening and total factor productivity. I will discuss this in more detail in the next section; I will then consider developments in total factor productivity growth and its implications for labour productivity. Following this I will explore rates of return and the possible influence they may have on capital accumulation. This will provide a background from which to provide a view on the prospects for productivity growth. I will then comment briefly on</w:t>
      </w:r>
      <w:r>
        <w:rPr>
          <w:spacing w:val="-25"/>
        </w:rPr>
        <w:t> </w:t>
      </w:r>
      <w:r>
        <w:rPr/>
        <w:t>the</w:t>
      </w:r>
    </w:p>
    <w:p>
      <w:pPr>
        <w:pStyle w:val="BodyText"/>
        <w:spacing w:before="10"/>
        <w:rPr>
          <w:sz w:val="14"/>
        </w:rPr>
      </w:pPr>
      <w:r>
        <w:rPr/>
        <w:pict>
          <v:shape style="position:absolute;margin-left:56.639999pt;margin-top:10.773193pt;width:144.050pt;height:.1pt;mso-position-horizontal-relative:page;mso-position-vertical-relative:paragraph;z-index:-251657216;mso-wrap-distance-left:0;mso-wrap-distance-right:0" coordorigin="1133,215" coordsize="2881,0" path="m1133,215l4014,215e" filled="false" stroked="true" strokeweight=".47998pt" strokecolor="#000000">
            <v:path arrowok="t"/>
            <v:stroke dashstyle="solid"/>
            <w10:wrap type="topAndBottom"/>
          </v:shape>
        </w:pict>
      </w:r>
    </w:p>
    <w:p>
      <w:pPr>
        <w:spacing w:line="196" w:lineRule="exact" w:before="30"/>
        <w:ind w:left="232" w:right="0" w:firstLine="0"/>
        <w:jc w:val="left"/>
        <w:rPr>
          <w:sz w:val="16"/>
        </w:rPr>
      </w:pPr>
      <w:r>
        <w:rPr>
          <w:position w:val="8"/>
          <w:sz w:val="10"/>
        </w:rPr>
        <w:t>1 </w:t>
      </w:r>
      <w:r>
        <w:rPr>
          <w:sz w:val="16"/>
        </w:rPr>
        <w:t>See, for example, Summers (2015).</w:t>
      </w:r>
    </w:p>
    <w:p>
      <w:pPr>
        <w:spacing w:line="196" w:lineRule="exact" w:before="0"/>
        <w:ind w:left="232" w:right="0" w:firstLine="0"/>
        <w:jc w:val="left"/>
        <w:rPr>
          <w:sz w:val="16"/>
        </w:rPr>
      </w:pPr>
      <w:r>
        <w:rPr>
          <w:position w:val="8"/>
          <w:sz w:val="10"/>
        </w:rPr>
        <w:t>2 </w:t>
      </w:r>
      <w:r>
        <w:rPr>
          <w:sz w:val="16"/>
        </w:rPr>
        <w:t>This framework for looking at potential supply is due to Solow (1957).</w:t>
      </w:r>
    </w:p>
    <w:p>
      <w:pPr>
        <w:spacing w:after="0" w:line="196" w:lineRule="exact"/>
        <w:jc w:val="left"/>
        <w:rPr>
          <w:sz w:val="16"/>
        </w:rPr>
        <w:sectPr>
          <w:footerReference w:type="default" r:id="rId7"/>
          <w:pgSz w:w="11910" w:h="16840"/>
          <w:pgMar w:footer="1338" w:header="0" w:top="1520" w:bottom="1520" w:left="900" w:right="0"/>
          <w:pgNumType w:start="2"/>
        </w:sectPr>
      </w:pPr>
    </w:p>
    <w:p>
      <w:pPr>
        <w:pStyle w:val="BodyText"/>
        <w:spacing w:line="352" w:lineRule="auto" w:before="129"/>
        <w:ind w:left="232" w:right="1093"/>
      </w:pPr>
      <w:r>
        <w:rPr/>
        <w:t>demographic headwinds affecting the advanced economies and the prospects for offsetting them, before coming to my conclusions as to the prospects for a return to the sort of growth pattern we saw before 2008.</w:t>
      </w:r>
    </w:p>
    <w:p>
      <w:pPr>
        <w:pStyle w:val="BodyText"/>
        <w:spacing w:before="11"/>
      </w:pPr>
    </w:p>
    <w:p>
      <w:pPr>
        <w:pStyle w:val="Heading1"/>
      </w:pPr>
      <w:r>
        <w:rPr>
          <w:color w:val="4F81BC"/>
        </w:rPr>
        <w:t>Figure 1: GDP growth and its components</w:t>
      </w:r>
    </w:p>
    <w:p>
      <w:pPr>
        <w:pStyle w:val="BodyText"/>
        <w:spacing w:before="11"/>
        <w:rPr>
          <w:b/>
          <w:sz w:val="12"/>
        </w:rPr>
      </w:pPr>
    </w:p>
    <w:p>
      <w:pPr>
        <w:spacing w:before="95"/>
        <w:ind w:left="417" w:right="0" w:firstLine="0"/>
        <w:jc w:val="left"/>
        <w:rPr>
          <w:sz w:val="16"/>
        </w:rPr>
      </w:pPr>
      <w:r>
        <w:rPr/>
        <w:pict>
          <v:group style="position:absolute;margin-left:74.760002pt;margin-top:9.473928pt;width:439.2pt;height:269.3pt;mso-position-horizontal-relative:page;mso-position-vertical-relative:paragraph;z-index:251665408" coordorigin="1495,189" coordsize="8784,5386">
            <v:line style="position:absolute" from="1543,4409" to="10272,4409" stroked="true" strokeweight=".72pt" strokecolor="#858585">
              <v:stroke dashstyle="solid"/>
            </v:line>
            <v:shape style="position:absolute;left:1543;top:2001;width:8729;height:1805" coordorigin="1543,2001" coordsize="8729,1805" path="m9545,3806l10272,3806m1543,3806l9254,3806m9545,3204l10272,3204m7800,3204l9254,3204m1543,3204l7507,3204m7450,2001l7858,2001m5705,2001l7159,2001m4656,2001l5412,2001m3958,2001l4366,2001m2213,2001l3667,2001m1543,2001l1920,2001e" filled="false" stroked="true" strokeweight=".72pt" strokecolor="#858585">
              <v:path arrowok="t"/>
              <v:stroke dashstyle="solid"/>
            </v:shape>
            <v:shape style="position:absolute;left:1920;top:2219;width:992;height:384" coordorigin="1920,2220" coordsize="992,384" path="m2213,2220l1920,2220,1920,2604,2213,2604,2213,2220m2561,2251l2270,2251,2270,2604,2561,2604,2561,2251m2911,2357l2618,2357,2618,2604,2911,2604,2911,2357e" filled="true" fillcolor="#c0504d" stroked="false">
              <v:path arrowok="t"/>
              <v:fill type="solid"/>
            </v:shape>
            <v:shape style="position:absolute;left:1920;top:2169;width:641;height:483" coordorigin="1920,2169" coordsize="641,483" path="m2213,2169l1920,2169,1920,2220,2213,2220,2213,2169m2561,2604l2270,2604,2270,2652,2561,2652,2561,2604e" filled="true" fillcolor="#9bba58" stroked="false">
              <v:path arrowok="t"/>
              <v:fill type="solid"/>
            </v:shape>
            <v:line style="position:absolute" from="2618,2352" to="2911,2352" stroked="true" strokeweight=".48pt" strokecolor="#9bba58">
              <v:stroke dashstyle="solid"/>
            </v:line>
            <v:shape style="position:absolute;left:1920;top:1687;width:992;height:1308" coordorigin="1920,1687" coordsize="992,1308" path="m2213,1687l1920,1687,1920,2169,2213,2169,2213,1687m2561,2652l2270,2652,2270,2995,2561,2995,2561,2652m2911,2126l2618,2126,2618,2347,2911,2347,2911,2126e" filled="true" fillcolor="#8063a1" stroked="false">
              <v:path arrowok="t"/>
              <v:fill type="solid"/>
            </v:shape>
            <v:shape style="position:absolute;left:3667;top:2272;width:641;height:332" coordorigin="3667,2273" coordsize="641,332" path="m3958,2273l3667,2273,3667,2604,3958,2604,3958,2273m4308,2455l4015,2455,4015,2604,4308,2604,4308,2455e" filled="true" fillcolor="#c0504d" stroked="false">
              <v:path arrowok="t"/>
              <v:fill type="solid"/>
            </v:shape>
            <v:rect style="position:absolute;left:4365;top:2534;width:291;height:70" filled="true" fillcolor="#c0504d" stroked="false">
              <v:fill type="solid"/>
            </v:rect>
            <v:shape style="position:absolute;left:3667;top:2431;width:989;height:192" coordorigin="3667,2431" coordsize="989,192" path="m3958,2604l3667,2604,3667,2623,3958,2623,3958,2604m4308,2431l4015,2431,4015,2455,4308,2455,4308,2431m4656,2481l4366,2481,4366,2534,4656,2534,4656,2481e" filled="true" fillcolor="#9bba58" stroked="false">
              <v:path arrowok="t"/>
              <v:fill type="solid"/>
            </v:shape>
            <v:shape style="position:absolute;left:3667;top:1687;width:989;height:1136" coordorigin="3667,1687" coordsize="989,1136" path="m3958,1687l3667,1687,3667,2273,3958,2273,3958,1687m4308,2604l4015,2604,4015,2822,4308,2822,4308,2604m4656,1941l4366,1941,4366,2481,4656,2481,4656,1941e" filled="true" fillcolor="#8063a1" stroked="false">
              <v:path arrowok="t"/>
              <v:fill type="solid"/>
            </v:shape>
            <v:shape style="position:absolute;left:5412;top:2210;width:992;height:394" coordorigin="5412,2210" coordsize="992,394" path="m5705,2210l5412,2210,5412,2604,5705,2604,5705,2210m6053,2225l5762,2225,5762,2604,6053,2604,6053,2225m6403,2321l6110,2321,6110,2604,6403,2604,6403,2321e" filled="true" fillcolor="#c0504d" stroked="false">
              <v:path arrowok="t"/>
              <v:fill type="solid"/>
            </v:shape>
            <v:shape style="position:absolute;left:5412;top:2128;width:992;height:543" coordorigin="5412,2129" coordsize="992,543" path="m5705,2129l5412,2129,5412,2210,5705,2210,5705,2129m6053,2604l5762,2604,5762,2630,6053,2630,6053,2604m6403,2604l6110,2604,6110,2671,6403,2671,6403,2604e" filled="true" fillcolor="#9bba58" stroked="false">
              <v:path arrowok="t"/>
              <v:fill type="solid"/>
            </v:shape>
            <v:shape style="position:absolute;left:5412;top:1691;width:992;height:1239" coordorigin="5412,1692" coordsize="992,1239" path="m5705,1692l5412,1692,5412,2129,5705,2129,5705,1692m6053,2630l5762,2630,5762,2930,6053,2930,6053,2630m6403,2671l6110,2671,6110,2930,6403,2930,6403,2671e" filled="true" fillcolor="#8063a1" stroked="false">
              <v:path arrowok="t"/>
              <v:fill type="solid"/>
            </v:shape>
            <v:shape style="position:absolute;left:1543;top:1399;width:7361;height:2" coordorigin="1543,1399" coordsize="7361,0" path="m7450,1399l8904,1399m1543,1399l7159,1399e" filled="false" stroked="true" strokeweight=".72pt" strokecolor="#858585">
              <v:path arrowok="t"/>
              <v:stroke dashstyle="solid"/>
            </v:shape>
            <v:shape style="position:absolute;left:7159;top:2210;width:641;height:394" coordorigin="7159,2210" coordsize="641,394" path="m7450,2311l7159,2311,7159,2604,7450,2604,7450,2311m7800,2210l7507,2210,7507,2604,7800,2604,7800,2210e" filled="true" fillcolor="#c0504d" stroked="false">
              <v:path arrowok="t"/>
              <v:fill type="solid"/>
            </v:shape>
            <v:rect style="position:absolute;left:7857;top:2493;width:291;height:111" filled="true" fillcolor="#c0504d" stroked="false">
              <v:fill type="solid"/>
            </v:rect>
            <v:shape style="position:absolute;left:7159;top:2231;width:641;height:466" coordorigin="7159,2232" coordsize="641,466" path="m7450,2232l7159,2232,7159,2311,7450,2311,7450,2232m7800,2604l7507,2604,7507,2697,7800,2697,7800,2604e" filled="true" fillcolor="#9bba58" stroked="false">
              <v:path arrowok="t"/>
              <v:fill type="solid"/>
            </v:shape>
            <v:rect style="position:absolute;left:7857;top:2301;width:291;height:192" filled="true" fillcolor="#9bba58" stroked="false">
              <v:fill type="solid"/>
            </v:rect>
            <v:shape style="position:absolute;left:7159;top:1216;width:641;height:2043" coordorigin="7159,1217" coordsize="641,2043" path="m7450,1217l7159,1217,7159,2232,7450,2232,7450,1217m7800,2697l7507,2697,7507,3259,7800,3259,7800,2697e" filled="true" fillcolor="#8063a1" stroked="false">
              <v:path arrowok="t"/>
              <v:fill type="solid"/>
            </v:shape>
            <v:shape style="position:absolute;left:9196;top:2001;width:406;height:2" coordorigin="9197,2001" coordsize="406,0" path="m9545,2001l9602,2001m9197,2001l9254,2001e" filled="false" stroked="true" strokeweight=".72pt" strokecolor="#858585">
              <v:path arrowok="t"/>
              <v:stroke dashstyle="solid"/>
            </v:shape>
            <v:shape style="position:absolute;left:8904;top:1953;width:641;height:651" coordorigin="8904,1953" coordsize="641,651" path="m9197,2114l8904,2114,8904,2604,9197,2604,9197,2114m9545,1953l9254,1953,9254,2604,9545,2604,9545,1953e" filled="true" fillcolor="#c0504d" stroked="false">
              <v:path arrowok="t"/>
              <v:fill type="solid"/>
            </v:shape>
            <v:rect style="position:absolute;left:9602;top:2565;width:293;height:39" filled="true" fillcolor="#c0504d" stroked="false">
              <v:fill type="solid"/>
            </v:rect>
            <v:line style="position:absolute" from="8148,2001" to="8904,2001" stroked="true" strokeweight=".72pt" strokecolor="#858585">
              <v:stroke dashstyle="solid"/>
            </v:line>
            <v:rect style="position:absolute;left:8904;top:2066;width:293;height:48" filled="true" fillcolor="#9bba58" stroked="false">
              <v:fill type="solid"/>
            </v:rect>
            <v:shape style="position:absolute;left:9254;top:2291;width:641;height:634" coordorigin="9254,2292" coordsize="641,634" path="m9545,2604l9254,2604,9254,2925,9545,2925,9545,2604m9895,2292l9602,2292,9602,2565,9895,2565,9895,2292e" filled="true" fillcolor="#9bba58" stroked="false">
              <v:path arrowok="t"/>
              <v:fill type="solid"/>
            </v:shape>
            <v:rect style="position:absolute;left:7857;top:2603;width:291;height:159" filled="true" fillcolor="#8063a1" stroked="false">
              <v:fill type="solid"/>
            </v:rect>
            <v:line style="position:absolute" from="9197,1399" to="9254,1399" stroked="true" strokeweight=".72pt" strokecolor="#858585">
              <v:stroke dashstyle="solid"/>
            </v:line>
            <v:rect style="position:absolute;left:8904;top:1310;width:293;height:756" filled="true" fillcolor="#8063a1" stroked="false">
              <v:fill type="solid"/>
            </v:rect>
            <v:line style="position:absolute" from="9545,1399" to="9602,1399" stroked="true" strokeweight=".72pt" strokecolor="#858585">
              <v:stroke dashstyle="solid"/>
            </v:line>
            <v:shape style="position:absolute;left:9254;top:1331;width:641;height:960" coordorigin="9254,1332" coordsize="641,960" path="m9545,1332l9254,1332,9254,1953,9545,1953,9545,1332m9895,2112l9602,2112,9602,2292,9895,2292,9895,2112e" filled="true" fillcolor="#8063a1" stroked="false">
              <v:path arrowok="t"/>
              <v:fill type="solid"/>
            </v:shape>
            <v:shape style="position:absolute;left:1920;top:1497;width:641;height:1656" coordorigin="1920,1497" coordsize="641,1656" path="m2213,1497l1920,1497,1920,1687,2213,1687,2213,1497m2561,2995l2270,2995,2270,3153,2561,3153,2561,2995e" filled="true" fillcolor="#4f81bc" stroked="false">
              <v:path arrowok="t"/>
              <v:fill type="solid"/>
            </v:shape>
            <v:shape style="position:absolute;left:2618;top:2087;width:1690;height:836" coordorigin="2618,2088" coordsize="1690,836" path="m2911,2088l2618,2088,2618,2126,2911,2126,2911,2088m3958,2623l3667,2623,3667,2676,3958,2676,3958,2623m4308,2822l4015,2822,4015,2923,4308,2923,4308,2822e" filled="true" fillcolor="#4f81bc" stroked="false">
              <v:path arrowok="t"/>
              <v:fill type="solid"/>
            </v:shape>
            <v:shape style="position:absolute;left:4365;top:1408;width:1340;height:533" coordorigin="4366,1409" coordsize="1340,533" path="m4656,1800l4366,1800,4366,1941,4656,1941,4656,1800m5705,1409l5412,1409,5412,1692,5705,1692,5705,1409e" filled="true" fillcolor="#4f81bc" stroked="false">
              <v:path arrowok="t"/>
              <v:fill type="solid"/>
            </v:shape>
            <v:shape style="position:absolute;left:5762;top:2930;width:641;height:120" coordorigin="5762,2930" coordsize="641,120" path="m6053,2930l5762,2930,5762,2990,6053,2990,6053,2930m6403,2930l6110,2930,6110,3050,6403,3050,6403,2930e" filled="true" fillcolor="#4f81bc" stroked="false">
              <v:path arrowok="t"/>
              <v:fill type="solid"/>
            </v:shape>
            <v:shape style="position:absolute;left:7159;top:890;width:2386;height:3080" coordorigin="7159,890" coordsize="2386,3080" path="m7450,890l7159,890,7159,1217,7450,1217,7450,890m7800,3259l7507,3259,7507,3581,7800,3581,7800,3259m8148,1639l7858,1639,7858,2301,8148,2301,8148,1639m9197,1128l8904,1128,8904,1310,9197,1310,9197,1128m9545,2925l9254,2925,9254,3969,9545,3969,9545,2925e" filled="true" fillcolor="#4f81bc" stroked="false">
              <v:path arrowok="t"/>
              <v:fill type="solid"/>
            </v:shape>
            <v:shape style="position:absolute;left:9895;top:1399;width:377;height:603" coordorigin="9895,1399" coordsize="377,603" path="m9895,2001l10272,2001m9895,1399l10272,1399e" filled="false" stroked="true" strokeweight=".72pt" strokecolor="#858585">
              <v:path arrowok="t"/>
              <v:stroke dashstyle="solid"/>
            </v:shape>
            <v:rect style="position:absolute;left:9602;top:1389;width:293;height:723" filled="true" fillcolor="#4f81bc" stroked="false">
              <v:fill type="solid"/>
            </v:rect>
            <v:shape style="position:absolute;left:1495;top:196;width:8777;height:5379" coordorigin="1495,197" coordsize="8777,5379" path="m1543,797l10272,797m1543,197l10272,197m1543,4409l1543,197m1495,4409l1543,4409m1495,3806l1543,3806m1495,3204l1543,3204m1495,2604l1543,2604m1495,2001l1543,2001m1495,1399l1543,1399m1495,797l1543,797m1495,197l1543,197m1543,2604l10272,2604m1543,4409l1543,5285m3288,4409l3288,5285m5035,4409l5035,5285m6780,4409l6780,5285m8527,4409l8527,5285m10272,4409l10272,5285m1543,5285l1543,5575m3288,5285l3288,5575m5035,5285l5035,5575m6780,5285l6780,5575m8527,5285l8527,5575m10272,5285l10272,5575e" filled="false" stroked="true" strokeweight=".72pt" strokecolor="#858585">
              <v:path arrowok="t"/>
              <v:stroke dashstyle="solid"/>
            </v:shape>
            <v:shape style="position:absolute;left:2168;top:5380;width:518;height:180" type="#_x0000_t202" filled="false" stroked="false">
              <v:textbox inset="0,0,0,0">
                <w:txbxContent>
                  <w:p>
                    <w:pPr>
                      <w:spacing w:line="179" w:lineRule="exact" w:before="0"/>
                      <w:ind w:left="0" w:right="0" w:firstLine="0"/>
                      <w:jc w:val="left"/>
                      <w:rPr>
                        <w:sz w:val="16"/>
                      </w:rPr>
                    </w:pPr>
                    <w:r>
                      <w:rPr>
                        <w:sz w:val="16"/>
                      </w:rPr>
                      <w:t>France</w:t>
                    </w:r>
                  </w:p>
                </w:txbxContent>
              </v:textbox>
              <w10:wrap type="none"/>
            </v:shape>
            <v:shape style="position:absolute;left:3834;top:5380;width:679;height:180" type="#_x0000_t202" filled="false" stroked="false">
              <v:textbox inset="0,0,0,0">
                <w:txbxContent>
                  <w:p>
                    <w:pPr>
                      <w:spacing w:line="179" w:lineRule="exact" w:before="0"/>
                      <w:ind w:left="0" w:right="0" w:firstLine="0"/>
                      <w:jc w:val="left"/>
                      <w:rPr>
                        <w:sz w:val="16"/>
                      </w:rPr>
                    </w:pPr>
                    <w:r>
                      <w:rPr>
                        <w:sz w:val="16"/>
                      </w:rPr>
                      <w:t>Germany</w:t>
                    </w:r>
                  </w:p>
                </w:txbxContent>
              </v:textbox>
              <w10:wrap type="none"/>
            </v:shape>
            <v:shape style="position:absolute;left:5478;top:5380;width:883;height:180" type="#_x0000_t202" filled="false" stroked="false">
              <v:textbox inset="0,0,0,0">
                <w:txbxContent>
                  <w:p>
                    <w:pPr>
                      <w:spacing w:line="179" w:lineRule="exact" w:before="0"/>
                      <w:ind w:left="0" w:right="0" w:firstLine="0"/>
                      <w:jc w:val="left"/>
                      <w:rPr>
                        <w:sz w:val="16"/>
                      </w:rPr>
                    </w:pPr>
                    <w:r>
                      <w:rPr>
                        <w:sz w:val="16"/>
                      </w:rPr>
                      <w:t>Netherlands</w:t>
                    </w:r>
                  </w:p>
                </w:txbxContent>
              </v:textbox>
              <w10:wrap type="none"/>
            </v:shape>
            <v:shape style="position:absolute;left:7087;top:5380;width:1159;height:180" type="#_x0000_t202" filled="false" stroked="false">
              <v:textbox inset="0,0,0,0">
                <w:txbxContent>
                  <w:p>
                    <w:pPr>
                      <w:spacing w:line="179" w:lineRule="exact" w:before="0"/>
                      <w:ind w:left="0" w:right="0" w:firstLine="0"/>
                      <w:jc w:val="left"/>
                      <w:rPr>
                        <w:sz w:val="16"/>
                      </w:rPr>
                    </w:pPr>
                    <w:r>
                      <w:rPr>
                        <w:sz w:val="16"/>
                      </w:rPr>
                      <w:t>United Kingdom</w:t>
                    </w:r>
                  </w:p>
                </w:txbxContent>
              </v:textbox>
              <w10:wrap type="none"/>
            </v:shape>
            <v:shape style="position:absolute;left:8922;top:5380;width:981;height:180" type="#_x0000_t202" filled="false" stroked="false">
              <v:textbox inset="0,0,0,0">
                <w:txbxContent>
                  <w:p>
                    <w:pPr>
                      <w:spacing w:line="179" w:lineRule="exact" w:before="0"/>
                      <w:ind w:left="0" w:right="0" w:firstLine="0"/>
                      <w:jc w:val="left"/>
                      <w:rPr>
                        <w:sz w:val="16"/>
                      </w:rPr>
                    </w:pPr>
                    <w:r>
                      <w:rPr>
                        <w:sz w:val="16"/>
                      </w:rPr>
                      <w:t>United States</w:t>
                    </w:r>
                  </w:p>
                </w:txbxContent>
              </v:textbox>
              <w10:wrap type="none"/>
            </v:shape>
            <w10:wrap type="none"/>
          </v:group>
        </w:pict>
      </w:r>
      <w:r>
        <w:rPr>
          <w:w w:val="100"/>
          <w:sz w:val="16"/>
        </w:rPr>
        <w:t>4</w:t>
      </w:r>
    </w:p>
    <w:p>
      <w:pPr>
        <w:pStyle w:val="BodyText"/>
        <w:spacing w:before="1"/>
        <w:rPr>
          <w:sz w:val="28"/>
        </w:rPr>
      </w:pPr>
    </w:p>
    <w:p>
      <w:pPr>
        <w:spacing w:before="95"/>
        <w:ind w:left="417" w:right="0" w:firstLine="0"/>
        <w:jc w:val="left"/>
        <w:rPr>
          <w:sz w:val="16"/>
        </w:rPr>
      </w:pPr>
      <w:r>
        <w:rPr>
          <w:w w:val="100"/>
          <w:sz w:val="16"/>
        </w:rPr>
        <w:t>3</w:t>
      </w:r>
    </w:p>
    <w:p>
      <w:pPr>
        <w:pStyle w:val="BodyText"/>
        <w:spacing w:before="1"/>
        <w:rPr>
          <w:sz w:val="28"/>
        </w:rPr>
      </w:pPr>
    </w:p>
    <w:p>
      <w:pPr>
        <w:spacing w:before="95"/>
        <w:ind w:left="417" w:right="0" w:firstLine="0"/>
        <w:jc w:val="left"/>
        <w:rPr>
          <w:sz w:val="16"/>
        </w:rPr>
      </w:pPr>
      <w:r>
        <w:rPr>
          <w:w w:val="100"/>
          <w:sz w:val="16"/>
        </w:rPr>
        <w:t>2</w:t>
      </w:r>
    </w:p>
    <w:p>
      <w:pPr>
        <w:pStyle w:val="BodyText"/>
        <w:spacing w:before="1"/>
        <w:rPr>
          <w:sz w:val="28"/>
        </w:rPr>
      </w:pPr>
    </w:p>
    <w:p>
      <w:pPr>
        <w:spacing w:before="95"/>
        <w:ind w:left="417" w:right="0" w:firstLine="0"/>
        <w:jc w:val="left"/>
        <w:rPr>
          <w:sz w:val="16"/>
        </w:rPr>
      </w:pPr>
      <w:r>
        <w:rPr>
          <w:w w:val="100"/>
          <w:sz w:val="16"/>
        </w:rPr>
        <w:t>1</w:t>
      </w:r>
    </w:p>
    <w:p>
      <w:pPr>
        <w:pStyle w:val="BodyText"/>
        <w:rPr>
          <w:sz w:val="28"/>
        </w:rPr>
      </w:pPr>
    </w:p>
    <w:p>
      <w:pPr>
        <w:spacing w:before="96"/>
        <w:ind w:left="417" w:right="0" w:firstLine="0"/>
        <w:jc w:val="left"/>
        <w:rPr>
          <w:sz w:val="16"/>
        </w:rPr>
      </w:pPr>
      <w:r>
        <w:rPr>
          <w:w w:val="100"/>
          <w:sz w:val="16"/>
        </w:rPr>
        <w:t>0</w:t>
      </w:r>
    </w:p>
    <w:p>
      <w:pPr>
        <w:pStyle w:val="BodyText"/>
        <w:rPr>
          <w:sz w:val="28"/>
        </w:rPr>
      </w:pPr>
    </w:p>
    <w:p>
      <w:pPr>
        <w:spacing w:before="96"/>
        <w:ind w:left="364" w:right="0" w:firstLine="0"/>
        <w:jc w:val="left"/>
        <w:rPr>
          <w:sz w:val="16"/>
        </w:rPr>
      </w:pPr>
      <w:r>
        <w:rPr>
          <w:sz w:val="16"/>
        </w:rPr>
        <w:t>-1</w:t>
      </w:r>
    </w:p>
    <w:p>
      <w:pPr>
        <w:pStyle w:val="BodyText"/>
        <w:rPr>
          <w:sz w:val="28"/>
        </w:rPr>
      </w:pPr>
    </w:p>
    <w:p>
      <w:pPr>
        <w:spacing w:before="96"/>
        <w:ind w:left="364" w:right="0" w:firstLine="0"/>
        <w:jc w:val="left"/>
        <w:rPr>
          <w:sz w:val="16"/>
        </w:rPr>
      </w:pPr>
      <w:r>
        <w:rPr>
          <w:sz w:val="16"/>
        </w:rPr>
        <w:t>-2</w:t>
      </w:r>
    </w:p>
    <w:p>
      <w:pPr>
        <w:pStyle w:val="BodyText"/>
        <w:rPr>
          <w:sz w:val="28"/>
        </w:rPr>
      </w:pPr>
    </w:p>
    <w:p>
      <w:pPr>
        <w:spacing w:before="96"/>
        <w:ind w:left="364" w:right="0" w:firstLine="0"/>
        <w:jc w:val="left"/>
        <w:rPr>
          <w:sz w:val="16"/>
        </w:rPr>
      </w:pPr>
      <w:r>
        <w:rPr/>
        <w:pict>
          <v:shape style="position:absolute;margin-left:97.849876pt;margin-top:13.557646pt;width:11.05pt;height:40.35pt;mso-position-horizontal-relative:page;mso-position-vertical-relative:paragraph;z-index:251670528" type="#_x0000_t202" filled="false" stroked="false">
            <v:textbox inset="0,0,0,0" style="layout-flow:vertical;mso-layout-flow-alt:bottom-to-top">
              <w:txbxContent>
                <w:p>
                  <w:pPr>
                    <w:spacing w:before="16"/>
                    <w:ind w:left="20" w:right="0" w:firstLine="0"/>
                    <w:jc w:val="left"/>
                    <w:rPr>
                      <w:sz w:val="16"/>
                    </w:rPr>
                  </w:pPr>
                  <w:r>
                    <w:rPr>
                      <w:sz w:val="16"/>
                    </w:rPr>
                    <w:t>2001-2007</w:t>
                  </w:r>
                </w:p>
              </w:txbxContent>
            </v:textbox>
            <w10:wrap type="none"/>
          </v:shape>
        </w:pict>
      </w:r>
      <w:r>
        <w:rPr/>
        <w:pict>
          <v:shape style="position:absolute;margin-left:115.321602pt;margin-top:13.607422pt;width:11pt;height:40.3pt;mso-position-horizontal-relative:page;mso-position-vertical-relative:paragraph;z-index:251671552" type="#_x0000_t202" filled="false" stroked="false">
            <v:textbox inset="0,0,0,0" style="layout-flow:vertical;mso-layout-flow-alt:bottom-to-top">
              <w:txbxContent>
                <w:p>
                  <w:pPr>
                    <w:spacing w:before="15"/>
                    <w:ind w:left="20" w:right="0" w:firstLine="0"/>
                    <w:jc w:val="left"/>
                    <w:rPr>
                      <w:sz w:val="16"/>
                    </w:rPr>
                  </w:pPr>
                  <w:r>
                    <w:rPr>
                      <w:sz w:val="16"/>
                    </w:rPr>
                    <w:t>2008-2010</w:t>
                  </w:r>
                </w:p>
              </w:txbxContent>
            </v:textbox>
            <w10:wrap type="none"/>
          </v:shape>
        </w:pict>
      </w:r>
      <w:r>
        <w:rPr/>
        <w:pict>
          <v:shape style="position:absolute;margin-left:132.791595pt;margin-top:13.607422pt;width:11pt;height:40.3pt;mso-position-horizontal-relative:page;mso-position-vertical-relative:paragraph;z-index:251672576" type="#_x0000_t202" filled="false" stroked="false">
            <v:textbox inset="0,0,0,0" style="layout-flow:vertical;mso-layout-flow-alt:bottom-to-top">
              <w:txbxContent>
                <w:p>
                  <w:pPr>
                    <w:spacing w:before="15"/>
                    <w:ind w:left="20" w:right="0" w:firstLine="0"/>
                    <w:jc w:val="left"/>
                    <w:rPr>
                      <w:sz w:val="16"/>
                    </w:rPr>
                  </w:pPr>
                  <w:r>
                    <w:rPr>
                      <w:sz w:val="16"/>
                    </w:rPr>
                    <w:t>2011-2013</w:t>
                  </w:r>
                </w:p>
              </w:txbxContent>
            </v:textbox>
            <w10:wrap type="none"/>
          </v:shape>
        </w:pict>
      </w:r>
      <w:r>
        <w:rPr/>
        <w:pict>
          <v:shape style="position:absolute;margin-left:185.181595pt;margin-top:13.607422pt;width:11pt;height:40.3pt;mso-position-horizontal-relative:page;mso-position-vertical-relative:paragraph;z-index:251673600" type="#_x0000_t202" filled="false" stroked="false">
            <v:textbox inset="0,0,0,0" style="layout-flow:vertical;mso-layout-flow-alt:bottom-to-top">
              <w:txbxContent>
                <w:p>
                  <w:pPr>
                    <w:spacing w:before="15"/>
                    <w:ind w:left="20" w:right="0" w:firstLine="0"/>
                    <w:jc w:val="left"/>
                    <w:rPr>
                      <w:sz w:val="16"/>
                    </w:rPr>
                  </w:pPr>
                  <w:r>
                    <w:rPr>
                      <w:sz w:val="16"/>
                    </w:rPr>
                    <w:t>2001-2007</w:t>
                  </w:r>
                </w:p>
              </w:txbxContent>
            </v:textbox>
            <w10:wrap type="none"/>
          </v:shape>
        </w:pict>
      </w:r>
      <w:r>
        <w:rPr/>
        <w:pict>
          <v:shape style="position:absolute;margin-left:202.639877pt;margin-top:13.557646pt;width:11.05pt;height:40.35pt;mso-position-horizontal-relative:page;mso-position-vertical-relative:paragraph;z-index:251674624" type="#_x0000_t202" filled="false" stroked="false">
            <v:textbox inset="0,0,0,0" style="layout-flow:vertical;mso-layout-flow-alt:bottom-to-top">
              <w:txbxContent>
                <w:p>
                  <w:pPr>
                    <w:spacing w:before="16"/>
                    <w:ind w:left="20" w:right="0" w:firstLine="0"/>
                    <w:jc w:val="left"/>
                    <w:rPr>
                      <w:sz w:val="16"/>
                    </w:rPr>
                  </w:pPr>
                  <w:r>
                    <w:rPr>
                      <w:sz w:val="16"/>
                    </w:rPr>
                    <w:t>2008-2010</w:t>
                  </w:r>
                </w:p>
              </w:txbxContent>
            </v:textbox>
            <w10:wrap type="none"/>
          </v:shape>
        </w:pict>
      </w:r>
      <w:r>
        <w:rPr/>
        <w:pict>
          <v:shape style="position:absolute;margin-left:220.101608pt;margin-top:13.607422pt;width:11pt;height:40.3pt;mso-position-horizontal-relative:page;mso-position-vertical-relative:paragraph;z-index:251675648" type="#_x0000_t202" filled="false" stroked="false">
            <v:textbox inset="0,0,0,0" style="layout-flow:vertical;mso-layout-flow-alt:bottom-to-top">
              <w:txbxContent>
                <w:p>
                  <w:pPr>
                    <w:spacing w:before="15"/>
                    <w:ind w:left="20" w:right="0" w:firstLine="0"/>
                    <w:jc w:val="left"/>
                    <w:rPr>
                      <w:sz w:val="16"/>
                    </w:rPr>
                  </w:pPr>
                  <w:r>
                    <w:rPr>
                      <w:sz w:val="16"/>
                    </w:rPr>
                    <w:t>2011-2013</w:t>
                  </w:r>
                </w:p>
              </w:txbxContent>
            </v:textbox>
            <w10:wrap type="none"/>
          </v:shape>
        </w:pict>
      </w:r>
      <w:r>
        <w:rPr/>
        <w:pict>
          <v:shape style="position:absolute;margin-left:272.501587pt;margin-top:13.607422pt;width:11pt;height:40.3pt;mso-position-horizontal-relative:page;mso-position-vertical-relative:paragraph;z-index:251676672" type="#_x0000_t202" filled="false" stroked="false">
            <v:textbox inset="0,0,0,0" style="layout-flow:vertical;mso-layout-flow-alt:bottom-to-top">
              <w:txbxContent>
                <w:p>
                  <w:pPr>
                    <w:spacing w:before="15"/>
                    <w:ind w:left="20" w:right="0" w:firstLine="0"/>
                    <w:jc w:val="left"/>
                    <w:rPr>
                      <w:sz w:val="16"/>
                    </w:rPr>
                  </w:pPr>
                  <w:r>
                    <w:rPr>
                      <w:sz w:val="16"/>
                    </w:rPr>
                    <w:t>2001-2007</w:t>
                  </w:r>
                </w:p>
              </w:txbxContent>
            </v:textbox>
            <w10:wrap type="none"/>
          </v:shape>
        </w:pict>
      </w:r>
      <w:r>
        <w:rPr/>
        <w:pict>
          <v:shape style="position:absolute;margin-left:289.971588pt;margin-top:13.607422pt;width:11pt;height:40.3pt;mso-position-horizontal-relative:page;mso-position-vertical-relative:paragraph;z-index:251677696" type="#_x0000_t202" filled="false" stroked="false">
            <v:textbox inset="0,0,0,0" style="layout-flow:vertical;mso-layout-flow-alt:bottom-to-top">
              <w:txbxContent>
                <w:p>
                  <w:pPr>
                    <w:spacing w:before="15"/>
                    <w:ind w:left="20" w:right="0" w:firstLine="0"/>
                    <w:jc w:val="left"/>
                    <w:rPr>
                      <w:sz w:val="16"/>
                    </w:rPr>
                  </w:pPr>
                  <w:r>
                    <w:rPr>
                      <w:sz w:val="16"/>
                    </w:rPr>
                    <w:t>2008-2010</w:t>
                  </w:r>
                </w:p>
              </w:txbxContent>
            </v:textbox>
            <w10:wrap type="none"/>
          </v:shape>
        </w:pict>
      </w:r>
      <w:r>
        <w:rPr/>
        <w:pict>
          <v:shape style="position:absolute;margin-left:307.4216pt;margin-top:13.607422pt;width:11pt;height:40.3pt;mso-position-horizontal-relative:page;mso-position-vertical-relative:paragraph;z-index:251678720" type="#_x0000_t202" filled="false" stroked="false">
            <v:textbox inset="0,0,0,0" style="layout-flow:vertical;mso-layout-flow-alt:bottom-to-top">
              <w:txbxContent>
                <w:p>
                  <w:pPr>
                    <w:spacing w:before="15"/>
                    <w:ind w:left="20" w:right="0" w:firstLine="0"/>
                    <w:jc w:val="left"/>
                    <w:rPr>
                      <w:sz w:val="16"/>
                    </w:rPr>
                  </w:pPr>
                  <w:r>
                    <w:rPr>
                      <w:sz w:val="16"/>
                    </w:rPr>
                    <w:t>2011-2013</w:t>
                  </w:r>
                </w:p>
              </w:txbxContent>
            </v:textbox>
            <w10:wrap type="none"/>
          </v:shape>
        </w:pict>
      </w:r>
      <w:r>
        <w:rPr/>
        <w:pict>
          <v:shape style="position:absolute;margin-left:359.811615pt;margin-top:13.607422pt;width:11pt;height:40.3pt;mso-position-horizontal-relative:page;mso-position-vertical-relative:paragraph;z-index:251679744" type="#_x0000_t202" filled="false" stroked="false">
            <v:textbox inset="0,0,0,0" style="layout-flow:vertical;mso-layout-flow-alt:bottom-to-top">
              <w:txbxContent>
                <w:p>
                  <w:pPr>
                    <w:spacing w:before="15"/>
                    <w:ind w:left="20" w:right="0" w:firstLine="0"/>
                    <w:jc w:val="left"/>
                    <w:rPr>
                      <w:sz w:val="16"/>
                    </w:rPr>
                  </w:pPr>
                  <w:r>
                    <w:rPr>
                      <w:sz w:val="16"/>
                    </w:rPr>
                    <w:t>2001-2007</w:t>
                  </w:r>
                </w:p>
              </w:txbxContent>
            </v:textbox>
            <w10:wrap type="none"/>
          </v:shape>
        </w:pict>
      </w:r>
      <w:r>
        <w:rPr/>
        <w:pict>
          <v:shape style="position:absolute;margin-left:377.281616pt;margin-top:13.607422pt;width:11pt;height:40.3pt;mso-position-horizontal-relative:page;mso-position-vertical-relative:paragraph;z-index:251680768" type="#_x0000_t202" filled="false" stroked="false">
            <v:textbox inset="0,0,0,0" style="layout-flow:vertical;mso-layout-flow-alt:bottom-to-top">
              <w:txbxContent>
                <w:p>
                  <w:pPr>
                    <w:spacing w:before="15"/>
                    <w:ind w:left="20" w:right="0" w:firstLine="0"/>
                    <w:jc w:val="left"/>
                    <w:rPr>
                      <w:sz w:val="16"/>
                    </w:rPr>
                  </w:pPr>
                  <w:r>
                    <w:rPr>
                      <w:sz w:val="16"/>
                    </w:rPr>
                    <w:t>2008-2010</w:t>
                  </w:r>
                </w:p>
              </w:txbxContent>
            </v:textbox>
            <w10:wrap type="none"/>
          </v:shape>
        </w:pict>
      </w:r>
      <w:r>
        <w:rPr/>
        <w:pict>
          <v:shape style="position:absolute;margin-left:394.751587pt;margin-top:13.607422pt;width:11pt;height:40.3pt;mso-position-horizontal-relative:page;mso-position-vertical-relative:paragraph;z-index:251681792" type="#_x0000_t202" filled="false" stroked="false">
            <v:textbox inset="0,0,0,0" style="layout-flow:vertical;mso-layout-flow-alt:bottom-to-top">
              <w:txbxContent>
                <w:p>
                  <w:pPr>
                    <w:spacing w:before="15"/>
                    <w:ind w:left="20" w:right="0" w:firstLine="0"/>
                    <w:jc w:val="left"/>
                    <w:rPr>
                      <w:sz w:val="16"/>
                    </w:rPr>
                  </w:pPr>
                  <w:r>
                    <w:rPr>
                      <w:sz w:val="16"/>
                    </w:rPr>
                    <w:t>2011-2013</w:t>
                  </w:r>
                </w:p>
              </w:txbxContent>
            </v:textbox>
            <w10:wrap type="none"/>
          </v:shape>
        </w:pict>
      </w:r>
      <w:r>
        <w:rPr/>
        <w:pict>
          <v:shape style="position:absolute;margin-left:447.141602pt;margin-top:13.607422pt;width:11pt;height:40.3pt;mso-position-horizontal-relative:page;mso-position-vertical-relative:paragraph;z-index:251682816" type="#_x0000_t202" filled="false" stroked="false">
            <v:textbox inset="0,0,0,0" style="layout-flow:vertical;mso-layout-flow-alt:bottom-to-top">
              <w:txbxContent>
                <w:p>
                  <w:pPr>
                    <w:spacing w:before="15"/>
                    <w:ind w:left="20" w:right="0" w:firstLine="0"/>
                    <w:jc w:val="left"/>
                    <w:rPr>
                      <w:sz w:val="16"/>
                    </w:rPr>
                  </w:pPr>
                  <w:r>
                    <w:rPr>
                      <w:sz w:val="16"/>
                    </w:rPr>
                    <w:t>2001-2007</w:t>
                  </w:r>
                </w:p>
              </w:txbxContent>
            </v:textbox>
            <w10:wrap type="none"/>
          </v:shape>
        </w:pict>
      </w:r>
      <w:r>
        <w:rPr/>
        <w:pict>
          <v:shape style="position:absolute;margin-left:464.591614pt;margin-top:13.607422pt;width:11pt;height:40.3pt;mso-position-horizontal-relative:page;mso-position-vertical-relative:paragraph;z-index:251683840" type="#_x0000_t202" filled="false" stroked="false">
            <v:textbox inset="0,0,0,0" style="layout-flow:vertical;mso-layout-flow-alt:bottom-to-top">
              <w:txbxContent>
                <w:p>
                  <w:pPr>
                    <w:spacing w:before="15"/>
                    <w:ind w:left="20" w:right="0" w:firstLine="0"/>
                    <w:jc w:val="left"/>
                    <w:rPr>
                      <w:sz w:val="16"/>
                    </w:rPr>
                  </w:pPr>
                  <w:r>
                    <w:rPr>
                      <w:sz w:val="16"/>
                    </w:rPr>
                    <w:t>2008-2010</w:t>
                  </w:r>
                </w:p>
              </w:txbxContent>
            </v:textbox>
            <w10:wrap type="none"/>
          </v:shape>
        </w:pict>
      </w:r>
      <w:r>
        <w:rPr/>
        <w:pict>
          <v:shape style="position:absolute;margin-left:482.061615pt;margin-top:13.607422pt;width:11pt;height:40.3pt;mso-position-horizontal-relative:page;mso-position-vertical-relative:paragraph;z-index:251684864" type="#_x0000_t202" filled="false" stroked="false">
            <v:textbox inset="0,0,0,0" style="layout-flow:vertical;mso-layout-flow-alt:bottom-to-top">
              <w:txbxContent>
                <w:p>
                  <w:pPr>
                    <w:spacing w:before="15"/>
                    <w:ind w:left="20" w:right="0" w:firstLine="0"/>
                    <w:jc w:val="left"/>
                    <w:rPr>
                      <w:sz w:val="16"/>
                    </w:rPr>
                  </w:pPr>
                  <w:r>
                    <w:rPr>
                      <w:sz w:val="16"/>
                    </w:rPr>
                    <w:t>2011-2013</w:t>
                  </w:r>
                </w:p>
              </w:txbxContent>
            </v:textbox>
            <w10:wrap type="none"/>
          </v:shape>
        </w:pict>
      </w:r>
      <w:r>
        <w:rPr>
          <w:sz w:val="16"/>
        </w:rPr>
        <w:t>-3</w:t>
      </w:r>
    </w:p>
    <w:p>
      <w:pPr>
        <w:pStyle w:val="BodyText"/>
      </w:pPr>
    </w:p>
    <w:p>
      <w:pPr>
        <w:pStyle w:val="BodyText"/>
      </w:pPr>
    </w:p>
    <w:p>
      <w:pPr>
        <w:pStyle w:val="BodyText"/>
      </w:pPr>
    </w:p>
    <w:p>
      <w:pPr>
        <w:pStyle w:val="BodyText"/>
      </w:pPr>
    </w:p>
    <w:p>
      <w:pPr>
        <w:pStyle w:val="BodyText"/>
        <w:spacing w:before="9"/>
        <w:rPr>
          <w:sz w:val="18"/>
        </w:rPr>
      </w:pPr>
    </w:p>
    <w:p>
      <w:pPr>
        <w:tabs>
          <w:tab w:pos="4270" w:val="left" w:leader="none"/>
          <w:tab w:pos="6225" w:val="left" w:leader="none"/>
          <w:tab w:pos="6861" w:val="left" w:leader="none"/>
        </w:tabs>
        <w:spacing w:before="95"/>
        <w:ind w:left="2645" w:right="0" w:firstLine="0"/>
        <w:jc w:val="left"/>
        <w:rPr>
          <w:sz w:val="16"/>
        </w:rPr>
      </w:pPr>
      <w:r>
        <w:rPr/>
        <w:pict>
          <v:rect style="position:absolute;margin-left:171.479996pt;margin-top:7.763905pt;width:4.08pt;height:3.96pt;mso-position-horizontal-relative:page;mso-position-vertical-relative:paragraph;z-index:251666432" filled="true" fillcolor="#c0504d" stroked="false">
            <v:fill type="solid"/>
            <w10:wrap type="none"/>
          </v:rect>
        </w:pict>
      </w:r>
      <w:r>
        <w:rPr/>
        <w:pict>
          <v:rect style="position:absolute;margin-left:252.720001pt;margin-top:7.763905pt;width:4.08pt;height:3.96pt;mso-position-horizontal-relative:page;mso-position-vertical-relative:paragraph;z-index:-254058496" filled="true" fillcolor="#9bba58" stroked="false">
            <v:fill type="solid"/>
            <w10:wrap type="none"/>
          </v:rect>
        </w:pict>
      </w:r>
      <w:r>
        <w:rPr/>
        <w:pict>
          <v:rect style="position:absolute;margin-left:350.519989pt;margin-top:7.763905pt;width:3.96pt;height:3.96pt;mso-position-horizontal-relative:page;mso-position-vertical-relative:paragraph;z-index:-254057472" filled="true" fillcolor="#8063a1" stroked="false">
            <v:fill type="solid"/>
            <w10:wrap type="none"/>
          </v:rect>
        </w:pict>
      </w:r>
      <w:r>
        <w:rPr/>
        <w:pict>
          <v:rect style="position:absolute;margin-left:382.320007pt;margin-top:7.763905pt;width:3.96pt;height:3.96pt;mso-position-horizontal-relative:page;mso-position-vertical-relative:paragraph;z-index:-254056448" filled="true" fillcolor="#4f81bc" stroked="false">
            <v:fill type="solid"/>
            <w10:wrap type="none"/>
          </v:rect>
        </w:pict>
      </w:r>
      <w:r>
        <w:rPr>
          <w:sz w:val="16"/>
        </w:rPr>
        <w:t>Capital</w:t>
      </w:r>
      <w:r>
        <w:rPr>
          <w:spacing w:val="-3"/>
          <w:sz w:val="16"/>
        </w:rPr>
        <w:t> </w:t>
      </w:r>
      <w:r>
        <w:rPr>
          <w:sz w:val="16"/>
        </w:rPr>
        <w:t>deepening</w:t>
        <w:tab/>
        <w:t>Other</w:t>
      </w:r>
      <w:r>
        <w:rPr>
          <w:spacing w:val="-4"/>
          <w:sz w:val="16"/>
        </w:rPr>
        <w:t> </w:t>
      </w:r>
      <w:r>
        <w:rPr>
          <w:sz w:val="16"/>
        </w:rPr>
        <w:t>capital</w:t>
      </w:r>
      <w:r>
        <w:rPr>
          <w:spacing w:val="-1"/>
          <w:sz w:val="16"/>
        </w:rPr>
        <w:t> </w:t>
      </w:r>
      <w:r>
        <w:rPr>
          <w:sz w:val="16"/>
        </w:rPr>
        <w:t>formation</w:t>
        <w:tab/>
        <w:t>TFP</w:t>
        <w:tab/>
        <w:t>Labour</w:t>
      </w:r>
    </w:p>
    <w:p>
      <w:pPr>
        <w:pStyle w:val="BodyText"/>
        <w:spacing w:before="3"/>
        <w:rPr>
          <w:sz w:val="21"/>
        </w:rPr>
      </w:pPr>
    </w:p>
    <w:p>
      <w:pPr>
        <w:spacing w:before="95"/>
        <w:ind w:left="232" w:right="0" w:firstLine="0"/>
        <w:jc w:val="both"/>
        <w:rPr>
          <w:sz w:val="16"/>
        </w:rPr>
      </w:pPr>
      <w:r>
        <w:rPr>
          <w:b/>
          <w:sz w:val="16"/>
        </w:rPr>
        <w:t>Sources: </w:t>
      </w:r>
      <w:r>
        <w:rPr>
          <w:sz w:val="16"/>
        </w:rPr>
        <w:t>OECD and Bank calculations.</w:t>
      </w:r>
    </w:p>
    <w:p>
      <w:pPr>
        <w:pStyle w:val="BodyText"/>
        <w:rPr>
          <w:sz w:val="18"/>
        </w:rPr>
      </w:pPr>
    </w:p>
    <w:p>
      <w:pPr>
        <w:pStyle w:val="BodyText"/>
        <w:rPr>
          <w:sz w:val="18"/>
        </w:rPr>
      </w:pPr>
    </w:p>
    <w:p>
      <w:pPr>
        <w:pStyle w:val="BodyText"/>
        <w:spacing w:before="6"/>
        <w:rPr>
          <w:sz w:val="15"/>
        </w:rPr>
      </w:pPr>
    </w:p>
    <w:p>
      <w:pPr>
        <w:pStyle w:val="Heading1"/>
        <w:jc w:val="both"/>
      </w:pPr>
      <w:r>
        <w:rPr>
          <w:color w:val="4F81BC"/>
        </w:rPr>
        <w:t>Technical Progress, Balanced Growth and Capital Deepening</w:t>
      </w:r>
    </w:p>
    <w:p>
      <w:pPr>
        <w:pStyle w:val="BodyText"/>
        <w:rPr>
          <w:b/>
          <w:sz w:val="22"/>
        </w:rPr>
      </w:pPr>
    </w:p>
    <w:p>
      <w:pPr>
        <w:pStyle w:val="BodyText"/>
        <w:spacing w:line="355" w:lineRule="auto" w:before="132"/>
        <w:ind w:left="232" w:right="1421"/>
        <w:jc w:val="both"/>
      </w:pPr>
      <w:r>
        <w:rPr/>
        <w:t>Hicks (1932) suggested that one might think of technical progress as increasing the output of an economy without any increase in either capital or labour inputs. Harrod (1948) suggested an alternative approach in which technical progress has the effect of increasing the effective input of labour but leaves that of capital unchanged. His model set out algebraically was</w:t>
      </w:r>
    </w:p>
    <w:p>
      <w:pPr>
        <w:pStyle w:val="BodyText"/>
        <w:spacing w:before="7"/>
      </w:pPr>
    </w:p>
    <w:p>
      <w:pPr>
        <w:spacing w:before="0"/>
        <w:ind w:left="579" w:right="1483" w:firstLine="0"/>
        <w:jc w:val="center"/>
        <w:rPr>
          <w:i/>
          <w:sz w:val="20"/>
        </w:rPr>
      </w:pPr>
      <w:r>
        <w:rPr>
          <w:i/>
          <w:sz w:val="20"/>
        </w:rPr>
        <w:t>Y = F (K, AL),</w:t>
      </w:r>
    </w:p>
    <w:p>
      <w:pPr>
        <w:pStyle w:val="BodyText"/>
        <w:spacing w:before="6"/>
        <w:rPr>
          <w:i/>
          <w:sz w:val="30"/>
        </w:rPr>
      </w:pPr>
    </w:p>
    <w:p>
      <w:pPr>
        <w:pStyle w:val="BodyText"/>
        <w:spacing w:line="355" w:lineRule="auto"/>
        <w:ind w:left="232" w:right="1141"/>
      </w:pPr>
      <w:r>
        <w:rPr/>
        <w:t>where </w:t>
      </w:r>
      <w:r>
        <w:rPr>
          <w:i/>
        </w:rPr>
        <w:t>Y </w:t>
      </w:r>
      <w:r>
        <w:rPr/>
        <w:t>is output, </w:t>
      </w:r>
      <w:r>
        <w:rPr>
          <w:i/>
        </w:rPr>
        <w:t>K </w:t>
      </w:r>
      <w:r>
        <w:rPr/>
        <w:t>is the capital stock, </w:t>
      </w:r>
      <w:r>
        <w:rPr>
          <w:i/>
        </w:rPr>
        <w:t>L </w:t>
      </w:r>
      <w:r>
        <w:rPr/>
        <w:t>is labour and </w:t>
      </w:r>
      <w:r>
        <w:rPr>
          <w:i/>
        </w:rPr>
        <w:t>A </w:t>
      </w:r>
      <w:r>
        <w:rPr/>
        <w:t>is a parameter representing the level of technology. In this case, even if the labour supply is constant, the capital stock, and thus capital services, will have to grow at the same rate as </w:t>
      </w:r>
      <w:r>
        <w:rPr>
          <w:i/>
        </w:rPr>
        <w:t>A </w:t>
      </w:r>
      <w:r>
        <w:rPr/>
        <w:t>on a balanced growth path.</w:t>
      </w:r>
    </w:p>
    <w:p>
      <w:pPr>
        <w:pStyle w:val="BodyText"/>
        <w:rPr>
          <w:sz w:val="21"/>
        </w:rPr>
      </w:pPr>
    </w:p>
    <w:p>
      <w:pPr>
        <w:pStyle w:val="BodyText"/>
        <w:spacing w:line="352" w:lineRule="auto"/>
        <w:ind w:left="232" w:right="1093"/>
      </w:pPr>
      <w:r>
        <w:rPr/>
        <w:t>One piece of evidence on the nature of technical progress can be provided by examining whether capital deepening, an increase in the amount of capital per worker or per hour worked, has actually taken place; that</w:t>
      </w:r>
    </w:p>
    <w:p>
      <w:pPr>
        <w:spacing w:after="0" w:line="352" w:lineRule="auto"/>
        <w:sectPr>
          <w:pgSz w:w="11910" w:h="16840"/>
          <w:pgMar w:header="0" w:footer="1338" w:top="1580" w:bottom="1520" w:left="900" w:right="0"/>
        </w:sectPr>
      </w:pPr>
    </w:p>
    <w:p>
      <w:pPr>
        <w:pStyle w:val="BodyText"/>
        <w:spacing w:line="355" w:lineRule="auto" w:before="129"/>
        <w:ind w:left="232" w:right="1285"/>
      </w:pPr>
      <w:r>
        <w:rPr/>
        <w:t>would be expected if progress is labour-augmenting, as in the production function above, but not if it affects the productivity of capital and labour equally. The picture is, of course, not clear. Looking across the twenty countries for which the OECD provides data, the median rate of capital deepening was 2.8 per cent per annum, both for the period 1994-2000 and for the seven years just before the crisis, 2001-2007.</w:t>
      </w:r>
      <w:r>
        <w:rPr>
          <w:vertAlign w:val="superscript"/>
        </w:rPr>
        <w:t>3</w:t>
      </w:r>
      <w:r>
        <w:rPr>
          <w:vertAlign w:val="baseline"/>
        </w:rPr>
        <w:t> Median growth in labour productivity was 1.9 per cent in the first period and 1.4 per cent in the second period.</w:t>
      </w:r>
    </w:p>
    <w:p>
      <w:pPr>
        <w:pStyle w:val="BodyText"/>
        <w:spacing w:line="355" w:lineRule="auto"/>
        <w:ind w:left="232" w:right="1155"/>
      </w:pPr>
      <w:r>
        <w:rPr/>
        <w:t>Furthermore, in only one country in the second period, and two in the first, did capital deepening proceed less rapidly than the rate of growth in labour productivity. Generally then the input of capital services per</w:t>
      </w:r>
      <w:r>
        <w:rPr>
          <w:spacing w:val="-33"/>
        </w:rPr>
        <w:t> </w:t>
      </w:r>
      <w:r>
        <w:rPr/>
        <w:t>hour worked grew more rapidly than did output per hour; obviously it is desirable to produce some explanation of this, but the assumption that technical progress is labour-augmenting is appreciably closer to the data than the alternative that innovation takes the form that Hicks</w:t>
      </w:r>
      <w:r>
        <w:rPr>
          <w:spacing w:val="-4"/>
        </w:rPr>
        <w:t> </w:t>
      </w:r>
      <w:r>
        <w:rPr/>
        <w:t>suggested.</w:t>
      </w:r>
    </w:p>
    <w:p>
      <w:pPr>
        <w:pStyle w:val="BodyText"/>
        <w:spacing w:before="5"/>
      </w:pPr>
    </w:p>
    <w:p>
      <w:pPr>
        <w:pStyle w:val="BodyText"/>
        <w:spacing w:line="355" w:lineRule="auto" w:before="1"/>
        <w:ind w:left="232" w:right="1153"/>
      </w:pPr>
      <w:r>
        <w:rPr/>
        <w:t>A particular form of “technical change” which is generally assumed to be labour-augmenting is an increase in the educational attainment of the workforce; i.e. it is assumed that one well-qualified worker is equivalent to more than one poorly-qualified worker, and that the ratio of their effective labour input is measured by the ratio of their wage rates. I will pay particular attention to this because it is easier to observe and measure than other forms of technical change.</w:t>
      </w:r>
    </w:p>
    <w:p>
      <w:pPr>
        <w:pStyle w:val="BodyText"/>
        <w:spacing w:before="9"/>
      </w:pPr>
    </w:p>
    <w:p>
      <w:pPr>
        <w:pStyle w:val="BodyText"/>
        <w:spacing w:line="355" w:lineRule="auto"/>
        <w:ind w:left="232" w:right="1164"/>
      </w:pPr>
      <w:r>
        <w:rPr/>
        <w:t>It should be noted that this approach to thinking about the nature of technical progress does not invalidate Solow’s structure of growth accounting. If technical progress is labour-augmenting then the contribution of total factor productivity growth to labour productivity growth will be computed as the growth in technology, </w:t>
      </w:r>
      <w:r>
        <w:rPr>
          <w:i/>
        </w:rPr>
        <w:t>A</w:t>
      </w:r>
      <w:r>
        <w:rPr/>
        <w:t>, multiplied by the share of income accruing to labour. The remaining element of growth in labour productivity will correctly be attributed to growth in the capital stock, because this growth in the capital stock is necessary for output per unit of labour to grow at the rate </w:t>
      </w:r>
      <w:r>
        <w:rPr>
          <w:i/>
        </w:rPr>
        <w:t>A</w:t>
      </w:r>
      <w:r>
        <w:rPr/>
        <w:t>. Nevertheless, this growth in the capital stock is induced by the rise in effective labour input. Neglect of this would understate prospective growth in labour productivity.</w:t>
      </w:r>
    </w:p>
    <w:p>
      <w:pPr>
        <w:pStyle w:val="BodyText"/>
        <w:spacing w:before="6"/>
      </w:pPr>
    </w:p>
    <w:p>
      <w:pPr>
        <w:pStyle w:val="BodyText"/>
        <w:spacing w:line="355" w:lineRule="auto" w:before="1"/>
        <w:ind w:left="232" w:right="1119"/>
      </w:pPr>
      <w:r>
        <w:rPr/>
        <w:t>A further change which may have led to an increase in the volume of capital services per unit of labour is a more subtle change in the technology in use. Technological change over the last thirty years or more has led to increased use of information and communication technology. The capital equipment associated with this technology, such as computers and computer equipment, depreciates rather more rapidly than did the capital equipment associated with earlier technologies; this in turn means that the contribution of gross capital services to output is increased.</w:t>
      </w:r>
    </w:p>
    <w:p>
      <w:pPr>
        <w:pStyle w:val="BodyText"/>
        <w:spacing w:before="8"/>
      </w:pPr>
    </w:p>
    <w:p>
      <w:pPr>
        <w:pStyle w:val="BodyText"/>
        <w:spacing w:line="355" w:lineRule="auto"/>
        <w:ind w:left="232" w:right="1093"/>
      </w:pPr>
      <w:r>
        <w:rPr/>
        <w:t>Capital deepening might also be induced by a change in the return on capital. I will discuss this in more detail later, after assessing the prospects for labour-augmenting technical progress.</w:t>
      </w:r>
      <w:r>
        <w:rPr>
          <w:vertAlign w:val="superscript"/>
        </w:rPr>
        <w:t>4</w:t>
      </w:r>
    </w:p>
    <w:p>
      <w:pPr>
        <w:pStyle w:val="BodyText"/>
      </w:pPr>
    </w:p>
    <w:p>
      <w:pPr>
        <w:pStyle w:val="BodyText"/>
      </w:pPr>
    </w:p>
    <w:p>
      <w:pPr>
        <w:pStyle w:val="BodyText"/>
      </w:pPr>
    </w:p>
    <w:p>
      <w:pPr>
        <w:pStyle w:val="BodyText"/>
      </w:pPr>
    </w:p>
    <w:p>
      <w:pPr>
        <w:pStyle w:val="BodyText"/>
      </w:pPr>
    </w:p>
    <w:p>
      <w:pPr>
        <w:pStyle w:val="BodyText"/>
      </w:pPr>
    </w:p>
    <w:p>
      <w:pPr>
        <w:pStyle w:val="BodyText"/>
        <w:rPr>
          <w:sz w:val="19"/>
        </w:rPr>
      </w:pPr>
      <w:r>
        <w:rPr/>
        <w:pict>
          <v:shape style="position:absolute;margin-left:56.639999pt;margin-top:13.163135pt;width:144.050pt;height:.1pt;mso-position-horizontal-relative:page;mso-position-vertical-relative:paragraph;z-index:-251630592;mso-wrap-distance-left:0;mso-wrap-distance-right:0" coordorigin="1133,263" coordsize="2881,0" path="m1133,263l4014,263e" filled="false" stroked="true" strokeweight=".47998pt" strokecolor="#000000">
            <v:path arrowok="t"/>
            <v:stroke dashstyle="solid"/>
            <w10:wrap type="topAndBottom"/>
          </v:shape>
        </w:pict>
      </w:r>
    </w:p>
    <w:p>
      <w:pPr>
        <w:spacing w:line="196" w:lineRule="exact" w:before="30"/>
        <w:ind w:left="232" w:right="0" w:firstLine="0"/>
        <w:jc w:val="left"/>
        <w:rPr>
          <w:sz w:val="16"/>
        </w:rPr>
      </w:pPr>
      <w:r>
        <w:rPr>
          <w:position w:val="8"/>
          <w:sz w:val="10"/>
        </w:rPr>
        <w:t>3 </w:t>
      </w:r>
      <w:r>
        <w:rPr>
          <w:sz w:val="16"/>
        </w:rPr>
        <w:t>I make use of medians rather than means to reduce the impact of extreme values.</w:t>
      </w:r>
    </w:p>
    <w:p>
      <w:pPr>
        <w:spacing w:line="196" w:lineRule="exact" w:before="0"/>
        <w:ind w:left="232" w:right="0" w:firstLine="0"/>
        <w:jc w:val="left"/>
        <w:rPr>
          <w:sz w:val="16"/>
        </w:rPr>
      </w:pPr>
      <w:r>
        <w:rPr>
          <w:position w:val="8"/>
          <w:sz w:val="10"/>
        </w:rPr>
        <w:t>4 </w:t>
      </w:r>
      <w:r>
        <w:rPr>
          <w:sz w:val="16"/>
        </w:rPr>
        <w:t>Movements in real wages relative to productivity might also have an impact. I have not been able to explore this.</w:t>
      </w:r>
    </w:p>
    <w:p>
      <w:pPr>
        <w:spacing w:after="0" w:line="196" w:lineRule="exact"/>
        <w:jc w:val="left"/>
        <w:rPr>
          <w:sz w:val="16"/>
        </w:rPr>
        <w:sectPr>
          <w:pgSz w:w="11910" w:h="16840"/>
          <w:pgMar w:header="0" w:footer="1338" w:top="1580" w:bottom="1520" w:left="900" w:right="0"/>
        </w:sectPr>
      </w:pPr>
    </w:p>
    <w:p>
      <w:pPr>
        <w:pStyle w:val="Heading1"/>
        <w:spacing w:before="79"/>
      </w:pPr>
      <w:r>
        <w:rPr>
          <w:color w:val="4F81BC"/>
        </w:rPr>
        <w:t>Labour-augmenting progress and the contribution of total factor productivity</w:t>
      </w:r>
    </w:p>
    <w:p>
      <w:pPr>
        <w:pStyle w:val="BodyText"/>
        <w:rPr>
          <w:b/>
          <w:sz w:val="22"/>
        </w:rPr>
      </w:pPr>
    </w:p>
    <w:p>
      <w:pPr>
        <w:pStyle w:val="BodyText"/>
        <w:spacing w:line="355" w:lineRule="auto" w:before="131"/>
        <w:ind w:left="232" w:right="1185"/>
      </w:pPr>
      <w:r>
        <w:rPr/>
        <w:t>In the long run, an economy’s level of productivity is driven largely by technical change. Solow (1957) famously found that technical progress explained between 70 and 80% of US GDP growth in the first part of the twentieth century. And the size of the purple TFP bars in Figure 1 illustrates that it consistently plays a large role in explaining GDP growth, both over time and across countries. In this section I consider the path of TFP growth during the crisis, and possible explanations; and then I consider the scope for policy to intervene and improve TFP prospects in the long run.</w:t>
      </w:r>
    </w:p>
    <w:p>
      <w:pPr>
        <w:pStyle w:val="BodyText"/>
        <w:spacing w:before="8"/>
      </w:pPr>
    </w:p>
    <w:p>
      <w:pPr>
        <w:pStyle w:val="BodyText"/>
        <w:spacing w:line="355" w:lineRule="auto"/>
        <w:ind w:left="232" w:right="1141"/>
      </w:pPr>
      <w:r>
        <w:rPr/>
        <w:t>The low rate of TFP growth after 2010 also explains the bulk of the productivity puzzle in the countries I consider: growth was lower in all five countries than it had been before the crisis. The decline in Germany was only small, while in the United States it was substantial and in the United Kingdom and the Netherlands, growth turned negative. Averaged across all the OECD countries for which data are available, TFP growth was 1.1 per cent from 1995 to 2007 but only 0.3 per cent from 2011 to 2013.</w:t>
      </w:r>
      <w:r>
        <w:rPr>
          <w:vertAlign w:val="superscript"/>
        </w:rPr>
        <w:t>5</w:t>
      </w:r>
    </w:p>
    <w:p>
      <w:pPr>
        <w:pStyle w:val="BodyText"/>
        <w:spacing w:before="8"/>
      </w:pPr>
    </w:p>
    <w:p>
      <w:pPr>
        <w:pStyle w:val="BodyText"/>
        <w:spacing w:line="355" w:lineRule="auto"/>
        <w:ind w:left="232" w:right="1093"/>
      </w:pPr>
      <w:r>
        <w:rPr/>
        <w:t>Why, then, did TFP fall so much during the crisis? Several explanations have been suggested, and I find it useful to break them down into those we might think about as cyclical, and therefore short in duration; and more structural, with a longer-term effect.</w:t>
      </w:r>
    </w:p>
    <w:p>
      <w:pPr>
        <w:pStyle w:val="BodyText"/>
        <w:spacing w:before="9"/>
      </w:pPr>
    </w:p>
    <w:p>
      <w:pPr>
        <w:pStyle w:val="BodyText"/>
        <w:spacing w:line="355" w:lineRule="auto"/>
        <w:ind w:left="232" w:right="1197"/>
      </w:pPr>
      <w:r>
        <w:rPr/>
        <w:t>In the early stages of the puzzle, labour hoarding and capital misallocation were suggested as culprits. But the first of these was at odds with the subsequent growth in employment, accompanying the recovery in output, while the second, it seemed to me, accounted for only a small part of the shortfall. Furthermore, its impact should have been expected to diminish over time, helped by the fact that returns in the capital scarce industries would be elevated. This would both increase the profits available for investment and provide an incentive for outside investors to direct investments to these industries. The mix of industries undoubtedly played a part, with some experiencing sharper falls in productivity than others. For example, in the</w:t>
      </w:r>
    </w:p>
    <w:p>
      <w:pPr>
        <w:pStyle w:val="BodyText"/>
        <w:spacing w:line="352" w:lineRule="auto"/>
        <w:ind w:left="232" w:right="1152"/>
      </w:pPr>
      <w:r>
        <w:rPr/>
        <w:t>capital-intensive oil industry in the UK – accounting for a significant proportion of total production – output fell sharply with little immediate effect on employment.</w:t>
      </w:r>
    </w:p>
    <w:p>
      <w:pPr>
        <w:pStyle w:val="BodyText"/>
        <w:rPr>
          <w:sz w:val="21"/>
        </w:rPr>
      </w:pPr>
    </w:p>
    <w:p>
      <w:pPr>
        <w:pStyle w:val="BodyText"/>
        <w:spacing w:line="355" w:lineRule="auto"/>
        <w:ind w:left="232" w:right="1164"/>
      </w:pPr>
      <w:r>
        <w:rPr/>
        <w:t>As the productivity puzzle has persisted, explanations emphasising structural factors have emerged. Amongst those relating to technical progress, the most enlightening suggestion I have found is that the crisis raised the barriers to the adoption of new technology by firms. It is quite intuitive that ideas, or the so-called stock of knowledge, can only improve productivity once firms have implemented them in practice, and this involves effort.</w:t>
      </w:r>
      <w:r>
        <w:rPr>
          <w:vertAlign w:val="superscript"/>
        </w:rPr>
        <w:t>6</w:t>
      </w:r>
      <w:r>
        <w:rPr>
          <w:vertAlign w:val="baseline"/>
        </w:rPr>
        <w:t> Three recent papers have presented mechanisms explaining why implementation might be costly.</w:t>
      </w:r>
    </w:p>
    <w:p>
      <w:pPr>
        <w:pStyle w:val="BodyText"/>
        <w:spacing w:before="8"/>
      </w:pPr>
    </w:p>
    <w:p>
      <w:pPr>
        <w:pStyle w:val="BodyText"/>
        <w:spacing w:line="355" w:lineRule="auto" w:before="1"/>
        <w:ind w:left="232" w:right="1308"/>
      </w:pPr>
      <w:r>
        <w:rPr/>
        <w:t>Stokey (2015) presents a model in which technology, like physical capital, tends to depreciate over time. Skills are needed to </w:t>
      </w:r>
      <w:r>
        <w:rPr>
          <w:i/>
        </w:rPr>
        <w:t>maintain </w:t>
      </w:r>
      <w:r>
        <w:rPr/>
        <w:t>as well as exploit advanced technology. As a result, countries can only catch up to the level of productivity of the most advanced economies through a combination of implementing new</w:t>
      </w:r>
    </w:p>
    <w:p>
      <w:pPr>
        <w:pStyle w:val="BodyText"/>
        <w:spacing w:before="1"/>
        <w:rPr>
          <w:sz w:val="15"/>
        </w:rPr>
      </w:pPr>
      <w:r>
        <w:rPr/>
        <w:pict>
          <v:shape style="position:absolute;margin-left:56.639999pt;margin-top:10.878222pt;width:144.050pt;height:.1pt;mso-position-horizontal-relative:page;mso-position-vertical-relative:paragraph;z-index:-251629568;mso-wrap-distance-left:0;mso-wrap-distance-right:0" coordorigin="1133,218" coordsize="2881,0" path="m1133,218l4014,218e" filled="false" stroked="true" strokeweight=".47998pt" strokecolor="#000000">
            <v:path arrowok="t"/>
            <v:stroke dashstyle="solid"/>
            <w10:wrap type="topAndBottom"/>
          </v:shape>
        </w:pict>
      </w:r>
    </w:p>
    <w:p>
      <w:pPr>
        <w:spacing w:line="196" w:lineRule="exact" w:before="30"/>
        <w:ind w:left="232" w:right="0" w:firstLine="0"/>
        <w:jc w:val="left"/>
        <w:rPr>
          <w:sz w:val="16"/>
        </w:rPr>
      </w:pPr>
      <w:r>
        <w:rPr>
          <w:position w:val="8"/>
          <w:sz w:val="10"/>
        </w:rPr>
        <w:t>5 </w:t>
      </w:r>
      <w:r>
        <w:rPr>
          <w:sz w:val="16"/>
        </w:rPr>
        <w:t>Not weighted for the size of the different countries</w:t>
      </w:r>
    </w:p>
    <w:p>
      <w:pPr>
        <w:spacing w:line="196" w:lineRule="exact" w:before="0"/>
        <w:ind w:left="232" w:right="0" w:firstLine="0"/>
        <w:jc w:val="left"/>
        <w:rPr>
          <w:sz w:val="16"/>
        </w:rPr>
      </w:pPr>
      <w:r>
        <w:rPr>
          <w:position w:val="8"/>
          <w:sz w:val="10"/>
        </w:rPr>
        <w:t>6 </w:t>
      </w:r>
      <w:r>
        <w:rPr>
          <w:sz w:val="16"/>
        </w:rPr>
        <w:t>This idea is similar to the suggestion of Hayashi (1982) that there are costs to changing the physical capital stock.</w:t>
      </w:r>
    </w:p>
    <w:p>
      <w:pPr>
        <w:spacing w:after="0" w:line="196" w:lineRule="exact"/>
        <w:jc w:val="left"/>
        <w:rPr>
          <w:sz w:val="16"/>
        </w:rPr>
        <w:sectPr>
          <w:footerReference w:type="default" r:id="rId8"/>
          <w:pgSz w:w="11910" w:h="16840"/>
          <w:pgMar w:footer="1338" w:header="0" w:top="1520" w:bottom="1520" w:left="900" w:right="0"/>
          <w:pgNumType w:start="5"/>
        </w:sectPr>
      </w:pPr>
    </w:p>
    <w:p>
      <w:pPr>
        <w:pStyle w:val="BodyText"/>
        <w:spacing w:line="352" w:lineRule="auto" w:before="129"/>
        <w:ind w:left="232" w:right="1093"/>
      </w:pPr>
      <w:r>
        <w:rPr/>
        <w:t>technology and investing in human capital. If the barriers to implementation are large, then firms can try to offset this by investing more in skills, but this may take time.</w:t>
      </w:r>
    </w:p>
    <w:p>
      <w:pPr>
        <w:pStyle w:val="BodyText"/>
        <w:spacing w:before="2"/>
        <w:rPr>
          <w:sz w:val="21"/>
        </w:rPr>
      </w:pPr>
    </w:p>
    <w:p>
      <w:pPr>
        <w:pStyle w:val="BodyText"/>
        <w:spacing w:line="355" w:lineRule="auto"/>
        <w:ind w:left="232" w:right="1093"/>
      </w:pPr>
      <w:r>
        <w:rPr/>
        <w:t>In a similar vein, Bianchi and Kung (2014) and Anzoategui, Comin, Gertler and Martinez (2015) develop models in which it is costly to implement new technology; and this cost rises the more firms try to do it. As a result, cyclical peaks in output are associated with both high investment and high total factor productivity growth; conversely when investment is weak, it is likely that investment in knowledge will also be weak and total factor productivity growth will be poor.</w:t>
      </w:r>
    </w:p>
    <w:p>
      <w:pPr>
        <w:pStyle w:val="BodyText"/>
        <w:spacing w:before="7"/>
      </w:pPr>
    </w:p>
    <w:p>
      <w:pPr>
        <w:pStyle w:val="BodyText"/>
        <w:spacing w:line="355" w:lineRule="auto"/>
        <w:ind w:left="232" w:right="1305"/>
        <w:jc w:val="both"/>
      </w:pPr>
      <w:r>
        <w:rPr/>
        <w:t>The financial crisis triggered a rise in uncertainty and drop-off in business confidence, which affected all the countries I have considered here. So it seems plausible that it adversely affected firms’ willingness to meet the costs of implementing new technology, with a knock-on effect on productivity.</w:t>
      </w:r>
    </w:p>
    <w:p>
      <w:pPr>
        <w:pStyle w:val="BodyText"/>
        <w:spacing w:before="9"/>
        <w:rPr>
          <w:sz w:val="12"/>
        </w:rPr>
      </w:pPr>
    </w:p>
    <w:p>
      <w:pPr>
        <w:spacing w:after="0"/>
        <w:rPr>
          <w:sz w:val="12"/>
        </w:rPr>
        <w:sectPr>
          <w:footerReference w:type="default" r:id="rId9"/>
          <w:pgSz w:w="11910" w:h="16840"/>
          <w:pgMar w:footer="1338" w:header="0" w:top="1580" w:bottom="1520" w:left="900" w:right="0"/>
          <w:pgNumType w:start="6"/>
        </w:sectPr>
      </w:pPr>
    </w:p>
    <w:p>
      <w:pPr>
        <w:pStyle w:val="Heading1"/>
        <w:spacing w:before="105"/>
      </w:pPr>
      <w:r>
        <w:rPr>
          <w:color w:val="4F81BC"/>
        </w:rPr>
        <w:t>Figure 2: TFP growth persistence</w:t>
      </w:r>
    </w:p>
    <w:p>
      <w:pPr>
        <w:pStyle w:val="BodyText"/>
        <w:spacing w:before="2"/>
        <w:rPr>
          <w:b/>
          <w:sz w:val="24"/>
        </w:rPr>
      </w:pPr>
    </w:p>
    <w:p>
      <w:pPr>
        <w:spacing w:before="0"/>
        <w:ind w:left="550" w:right="0" w:firstLine="0"/>
        <w:jc w:val="left"/>
        <w:rPr>
          <w:sz w:val="16"/>
        </w:rPr>
      </w:pPr>
      <w:r>
        <w:rPr/>
        <w:pict>
          <v:group style="position:absolute;margin-left:88.440002pt;margin-top:4.673894pt;width:237.6pt;height:190.6pt;mso-position-horizontal-relative:page;mso-position-vertical-relative:paragraph;z-index:251688960" coordorigin="1769,93" coordsize="4752,3812">
            <v:shape style="position:absolute;left:1768;top:100;width:4745;height:3797" coordorigin="1769,101" coordsize="4745,3797" path="m1817,3897l1817,101m1769,3897l1817,3897m1769,3137l1817,3137m1769,2378l1817,2378m1769,1617l1817,1617m1769,859l1817,859m1769,101l1817,101m1817,3137l6514,3137m1817,3137l1817,3185m2758,3137l2758,3185m3696,3137l3696,3185m4634,3137l4634,3185m5575,3137l5575,3185m6514,3137l6514,3185e" filled="false" stroked="true" strokeweight=".72pt" strokecolor="#858585">
              <v:path arrowok="t"/>
              <v:stroke dashstyle="solid"/>
            </v:shape>
            <v:shape style="position:absolute;left:2993;top:2607;width:140;height:140" coordorigin="2994,2608" coordsize="140,140" path="m3064,2608l2994,2678,3064,2747,3133,2678,3064,2608xe" filled="true" fillcolor="#4f81bc" stroked="false">
              <v:path arrowok="t"/>
              <v:fill type="solid"/>
            </v:shape>
            <v:shape style="position:absolute;left:2993;top:2607;width:140;height:140" coordorigin="2994,2608" coordsize="140,140" path="m3064,2608l3133,2678,3064,2747,2994,2678,3064,2608xe" filled="false" stroked="true" strokeweight=".75pt" strokecolor="#497dba">
              <v:path arrowok="t"/>
              <v:stroke dashstyle="solid"/>
            </v:shape>
            <v:shape style="position:absolute;left:3593;top:2245;width:155;height:155" type="#_x0000_t75" stroked="false">
              <v:imagedata r:id="rId10" o:title=""/>
            </v:shape>
            <v:shape style="position:absolute;left:2451;top:2667;width:140;height:140" coordorigin="2451,2668" coordsize="140,140" path="m2521,2668l2451,2738,2521,2807,2590,2738,2521,2668xe" filled="true" fillcolor="#4f81bc" stroked="false">
              <v:path arrowok="t"/>
              <v:fill type="solid"/>
            </v:shape>
            <v:shape style="position:absolute;left:2451;top:2667;width:140;height:140" coordorigin="2451,2668" coordsize="140,140" path="m2521,2668l2590,2738,2521,2807,2451,2738,2521,2668xe" filled="false" stroked="true" strokeweight=".75pt" strokecolor="#497dba">
              <v:path arrowok="t"/>
              <v:stroke dashstyle="solid"/>
            </v:shape>
            <v:shape style="position:absolute;left:3072;top:2804;width:140;height:140" coordorigin="3073,2805" coordsize="140,140" path="m3143,2805l3073,2875,3143,2944,3212,2875,3143,2805xe" filled="true" fillcolor="#4f81bc" stroked="false">
              <v:path arrowok="t"/>
              <v:fill type="solid"/>
            </v:shape>
            <v:shape style="position:absolute;left:3072;top:2804;width:140;height:140" coordorigin="3073,2805" coordsize="140,140" path="m3143,2805l3212,2875,3143,2944,3073,2875,3143,2805xe" filled="false" stroked="true" strokeweight=".75pt" strokecolor="#497dba">
              <v:path arrowok="t"/>
              <v:stroke dashstyle="solid"/>
            </v:shape>
            <v:shape style="position:absolute;left:2924;top:2790;width:140;height:140" coordorigin="2924,2790" coordsize="140,140" path="m2994,2790l2924,2860,2994,2929,3063,2860,2994,2790xe" filled="true" fillcolor="#4f81bc" stroked="false">
              <v:path arrowok="t"/>
              <v:fill type="solid"/>
            </v:shape>
            <v:shape style="position:absolute;left:2924;top:2790;width:140;height:140" coordorigin="2924,2790" coordsize="140,140" path="m2994,2790l3063,2860,2994,2929,2924,2860,2994,2790xe" filled="false" stroked="true" strokeweight=".75pt" strokecolor="#497dba">
              <v:path arrowok="t"/>
              <v:stroke dashstyle="solid"/>
            </v:shape>
            <v:shape style="position:absolute;left:4536;top:1630;width:155;height:155" type="#_x0000_t75" stroked="false">
              <v:imagedata r:id="rId11" o:title=""/>
            </v:shape>
            <v:shape style="position:absolute;left:3188;top:2461;width:140;height:140" coordorigin="3188,2461" coordsize="140,140" path="m3258,2461l3188,2531,3258,2601,3327,2531,3258,2461xe" filled="true" fillcolor="#4f81bc" stroked="false">
              <v:path arrowok="t"/>
              <v:fill type="solid"/>
            </v:shape>
            <v:shape style="position:absolute;left:3188;top:2461;width:140;height:140" coordorigin="3188,2461" coordsize="140,140" path="m3258,2461l3327,2531,3258,2601,3188,2531,3258,2461xe" filled="false" stroked="true" strokeweight=".75pt" strokecolor="#497dba">
              <v:path arrowok="t"/>
              <v:stroke dashstyle="solid"/>
            </v:shape>
            <v:shape style="position:absolute;left:2976;top:2331;width:140;height:140" coordorigin="2977,2332" coordsize="140,140" path="m3047,2332l2977,2402,3047,2471,3116,2402,3047,2332xe" filled="true" fillcolor="#4f81bc" stroked="false">
              <v:path arrowok="t"/>
              <v:fill type="solid"/>
            </v:shape>
            <v:shape style="position:absolute;left:2976;top:2331;width:140;height:140" coordorigin="2977,2332" coordsize="140,140" path="m3047,2332l3116,2402,3047,2471,2977,2402,3047,2332xe" filled="false" stroked="true" strokeweight=".75pt" strokecolor="#497dba">
              <v:path arrowok="t"/>
              <v:stroke dashstyle="solid"/>
            </v:shape>
            <v:shape style="position:absolute;left:5815;top:2264;width:155;height:155" type="#_x0000_t75" stroked="false">
              <v:imagedata r:id="rId12" o:title=""/>
            </v:shape>
            <v:shape style="position:absolute;left:2748;top:3365;width:155;height:155" type="#_x0000_t75" stroked="false">
              <v:imagedata r:id="rId12" o:title=""/>
            </v:shape>
            <v:shape style="position:absolute;left:2206;top:2418;width:140;height:140" coordorigin="2206,2418" coordsize="140,140" path="m2276,2418l2206,2488,2276,2557,2346,2488,2276,2418xe" filled="true" fillcolor="#4f81bc" stroked="false">
              <v:path arrowok="t"/>
              <v:fill type="solid"/>
            </v:shape>
            <v:shape style="position:absolute;left:2206;top:2418;width:140;height:140" coordorigin="2206,2418" coordsize="140,140" path="m2276,2418l2346,2488,2276,2557,2206,2488,2276,2418xe" filled="false" stroked="true" strokeweight=".75pt" strokecolor="#497dba">
              <v:path arrowok="t"/>
              <v:stroke dashstyle="solid"/>
            </v:shape>
            <v:shape style="position:absolute;left:5268;top:663;width:155;height:155" type="#_x0000_t75" stroked="false">
              <v:imagedata r:id="rId10" o:title=""/>
            </v:shape>
            <v:shape style="position:absolute;left:2607;top:2528;width:140;height:140" coordorigin="2607,2529" coordsize="140,140" path="m2677,2529l2607,2599,2677,2668,2746,2599,2677,2529xe" filled="true" fillcolor="#4f81bc" stroked="false">
              <v:path arrowok="t"/>
              <v:fill type="solid"/>
            </v:shape>
            <v:shape style="position:absolute;left:2607;top:2528;width:140;height:140" coordorigin="2607,2529" coordsize="140,140" path="m2677,2529l2746,2599,2677,2668,2607,2599,2677,2529xe" filled="false" stroked="true" strokeweight=".75pt" strokecolor="#497dba">
              <v:path arrowok="t"/>
              <v:stroke dashstyle="solid"/>
            </v:shape>
            <v:shape style="position:absolute;left:2259;top:2545;width:140;height:140" coordorigin="2259,2545" coordsize="140,140" path="m2329,2545l2259,2615,2329,2685,2398,2615,2329,2545xe" filled="true" fillcolor="#4f81bc" stroked="false">
              <v:path arrowok="t"/>
              <v:fill type="solid"/>
            </v:shape>
            <v:shape style="position:absolute;left:2259;top:2545;width:140;height:140" coordorigin="2259,2545" coordsize="140,140" path="m2329,2545l2398,2615,2329,2685,2259,2615,2329,2545xe" filled="false" stroked="true" strokeweight=".75pt" strokecolor="#497dba">
              <v:path arrowok="t"/>
              <v:stroke dashstyle="solid"/>
            </v:shape>
            <v:shape style="position:absolute;left:2316;top:2993;width:155;height:155" type="#_x0000_t75" stroked="false">
              <v:imagedata r:id="rId11" o:title=""/>
            </v:shape>
            <v:shape style="position:absolute;left:1961;top:3219;width:155;height:155" type="#_x0000_t75" stroked="false">
              <v:imagedata r:id="rId11" o:title=""/>
            </v:shape>
            <v:shape style="position:absolute;left:3362;top:1779;width:155;height:155" type="#_x0000_t75" stroked="false">
              <v:imagedata r:id="rId10" o:title=""/>
            </v:shape>
            <v:shape style="position:absolute;left:2336;top:2466;width:140;height:140" coordorigin="2336,2466" coordsize="140,140" path="m2406,2466l2336,2536,2406,2605,2475,2536,2406,2466xe" filled="true" fillcolor="#4f81bc" stroked="false">
              <v:path arrowok="t"/>
              <v:fill type="solid"/>
            </v:shape>
            <v:shape style="position:absolute;left:2336;top:2466;width:140;height:140" coordorigin="2336,2466" coordsize="140,140" path="m2406,2466l2475,2536,2406,2605,2336,2536,2406,2466xe" filled="false" stroked="true" strokeweight=".75pt" strokecolor="#497dba">
              <v:path arrowok="t"/>
              <v:stroke dashstyle="solid"/>
            </v:shape>
            <v:shape style="position:absolute;left:2974;top:1791;width:155;height:155" type="#_x0000_t75" stroked="false">
              <v:imagedata r:id="rId13" o:title=""/>
            </v:shape>
            <v:shape style="position:absolute;left:2830;top:2120;width:155;height:155" type="#_x0000_t75" stroked="false">
              <v:imagedata r:id="rId12" o:title=""/>
            </v:shape>
            <w10:wrap type="none"/>
          </v:group>
        </w:pict>
      </w:r>
      <w:r>
        <w:rPr>
          <w:sz w:val="16"/>
        </w:rPr>
        <w:t>4%</w:t>
      </w:r>
    </w:p>
    <w:p>
      <w:pPr>
        <w:pStyle w:val="BodyText"/>
        <w:rPr>
          <w:sz w:val="18"/>
        </w:rPr>
      </w:pPr>
    </w:p>
    <w:p>
      <w:pPr>
        <w:pStyle w:val="BodyText"/>
        <w:rPr>
          <w:sz w:val="18"/>
        </w:rPr>
      </w:pPr>
    </w:p>
    <w:p>
      <w:pPr>
        <w:pStyle w:val="BodyText"/>
        <w:spacing w:before="1"/>
        <w:rPr>
          <w:sz w:val="14"/>
        </w:rPr>
      </w:pPr>
    </w:p>
    <w:p>
      <w:pPr>
        <w:spacing w:before="0"/>
        <w:ind w:left="550" w:right="0" w:firstLine="0"/>
        <w:jc w:val="left"/>
        <w:rPr>
          <w:sz w:val="16"/>
        </w:rPr>
      </w:pPr>
      <w:r>
        <w:rPr/>
        <w:pict>
          <v:shape style="position:absolute;margin-left:57.5056pt;margin-top:18.193743pt;width:11pt;height:87.7pt;mso-position-horizontal-relative:page;mso-position-vertical-relative:paragraph;z-index:251689984" type="#_x0000_t202" filled="false" stroked="false">
            <v:textbox inset="0,0,0,0" style="layout-flow:vertical;mso-layout-flow-alt:bottom-to-top">
              <w:txbxContent>
                <w:p>
                  <w:pPr>
                    <w:spacing w:before="15"/>
                    <w:ind w:left="20" w:right="0" w:firstLine="0"/>
                    <w:jc w:val="left"/>
                    <w:rPr>
                      <w:b/>
                      <w:sz w:val="16"/>
                    </w:rPr>
                  </w:pPr>
                  <w:r>
                    <w:rPr>
                      <w:b/>
                      <w:sz w:val="16"/>
                    </w:rPr>
                    <w:t>TFP Growth 2001-2007</w:t>
                  </w:r>
                </w:p>
              </w:txbxContent>
            </v:textbox>
            <w10:wrap type="none"/>
          </v:shape>
        </w:pict>
      </w:r>
      <w:r>
        <w:rPr>
          <w:sz w:val="16"/>
        </w:rPr>
        <w:t>3%</w:t>
      </w:r>
    </w:p>
    <w:p>
      <w:pPr>
        <w:pStyle w:val="BodyText"/>
        <w:rPr>
          <w:sz w:val="18"/>
        </w:rPr>
      </w:pPr>
    </w:p>
    <w:p>
      <w:pPr>
        <w:pStyle w:val="BodyText"/>
        <w:rPr>
          <w:sz w:val="18"/>
        </w:rPr>
      </w:pPr>
    </w:p>
    <w:p>
      <w:pPr>
        <w:spacing w:before="161"/>
        <w:ind w:left="550" w:right="0" w:firstLine="0"/>
        <w:jc w:val="left"/>
        <w:rPr>
          <w:sz w:val="16"/>
        </w:rPr>
      </w:pPr>
      <w:r>
        <w:rPr>
          <w:sz w:val="16"/>
        </w:rPr>
        <w:t>2%</w:t>
      </w:r>
    </w:p>
    <w:p>
      <w:pPr>
        <w:pStyle w:val="BodyText"/>
        <w:rPr>
          <w:sz w:val="18"/>
        </w:rPr>
      </w:pPr>
    </w:p>
    <w:p>
      <w:pPr>
        <w:pStyle w:val="BodyText"/>
        <w:rPr>
          <w:sz w:val="18"/>
        </w:rPr>
      </w:pPr>
    </w:p>
    <w:p>
      <w:pPr>
        <w:pStyle w:val="BodyText"/>
        <w:spacing w:before="1"/>
        <w:rPr>
          <w:sz w:val="14"/>
        </w:rPr>
      </w:pPr>
    </w:p>
    <w:p>
      <w:pPr>
        <w:spacing w:before="0"/>
        <w:ind w:left="550" w:right="0" w:firstLine="0"/>
        <w:jc w:val="left"/>
        <w:rPr>
          <w:sz w:val="16"/>
        </w:rPr>
      </w:pPr>
      <w:r>
        <w:rPr>
          <w:sz w:val="16"/>
        </w:rPr>
        <w:t>1%</w:t>
      </w:r>
    </w:p>
    <w:p>
      <w:pPr>
        <w:pStyle w:val="BodyText"/>
        <w:rPr>
          <w:sz w:val="18"/>
        </w:rPr>
      </w:pPr>
    </w:p>
    <w:p>
      <w:pPr>
        <w:pStyle w:val="BodyText"/>
        <w:rPr>
          <w:sz w:val="18"/>
        </w:rPr>
      </w:pPr>
    </w:p>
    <w:p>
      <w:pPr>
        <w:pStyle w:val="BodyText"/>
        <w:spacing w:before="1"/>
        <w:rPr>
          <w:sz w:val="14"/>
        </w:rPr>
      </w:pPr>
    </w:p>
    <w:p>
      <w:pPr>
        <w:spacing w:before="0"/>
        <w:ind w:left="550" w:right="0" w:firstLine="0"/>
        <w:jc w:val="left"/>
        <w:rPr>
          <w:sz w:val="16"/>
        </w:rPr>
      </w:pPr>
      <w:r>
        <w:rPr>
          <w:sz w:val="16"/>
        </w:rPr>
        <w:t>0%</w:t>
      </w:r>
    </w:p>
    <w:p>
      <w:pPr>
        <w:pStyle w:val="BodyText"/>
        <w:rPr>
          <w:sz w:val="18"/>
        </w:rPr>
      </w:pPr>
    </w:p>
    <w:p>
      <w:pPr>
        <w:pStyle w:val="BodyText"/>
        <w:rPr>
          <w:sz w:val="18"/>
        </w:rPr>
      </w:pPr>
    </w:p>
    <w:p>
      <w:pPr>
        <w:spacing w:before="162"/>
        <w:ind w:left="497" w:right="0" w:firstLine="0"/>
        <w:jc w:val="left"/>
        <w:rPr>
          <w:sz w:val="16"/>
        </w:rPr>
      </w:pPr>
      <w:r>
        <w:rPr>
          <w:sz w:val="16"/>
        </w:rPr>
        <w:t>-1%</w:t>
      </w:r>
    </w:p>
    <w:p>
      <w:pPr>
        <w:tabs>
          <w:tab w:pos="1742" w:val="left" w:leader="none"/>
          <w:tab w:pos="2682" w:val="left" w:leader="none"/>
          <w:tab w:pos="3621" w:val="left" w:leader="none"/>
          <w:tab w:pos="4560" w:val="left" w:leader="none"/>
          <w:tab w:pos="5499" w:val="left" w:leader="none"/>
        </w:tabs>
        <w:spacing w:before="6"/>
        <w:ind w:left="804" w:right="0" w:firstLine="0"/>
        <w:jc w:val="left"/>
        <w:rPr>
          <w:sz w:val="16"/>
        </w:rPr>
      </w:pPr>
      <w:r>
        <w:rPr>
          <w:sz w:val="16"/>
        </w:rPr>
        <w:t>0%</w:t>
        <w:tab/>
        <w:t>1%</w:t>
        <w:tab/>
        <w:t>2%</w:t>
        <w:tab/>
        <w:t>3%</w:t>
        <w:tab/>
        <w:t>4%</w:t>
        <w:tab/>
        <w:t>5%</w:t>
      </w:r>
    </w:p>
    <w:p>
      <w:pPr>
        <w:spacing w:line="535" w:lineRule="auto" w:before="85"/>
        <w:ind w:left="232" w:right="1640" w:firstLine="2189"/>
        <w:jc w:val="left"/>
        <w:rPr>
          <w:sz w:val="16"/>
        </w:rPr>
      </w:pPr>
      <w:r>
        <w:rPr>
          <w:b/>
          <w:sz w:val="16"/>
        </w:rPr>
        <w:t>TFP growth 1994-2000 Sources: </w:t>
      </w:r>
      <w:r>
        <w:rPr>
          <w:sz w:val="16"/>
        </w:rPr>
        <w:t>OECD and Bank calculations.</w:t>
      </w:r>
    </w:p>
    <w:p>
      <w:pPr>
        <w:pStyle w:val="BodyText"/>
        <w:spacing w:line="355" w:lineRule="auto" w:before="93"/>
        <w:ind w:left="232" w:right="1148"/>
      </w:pPr>
      <w:r>
        <w:rPr/>
        <w:br w:type="column"/>
      </w:r>
      <w:r>
        <w:rPr/>
        <w:t>Looking at the scope for economies to regain the ground lost as a result of the crisis, it is perhaps natural to hope that pre-crisis rates of productivity growth </w:t>
      </w:r>
      <w:r>
        <w:rPr>
          <w:spacing w:val="-3"/>
        </w:rPr>
        <w:t>will </w:t>
      </w:r>
      <w:r>
        <w:rPr/>
        <w:t>be resumed. In Figure 2 I compare the annual rate of total factor productivity growth in OECD countries between 1994 and 2000 with the growth rate over 2001 to 2007. I find a statistically significant coefficient of 0.6 linking total factor productivity growth in the second septennium with that in the first.</w:t>
      </w:r>
      <w:r>
        <w:rPr>
          <w:vertAlign w:val="superscript"/>
        </w:rPr>
        <w:t>7</w:t>
      </w:r>
      <w:r>
        <w:rPr>
          <w:vertAlign w:val="baseline"/>
        </w:rPr>
        <w:t> So if we were to take the view that the period since 2008 has been an aberration and nothing can be learned from it about the future prospects for productivity growth, one might forecast, over the seven</w:t>
      </w:r>
      <w:r>
        <w:rPr>
          <w:spacing w:val="-13"/>
          <w:vertAlign w:val="baseline"/>
        </w:rPr>
        <w:t> </w:t>
      </w:r>
      <w:r>
        <w:rPr>
          <w:vertAlign w:val="baseline"/>
        </w:rPr>
        <w:t>year</w:t>
      </w:r>
    </w:p>
    <w:p>
      <w:pPr>
        <w:spacing w:after="0" w:line="355" w:lineRule="auto"/>
        <w:sectPr>
          <w:type w:val="continuous"/>
          <w:pgSz w:w="11910" w:h="16840"/>
          <w:pgMar w:top="1180" w:bottom="1520" w:left="900" w:right="0"/>
          <w:cols w:num="2" w:equalWidth="0">
            <w:col w:w="5771" w:space="264"/>
            <w:col w:w="4975"/>
          </w:cols>
        </w:sectPr>
      </w:pPr>
    </w:p>
    <w:p>
      <w:pPr>
        <w:pStyle w:val="BodyText"/>
        <w:spacing w:line="226" w:lineRule="exact"/>
        <w:ind w:left="232"/>
      </w:pPr>
      <w:r>
        <w:rPr/>
        <w:t>period starting in 2015 that countries whose growth in total factor productivity was above the median of</w:t>
      </w:r>
    </w:p>
    <w:p>
      <w:pPr>
        <w:pStyle w:val="BodyText"/>
        <w:spacing w:line="355" w:lineRule="auto" w:before="108"/>
        <w:ind w:left="232" w:right="1093"/>
      </w:pPr>
      <w:r>
        <w:rPr/>
        <w:t>0.8 per cent per annum in 2001-2007 would remain a bit above the median, while those whose performance was below the median would be closer but still below the median. This points to annual growth rates in total factor productivity for the continental European countries of ½ to 1 per cent while for the United Kingdom and the United States the prospects seem slightly better at ¾ to 1¼ per cent. Dividing by the share of labour in total output, this suggests figures for growth in labour productivity of ¾ to 1¾ per cent for the continental countries and 1 to 2 per cent for the United Kingdom and the United States, with room for up to a ¼ point extra if capital deepening runs ahead of labour-augmenting progress as it did before the crisis. I wish I could</w:t>
      </w:r>
    </w:p>
    <w:p>
      <w:pPr>
        <w:pStyle w:val="BodyText"/>
        <w:spacing w:before="10"/>
        <w:rPr>
          <w:sz w:val="11"/>
        </w:rPr>
      </w:pPr>
      <w:r>
        <w:rPr/>
        <w:pict>
          <v:shape style="position:absolute;margin-left:56.639999pt;margin-top:9.070984pt;width:144.050pt;height:.1pt;mso-position-horizontal-relative:page;mso-position-vertical-relative:paragraph;z-index:-251628544;mso-wrap-distance-left:0;mso-wrap-distance-right:0" coordorigin="1133,181" coordsize="2881,0" path="m1133,181l4014,181e" filled="false" stroked="true" strokeweight=".47998pt" strokecolor="#000000">
            <v:path arrowok="t"/>
            <v:stroke dashstyle="solid"/>
            <w10:wrap type="topAndBottom"/>
          </v:shape>
        </w:pict>
      </w:r>
    </w:p>
    <w:p>
      <w:pPr>
        <w:spacing w:before="30"/>
        <w:ind w:left="232" w:right="1760" w:firstLine="0"/>
        <w:jc w:val="left"/>
        <w:rPr>
          <w:sz w:val="16"/>
        </w:rPr>
      </w:pPr>
      <w:r>
        <w:rPr>
          <w:position w:val="8"/>
          <w:sz w:val="10"/>
        </w:rPr>
        <w:t>7 </w:t>
      </w:r>
      <w:r>
        <w:rPr>
          <w:sz w:val="16"/>
        </w:rPr>
        <w:t>Korea is an outlier and a least-squares analysis is likely to be distorted by this. Median regression provides an estimate of the relationship between total factor productivity growth in the two periods which is robust to the presence of outliers.</w:t>
      </w:r>
    </w:p>
    <w:p>
      <w:pPr>
        <w:spacing w:after="0"/>
        <w:jc w:val="left"/>
        <w:rPr>
          <w:sz w:val="16"/>
        </w:rPr>
        <w:sectPr>
          <w:type w:val="continuous"/>
          <w:pgSz w:w="11910" w:h="16840"/>
          <w:pgMar w:top="1180" w:bottom="1520" w:left="900" w:right="0"/>
        </w:sectPr>
      </w:pPr>
    </w:p>
    <w:p>
      <w:pPr>
        <w:pStyle w:val="BodyText"/>
        <w:spacing w:line="352" w:lineRule="auto" w:before="129"/>
        <w:ind w:left="232" w:right="1093"/>
      </w:pPr>
      <w:r>
        <w:rPr/>
        <w:t>be more precise, but the calculations are inevitably so inexact that I cannot see much point in dissecting this with the sort of precision shown by Dr Tulp in Rembrandt’s Anatomy Lesson.</w:t>
      </w:r>
    </w:p>
    <w:p>
      <w:pPr>
        <w:pStyle w:val="BodyText"/>
        <w:spacing w:before="2"/>
        <w:rPr>
          <w:sz w:val="21"/>
        </w:rPr>
      </w:pPr>
    </w:p>
    <w:p>
      <w:pPr>
        <w:pStyle w:val="BodyText"/>
        <w:spacing w:line="355" w:lineRule="auto"/>
        <w:ind w:left="232" w:right="1093"/>
      </w:pPr>
      <w:r>
        <w:rPr/>
        <w:t>This simple calculation takes view that the obstacles to the adoption of new technology present over the last few years, have largely faded.</w:t>
      </w:r>
      <w:r>
        <w:rPr>
          <w:vertAlign w:val="superscript"/>
        </w:rPr>
        <w:t>8</w:t>
      </w:r>
      <w:r>
        <w:rPr>
          <w:vertAlign w:val="baseline"/>
        </w:rPr>
        <w:t> But it also assumes that nothing might be done to try to improve productivity performance, which invites the question of whether economic policy can help. Successive governments and international bodies have explored the potential for government intervention to improve outcomes, focussing mainly on a microeconomic level.</w:t>
      </w:r>
      <w:r>
        <w:rPr>
          <w:vertAlign w:val="superscript"/>
        </w:rPr>
        <w:t>9</w:t>
      </w:r>
      <w:r>
        <w:rPr>
          <w:vertAlign w:val="baseline"/>
        </w:rPr>
        <w:t> Of the possible areas for intervention, I will focus on the scope for government to improve competition, breaking this down into different components of overall regulation. The question of whether more competitive economies suffered smaller productivity puzzles following the crisis is interesting, but remains to be explored.</w:t>
      </w:r>
      <w:r>
        <w:rPr>
          <w:vertAlign w:val="superscript"/>
        </w:rPr>
        <w:t>10</w:t>
      </w:r>
      <w:r>
        <w:rPr>
          <w:vertAlign w:val="baseline"/>
        </w:rPr>
        <w:t> Instead, I will finish this section by considering how far pre-crisis reforms to the competitive environment in different countries have affected TFP growth rates after the crisis.</w:t>
      </w:r>
    </w:p>
    <w:p>
      <w:pPr>
        <w:pStyle w:val="BodyText"/>
        <w:spacing w:before="7"/>
      </w:pPr>
    </w:p>
    <w:p>
      <w:pPr>
        <w:pStyle w:val="BodyText"/>
        <w:spacing w:line="355" w:lineRule="auto"/>
        <w:ind w:left="232" w:right="1141"/>
      </w:pPr>
      <w:r>
        <w:rPr/>
        <w:t>Measuring the extent and scope of regulation in different countries is challenging. An economy’s regulatory regime is made up of many different parts, few of which have a quantitative measure: for example, how can we best compare the difficulty of starting a new business from one country to the next? Fortunately, the OECD has compiled a range of indicators of competition and regulation, published in its Product Market Regulation database (see OECD (2013a)). These cover areas such as the barriers to foreign direct investment, legal barriers to the entry of new firms, and the extent of government control over enterprises. For each indicator the OECD provides a judgement based score between 0 to 6 to indicate the degree of restrictiveness, where lower scores denote more competitive economies. Given the foregoing discussion of the drivers of innovation and TFP growth in the long run, we would expect more competitive economies to be more innovative, and enjoy greater gains from TFP.</w:t>
      </w:r>
    </w:p>
    <w:p>
      <w:pPr>
        <w:pStyle w:val="BodyText"/>
        <w:spacing w:before="7"/>
      </w:pPr>
    </w:p>
    <w:p>
      <w:pPr>
        <w:pStyle w:val="BodyText"/>
        <w:spacing w:line="355" w:lineRule="auto" w:before="1"/>
        <w:ind w:left="232" w:right="1141"/>
      </w:pPr>
      <w:r>
        <w:rPr/>
        <w:t>Figure 3 provides an impression of the spread of different countries’ product market regulation scores in 1998, when they were first collected, and the subsequent change through to 2013. As one might expect, given the desire of governments over the past for less regulation, the USA and UK have lower scores than those of continental European economies. But those with the highest scores in 1998 have also seen greater improvement in the fifteen years that followed. As OECD (2010, 2015b) notes, the movements in these scores have been driven by governments’ attempts to improve the overall climate for innovation, by reducing barriers in the market, and negative externalities arising from government interference.</w:t>
      </w:r>
    </w:p>
    <w:p>
      <w:pPr>
        <w:pStyle w:val="BodyText"/>
      </w:pPr>
    </w:p>
    <w:p>
      <w:pPr>
        <w:pStyle w:val="BodyText"/>
      </w:pPr>
    </w:p>
    <w:p>
      <w:pPr>
        <w:pStyle w:val="BodyText"/>
      </w:pPr>
    </w:p>
    <w:p>
      <w:pPr>
        <w:pStyle w:val="BodyText"/>
      </w:pPr>
    </w:p>
    <w:p>
      <w:pPr>
        <w:pStyle w:val="BodyText"/>
      </w:pPr>
    </w:p>
    <w:p>
      <w:pPr>
        <w:pStyle w:val="BodyText"/>
        <w:spacing w:before="9"/>
        <w:rPr>
          <w:sz w:val="22"/>
        </w:rPr>
      </w:pPr>
      <w:r>
        <w:rPr/>
        <w:pict>
          <v:shape style="position:absolute;margin-left:56.639999pt;margin-top:15.30329pt;width:144.050pt;height:.1pt;mso-position-horizontal-relative:page;mso-position-vertical-relative:paragraph;z-index:-251625472;mso-wrap-distance-left:0;mso-wrap-distance-right:0" coordorigin="1133,306" coordsize="2881,0" path="m1133,306l4014,306e" filled="false" stroked="true" strokeweight=".48004pt" strokecolor="#000000">
            <v:path arrowok="t"/>
            <v:stroke dashstyle="solid"/>
            <w10:wrap type="topAndBottom"/>
          </v:shape>
        </w:pict>
      </w:r>
    </w:p>
    <w:p>
      <w:pPr>
        <w:spacing w:line="232" w:lineRule="auto" w:before="34"/>
        <w:ind w:left="232" w:right="1173" w:firstLine="0"/>
        <w:jc w:val="left"/>
        <w:rPr>
          <w:sz w:val="16"/>
        </w:rPr>
      </w:pPr>
      <w:r>
        <w:rPr>
          <w:position w:val="8"/>
          <w:sz w:val="10"/>
        </w:rPr>
        <w:t>8 </w:t>
      </w:r>
      <w:r>
        <w:rPr>
          <w:sz w:val="16"/>
        </w:rPr>
        <w:t>In the United Kingdom, after several years of near stagnation, labour productivity has grown by 1.5 per cent over the year to 2015 Q2.</w:t>
      </w:r>
      <w:r>
        <w:rPr>
          <w:position w:val="8"/>
          <w:sz w:val="16"/>
        </w:rPr>
        <w:t> </w:t>
      </w:r>
      <w:r>
        <w:rPr>
          <w:position w:val="8"/>
          <w:sz w:val="10"/>
        </w:rPr>
        <w:t>9 </w:t>
      </w:r>
      <w:r>
        <w:rPr>
          <w:sz w:val="16"/>
        </w:rPr>
        <w:t>In the UK, HM Treasury (2000) and HM Treasury (2015) illustrate the desire of different governments to improve productivity through a mix of supple-side policies. On a European level, the 2000 Lisbon Agenda stressed the importance of establishing a climate for investment and promoting innovation. Broader still, the OECD has published a series of reports on long-run growth policy under the programme </w:t>
      </w:r>
      <w:r>
        <w:rPr>
          <w:i/>
          <w:sz w:val="16"/>
        </w:rPr>
        <w:t>Going for Growth </w:t>
      </w:r>
      <w:r>
        <w:rPr>
          <w:sz w:val="16"/>
        </w:rPr>
        <w:t>– see OECD (2015b) amongst</w:t>
      </w:r>
      <w:r>
        <w:rPr>
          <w:spacing w:val="-9"/>
          <w:sz w:val="16"/>
        </w:rPr>
        <w:t> </w:t>
      </w:r>
      <w:r>
        <w:rPr>
          <w:sz w:val="16"/>
        </w:rPr>
        <w:t>others.</w:t>
      </w:r>
    </w:p>
    <w:p>
      <w:pPr>
        <w:spacing w:line="186" w:lineRule="exact" w:before="0"/>
        <w:ind w:left="232" w:right="1185" w:firstLine="0"/>
        <w:jc w:val="left"/>
        <w:rPr>
          <w:sz w:val="16"/>
        </w:rPr>
      </w:pPr>
      <w:r>
        <w:rPr>
          <w:position w:val="8"/>
          <w:sz w:val="10"/>
        </w:rPr>
        <w:t>10 </w:t>
      </w:r>
      <w:r>
        <w:rPr>
          <w:sz w:val="16"/>
        </w:rPr>
        <w:t>There is some evidence that competition and productivity have an ‘inverted U’ relationship; some degree of monopoly protection is needed to reward innovators for their research and development activity. But too much protection yields breeds a lack of competitiveness and lazy innovators, which stifles innovation. Fawcett and Cameron (2005) provide a review of the literature.</w:t>
      </w:r>
    </w:p>
    <w:p>
      <w:pPr>
        <w:spacing w:after="0" w:line="186" w:lineRule="exact"/>
        <w:jc w:val="left"/>
        <w:rPr>
          <w:sz w:val="16"/>
        </w:rPr>
        <w:sectPr>
          <w:footerReference w:type="default" r:id="rId14"/>
          <w:pgSz w:w="11910" w:h="16840"/>
          <w:pgMar w:footer="1338" w:header="0" w:top="1580" w:bottom="1520" w:left="900" w:right="0"/>
          <w:pgNumType w:start="7"/>
        </w:sectPr>
      </w:pPr>
    </w:p>
    <w:p>
      <w:pPr>
        <w:pStyle w:val="Heading1"/>
        <w:spacing w:before="127"/>
      </w:pPr>
      <w:r>
        <w:rPr>
          <w:color w:val="4F81BC"/>
        </w:rPr>
        <w:t>Figure 3: OECD Product Market Regulation scores, 1998 to 2013</w:t>
      </w:r>
    </w:p>
    <w:p>
      <w:pPr>
        <w:pStyle w:val="BodyText"/>
        <w:rPr>
          <w:b/>
        </w:rPr>
      </w:pPr>
    </w:p>
    <w:p>
      <w:pPr>
        <w:pStyle w:val="BodyText"/>
        <w:rPr>
          <w:b/>
        </w:rPr>
      </w:pPr>
    </w:p>
    <w:p>
      <w:pPr>
        <w:pStyle w:val="BodyText"/>
        <w:rPr>
          <w:b/>
        </w:rPr>
      </w:pPr>
    </w:p>
    <w:p>
      <w:pPr>
        <w:pStyle w:val="BodyText"/>
        <w:spacing w:before="6"/>
        <w:rPr>
          <w:b/>
          <w:sz w:val="19"/>
        </w:rPr>
      </w:pPr>
    </w:p>
    <w:p>
      <w:pPr>
        <w:spacing w:before="99"/>
        <w:ind w:left="538" w:right="0" w:firstLine="0"/>
        <w:jc w:val="left"/>
        <w:rPr>
          <w:sz w:val="12"/>
        </w:rPr>
      </w:pPr>
      <w:r>
        <w:rPr/>
        <w:pict>
          <v:group style="position:absolute;margin-left:83.800941pt;margin-top:-36.49855pt;width:370.85pt;height:236.3pt;mso-position-horizontal-relative:page;mso-position-vertical-relative:paragraph;z-index:251696128" coordorigin="1676,-730" coordsize="7417,4726">
            <v:rect style="position:absolute;left:1733;top:-730;width:7360;height:4669" filled="true" fillcolor="#e4e4e4" stroked="false">
              <v:fill type="solid"/>
            </v:rect>
            <v:shape style="position:absolute;left:1260;top:3108;width:15491;height:9838" coordorigin="1261,3109" coordsize="15491,9838" path="m1733,3283l9092,3283m1733,2028l9092,2028m1733,772l9092,772m1733,-483l9092,-483m1838,3939l1838,-730m3540,3939l3540,-730m5241,3939l5241,-730m6943,3939l6943,-730m8655,3939l8655,-730e" filled="false" stroked="true" strokeweight=".474577pt" strokecolor="#f1f1f1">
              <v:path arrowok="t"/>
              <v:stroke dashstyle="solid"/>
            </v:shape>
            <v:shape style="position:absolute;left:1260;top:3108;width:15491;height:9838" coordorigin="1261,3109" coordsize="15491,9838" path="m1733,3910l9092,3910m1733,2655l9092,2655m1733,1400l9092,1400m1733,145l9092,145m2684,3939l2684,-730m4386,3939l4386,-730m6097,3939l6097,-730m7799,3939l7799,-730e" filled="false" stroked="true" strokeweight=".474577pt" strokecolor="#ffffff">
              <v:path arrowok="t"/>
              <v:stroke dashstyle="solid"/>
            </v:shape>
            <v:shape style="position:absolute;left:3434;top:211;width:2;height:57" coordorigin="3435,212" coordsize="0,57" path="m3435,269l3435,212,3435,269xe" filled="true" fillcolor="#000000" stroked="false">
              <v:path arrowok="t"/>
              <v:fill type="solid"/>
            </v:shape>
            <v:shape style="position:absolute;left:3406;top:221;width:58;height:38" coordorigin="3406,221" coordsize="58,38" path="m3464,231l3454,231,3454,221,3416,221,3416,231,3406,231,3406,240,3406,250,3416,250,3416,259,3454,259,3454,250,3464,250,3464,240,3464,231e" filled="true" fillcolor="#000000" stroked="false">
              <v:path arrowok="t"/>
              <v:fill type="solid"/>
            </v:shape>
            <v:shape style="position:absolute;left:4813;top:1780;width:2;height:57" coordorigin="4813,1780" coordsize="0,57" path="m4813,1837l4813,1780,4813,1837xe" filled="true" fillcolor="#000000" stroked="false">
              <v:path arrowok="t"/>
              <v:fill type="solid"/>
            </v:shape>
            <v:shape style="position:absolute;left:4784;top:1789;width:58;height:38" coordorigin="4785,1790" coordsize="58,38" path="m4842,1799l4833,1799,4833,1790,4794,1790,4794,1799,4785,1799,4785,1809,4785,1818,4794,1818,4794,1828,4833,1828,4833,1818,4842,1818,4842,1809,4842,1799e" filled="true" fillcolor="#000000" stroked="false">
              <v:path arrowok="t"/>
              <v:fill type="solid"/>
            </v:shape>
            <v:shape style="position:absolute;left:5393;top:1713;width:2;height:58" coordorigin="5393,1714" coordsize="0,58" path="m5393,1771l5393,1714,5393,1771xe" filled="true" fillcolor="#000000" stroked="false">
              <v:path arrowok="t"/>
              <v:fill type="solid"/>
            </v:shape>
            <v:shape style="position:absolute;left:5365;top:1723;width:57;height:39" coordorigin="5365,1723" coordsize="57,39" path="m5412,1752l5375,1752,5375,1761,5412,1761,5412,1752m5422,1733l5412,1733,5412,1723,5375,1723,5375,1733,5365,1733,5365,1742,5365,1752,5422,1752,5422,1742,5422,1733e" filled="true" fillcolor="#000000" stroked="false">
              <v:path arrowok="t"/>
              <v:fill type="solid"/>
            </v:shape>
            <v:shape style="position:absolute;left:4062;top:363;width:2;height:57" coordorigin="4062,364" coordsize="0,57" path="m4062,421l4062,364,4062,421xe" filled="true" fillcolor="#000000" stroked="false">
              <v:path arrowok="t"/>
              <v:fill type="solid"/>
            </v:shape>
            <v:shape style="position:absolute;left:4033;top:373;width:57;height:38" coordorigin="4034,373" coordsize="57,38" path="m4091,383l4081,383,4081,373,4043,373,4043,383,4034,383,4034,392,4034,402,4043,402,4043,411,4081,411,4081,402,4091,402,4091,392,4091,383e" filled="true" fillcolor="#000000" stroked="false">
              <v:path arrowok="t"/>
              <v:fill type="solid"/>
            </v:shape>
            <v:shape style="position:absolute;left:6049;top:1951;width:2;height:57" coordorigin="6050,1951" coordsize="0,57" path="m6050,2008l6050,1951,6050,2008xe" filled="true" fillcolor="#000000" stroked="false">
              <v:path arrowok="t"/>
              <v:fill type="solid"/>
            </v:shape>
            <v:shape style="position:absolute;left:6020;top:1960;width:58;height:38" coordorigin="6021,1961" coordsize="58,38" path="m6078,1970l6069,1970,6069,1961,6031,1961,6031,1970,6021,1970,6021,1980,6021,1989,6031,1989,6031,1999,6069,1999,6069,1989,6078,1989,6078,1980,6078,1970e" filled="true" fillcolor="#000000" stroked="false">
              <v:path arrowok="t"/>
              <v:fill type="solid"/>
            </v:shape>
            <v:shape style="position:absolute;left:6562;top:2759;width:2;height:58" coordorigin="6563,2760" coordsize="0,58" path="m6563,2817l6563,2760,6563,2817xe" filled="true" fillcolor="#000000" stroked="false">
              <v:path arrowok="t"/>
              <v:fill type="solid"/>
            </v:shape>
            <v:shape style="position:absolute;left:6534;top:2769;width:57;height:39" coordorigin="6535,2769" coordsize="57,39" path="m6582,2798l6544,2798,6544,2807,6582,2807,6582,2798m6591,2779l6582,2779,6582,2769,6544,2769,6544,2779,6535,2779,6535,2788,6535,2798,6591,2798,6591,2788,6591,2779e" filled="true" fillcolor="#000000" stroked="false">
              <v:path arrowok="t"/>
              <v:fill type="solid"/>
            </v:shape>
            <v:shape style="position:absolute;left:5155;top:1780;width:2;height:57" coordorigin="5156,1780" coordsize="0,57" path="m5156,1837l5156,1780,5156,1837xe" filled="true" fillcolor="#000000" stroked="false">
              <v:path arrowok="t"/>
              <v:fill type="solid"/>
            </v:shape>
            <v:shape style="position:absolute;left:5127;top:1789;width:57;height:38" coordorigin="5127,1790" coordsize="57,38" path="m5184,1799l5175,1799,5175,1790,5137,1790,5137,1799,5127,1799,5127,1809,5127,1818,5137,1818,5137,1828,5175,1828,5175,1818,5184,1818,5184,1809,5184,1799e" filled="true" fillcolor="#000000" stroked="false">
              <v:path arrowok="t"/>
              <v:fill type="solid"/>
            </v:shape>
            <v:shape style="position:absolute;left:3235;top:230;width:2;height:57" coordorigin="3235,231" coordsize="0,57" path="m3235,287l3235,231,3235,287xe" filled="true" fillcolor="#000000" stroked="false">
              <v:path arrowok="t"/>
              <v:fill type="solid"/>
            </v:shape>
            <v:shape style="position:absolute;left:3206;top:230;width:58;height:48" coordorigin="3207,231" coordsize="58,48" path="m3264,250l3254,250,3254,240,3245,240,3245,231,3226,231,3226,240,3216,240,3216,250,3207,250,3207,259,3207,269,3216,269,3216,278,3254,278,3254,269,3264,269,3264,259,3264,250e" filled="true" fillcolor="#000000" stroked="false">
              <v:path arrowok="t"/>
              <v:fill type="solid"/>
            </v:shape>
            <v:shape style="position:absolute;left:5716;top:1837;width:2;height:58" coordorigin="5717,1837" coordsize="0,58" path="m5717,1895l5717,1837,5717,1895xe" filled="true" fillcolor="#000000" stroked="false">
              <v:path arrowok="t"/>
              <v:fill type="solid"/>
            </v:shape>
            <v:shape style="position:absolute;left:5688;top:1846;width:57;height:38" coordorigin="5688,1847" coordsize="57,38" path="m5745,1856l5736,1856,5736,1847,5698,1847,5698,1856,5688,1856,5688,1866,5688,1875,5698,1875,5698,1885,5736,1885,5736,1875,5745,1875,5745,1866,5745,1856e" filled="true" fillcolor="#000000" stroked="false">
              <v:path arrowok="t"/>
              <v:fill type="solid"/>
            </v:shape>
            <v:shape style="position:absolute;left:4167;top:877;width:2;height:57" coordorigin="4167,877" coordsize="0,57" path="m4167,934l4167,877,4167,934xe" filled="true" fillcolor="#000000" stroked="false">
              <v:path arrowok="t"/>
              <v:fill type="solid"/>
            </v:shape>
            <v:shape style="position:absolute;left:4138;top:886;width:57;height:38" coordorigin="4138,887" coordsize="57,38" path="m4195,896l4186,896,4186,887,4148,887,4148,896,4138,896,4138,906,4138,915,4148,915,4148,925,4186,925,4186,915,4195,915,4195,906,4195,896e" filled="true" fillcolor="#000000" stroked="false">
              <v:path arrowok="t"/>
              <v:fill type="solid"/>
            </v:shape>
            <v:shape style="position:absolute;left:5678;top:1713;width:2;height:58" coordorigin="5679,1714" coordsize="0,58" path="m5679,1771l5679,1714,5679,1771xe" filled="true" fillcolor="#000000" stroked="false">
              <v:path arrowok="t"/>
              <v:fill type="solid"/>
            </v:shape>
            <v:shape style="position:absolute;left:5650;top:1723;width:57;height:39" coordorigin="5650,1723" coordsize="57,39" path="m5698,1752l5660,1752,5660,1761,5698,1761,5698,1752m5707,1733l5698,1733,5698,1723,5660,1723,5660,1733,5650,1733,5650,1742,5650,1752,5707,1752,5707,1742,5707,1733e" filled="true" fillcolor="#000000" stroked="false">
              <v:path arrowok="t"/>
              <v:fill type="solid"/>
            </v:shape>
            <v:shape style="position:absolute;left:2065;top:-388;width:2;height:57" coordorigin="2066,-388" coordsize="0,57" path="m2066,-331l2066,-388,2066,-331xe" filled="true" fillcolor="#000000" stroked="false">
              <v:path arrowok="t"/>
              <v:fill type="solid"/>
            </v:shape>
            <v:shape style="position:absolute;left:2037;top:-379;width:57;height:38" coordorigin="2037,-378" coordsize="57,38" path="m2094,-369l2085,-369,2085,-378,2047,-378,2047,-369,2037,-369,2037,-359,2037,-350,2047,-350,2047,-340,2085,-340,2085,-350,2094,-350,2094,-359,2094,-369e" filled="true" fillcolor="#000000" stroked="false">
              <v:path arrowok="t"/>
              <v:fill type="solid"/>
            </v:shape>
            <v:shape style="position:absolute;left:6952;top:2027;width:2;height:57" coordorigin="6953,2028" coordsize="0,57" path="m6953,2085l6953,2028,6953,2085xe" filled="true" fillcolor="#000000" stroked="false">
              <v:path arrowok="t"/>
              <v:fill type="solid"/>
            </v:shape>
            <v:shape style="position:absolute;left:6924;top:2037;width:57;height:38" coordorigin="6924,2037" coordsize="57,38" path="m6981,2047l6972,2047,6972,2037,6934,2037,6934,2047,6924,2047,6924,2056,6924,2066,6934,2066,6934,2075,6972,2075,6972,2066,6981,2066,6981,2056,6981,2047e" filled="true" fillcolor="#000000" stroked="false">
              <v:path arrowok="t"/>
              <v:fill type="solid"/>
            </v:shape>
            <v:shape style="position:absolute;left:6658;top:3054;width:2;height:58" coordorigin="6658,3054" coordsize="0,58" path="m6658,3112l6658,3054,6658,3112xe" filled="true" fillcolor="#000000" stroked="false">
              <v:path arrowok="t"/>
              <v:fill type="solid"/>
            </v:shape>
            <v:shape style="position:absolute;left:6629;top:3064;width:57;height:38" coordorigin="6630,3064" coordsize="57,38" path="m6687,3074l6677,3074,6677,3064,6639,3064,6639,3074,6630,3074,6630,3083,6630,3093,6639,3093,6639,3102,6677,3102,6677,3093,6687,3093,6687,3083,6687,3074e" filled="true" fillcolor="#000000" stroked="false">
              <v:path arrowok="t"/>
              <v:fill type="solid"/>
            </v:shape>
            <v:shape style="position:absolute;left:3900;top:125;width:2;height:57" coordorigin="3901,126" coordsize="0,57" path="m3901,183l3901,126,3901,183xe" filled="true" fillcolor="#000000" stroked="false">
              <v:path arrowok="t"/>
              <v:fill type="solid"/>
            </v:shape>
            <v:shape style="position:absolute;left:3872;top:125;width:57;height:48" coordorigin="3872,126" coordsize="57,48" path="m3929,145l3920,145,3920,135,3910,135,3910,126,3891,126,3891,135,3882,135,3882,145,3872,145,3872,154,3872,164,3882,164,3882,173,3920,173,3920,164,3929,164,3929,154,3929,145e" filled="true" fillcolor="#000000" stroked="false">
              <v:path arrowok="t"/>
              <v:fill type="solid"/>
            </v:shape>
            <v:shape style="position:absolute;left:4499;top:544;width:2;height:58" coordorigin="4500,544" coordsize="0,58" path="m4500,601l4500,544,4500,601xe" filled="true" fillcolor="#000000" stroked="false">
              <v:path arrowok="t"/>
              <v:fill type="solid"/>
            </v:shape>
            <v:shape style="position:absolute;left:4471;top:553;width:57;height:39" coordorigin="4471,554" coordsize="57,39" path="m4528,563l4519,563,4519,554,4481,554,4481,563,4471,563,4471,573,4471,582,4481,582,4481,592,4519,592,4519,582,4528,582,4528,573,4528,563e" filled="true" fillcolor="#000000" stroked="false">
              <v:path arrowok="t"/>
              <v:fill type="solid"/>
            </v:shape>
            <v:shape style="position:absolute;left:5612;top:2293;width:2;height:57" coordorigin="5612,2294" coordsize="0,57" path="m5612,2351l5612,2294,5612,2351xe" filled="true" fillcolor="#000000" stroked="false">
              <v:path arrowok="t"/>
              <v:fill type="solid"/>
            </v:shape>
            <v:shape style="position:absolute;left:5583;top:2303;width:58;height:38" coordorigin="5584,2303" coordsize="58,38" path="m5641,2313l5631,2313,5631,2303,5593,2303,5593,2313,5584,2313,5584,2322,5584,2332,5593,2332,5593,2341,5631,2341,5631,2332,5641,2332,5641,2322,5641,2313e" filled="true" fillcolor="#000000" stroked="false">
              <v:path arrowok="t"/>
              <v:fill type="solid"/>
            </v:shape>
            <v:shape style="position:absolute;left:4775;top:1057;width:2;height:58" coordorigin="4775,1058" coordsize="0,58" path="m4775,1115l4775,1058,4775,1115xe" filled="true" fillcolor="#000000" stroked="false">
              <v:path arrowok="t"/>
              <v:fill type="solid"/>
            </v:shape>
            <v:shape style="position:absolute;left:4746;top:1067;width:57;height:38" coordorigin="4747,1067" coordsize="57,38" path="m4804,1077l4794,1077,4794,1067,4756,1067,4756,1077,4747,1077,4747,1086,4747,1096,4756,1096,4756,1105,4794,1105,4794,1096,4804,1096,4804,1086,4804,1077e" filled="true" fillcolor="#000000" stroked="false">
              <v:path arrowok="t"/>
              <v:fill type="solid"/>
            </v:shape>
            <v:shape style="position:absolute;left:6287;top:991;width:2;height:57" coordorigin="6287,991" coordsize="0,57" path="m6287,1048l6287,991,6287,1048xe" filled="true" fillcolor="#000000" stroked="false">
              <v:path arrowok="t"/>
              <v:fill type="solid"/>
            </v:shape>
            <v:shape style="position:absolute;left:6258;top:1000;width:57;height:38" coordorigin="6259,1001" coordsize="57,38" path="m6316,1010l6306,1010,6306,1001,6268,1001,6268,1010,6259,1010,6259,1020,6259,1029,6268,1029,6268,1039,6306,1039,6306,1029,6316,1029,6316,1020,6316,1010e" filled="true" fillcolor="#000000" stroked="false">
              <v:path arrowok="t"/>
              <v:fill type="solid"/>
            </v:shape>
            <v:shape style="position:absolute;left:6981;top:1542;width:2;height:57" coordorigin="6981,1543" coordsize="0,57" path="m6981,1600l6981,1543,6981,1600xe" filled="true" fillcolor="#000000" stroked="false">
              <v:path arrowok="t"/>
              <v:fill type="solid"/>
            </v:shape>
            <v:shape style="position:absolute;left:6952;top:1552;width:57;height:38" coordorigin="6953,1552" coordsize="57,38" path="m7010,1562l7000,1562,7000,1552,6962,1552,6962,1562,6953,1562,6953,1571,6953,1581,6962,1581,6962,1590,7000,1590,7000,1581,7010,1581,7010,1571,7010,1562e" filled="true" fillcolor="#000000" stroked="false">
              <v:path arrowok="t"/>
              <v:fill type="solid"/>
            </v:shape>
            <v:shape style="position:absolute;left:3767;top:1685;width:2;height:57" coordorigin="3768,1685" coordsize="0,57" path="m3768,1742l3768,1685,3768,1742xe" filled="true" fillcolor="#000000" stroked="false">
              <v:path arrowok="t"/>
              <v:fill type="solid"/>
            </v:shape>
            <v:shape style="position:absolute;left:3739;top:1694;width:57;height:38" coordorigin="3739,1695" coordsize="57,38" path="m3796,1704l3787,1704,3787,1695,3749,1695,3749,1704,3739,1704,3739,1714,3739,1723,3749,1723,3749,1733,3787,1733,3787,1723,3796,1723,3796,1714,3796,1704e" filled="true" fillcolor="#000000" stroked="false">
              <v:path arrowok="t"/>
              <v:fill type="solid"/>
            </v:shape>
            <v:shape style="position:absolute;left:3938;top:135;width:2;height:57" coordorigin="3939,135" coordsize="0,57" path="m3939,192l3939,135,3939,192xe" filled="true" fillcolor="#000000" stroked="false">
              <v:path arrowok="t"/>
              <v:fill type="solid"/>
            </v:shape>
            <v:shape style="position:absolute;left:3910;top:135;width:57;height:48" coordorigin="3910,135" coordsize="57,48" path="m3967,154l3958,154,3958,145,3948,145,3948,135,3929,135,3929,145,3920,145,3920,154,3910,154,3910,164,3910,173,3920,173,3920,183,3958,183,3958,173,3967,173,3967,164,3967,154e" filled="true" fillcolor="#000000" stroked="false">
              <v:path arrowok="t"/>
              <v:fill type="solid"/>
            </v:shape>
            <v:shape style="position:absolute;left:2503;top:-550;width:2;height:57" coordorigin="2503,-549" coordsize="0,57" path="m2503,-492l2503,-549,2503,-492xe" filled="true" fillcolor="#000000" stroked="false">
              <v:path arrowok="t"/>
              <v:fill type="solid"/>
            </v:shape>
            <v:shape style="position:absolute;left:2474;top:-540;width:57;height:38" coordorigin="2475,-540" coordsize="57,38" path="m2532,-530l2522,-530,2522,-540,2484,-540,2484,-530,2475,-530,2475,-521,2475,-511,2484,-511,2484,-502,2522,-502,2522,-511,2532,-511,2532,-521,2532,-530e" filled="true" fillcolor="#000000" stroked="false">
              <v:path arrowok="t"/>
              <v:fill type="solid"/>
            </v:shape>
            <v:shape style="position:absolute;left:8445;top:3700;width:2;height:58" coordorigin="8446,3701" coordsize="0,58" path="m8446,3758l8446,3701,8446,3758xe" filled="true" fillcolor="#000000" stroked="false">
              <v:path arrowok="t"/>
              <v:fill type="solid"/>
            </v:shape>
            <v:shape style="position:absolute;left:8417;top:3710;width:57;height:39" coordorigin="8417,3710" coordsize="57,39" path="m8474,3720l8465,3720,8465,3710,8427,3710,8427,3720,8417,3720,8417,3730,8417,3739,8427,3739,8427,3749,8465,3749,8465,3739,8474,3739,8474,3730,8474,3720e" filled="true" fillcolor="#000000" stroked="false">
              <v:path arrowok="t"/>
              <v:fill type="solid"/>
            </v:shape>
            <v:shape style="position:absolute;left:6401;top:2921;width:2;height:58" coordorigin="6401,2921" coordsize="0,58" path="m6401,2978l6401,2921,6401,2978xe" filled="true" fillcolor="#000000" stroked="false">
              <v:path arrowok="t"/>
              <v:fill type="solid"/>
            </v:shape>
            <v:shape style="position:absolute;left:6372;top:2930;width:58;height:39" coordorigin="6373,2931" coordsize="58,39" path="m6430,2940l6420,2940,6420,2931,6382,2931,6382,2940,6373,2940,6373,2950,6373,2959,6382,2959,6382,2969,6420,2969,6420,2959,6430,2959,6430,2950,6430,2940e" filled="true" fillcolor="#000000" stroked="false">
              <v:path arrowok="t"/>
              <v:fill type="solid"/>
            </v:shape>
            <v:shape style="position:absolute;left:4014;top:21;width:2;height:58" coordorigin="4015,21" coordsize="0,58" path="m4015,78l4015,21,4015,78xe" filled="true" fillcolor="#000000" stroked="false">
              <v:path arrowok="t"/>
              <v:fill type="solid"/>
            </v:shape>
            <v:shape style="position:absolute;left:3986;top:30;width:4802;height:1465" coordorigin="3986,31" coordsize="4802,1465" path="m4043,40l4034,40,4034,31,3996,31,3996,40,3986,40,3986,50,3986,59,3996,59,3996,69,4034,69,4034,59,4043,59,4043,50,4043,40m8788,1457l8778,1457,8778,1448,8769,1448,8769,1438,8750,1438,8750,1448,8740,1448,8740,1457,8731,1457,8731,1466,8731,1476,8740,1476,8740,1485,8750,1485,8750,1495,8769,1495,8769,1485,8778,1485,8778,1476,8788,1476,8788,1466,8788,1457e" filled="true" fillcolor="#000000" stroked="false">
              <v:path arrowok="t"/>
              <v:fill type="solid"/>
            </v:shape>
            <v:shape style="position:absolute;left:2693;top:87;width:2;height:57" coordorigin="2693,88" coordsize="0,57" path="m2693,145l2693,88,2693,145xe" filled="true" fillcolor="#000000" stroked="false">
              <v:path arrowok="t"/>
              <v:fill type="solid"/>
            </v:shape>
            <v:shape style="position:absolute;left:2664;top:87;width:57;height:48" coordorigin="2665,88" coordsize="57,48" path="m2722,107l2712,107,2712,97,2703,97,2703,88,2684,88,2684,97,2674,97,2674,107,2665,107,2665,116,2665,126,2674,126,2674,135,2712,135,2712,126,2722,126,2722,116,2722,107e" filled="true" fillcolor="#000000" stroked="false">
              <v:path arrowok="t"/>
              <v:fill type="solid"/>
            </v:shape>
            <v:shape style="position:absolute;left:5155;top:1780;width:2;height:57" coordorigin="5156,1780" coordsize="0,57" path="m5156,1837l5156,1780,5156,1837xe" filled="true" fillcolor="#ff0000" stroked="false">
              <v:path arrowok="t"/>
              <v:fill type="solid"/>
            </v:shape>
            <v:shape style="position:absolute;left:5127;top:1789;width:57;height:38" coordorigin="5127,1790" coordsize="57,38" path="m5184,1799l5175,1799,5175,1790,5137,1790,5137,1799,5127,1799,5127,1809,5127,1818,5137,1818,5137,1828,5175,1828,5175,1818,5184,1818,5184,1809,5184,1799e" filled="true" fillcolor="#ff0000" stroked="false">
              <v:path arrowok="t"/>
              <v:fill type="solid"/>
            </v:shape>
            <v:shape style="position:absolute;left:5678;top:1713;width:2;height:58" coordorigin="5679,1714" coordsize="0,58" path="m5679,1771l5679,1714,5679,1771xe" filled="true" fillcolor="#ff0000" stroked="false">
              <v:path arrowok="t"/>
              <v:fill type="solid"/>
            </v:shape>
            <v:shape style="position:absolute;left:5650;top:1723;width:57;height:39" coordorigin="5650,1723" coordsize="57,39" path="m5698,1752l5660,1752,5660,1761,5698,1761,5698,1752m5707,1733l5698,1733,5698,1723,5660,1723,5660,1733,5650,1733,5650,1742,5650,1752,5707,1752,5707,1742,5707,1733e" filled="true" fillcolor="#ff0000" stroked="false">
              <v:path arrowok="t"/>
              <v:fill type="solid"/>
            </v:shape>
            <v:shape style="position:absolute;left:2065;top:-388;width:2;height:57" coordorigin="2066,-388" coordsize="0,57" path="m2066,-331l2066,-388,2066,-331xe" filled="true" fillcolor="#ff0000" stroked="false">
              <v:path arrowok="t"/>
              <v:fill type="solid"/>
            </v:shape>
            <v:shape style="position:absolute;left:2037;top:-379;width:57;height:38" coordorigin="2037,-378" coordsize="57,38" path="m2094,-369l2085,-369,2085,-378,2047,-378,2047,-369,2037,-369,2037,-359,2037,-350,2047,-350,2047,-340,2085,-340,2085,-350,2094,-350,2094,-359,2094,-369e" filled="true" fillcolor="#ff0000" stroked="false">
              <v:path arrowok="t"/>
              <v:fill type="solid"/>
            </v:shape>
            <v:shape style="position:absolute;left:3767;top:1685;width:2;height:57" coordorigin="3768,1685" coordsize="0,57" path="m3768,1742l3768,1685,3768,1742xe" filled="true" fillcolor="#ff0000" stroked="false">
              <v:path arrowok="t"/>
              <v:fill type="solid"/>
            </v:shape>
            <v:shape style="position:absolute;left:3739;top:1685;width:57;height:48" coordorigin="3739,1685" coordsize="57,48" path="m3796,1704l3787,1704,3787,1695,3777,1695,3777,1685,3758,1685,3758,1695,3749,1695,3749,1704,3739,1704,3739,1714,3739,1723,3749,1723,3749,1733,3787,1733,3787,1723,3796,1723,3796,1714,3796,1704e" filled="true" fillcolor="#ff0000" stroked="false">
              <v:path arrowok="t"/>
              <v:fill type="solid"/>
            </v:shape>
            <v:shape style="position:absolute;left:2693;top:87;width:2;height:57" coordorigin="2693,88" coordsize="0,57" path="m2693,145l2693,88,2693,145xe" filled="true" fillcolor="#ff0000" stroked="false">
              <v:path arrowok="t"/>
              <v:fill type="solid"/>
            </v:shape>
            <v:shape style="position:absolute;left:2664;top:87;width:57;height:48" coordorigin="2665,88" coordsize="57,48" path="m2722,107l2712,107,2712,97,2703,97,2703,88,2684,88,2684,97,2674,97,2674,107,2665,107,2665,116,2665,126,2674,126,2674,135,2712,135,2712,126,2722,126,2722,116,2722,107e" filled="true" fillcolor="#ff0000" stroked="false">
              <v:path arrowok="t"/>
              <v:fill type="solid"/>
            </v:shape>
            <v:shape style="position:absolute;left:1140;top:4952;width:12889;height:8116" coordorigin="1141,4952" coordsize="12889,8116" path="m1676,3910l1733,3910m1676,2655l1733,2655m1676,1400l1733,1400m1676,145l1733,145m2684,3996l2684,3939m4386,3996l4386,3939m6097,3996l6097,3939m7799,3996l7799,3939e" filled="false" stroked="true" strokeweight=".474577pt" strokecolor="#7e7e7e">
              <v:path arrowok="t"/>
              <v:stroke dashstyle="solid"/>
            </v:shape>
            <v:shape style="position:absolute;left:4794;top:1816;width:1185;height:269" type="#_x0000_t202" filled="false" stroked="false">
              <v:textbox inset="0,0,0,0">
                <w:txbxContent>
                  <w:p>
                    <w:pPr>
                      <w:spacing w:line="268" w:lineRule="exact" w:before="0"/>
                      <w:ind w:left="0" w:right="0" w:firstLine="0"/>
                      <w:jc w:val="left"/>
                      <w:rPr>
                        <w:sz w:val="18"/>
                      </w:rPr>
                    </w:pPr>
                    <w:r>
                      <w:rPr>
                        <w:spacing w:val="1"/>
                        <w:w w:val="100"/>
                        <w:sz w:val="18"/>
                      </w:rPr>
                      <w:t>G</w:t>
                    </w:r>
                    <w:r>
                      <w:rPr>
                        <w:spacing w:val="4"/>
                        <w:w w:val="100"/>
                        <w:sz w:val="18"/>
                      </w:rPr>
                      <w:t>e</w:t>
                    </w:r>
                    <w:r>
                      <w:rPr>
                        <w:spacing w:val="-4"/>
                        <w:w w:val="100"/>
                        <w:sz w:val="18"/>
                      </w:rPr>
                      <w:t>r</w:t>
                    </w:r>
                    <w:r>
                      <w:rPr>
                        <w:spacing w:val="1"/>
                        <w:w w:val="100"/>
                        <w:sz w:val="18"/>
                      </w:rPr>
                      <w:t>m</w:t>
                    </w:r>
                    <w:r>
                      <w:rPr>
                        <w:spacing w:val="-6"/>
                        <w:w w:val="100"/>
                        <w:sz w:val="18"/>
                      </w:rPr>
                      <w:t>a</w:t>
                    </w:r>
                    <w:r>
                      <w:rPr>
                        <w:spacing w:val="-44"/>
                        <w:w w:val="100"/>
                        <w:sz w:val="18"/>
                      </w:rPr>
                      <w:t>n</w:t>
                    </w:r>
                    <w:r>
                      <w:rPr>
                        <w:spacing w:val="-73"/>
                        <w:w w:val="100"/>
                        <w:position w:val="7"/>
                        <w:sz w:val="18"/>
                      </w:rPr>
                      <w:t>F</w:t>
                    </w:r>
                    <w:r>
                      <w:rPr>
                        <w:spacing w:val="-14"/>
                        <w:w w:val="100"/>
                        <w:sz w:val="18"/>
                      </w:rPr>
                      <w:t>y</w:t>
                    </w:r>
                    <w:r>
                      <w:rPr>
                        <w:spacing w:val="-4"/>
                        <w:w w:val="100"/>
                        <w:position w:val="7"/>
                        <w:sz w:val="18"/>
                      </w:rPr>
                      <w:t>r</w:t>
                    </w:r>
                    <w:r>
                      <w:rPr>
                        <w:spacing w:val="-6"/>
                        <w:w w:val="100"/>
                        <w:position w:val="7"/>
                        <w:sz w:val="18"/>
                      </w:rPr>
                      <w:t>an</w:t>
                    </w:r>
                    <w:r>
                      <w:rPr>
                        <w:spacing w:val="4"/>
                        <w:w w:val="100"/>
                        <w:position w:val="7"/>
                        <w:sz w:val="18"/>
                      </w:rPr>
                      <w:t>c</w:t>
                    </w:r>
                    <w:r>
                      <w:rPr>
                        <w:w w:val="100"/>
                        <w:position w:val="7"/>
                        <w:sz w:val="18"/>
                      </w:rPr>
                      <w:t>e</w:t>
                    </w:r>
                  </w:p>
                </w:txbxContent>
              </v:textbox>
              <w10:wrap type="none"/>
            </v:shape>
            <v:shape style="position:absolute;left:3292;top:1788;width:976;height:202" type="#_x0000_t202" filled="false" stroked="false">
              <v:textbox inset="0,0,0,0">
                <w:txbxContent>
                  <w:p>
                    <w:pPr>
                      <w:spacing w:line="202" w:lineRule="exact" w:before="0"/>
                      <w:ind w:left="0" w:right="0" w:firstLine="0"/>
                      <w:jc w:val="left"/>
                      <w:rPr>
                        <w:sz w:val="18"/>
                      </w:rPr>
                    </w:pPr>
                    <w:r>
                      <w:rPr>
                        <w:sz w:val="18"/>
                      </w:rPr>
                      <w:t>Netherlands</w:t>
                    </w:r>
                  </w:p>
                </w:txbxContent>
              </v:textbox>
              <w10:wrap type="none"/>
            </v:shape>
            <v:shape style="position:absolute;left:2512;top:190;width:388;height:202" type="#_x0000_t202" filled="false" stroked="false">
              <v:textbox inset="0,0,0,0">
                <w:txbxContent>
                  <w:p>
                    <w:pPr>
                      <w:spacing w:line="202" w:lineRule="exact" w:before="0"/>
                      <w:ind w:left="0" w:right="0" w:firstLine="0"/>
                      <w:jc w:val="left"/>
                      <w:rPr>
                        <w:sz w:val="18"/>
                      </w:rPr>
                    </w:pPr>
                    <w:r>
                      <w:rPr>
                        <w:sz w:val="18"/>
                      </w:rPr>
                      <w:t>USA</w:t>
                    </w:r>
                  </w:p>
                </w:txbxContent>
              </v:textbox>
              <w10:wrap type="none"/>
            </v:shape>
            <v:shape style="position:absolute;left:1942;top:-285;width:258;height:202" type="#_x0000_t202" filled="false" stroked="false">
              <v:textbox inset="0,0,0,0">
                <w:txbxContent>
                  <w:p>
                    <w:pPr>
                      <w:spacing w:line="202" w:lineRule="exact" w:before="0"/>
                      <w:ind w:left="0" w:right="0" w:firstLine="0"/>
                      <w:jc w:val="left"/>
                      <w:rPr>
                        <w:sz w:val="18"/>
                      </w:rPr>
                    </w:pPr>
                    <w:r>
                      <w:rPr>
                        <w:sz w:val="18"/>
                      </w:rPr>
                      <w:t>UK</w:t>
                    </w:r>
                  </w:p>
                </w:txbxContent>
              </v:textbox>
              <w10:wrap type="none"/>
            </v:shape>
            <w10:wrap type="none"/>
          </v:group>
        </w:pict>
      </w:r>
      <w:r>
        <w:rPr/>
        <w:pict>
          <v:shape style="position:absolute;margin-left:62.118694pt;margin-top:7.638391pt;width:10.55pt;height:144.7pt;mso-position-horizontal-relative:page;mso-position-vertical-relative:paragraph;z-index:251697152" type="#_x0000_t202" filled="false" stroked="false">
            <v:textbox inset="0,0,0,0" style="layout-flow:vertical;mso-layout-flow-alt:bottom-to-top">
              <w:txbxContent>
                <w:p>
                  <w:pPr>
                    <w:spacing w:before="17"/>
                    <w:ind w:left="20" w:right="0" w:firstLine="0"/>
                    <w:jc w:val="left"/>
                    <w:rPr>
                      <w:sz w:val="15"/>
                    </w:rPr>
                  </w:pPr>
                  <w:r>
                    <w:rPr>
                      <w:sz w:val="15"/>
                    </w:rPr>
                    <w:t>Change in product market regulation score</w:t>
                  </w:r>
                </w:p>
              </w:txbxContent>
            </v:textbox>
            <w10:wrap type="none"/>
          </v:shape>
        </w:pict>
      </w:r>
      <w:r>
        <w:rPr>
          <w:color w:val="7E7E7E"/>
          <w:w w:val="105"/>
          <w:sz w:val="12"/>
        </w:rPr>
        <w:t>-0.4</w:t>
      </w:r>
    </w:p>
    <w:p>
      <w:pPr>
        <w:pStyle w:val="BodyText"/>
      </w:pPr>
    </w:p>
    <w:p>
      <w:pPr>
        <w:pStyle w:val="BodyText"/>
      </w:pPr>
    </w:p>
    <w:p>
      <w:pPr>
        <w:pStyle w:val="BodyText"/>
      </w:pPr>
    </w:p>
    <w:p>
      <w:pPr>
        <w:pStyle w:val="BodyText"/>
        <w:spacing w:before="8"/>
        <w:rPr>
          <w:sz w:val="27"/>
        </w:rPr>
      </w:pPr>
    </w:p>
    <w:p>
      <w:pPr>
        <w:spacing w:before="99"/>
        <w:ind w:left="538" w:right="0" w:firstLine="0"/>
        <w:jc w:val="left"/>
        <w:rPr>
          <w:sz w:val="12"/>
        </w:rPr>
      </w:pPr>
      <w:r>
        <w:rPr>
          <w:color w:val="7E7E7E"/>
          <w:w w:val="105"/>
          <w:sz w:val="12"/>
        </w:rPr>
        <w:t>-0.8</w:t>
      </w:r>
    </w:p>
    <w:p>
      <w:pPr>
        <w:pStyle w:val="BodyText"/>
      </w:pPr>
    </w:p>
    <w:p>
      <w:pPr>
        <w:pStyle w:val="BodyText"/>
      </w:pPr>
    </w:p>
    <w:p>
      <w:pPr>
        <w:pStyle w:val="BodyText"/>
      </w:pPr>
    </w:p>
    <w:p>
      <w:pPr>
        <w:pStyle w:val="BodyText"/>
        <w:spacing w:before="6"/>
        <w:rPr>
          <w:sz w:val="28"/>
        </w:rPr>
      </w:pPr>
    </w:p>
    <w:p>
      <w:pPr>
        <w:spacing w:before="100"/>
        <w:ind w:left="538" w:right="0" w:firstLine="0"/>
        <w:jc w:val="left"/>
        <w:rPr>
          <w:sz w:val="12"/>
        </w:rPr>
      </w:pPr>
      <w:r>
        <w:rPr>
          <w:color w:val="7E7E7E"/>
          <w:w w:val="105"/>
          <w:sz w:val="12"/>
        </w:rPr>
        <w:t>-1.2</w:t>
      </w:r>
    </w:p>
    <w:p>
      <w:pPr>
        <w:pStyle w:val="BodyText"/>
      </w:pPr>
    </w:p>
    <w:p>
      <w:pPr>
        <w:pStyle w:val="BodyText"/>
      </w:pPr>
    </w:p>
    <w:p>
      <w:pPr>
        <w:pStyle w:val="BodyText"/>
      </w:pPr>
    </w:p>
    <w:p>
      <w:pPr>
        <w:pStyle w:val="BodyText"/>
        <w:spacing w:before="5"/>
        <w:rPr>
          <w:sz w:val="28"/>
        </w:rPr>
      </w:pPr>
    </w:p>
    <w:p>
      <w:pPr>
        <w:spacing w:after="0"/>
        <w:rPr>
          <w:sz w:val="28"/>
        </w:rPr>
        <w:sectPr>
          <w:pgSz w:w="11910" w:h="16840"/>
          <w:pgMar w:header="0" w:footer="1338" w:top="1580" w:bottom="1520" w:left="900" w:right="0"/>
        </w:sectPr>
      </w:pPr>
    </w:p>
    <w:p>
      <w:pPr>
        <w:spacing w:before="100"/>
        <w:ind w:left="0" w:right="38" w:firstLine="0"/>
        <w:jc w:val="right"/>
        <w:rPr>
          <w:sz w:val="12"/>
        </w:rPr>
      </w:pPr>
      <w:r>
        <w:rPr>
          <w:color w:val="7E7E7E"/>
          <w:sz w:val="12"/>
        </w:rPr>
        <w:t>-1.6</w:t>
      </w:r>
    </w:p>
    <w:p>
      <w:pPr>
        <w:pStyle w:val="BodyText"/>
        <w:rPr>
          <w:sz w:val="14"/>
        </w:rPr>
      </w:pPr>
      <w:r>
        <w:rPr/>
        <w:br w:type="column"/>
      </w:r>
      <w:r>
        <w:rPr>
          <w:sz w:val="14"/>
        </w:rPr>
      </w:r>
    </w:p>
    <w:p>
      <w:pPr>
        <w:tabs>
          <w:tab w:pos="2240" w:val="left" w:leader="none"/>
          <w:tab w:pos="3951" w:val="left" w:leader="none"/>
          <w:tab w:pos="5653" w:val="left" w:leader="none"/>
        </w:tabs>
        <w:spacing w:before="110"/>
        <w:ind w:left="538" w:right="0" w:firstLine="0"/>
        <w:jc w:val="left"/>
        <w:rPr>
          <w:sz w:val="12"/>
        </w:rPr>
      </w:pPr>
      <w:r>
        <w:rPr>
          <w:color w:val="7E7E7E"/>
          <w:w w:val="105"/>
          <w:sz w:val="12"/>
        </w:rPr>
        <w:t>1.5</w:t>
        <w:tab/>
        <w:t>2.0</w:t>
        <w:tab/>
        <w:t>2.5</w:t>
        <w:tab/>
        <w:t>3.0</w:t>
      </w:r>
    </w:p>
    <w:p>
      <w:pPr>
        <w:spacing w:before="5"/>
        <w:ind w:left="2040" w:right="0" w:firstLine="0"/>
        <w:jc w:val="left"/>
        <w:rPr>
          <w:sz w:val="15"/>
        </w:rPr>
      </w:pPr>
      <w:r>
        <w:rPr>
          <w:sz w:val="15"/>
        </w:rPr>
        <w:t>Product market regulation score in 1998</w:t>
      </w:r>
    </w:p>
    <w:p>
      <w:pPr>
        <w:spacing w:after="0"/>
        <w:jc w:val="left"/>
        <w:rPr>
          <w:sz w:val="15"/>
        </w:rPr>
        <w:sectPr>
          <w:type w:val="continuous"/>
          <w:pgSz w:w="11910" w:h="16840"/>
          <w:pgMar w:top="1180" w:bottom="1520" w:left="900" w:right="0"/>
          <w:cols w:num="2" w:equalWidth="0">
            <w:col w:w="790" w:space="370"/>
            <w:col w:w="9850"/>
          </w:cols>
        </w:sectPr>
      </w:pPr>
    </w:p>
    <w:p>
      <w:pPr>
        <w:pStyle w:val="BodyText"/>
        <w:rPr>
          <w:sz w:val="23"/>
        </w:rPr>
      </w:pPr>
    </w:p>
    <w:p>
      <w:pPr>
        <w:spacing w:before="95"/>
        <w:ind w:left="232" w:right="0" w:firstLine="0"/>
        <w:jc w:val="left"/>
        <w:rPr>
          <w:sz w:val="16"/>
        </w:rPr>
      </w:pPr>
      <w:r>
        <w:rPr>
          <w:b/>
          <w:sz w:val="16"/>
        </w:rPr>
        <w:t>Sources: </w:t>
      </w:r>
      <w:r>
        <w:rPr>
          <w:sz w:val="16"/>
        </w:rPr>
        <w:t>OECD and Bank calculations.</w:t>
      </w:r>
    </w:p>
    <w:p>
      <w:pPr>
        <w:pStyle w:val="BodyText"/>
        <w:spacing w:before="7"/>
        <w:rPr>
          <w:sz w:val="22"/>
        </w:rPr>
      </w:pPr>
    </w:p>
    <w:p>
      <w:pPr>
        <w:pStyle w:val="BodyText"/>
        <w:spacing w:line="355" w:lineRule="auto" w:before="93"/>
        <w:ind w:left="232" w:right="1208"/>
      </w:pPr>
      <w:r>
        <w:rPr/>
        <w:t>The indicators that comprise the overall Product Market Regulation score fall under three different headings: the degree of state control in the economy; barriers to entrepreneurship; and barriers to trade and investment. I am also interested in the specific role that each of these has to play in influencing TFP growth.</w:t>
      </w:r>
    </w:p>
    <w:p>
      <w:pPr>
        <w:pStyle w:val="BodyText"/>
        <w:spacing w:before="6"/>
      </w:pPr>
    </w:p>
    <w:p>
      <w:pPr>
        <w:pStyle w:val="BodyText"/>
        <w:spacing w:line="355" w:lineRule="auto"/>
        <w:ind w:left="232" w:right="1147"/>
      </w:pPr>
      <w:r>
        <w:rPr/>
        <w:t>So the question to ask is therefore </w:t>
      </w:r>
      <w:r>
        <w:rPr>
          <w:i/>
        </w:rPr>
        <w:t>how far </w:t>
      </w:r>
      <w:r>
        <w:rPr/>
        <w:t>have these policy changes improved TFP growth? In answering it, I should point out two considerations. First, it may well be that countries with stronger TFP growth are better-placed to enact reforms to regulation and competition – or equivalently, the direction of causation does not only flow from greater competition to productivity. The empirical work I will present attempts to take account of this. Secondly, the financial crisis inevitably muddies the waters when evaluating the impact of reform, as it represented a joint demand and supply-side hit to most of the economies I consider. So whilst I have tried to take account of this in </w:t>
      </w:r>
      <w:r>
        <w:rPr>
          <w:spacing w:val="3"/>
        </w:rPr>
        <w:t>my </w:t>
      </w:r>
      <w:r>
        <w:rPr/>
        <w:t>study, it is inevitably</w:t>
      </w:r>
      <w:r>
        <w:rPr>
          <w:spacing w:val="-15"/>
        </w:rPr>
        <w:t> </w:t>
      </w:r>
      <w:r>
        <w:rPr/>
        <w:t>inexact.</w:t>
      </w:r>
    </w:p>
    <w:p>
      <w:pPr>
        <w:spacing w:after="0" w:line="355" w:lineRule="auto"/>
        <w:sectPr>
          <w:type w:val="continuous"/>
          <w:pgSz w:w="11910" w:h="16840"/>
          <w:pgMar w:top="1180" w:bottom="1520" w:left="900" w:right="0"/>
        </w:sectPr>
      </w:pPr>
    </w:p>
    <w:p>
      <w:pPr>
        <w:pStyle w:val="Heading1"/>
        <w:spacing w:before="127"/>
      </w:pPr>
      <w:r>
        <w:rPr>
          <w:color w:val="4F81BC"/>
        </w:rPr>
        <w:t>Table 1: Impact of reform on TFP growth</w:t>
      </w:r>
    </w:p>
    <w:p>
      <w:pPr>
        <w:pStyle w:val="BodyText"/>
        <w:spacing w:before="8"/>
        <w:rPr>
          <w:b/>
          <w:sz w:val="10"/>
        </w:rPr>
      </w:pPr>
    </w:p>
    <w:tbl>
      <w:tblPr>
        <w:tblW w:w="0" w:type="auto"/>
        <w:jc w:val="left"/>
        <w:tblInd w:w="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60"/>
        <w:gridCol w:w="1133"/>
        <w:gridCol w:w="1136"/>
        <w:gridCol w:w="1136"/>
        <w:gridCol w:w="1134"/>
        <w:gridCol w:w="1136"/>
      </w:tblGrid>
      <w:tr>
        <w:trPr>
          <w:trHeight w:val="681" w:hRule="atLeast"/>
        </w:trPr>
        <w:tc>
          <w:tcPr>
            <w:tcW w:w="2660" w:type="dxa"/>
          </w:tcPr>
          <w:p>
            <w:pPr>
              <w:pStyle w:val="TableParagraph"/>
              <w:rPr>
                <w:rFonts w:ascii="Times New Roman"/>
                <w:sz w:val="16"/>
              </w:rPr>
            </w:pPr>
          </w:p>
        </w:tc>
        <w:tc>
          <w:tcPr>
            <w:tcW w:w="5675" w:type="dxa"/>
            <w:gridSpan w:val="5"/>
          </w:tcPr>
          <w:p>
            <w:pPr>
              <w:pStyle w:val="TableParagraph"/>
              <w:spacing w:line="340" w:lineRule="exact" w:before="20"/>
              <w:ind w:left="873" w:right="122" w:hanging="730"/>
              <w:rPr>
                <w:b/>
                <w:sz w:val="20"/>
              </w:rPr>
            </w:pPr>
            <w:r>
              <w:rPr>
                <w:b/>
                <w:sz w:val="20"/>
              </w:rPr>
              <w:t>Dependent variable is the change in average TFP growth between the periods 2001-07 and 2011-13</w:t>
            </w:r>
          </w:p>
        </w:tc>
      </w:tr>
      <w:tr>
        <w:trPr>
          <w:trHeight w:val="321" w:hRule="atLeast"/>
        </w:trPr>
        <w:tc>
          <w:tcPr>
            <w:tcW w:w="2660" w:type="dxa"/>
          </w:tcPr>
          <w:p>
            <w:pPr>
              <w:pStyle w:val="TableParagraph"/>
              <w:rPr>
                <w:rFonts w:ascii="Times New Roman"/>
                <w:sz w:val="16"/>
              </w:rPr>
            </w:pPr>
          </w:p>
        </w:tc>
        <w:tc>
          <w:tcPr>
            <w:tcW w:w="1133" w:type="dxa"/>
          </w:tcPr>
          <w:p>
            <w:pPr>
              <w:pStyle w:val="TableParagraph"/>
              <w:spacing w:line="213" w:lineRule="exact" w:before="88"/>
              <w:ind w:left="332" w:right="323"/>
              <w:jc w:val="center"/>
              <w:rPr>
                <w:sz w:val="20"/>
              </w:rPr>
            </w:pPr>
            <w:r>
              <w:rPr>
                <w:sz w:val="20"/>
              </w:rPr>
              <w:t>(1)</w:t>
            </w:r>
          </w:p>
        </w:tc>
        <w:tc>
          <w:tcPr>
            <w:tcW w:w="1136" w:type="dxa"/>
          </w:tcPr>
          <w:p>
            <w:pPr>
              <w:pStyle w:val="TableParagraph"/>
              <w:spacing w:line="213" w:lineRule="exact" w:before="88"/>
              <w:ind w:left="311" w:right="301"/>
              <w:jc w:val="center"/>
              <w:rPr>
                <w:sz w:val="20"/>
              </w:rPr>
            </w:pPr>
            <w:r>
              <w:rPr>
                <w:sz w:val="20"/>
              </w:rPr>
              <w:t>(2)</w:t>
            </w:r>
          </w:p>
        </w:tc>
        <w:tc>
          <w:tcPr>
            <w:tcW w:w="1136" w:type="dxa"/>
          </w:tcPr>
          <w:p>
            <w:pPr>
              <w:pStyle w:val="TableParagraph"/>
              <w:spacing w:line="213" w:lineRule="exact" w:before="88"/>
              <w:ind w:left="305" w:right="301"/>
              <w:jc w:val="center"/>
              <w:rPr>
                <w:sz w:val="20"/>
              </w:rPr>
            </w:pPr>
            <w:r>
              <w:rPr>
                <w:sz w:val="20"/>
              </w:rPr>
              <w:t>(3)</w:t>
            </w:r>
          </w:p>
        </w:tc>
        <w:tc>
          <w:tcPr>
            <w:tcW w:w="1134" w:type="dxa"/>
          </w:tcPr>
          <w:p>
            <w:pPr>
              <w:pStyle w:val="TableParagraph"/>
              <w:spacing w:line="213" w:lineRule="exact" w:before="88"/>
              <w:ind w:left="368" w:right="363"/>
              <w:jc w:val="center"/>
              <w:rPr>
                <w:sz w:val="20"/>
              </w:rPr>
            </w:pPr>
            <w:r>
              <w:rPr>
                <w:sz w:val="20"/>
              </w:rPr>
              <w:t>(4)</w:t>
            </w:r>
          </w:p>
        </w:tc>
        <w:tc>
          <w:tcPr>
            <w:tcW w:w="1136" w:type="dxa"/>
          </w:tcPr>
          <w:p>
            <w:pPr>
              <w:pStyle w:val="TableParagraph"/>
              <w:spacing w:line="213" w:lineRule="exact" w:before="88"/>
              <w:ind w:left="303" w:right="301"/>
              <w:jc w:val="center"/>
              <w:rPr>
                <w:sz w:val="20"/>
              </w:rPr>
            </w:pPr>
            <w:r>
              <w:rPr>
                <w:sz w:val="20"/>
              </w:rPr>
              <w:t>(5)</w:t>
            </w:r>
          </w:p>
        </w:tc>
      </w:tr>
      <w:tr>
        <w:trPr>
          <w:trHeight w:val="1019" w:hRule="atLeast"/>
        </w:trPr>
        <w:tc>
          <w:tcPr>
            <w:tcW w:w="2660" w:type="dxa"/>
          </w:tcPr>
          <w:p>
            <w:pPr>
              <w:pStyle w:val="TableParagraph"/>
              <w:spacing w:line="391" w:lineRule="auto" w:before="131"/>
              <w:ind w:left="110" w:right="78"/>
              <w:rPr>
                <w:sz w:val="18"/>
              </w:rPr>
            </w:pPr>
            <w:r>
              <w:rPr>
                <w:sz w:val="18"/>
              </w:rPr>
              <w:t>Reduction in overall product market regulation score, 1998-</w:t>
            </w:r>
          </w:p>
          <w:p>
            <w:pPr>
              <w:pStyle w:val="TableParagraph"/>
              <w:spacing w:line="189" w:lineRule="exact" w:before="4"/>
              <w:ind w:left="110"/>
              <w:rPr>
                <w:sz w:val="18"/>
              </w:rPr>
            </w:pPr>
            <w:r>
              <w:rPr>
                <w:sz w:val="18"/>
              </w:rPr>
              <w:t>2008</w:t>
            </w:r>
          </w:p>
        </w:tc>
        <w:tc>
          <w:tcPr>
            <w:tcW w:w="1133" w:type="dxa"/>
          </w:tcPr>
          <w:p>
            <w:pPr>
              <w:pStyle w:val="TableParagraph"/>
              <w:spacing w:before="2"/>
              <w:rPr>
                <w:b/>
                <w:sz w:val="26"/>
              </w:rPr>
            </w:pPr>
          </w:p>
          <w:p>
            <w:pPr>
              <w:pStyle w:val="TableParagraph"/>
              <w:spacing w:line="391" w:lineRule="auto"/>
              <w:ind w:left="331" w:right="291" w:hanging="10"/>
              <w:rPr>
                <w:sz w:val="18"/>
              </w:rPr>
            </w:pPr>
            <w:r>
              <w:rPr>
                <w:sz w:val="18"/>
              </w:rPr>
              <w:t>1.47** (0.61)</w:t>
            </w:r>
          </w:p>
        </w:tc>
        <w:tc>
          <w:tcPr>
            <w:tcW w:w="1136" w:type="dxa"/>
          </w:tcPr>
          <w:p>
            <w:pPr>
              <w:pStyle w:val="TableParagraph"/>
              <w:rPr>
                <w:rFonts w:ascii="Times New Roman"/>
                <w:sz w:val="16"/>
              </w:rPr>
            </w:pPr>
          </w:p>
        </w:tc>
        <w:tc>
          <w:tcPr>
            <w:tcW w:w="1136" w:type="dxa"/>
          </w:tcPr>
          <w:p>
            <w:pPr>
              <w:pStyle w:val="TableParagraph"/>
              <w:spacing w:before="2"/>
              <w:rPr>
                <w:b/>
                <w:sz w:val="26"/>
              </w:rPr>
            </w:pPr>
          </w:p>
          <w:p>
            <w:pPr>
              <w:pStyle w:val="TableParagraph"/>
              <w:spacing w:line="391" w:lineRule="auto"/>
              <w:ind w:left="330" w:right="305" w:firstLine="26"/>
              <w:rPr>
                <w:sz w:val="18"/>
              </w:rPr>
            </w:pPr>
            <w:r>
              <w:rPr>
                <w:sz w:val="18"/>
              </w:rPr>
              <w:t>1.16* (0.64)</w:t>
            </w:r>
          </w:p>
        </w:tc>
        <w:tc>
          <w:tcPr>
            <w:tcW w:w="1134" w:type="dxa"/>
          </w:tcPr>
          <w:p>
            <w:pPr>
              <w:pStyle w:val="TableParagraph"/>
              <w:spacing w:before="2"/>
              <w:rPr>
                <w:b/>
                <w:sz w:val="26"/>
              </w:rPr>
            </w:pPr>
          </w:p>
          <w:p>
            <w:pPr>
              <w:pStyle w:val="TableParagraph"/>
              <w:ind w:left="370" w:right="363"/>
              <w:jc w:val="center"/>
              <w:rPr>
                <w:sz w:val="18"/>
              </w:rPr>
            </w:pPr>
            <w:r>
              <w:rPr>
                <w:sz w:val="18"/>
              </w:rPr>
              <w:t>1.08</w:t>
            </w:r>
          </w:p>
        </w:tc>
        <w:tc>
          <w:tcPr>
            <w:tcW w:w="1136" w:type="dxa"/>
          </w:tcPr>
          <w:p>
            <w:pPr>
              <w:pStyle w:val="TableParagraph"/>
              <w:rPr>
                <w:rFonts w:ascii="Times New Roman"/>
                <w:sz w:val="16"/>
              </w:rPr>
            </w:pPr>
          </w:p>
        </w:tc>
      </w:tr>
      <w:tr>
        <w:trPr>
          <w:trHeight w:val="402" w:hRule="atLeast"/>
        </w:trPr>
        <w:tc>
          <w:tcPr>
            <w:tcW w:w="2660" w:type="dxa"/>
            <w:tcBorders>
              <w:bottom w:val="nil"/>
            </w:tcBorders>
          </w:tcPr>
          <w:p>
            <w:pPr>
              <w:pStyle w:val="TableParagraph"/>
              <w:spacing w:before="131"/>
              <w:ind w:left="110"/>
              <w:rPr>
                <w:sz w:val="18"/>
              </w:rPr>
            </w:pPr>
            <w:r>
              <w:rPr>
                <w:sz w:val="18"/>
              </w:rPr>
              <w:t>Reduction in barriers to trade</w:t>
            </w:r>
          </w:p>
        </w:tc>
        <w:tc>
          <w:tcPr>
            <w:tcW w:w="1133" w:type="dxa"/>
            <w:vMerge w:val="restart"/>
          </w:tcPr>
          <w:p>
            <w:pPr>
              <w:pStyle w:val="TableParagraph"/>
              <w:rPr>
                <w:rFonts w:ascii="Times New Roman"/>
                <w:sz w:val="16"/>
              </w:rPr>
            </w:pPr>
          </w:p>
        </w:tc>
        <w:tc>
          <w:tcPr>
            <w:tcW w:w="1136" w:type="dxa"/>
            <w:tcBorders>
              <w:bottom w:val="nil"/>
            </w:tcBorders>
          </w:tcPr>
          <w:p>
            <w:pPr>
              <w:pStyle w:val="TableParagraph"/>
              <w:spacing w:before="131"/>
              <w:ind w:left="311" w:right="300"/>
              <w:jc w:val="center"/>
              <w:rPr>
                <w:sz w:val="18"/>
              </w:rPr>
            </w:pPr>
            <w:r>
              <w:rPr>
                <w:sz w:val="18"/>
              </w:rPr>
              <w:t>1.75*</w:t>
            </w:r>
          </w:p>
        </w:tc>
        <w:tc>
          <w:tcPr>
            <w:tcW w:w="1136" w:type="dxa"/>
            <w:tcBorders>
              <w:bottom w:val="nil"/>
            </w:tcBorders>
          </w:tcPr>
          <w:p>
            <w:pPr>
              <w:pStyle w:val="TableParagraph"/>
              <w:spacing w:before="131"/>
              <w:ind w:left="311" w:right="301"/>
              <w:jc w:val="center"/>
              <w:rPr>
                <w:sz w:val="18"/>
              </w:rPr>
            </w:pPr>
            <w:r>
              <w:rPr>
                <w:sz w:val="18"/>
              </w:rPr>
              <w:t>1.32*</w:t>
            </w:r>
          </w:p>
        </w:tc>
        <w:tc>
          <w:tcPr>
            <w:tcW w:w="1134" w:type="dxa"/>
            <w:vMerge w:val="restart"/>
          </w:tcPr>
          <w:p>
            <w:pPr>
              <w:pStyle w:val="TableParagraph"/>
              <w:rPr>
                <w:rFonts w:ascii="Times New Roman"/>
                <w:sz w:val="16"/>
              </w:rPr>
            </w:pPr>
          </w:p>
        </w:tc>
        <w:tc>
          <w:tcPr>
            <w:tcW w:w="1136" w:type="dxa"/>
            <w:tcBorders>
              <w:bottom w:val="nil"/>
            </w:tcBorders>
          </w:tcPr>
          <w:p>
            <w:pPr>
              <w:pStyle w:val="TableParagraph"/>
              <w:spacing w:before="131"/>
              <w:ind w:left="305" w:right="301"/>
              <w:jc w:val="center"/>
              <w:rPr>
                <w:sz w:val="18"/>
              </w:rPr>
            </w:pPr>
            <w:r>
              <w:rPr>
                <w:sz w:val="18"/>
              </w:rPr>
              <w:t>1.11</w:t>
            </w:r>
          </w:p>
        </w:tc>
      </w:tr>
      <w:tr>
        <w:trPr>
          <w:trHeight w:val="266" w:hRule="atLeast"/>
        </w:trPr>
        <w:tc>
          <w:tcPr>
            <w:tcW w:w="2660" w:type="dxa"/>
            <w:tcBorders>
              <w:top w:val="nil"/>
            </w:tcBorders>
          </w:tcPr>
          <w:p>
            <w:pPr>
              <w:pStyle w:val="TableParagraph"/>
              <w:spacing w:line="187" w:lineRule="exact" w:before="59"/>
              <w:ind w:left="110"/>
              <w:rPr>
                <w:sz w:val="18"/>
              </w:rPr>
            </w:pPr>
            <w:r>
              <w:rPr>
                <w:sz w:val="18"/>
              </w:rPr>
              <w:t>and investment, 1998-2008</w:t>
            </w:r>
          </w:p>
        </w:tc>
        <w:tc>
          <w:tcPr>
            <w:tcW w:w="1133" w:type="dxa"/>
            <w:vMerge/>
            <w:tcBorders>
              <w:top w:val="nil"/>
            </w:tcBorders>
          </w:tcPr>
          <w:p>
            <w:pPr>
              <w:rPr>
                <w:sz w:val="2"/>
                <w:szCs w:val="2"/>
              </w:rPr>
            </w:pPr>
          </w:p>
        </w:tc>
        <w:tc>
          <w:tcPr>
            <w:tcW w:w="1136" w:type="dxa"/>
            <w:tcBorders>
              <w:top w:val="nil"/>
            </w:tcBorders>
          </w:tcPr>
          <w:p>
            <w:pPr>
              <w:pStyle w:val="TableParagraph"/>
              <w:spacing w:line="187" w:lineRule="exact" w:before="59"/>
              <w:ind w:left="311" w:right="299"/>
              <w:jc w:val="center"/>
              <w:rPr>
                <w:sz w:val="18"/>
              </w:rPr>
            </w:pPr>
            <w:r>
              <w:rPr>
                <w:sz w:val="18"/>
              </w:rPr>
              <w:t>(1.00)</w:t>
            </w:r>
          </w:p>
        </w:tc>
        <w:tc>
          <w:tcPr>
            <w:tcW w:w="1136" w:type="dxa"/>
            <w:tcBorders>
              <w:top w:val="nil"/>
            </w:tcBorders>
          </w:tcPr>
          <w:p>
            <w:pPr>
              <w:pStyle w:val="TableParagraph"/>
              <w:spacing w:line="187" w:lineRule="exact" w:before="59"/>
              <w:ind w:left="308" w:right="301"/>
              <w:jc w:val="center"/>
              <w:rPr>
                <w:sz w:val="18"/>
              </w:rPr>
            </w:pPr>
            <w:r>
              <w:rPr>
                <w:sz w:val="18"/>
              </w:rPr>
              <w:t>(0.70)</w:t>
            </w:r>
          </w:p>
        </w:tc>
        <w:tc>
          <w:tcPr>
            <w:tcW w:w="1134" w:type="dxa"/>
            <w:vMerge/>
            <w:tcBorders>
              <w:top w:val="nil"/>
            </w:tcBorders>
          </w:tcPr>
          <w:p>
            <w:pPr>
              <w:rPr>
                <w:sz w:val="2"/>
                <w:szCs w:val="2"/>
              </w:rPr>
            </w:pPr>
          </w:p>
        </w:tc>
        <w:tc>
          <w:tcPr>
            <w:tcW w:w="1136" w:type="dxa"/>
            <w:tcBorders>
              <w:top w:val="nil"/>
            </w:tcBorders>
          </w:tcPr>
          <w:p>
            <w:pPr>
              <w:pStyle w:val="TableParagraph"/>
              <w:rPr>
                <w:rFonts w:ascii="Times New Roman"/>
                <w:sz w:val="16"/>
              </w:rPr>
            </w:pPr>
          </w:p>
        </w:tc>
      </w:tr>
      <w:tr>
        <w:trPr>
          <w:trHeight w:val="403" w:hRule="atLeast"/>
        </w:trPr>
        <w:tc>
          <w:tcPr>
            <w:tcW w:w="2660" w:type="dxa"/>
            <w:tcBorders>
              <w:bottom w:val="nil"/>
            </w:tcBorders>
          </w:tcPr>
          <w:p>
            <w:pPr>
              <w:pStyle w:val="TableParagraph"/>
              <w:spacing w:before="131"/>
              <w:ind w:left="110"/>
              <w:rPr>
                <w:sz w:val="18"/>
              </w:rPr>
            </w:pPr>
            <w:r>
              <w:rPr>
                <w:sz w:val="18"/>
              </w:rPr>
              <w:t>Reduction in barriers to</w:t>
            </w:r>
          </w:p>
        </w:tc>
        <w:tc>
          <w:tcPr>
            <w:tcW w:w="1133" w:type="dxa"/>
            <w:vMerge w:val="restart"/>
          </w:tcPr>
          <w:p>
            <w:pPr>
              <w:pStyle w:val="TableParagraph"/>
              <w:rPr>
                <w:rFonts w:ascii="Times New Roman"/>
                <w:sz w:val="16"/>
              </w:rPr>
            </w:pPr>
          </w:p>
        </w:tc>
        <w:tc>
          <w:tcPr>
            <w:tcW w:w="1136" w:type="dxa"/>
            <w:tcBorders>
              <w:bottom w:val="nil"/>
            </w:tcBorders>
          </w:tcPr>
          <w:p>
            <w:pPr>
              <w:pStyle w:val="TableParagraph"/>
              <w:spacing w:before="131"/>
              <w:ind w:left="311" w:right="299"/>
              <w:jc w:val="center"/>
              <w:rPr>
                <w:sz w:val="18"/>
              </w:rPr>
            </w:pPr>
            <w:r>
              <w:rPr>
                <w:sz w:val="18"/>
              </w:rPr>
              <w:t>0.36</w:t>
            </w:r>
          </w:p>
        </w:tc>
        <w:tc>
          <w:tcPr>
            <w:tcW w:w="1136" w:type="dxa"/>
            <w:vMerge w:val="restart"/>
          </w:tcPr>
          <w:p>
            <w:pPr>
              <w:pStyle w:val="TableParagraph"/>
              <w:rPr>
                <w:rFonts w:ascii="Times New Roman"/>
                <w:sz w:val="16"/>
              </w:rPr>
            </w:pPr>
          </w:p>
        </w:tc>
        <w:tc>
          <w:tcPr>
            <w:tcW w:w="1134" w:type="dxa"/>
            <w:vMerge w:val="restart"/>
          </w:tcPr>
          <w:p>
            <w:pPr>
              <w:pStyle w:val="TableParagraph"/>
              <w:rPr>
                <w:rFonts w:ascii="Times New Roman"/>
                <w:sz w:val="16"/>
              </w:rPr>
            </w:pPr>
          </w:p>
        </w:tc>
        <w:tc>
          <w:tcPr>
            <w:tcW w:w="1136" w:type="dxa"/>
            <w:vMerge w:val="restart"/>
          </w:tcPr>
          <w:p>
            <w:pPr>
              <w:pStyle w:val="TableParagraph"/>
              <w:rPr>
                <w:rFonts w:ascii="Times New Roman"/>
                <w:sz w:val="16"/>
              </w:rPr>
            </w:pPr>
          </w:p>
        </w:tc>
      </w:tr>
      <w:tr>
        <w:trPr>
          <w:trHeight w:val="268" w:hRule="atLeast"/>
        </w:trPr>
        <w:tc>
          <w:tcPr>
            <w:tcW w:w="2660" w:type="dxa"/>
            <w:tcBorders>
              <w:top w:val="nil"/>
            </w:tcBorders>
          </w:tcPr>
          <w:p>
            <w:pPr>
              <w:pStyle w:val="TableParagraph"/>
              <w:spacing w:line="189" w:lineRule="exact" w:before="59"/>
              <w:ind w:left="110"/>
              <w:rPr>
                <w:sz w:val="18"/>
              </w:rPr>
            </w:pPr>
            <w:r>
              <w:rPr>
                <w:sz w:val="18"/>
              </w:rPr>
              <w:t>entrepreneurship, 1998-2008</w:t>
            </w:r>
          </w:p>
        </w:tc>
        <w:tc>
          <w:tcPr>
            <w:tcW w:w="1133" w:type="dxa"/>
            <w:vMerge/>
            <w:tcBorders>
              <w:top w:val="nil"/>
            </w:tcBorders>
          </w:tcPr>
          <w:p>
            <w:pPr>
              <w:rPr>
                <w:sz w:val="2"/>
                <w:szCs w:val="2"/>
              </w:rPr>
            </w:pPr>
          </w:p>
        </w:tc>
        <w:tc>
          <w:tcPr>
            <w:tcW w:w="1136" w:type="dxa"/>
            <w:tcBorders>
              <w:top w:val="nil"/>
            </w:tcBorders>
          </w:tcPr>
          <w:p>
            <w:pPr>
              <w:pStyle w:val="TableParagraph"/>
              <w:spacing w:line="189" w:lineRule="exact" w:before="59"/>
              <w:ind w:left="311" w:right="299"/>
              <w:jc w:val="center"/>
              <w:rPr>
                <w:sz w:val="18"/>
              </w:rPr>
            </w:pPr>
            <w:r>
              <w:rPr>
                <w:sz w:val="18"/>
              </w:rPr>
              <w:t>(0.67)</w:t>
            </w:r>
          </w:p>
        </w:tc>
        <w:tc>
          <w:tcPr>
            <w:tcW w:w="1136" w:type="dxa"/>
            <w:vMerge/>
            <w:tcBorders>
              <w:top w:val="nil"/>
            </w:tcBorders>
          </w:tcPr>
          <w:p>
            <w:pPr>
              <w:rPr>
                <w:sz w:val="2"/>
                <w:szCs w:val="2"/>
              </w:rPr>
            </w:pPr>
          </w:p>
        </w:tc>
        <w:tc>
          <w:tcPr>
            <w:tcW w:w="1134" w:type="dxa"/>
            <w:vMerge/>
            <w:tcBorders>
              <w:top w:val="nil"/>
            </w:tcBorders>
          </w:tcPr>
          <w:p>
            <w:pPr>
              <w:rPr>
                <w:sz w:val="2"/>
                <w:szCs w:val="2"/>
              </w:rPr>
            </w:pPr>
          </w:p>
        </w:tc>
        <w:tc>
          <w:tcPr>
            <w:tcW w:w="1136" w:type="dxa"/>
            <w:vMerge/>
            <w:tcBorders>
              <w:top w:val="nil"/>
            </w:tcBorders>
          </w:tcPr>
          <w:p>
            <w:pPr>
              <w:rPr>
                <w:sz w:val="2"/>
                <w:szCs w:val="2"/>
              </w:rPr>
            </w:pPr>
          </w:p>
        </w:tc>
      </w:tr>
      <w:tr>
        <w:trPr>
          <w:trHeight w:val="402" w:hRule="atLeast"/>
        </w:trPr>
        <w:tc>
          <w:tcPr>
            <w:tcW w:w="2660" w:type="dxa"/>
            <w:tcBorders>
              <w:bottom w:val="nil"/>
            </w:tcBorders>
          </w:tcPr>
          <w:p>
            <w:pPr>
              <w:pStyle w:val="TableParagraph"/>
              <w:spacing w:before="131"/>
              <w:ind w:left="110"/>
              <w:rPr>
                <w:sz w:val="18"/>
              </w:rPr>
            </w:pPr>
            <w:r>
              <w:rPr>
                <w:sz w:val="18"/>
              </w:rPr>
              <w:t>Reduction in state control,</w:t>
            </w:r>
          </w:p>
        </w:tc>
        <w:tc>
          <w:tcPr>
            <w:tcW w:w="1133" w:type="dxa"/>
            <w:vMerge w:val="restart"/>
          </w:tcPr>
          <w:p>
            <w:pPr>
              <w:pStyle w:val="TableParagraph"/>
              <w:rPr>
                <w:rFonts w:ascii="Times New Roman"/>
                <w:sz w:val="16"/>
              </w:rPr>
            </w:pPr>
          </w:p>
        </w:tc>
        <w:tc>
          <w:tcPr>
            <w:tcW w:w="1136" w:type="dxa"/>
            <w:tcBorders>
              <w:bottom w:val="nil"/>
            </w:tcBorders>
          </w:tcPr>
          <w:p>
            <w:pPr>
              <w:pStyle w:val="TableParagraph"/>
              <w:spacing w:before="131"/>
              <w:ind w:left="311" w:right="299"/>
              <w:jc w:val="center"/>
              <w:rPr>
                <w:sz w:val="18"/>
              </w:rPr>
            </w:pPr>
            <w:r>
              <w:rPr>
                <w:sz w:val="18"/>
              </w:rPr>
              <w:t>0.40</w:t>
            </w:r>
          </w:p>
        </w:tc>
        <w:tc>
          <w:tcPr>
            <w:tcW w:w="1136" w:type="dxa"/>
            <w:vMerge w:val="restart"/>
          </w:tcPr>
          <w:p>
            <w:pPr>
              <w:pStyle w:val="TableParagraph"/>
              <w:rPr>
                <w:rFonts w:ascii="Times New Roman"/>
                <w:sz w:val="16"/>
              </w:rPr>
            </w:pPr>
          </w:p>
        </w:tc>
        <w:tc>
          <w:tcPr>
            <w:tcW w:w="1134" w:type="dxa"/>
            <w:vMerge w:val="restart"/>
          </w:tcPr>
          <w:p>
            <w:pPr>
              <w:pStyle w:val="TableParagraph"/>
              <w:rPr>
                <w:rFonts w:ascii="Times New Roman"/>
                <w:sz w:val="16"/>
              </w:rPr>
            </w:pPr>
          </w:p>
        </w:tc>
        <w:tc>
          <w:tcPr>
            <w:tcW w:w="1136" w:type="dxa"/>
            <w:vMerge w:val="restart"/>
          </w:tcPr>
          <w:p>
            <w:pPr>
              <w:pStyle w:val="TableParagraph"/>
              <w:rPr>
                <w:rFonts w:ascii="Times New Roman"/>
                <w:sz w:val="16"/>
              </w:rPr>
            </w:pPr>
          </w:p>
        </w:tc>
      </w:tr>
      <w:tr>
        <w:trPr>
          <w:trHeight w:val="266" w:hRule="atLeast"/>
        </w:trPr>
        <w:tc>
          <w:tcPr>
            <w:tcW w:w="2660" w:type="dxa"/>
            <w:tcBorders>
              <w:top w:val="nil"/>
            </w:tcBorders>
          </w:tcPr>
          <w:p>
            <w:pPr>
              <w:pStyle w:val="TableParagraph"/>
              <w:spacing w:line="187" w:lineRule="exact" w:before="59"/>
              <w:ind w:left="110"/>
              <w:rPr>
                <w:sz w:val="18"/>
              </w:rPr>
            </w:pPr>
            <w:r>
              <w:rPr>
                <w:sz w:val="18"/>
              </w:rPr>
              <w:t>1998-2008</w:t>
            </w:r>
          </w:p>
        </w:tc>
        <w:tc>
          <w:tcPr>
            <w:tcW w:w="1133" w:type="dxa"/>
            <w:vMerge/>
            <w:tcBorders>
              <w:top w:val="nil"/>
            </w:tcBorders>
          </w:tcPr>
          <w:p>
            <w:pPr>
              <w:rPr>
                <w:sz w:val="2"/>
                <w:szCs w:val="2"/>
              </w:rPr>
            </w:pPr>
          </w:p>
        </w:tc>
        <w:tc>
          <w:tcPr>
            <w:tcW w:w="1136" w:type="dxa"/>
            <w:tcBorders>
              <w:top w:val="nil"/>
            </w:tcBorders>
          </w:tcPr>
          <w:p>
            <w:pPr>
              <w:pStyle w:val="TableParagraph"/>
              <w:spacing w:line="187" w:lineRule="exact" w:before="59"/>
              <w:ind w:left="311" w:right="299"/>
              <w:jc w:val="center"/>
              <w:rPr>
                <w:sz w:val="18"/>
              </w:rPr>
            </w:pPr>
            <w:r>
              <w:rPr>
                <w:sz w:val="18"/>
              </w:rPr>
              <w:t>(0.31)</w:t>
            </w:r>
          </w:p>
        </w:tc>
        <w:tc>
          <w:tcPr>
            <w:tcW w:w="1136" w:type="dxa"/>
            <w:vMerge/>
            <w:tcBorders>
              <w:top w:val="nil"/>
            </w:tcBorders>
          </w:tcPr>
          <w:p>
            <w:pPr>
              <w:rPr>
                <w:sz w:val="2"/>
                <w:szCs w:val="2"/>
              </w:rPr>
            </w:pPr>
          </w:p>
        </w:tc>
        <w:tc>
          <w:tcPr>
            <w:tcW w:w="1134" w:type="dxa"/>
            <w:vMerge/>
            <w:tcBorders>
              <w:top w:val="nil"/>
            </w:tcBorders>
          </w:tcPr>
          <w:p>
            <w:pPr>
              <w:rPr>
                <w:sz w:val="2"/>
                <w:szCs w:val="2"/>
              </w:rPr>
            </w:pPr>
          </w:p>
        </w:tc>
        <w:tc>
          <w:tcPr>
            <w:tcW w:w="1136" w:type="dxa"/>
            <w:vMerge/>
            <w:tcBorders>
              <w:top w:val="nil"/>
            </w:tcBorders>
          </w:tcPr>
          <w:p>
            <w:pPr>
              <w:rPr>
                <w:sz w:val="2"/>
                <w:szCs w:val="2"/>
              </w:rPr>
            </w:pPr>
          </w:p>
        </w:tc>
      </w:tr>
      <w:tr>
        <w:trPr>
          <w:trHeight w:val="681" w:hRule="atLeast"/>
        </w:trPr>
        <w:tc>
          <w:tcPr>
            <w:tcW w:w="2660" w:type="dxa"/>
          </w:tcPr>
          <w:p>
            <w:pPr>
              <w:pStyle w:val="TableParagraph"/>
              <w:spacing w:line="340" w:lineRule="exact" w:before="28"/>
              <w:ind w:left="110" w:right="336"/>
              <w:rPr>
                <w:sz w:val="18"/>
              </w:rPr>
            </w:pPr>
            <w:r>
              <w:rPr>
                <w:sz w:val="18"/>
              </w:rPr>
              <w:t>Average TFP growth during 2007-09</w:t>
            </w:r>
          </w:p>
        </w:tc>
        <w:tc>
          <w:tcPr>
            <w:tcW w:w="1133" w:type="dxa"/>
          </w:tcPr>
          <w:p>
            <w:pPr>
              <w:pStyle w:val="TableParagraph"/>
              <w:spacing w:line="340" w:lineRule="exact" w:before="28"/>
              <w:ind w:left="331" w:right="257" w:hanging="46"/>
              <w:rPr>
                <w:sz w:val="18"/>
              </w:rPr>
            </w:pPr>
            <w:r>
              <w:rPr>
                <w:sz w:val="18"/>
              </w:rPr>
              <w:t>0.39*** (0.14)</w:t>
            </w:r>
          </w:p>
        </w:tc>
        <w:tc>
          <w:tcPr>
            <w:tcW w:w="1136" w:type="dxa"/>
          </w:tcPr>
          <w:p>
            <w:pPr>
              <w:pStyle w:val="TableParagraph"/>
              <w:spacing w:line="340" w:lineRule="exact" w:before="28"/>
              <w:ind w:left="333" w:right="302" w:firstLine="24"/>
              <w:rPr>
                <w:sz w:val="18"/>
              </w:rPr>
            </w:pPr>
            <w:r>
              <w:rPr>
                <w:sz w:val="18"/>
              </w:rPr>
              <w:t>0.32* (0.18)</w:t>
            </w:r>
          </w:p>
        </w:tc>
        <w:tc>
          <w:tcPr>
            <w:tcW w:w="1136" w:type="dxa"/>
          </w:tcPr>
          <w:p>
            <w:pPr>
              <w:pStyle w:val="TableParagraph"/>
              <w:spacing w:line="340" w:lineRule="exact" w:before="28"/>
              <w:ind w:left="330" w:right="295" w:hanging="10"/>
              <w:rPr>
                <w:sz w:val="18"/>
              </w:rPr>
            </w:pPr>
            <w:r>
              <w:rPr>
                <w:sz w:val="18"/>
              </w:rPr>
              <w:t>0.32** (0.15)</w:t>
            </w:r>
          </w:p>
        </w:tc>
        <w:tc>
          <w:tcPr>
            <w:tcW w:w="1134" w:type="dxa"/>
          </w:tcPr>
          <w:p>
            <w:pPr>
              <w:pStyle w:val="TableParagraph"/>
              <w:spacing w:before="2"/>
              <w:rPr>
                <w:b/>
                <w:sz w:val="26"/>
              </w:rPr>
            </w:pPr>
          </w:p>
          <w:p>
            <w:pPr>
              <w:pStyle w:val="TableParagraph"/>
              <w:ind w:left="370" w:right="363"/>
              <w:jc w:val="center"/>
              <w:rPr>
                <w:sz w:val="18"/>
              </w:rPr>
            </w:pPr>
            <w:r>
              <w:rPr>
                <w:sz w:val="18"/>
              </w:rPr>
              <w:t>0.65</w:t>
            </w:r>
          </w:p>
        </w:tc>
        <w:tc>
          <w:tcPr>
            <w:tcW w:w="1136" w:type="dxa"/>
          </w:tcPr>
          <w:p>
            <w:pPr>
              <w:pStyle w:val="TableParagraph"/>
              <w:spacing w:before="2"/>
              <w:rPr>
                <w:b/>
                <w:sz w:val="26"/>
              </w:rPr>
            </w:pPr>
          </w:p>
          <w:p>
            <w:pPr>
              <w:pStyle w:val="TableParagraph"/>
              <w:ind w:left="305" w:right="301"/>
              <w:jc w:val="center"/>
              <w:rPr>
                <w:sz w:val="18"/>
              </w:rPr>
            </w:pPr>
            <w:r>
              <w:rPr>
                <w:sz w:val="18"/>
              </w:rPr>
              <w:t>0.59</w:t>
            </w:r>
          </w:p>
        </w:tc>
      </w:tr>
      <w:tr>
        <w:trPr>
          <w:trHeight w:val="313" w:hRule="atLeast"/>
        </w:trPr>
        <w:tc>
          <w:tcPr>
            <w:tcW w:w="2660" w:type="dxa"/>
          </w:tcPr>
          <w:p>
            <w:pPr>
              <w:pStyle w:val="TableParagraph"/>
              <w:rPr>
                <w:rFonts w:ascii="Times New Roman"/>
                <w:sz w:val="16"/>
              </w:rPr>
            </w:pPr>
          </w:p>
        </w:tc>
        <w:tc>
          <w:tcPr>
            <w:tcW w:w="1133" w:type="dxa"/>
          </w:tcPr>
          <w:p>
            <w:pPr>
              <w:pStyle w:val="TableParagraph"/>
              <w:rPr>
                <w:rFonts w:ascii="Times New Roman"/>
                <w:sz w:val="16"/>
              </w:rPr>
            </w:pPr>
          </w:p>
        </w:tc>
        <w:tc>
          <w:tcPr>
            <w:tcW w:w="1136" w:type="dxa"/>
          </w:tcPr>
          <w:p>
            <w:pPr>
              <w:pStyle w:val="TableParagraph"/>
              <w:rPr>
                <w:rFonts w:ascii="Times New Roman"/>
                <w:sz w:val="16"/>
              </w:rPr>
            </w:pPr>
          </w:p>
        </w:tc>
        <w:tc>
          <w:tcPr>
            <w:tcW w:w="1136" w:type="dxa"/>
          </w:tcPr>
          <w:p>
            <w:pPr>
              <w:pStyle w:val="TableParagraph"/>
              <w:rPr>
                <w:rFonts w:ascii="Times New Roman"/>
                <w:sz w:val="16"/>
              </w:rPr>
            </w:pPr>
          </w:p>
        </w:tc>
        <w:tc>
          <w:tcPr>
            <w:tcW w:w="1134" w:type="dxa"/>
          </w:tcPr>
          <w:p>
            <w:pPr>
              <w:pStyle w:val="TableParagraph"/>
              <w:rPr>
                <w:rFonts w:ascii="Times New Roman"/>
                <w:sz w:val="16"/>
              </w:rPr>
            </w:pPr>
          </w:p>
        </w:tc>
        <w:tc>
          <w:tcPr>
            <w:tcW w:w="1136" w:type="dxa"/>
          </w:tcPr>
          <w:p>
            <w:pPr>
              <w:pStyle w:val="TableParagraph"/>
              <w:rPr>
                <w:rFonts w:ascii="Times New Roman"/>
                <w:sz w:val="16"/>
              </w:rPr>
            </w:pPr>
          </w:p>
        </w:tc>
      </w:tr>
      <w:tr>
        <w:trPr>
          <w:trHeight w:val="337" w:hRule="atLeast"/>
        </w:trPr>
        <w:tc>
          <w:tcPr>
            <w:tcW w:w="2660" w:type="dxa"/>
          </w:tcPr>
          <w:p>
            <w:pPr>
              <w:pStyle w:val="TableParagraph"/>
              <w:spacing w:line="166" w:lineRule="exact" w:before="152"/>
              <w:ind w:left="110"/>
              <w:rPr>
                <w:sz w:val="16"/>
              </w:rPr>
            </w:pPr>
            <w:r>
              <w:rPr>
                <w:sz w:val="16"/>
              </w:rPr>
              <w:t>Estimation method</w:t>
            </w:r>
          </w:p>
        </w:tc>
        <w:tc>
          <w:tcPr>
            <w:tcW w:w="1133" w:type="dxa"/>
          </w:tcPr>
          <w:p>
            <w:pPr>
              <w:pStyle w:val="TableParagraph"/>
              <w:spacing w:line="166" w:lineRule="exact" w:before="152"/>
              <w:ind w:left="332" w:right="323"/>
              <w:jc w:val="center"/>
              <w:rPr>
                <w:sz w:val="16"/>
              </w:rPr>
            </w:pPr>
            <w:r>
              <w:rPr>
                <w:sz w:val="16"/>
              </w:rPr>
              <w:t>IV</w:t>
            </w:r>
          </w:p>
        </w:tc>
        <w:tc>
          <w:tcPr>
            <w:tcW w:w="1136" w:type="dxa"/>
          </w:tcPr>
          <w:p>
            <w:pPr>
              <w:pStyle w:val="TableParagraph"/>
              <w:spacing w:line="166" w:lineRule="exact" w:before="152"/>
              <w:ind w:left="311" w:right="300"/>
              <w:jc w:val="center"/>
              <w:rPr>
                <w:sz w:val="16"/>
              </w:rPr>
            </w:pPr>
            <w:r>
              <w:rPr>
                <w:sz w:val="16"/>
              </w:rPr>
              <w:t>IV</w:t>
            </w:r>
          </w:p>
        </w:tc>
        <w:tc>
          <w:tcPr>
            <w:tcW w:w="1136" w:type="dxa"/>
          </w:tcPr>
          <w:p>
            <w:pPr>
              <w:pStyle w:val="TableParagraph"/>
              <w:spacing w:line="166" w:lineRule="exact" w:before="152"/>
              <w:ind w:left="311" w:right="301"/>
              <w:jc w:val="center"/>
              <w:rPr>
                <w:sz w:val="16"/>
              </w:rPr>
            </w:pPr>
            <w:r>
              <w:rPr>
                <w:sz w:val="16"/>
              </w:rPr>
              <w:t>IV</w:t>
            </w:r>
          </w:p>
        </w:tc>
        <w:tc>
          <w:tcPr>
            <w:tcW w:w="1134" w:type="dxa"/>
          </w:tcPr>
          <w:p>
            <w:pPr>
              <w:pStyle w:val="TableParagraph"/>
              <w:spacing w:line="166" w:lineRule="exact" w:before="152"/>
              <w:ind w:left="370" w:right="363"/>
              <w:jc w:val="center"/>
              <w:rPr>
                <w:sz w:val="16"/>
              </w:rPr>
            </w:pPr>
            <w:r>
              <w:rPr>
                <w:sz w:val="16"/>
              </w:rPr>
              <w:t>IVQ</w:t>
            </w:r>
          </w:p>
        </w:tc>
        <w:tc>
          <w:tcPr>
            <w:tcW w:w="1136" w:type="dxa"/>
          </w:tcPr>
          <w:p>
            <w:pPr>
              <w:pStyle w:val="TableParagraph"/>
              <w:spacing w:line="166" w:lineRule="exact" w:before="152"/>
              <w:ind w:left="309" w:right="301"/>
              <w:jc w:val="center"/>
              <w:rPr>
                <w:sz w:val="16"/>
              </w:rPr>
            </w:pPr>
            <w:r>
              <w:rPr>
                <w:sz w:val="16"/>
              </w:rPr>
              <w:t>IVQ</w:t>
            </w:r>
          </w:p>
        </w:tc>
      </w:tr>
      <w:tr>
        <w:trPr>
          <w:trHeight w:val="340" w:hRule="atLeast"/>
        </w:trPr>
        <w:tc>
          <w:tcPr>
            <w:tcW w:w="2660" w:type="dxa"/>
          </w:tcPr>
          <w:p>
            <w:pPr>
              <w:pStyle w:val="TableParagraph"/>
              <w:spacing w:line="166" w:lineRule="exact" w:before="154"/>
              <w:ind w:left="110"/>
              <w:rPr>
                <w:sz w:val="16"/>
              </w:rPr>
            </w:pPr>
            <w:r>
              <w:rPr>
                <w:sz w:val="16"/>
              </w:rPr>
              <w:t>Number of countries</w:t>
            </w:r>
          </w:p>
        </w:tc>
        <w:tc>
          <w:tcPr>
            <w:tcW w:w="1133" w:type="dxa"/>
          </w:tcPr>
          <w:p>
            <w:pPr>
              <w:pStyle w:val="TableParagraph"/>
              <w:spacing w:line="166" w:lineRule="exact" w:before="154"/>
              <w:ind w:left="332" w:right="323"/>
              <w:jc w:val="center"/>
              <w:rPr>
                <w:sz w:val="16"/>
              </w:rPr>
            </w:pPr>
            <w:r>
              <w:rPr>
                <w:sz w:val="16"/>
              </w:rPr>
              <w:t>18</w:t>
            </w:r>
          </w:p>
        </w:tc>
        <w:tc>
          <w:tcPr>
            <w:tcW w:w="1136" w:type="dxa"/>
          </w:tcPr>
          <w:p>
            <w:pPr>
              <w:pStyle w:val="TableParagraph"/>
              <w:spacing w:line="166" w:lineRule="exact" w:before="154"/>
              <w:ind w:left="311" w:right="300"/>
              <w:jc w:val="center"/>
              <w:rPr>
                <w:sz w:val="16"/>
              </w:rPr>
            </w:pPr>
            <w:r>
              <w:rPr>
                <w:sz w:val="16"/>
              </w:rPr>
              <w:t>18</w:t>
            </w:r>
          </w:p>
        </w:tc>
        <w:tc>
          <w:tcPr>
            <w:tcW w:w="1136" w:type="dxa"/>
          </w:tcPr>
          <w:p>
            <w:pPr>
              <w:pStyle w:val="TableParagraph"/>
              <w:spacing w:line="166" w:lineRule="exact" w:before="154"/>
              <w:ind w:left="306" w:right="301"/>
              <w:jc w:val="center"/>
              <w:rPr>
                <w:sz w:val="16"/>
              </w:rPr>
            </w:pPr>
            <w:r>
              <w:rPr>
                <w:sz w:val="16"/>
              </w:rPr>
              <w:t>18</w:t>
            </w:r>
          </w:p>
        </w:tc>
        <w:tc>
          <w:tcPr>
            <w:tcW w:w="1134" w:type="dxa"/>
          </w:tcPr>
          <w:p>
            <w:pPr>
              <w:pStyle w:val="TableParagraph"/>
              <w:spacing w:line="166" w:lineRule="exact" w:before="154"/>
              <w:ind w:left="369" w:right="363"/>
              <w:jc w:val="center"/>
              <w:rPr>
                <w:sz w:val="16"/>
              </w:rPr>
            </w:pPr>
            <w:r>
              <w:rPr>
                <w:sz w:val="16"/>
              </w:rPr>
              <w:t>19</w:t>
            </w:r>
          </w:p>
        </w:tc>
        <w:tc>
          <w:tcPr>
            <w:tcW w:w="1136" w:type="dxa"/>
          </w:tcPr>
          <w:p>
            <w:pPr>
              <w:pStyle w:val="TableParagraph"/>
              <w:spacing w:line="166" w:lineRule="exact" w:before="154"/>
              <w:ind w:left="303" w:right="301"/>
              <w:jc w:val="center"/>
              <w:rPr>
                <w:sz w:val="16"/>
              </w:rPr>
            </w:pPr>
            <w:r>
              <w:rPr>
                <w:sz w:val="16"/>
              </w:rPr>
              <w:t>19</w:t>
            </w:r>
          </w:p>
        </w:tc>
      </w:tr>
      <w:tr>
        <w:trPr>
          <w:trHeight w:val="340" w:hRule="atLeast"/>
        </w:trPr>
        <w:tc>
          <w:tcPr>
            <w:tcW w:w="2660" w:type="dxa"/>
          </w:tcPr>
          <w:p>
            <w:pPr>
              <w:pStyle w:val="TableParagraph"/>
              <w:spacing w:line="168" w:lineRule="exact" w:before="152"/>
              <w:ind w:left="110"/>
              <w:rPr>
                <w:sz w:val="16"/>
              </w:rPr>
            </w:pPr>
            <w:r>
              <w:rPr>
                <w:sz w:val="16"/>
              </w:rPr>
              <w:t>Countries omitted</w:t>
            </w:r>
          </w:p>
        </w:tc>
        <w:tc>
          <w:tcPr>
            <w:tcW w:w="1133" w:type="dxa"/>
          </w:tcPr>
          <w:p>
            <w:pPr>
              <w:pStyle w:val="TableParagraph"/>
              <w:spacing w:line="168" w:lineRule="exact" w:before="152"/>
              <w:ind w:left="333" w:right="323"/>
              <w:jc w:val="center"/>
              <w:rPr>
                <w:sz w:val="16"/>
              </w:rPr>
            </w:pPr>
            <w:r>
              <w:rPr>
                <w:sz w:val="16"/>
              </w:rPr>
              <w:t>Korea</w:t>
            </w:r>
          </w:p>
        </w:tc>
        <w:tc>
          <w:tcPr>
            <w:tcW w:w="1136" w:type="dxa"/>
          </w:tcPr>
          <w:p>
            <w:pPr>
              <w:pStyle w:val="TableParagraph"/>
              <w:spacing w:line="168" w:lineRule="exact" w:before="152"/>
              <w:ind w:left="311" w:right="300"/>
              <w:jc w:val="center"/>
              <w:rPr>
                <w:sz w:val="16"/>
              </w:rPr>
            </w:pPr>
            <w:r>
              <w:rPr>
                <w:sz w:val="16"/>
              </w:rPr>
              <w:t>Korea</w:t>
            </w:r>
          </w:p>
        </w:tc>
        <w:tc>
          <w:tcPr>
            <w:tcW w:w="1136" w:type="dxa"/>
          </w:tcPr>
          <w:p>
            <w:pPr>
              <w:pStyle w:val="TableParagraph"/>
              <w:spacing w:line="168" w:lineRule="exact" w:before="152"/>
              <w:ind w:left="306" w:right="301"/>
              <w:jc w:val="center"/>
              <w:rPr>
                <w:sz w:val="16"/>
              </w:rPr>
            </w:pPr>
            <w:r>
              <w:rPr>
                <w:sz w:val="16"/>
              </w:rPr>
              <w:t>Korea</w:t>
            </w:r>
          </w:p>
        </w:tc>
        <w:tc>
          <w:tcPr>
            <w:tcW w:w="1134" w:type="dxa"/>
          </w:tcPr>
          <w:p>
            <w:pPr>
              <w:pStyle w:val="TableParagraph"/>
              <w:rPr>
                <w:rFonts w:ascii="Times New Roman"/>
                <w:sz w:val="16"/>
              </w:rPr>
            </w:pPr>
          </w:p>
        </w:tc>
        <w:tc>
          <w:tcPr>
            <w:tcW w:w="1136" w:type="dxa"/>
          </w:tcPr>
          <w:p>
            <w:pPr>
              <w:pStyle w:val="TableParagraph"/>
              <w:rPr>
                <w:rFonts w:ascii="Times New Roman"/>
                <w:sz w:val="16"/>
              </w:rPr>
            </w:pPr>
          </w:p>
        </w:tc>
      </w:tr>
    </w:tbl>
    <w:p>
      <w:pPr>
        <w:pStyle w:val="BodyText"/>
        <w:rPr>
          <w:b/>
          <w:sz w:val="18"/>
        </w:rPr>
      </w:pPr>
    </w:p>
    <w:p>
      <w:pPr>
        <w:spacing w:line="278" w:lineRule="auto" w:before="0"/>
        <w:ind w:left="232" w:right="1457" w:firstLine="0"/>
        <w:jc w:val="both"/>
        <w:rPr>
          <w:sz w:val="16"/>
        </w:rPr>
      </w:pPr>
      <w:r>
        <w:rPr>
          <w:b/>
          <w:sz w:val="16"/>
        </w:rPr>
        <w:t>Sources: </w:t>
      </w:r>
      <w:r>
        <w:rPr>
          <w:sz w:val="16"/>
        </w:rPr>
        <w:t>OECD and Bank calculations. In order to account for reverse causation – namely that countries with stronger productivity growth were in a better position to enact reforms to product markets – the estimation method is by instrumental variables, where the instruments in each regression are the levels of the various OECD scores in 1998.</w:t>
      </w:r>
    </w:p>
    <w:p>
      <w:pPr>
        <w:pStyle w:val="BodyText"/>
        <w:rPr>
          <w:sz w:val="18"/>
        </w:rPr>
      </w:pPr>
    </w:p>
    <w:p>
      <w:pPr>
        <w:pStyle w:val="BodyText"/>
        <w:spacing w:before="11"/>
      </w:pPr>
    </w:p>
    <w:p>
      <w:pPr>
        <w:pStyle w:val="BodyText"/>
        <w:spacing w:line="355" w:lineRule="auto"/>
        <w:ind w:left="232" w:right="1288"/>
      </w:pPr>
      <w:r>
        <w:rPr/>
        <w:t>The first column of Table 1 suggests that reforms to regulation have had a positive effect. After controlling for the shock to TFP brought on by the global financial crisis, a reduction in the overall level of product market regulation in the decade before the crisis is associated with higher average TFP growth.</w:t>
      </w:r>
      <w:r>
        <w:rPr>
          <w:vertAlign w:val="superscript"/>
        </w:rPr>
        <w:t>11</w:t>
      </w:r>
      <w:r>
        <w:rPr>
          <w:vertAlign w:val="baseline"/>
        </w:rPr>
        <w:t> Translating the results into more familiar terms, they suggest that reforms between 1998 and 2008 boosted post-crisis TFP growth by around 0.8pp a year on average. This seems like quite a high estimate, but it is nonetheless informative as a first exploration of the impact of reform on productivity following the financial crisis.</w:t>
      </w:r>
      <w:r>
        <w:rPr>
          <w:vertAlign w:val="superscript"/>
        </w:rPr>
        <w:t>12</w:t>
      </w:r>
    </w:p>
    <w:p>
      <w:pPr>
        <w:pStyle w:val="BodyText"/>
        <w:spacing w:before="6"/>
      </w:pPr>
    </w:p>
    <w:p>
      <w:pPr>
        <w:pStyle w:val="BodyText"/>
        <w:spacing w:line="355" w:lineRule="auto" w:before="1"/>
        <w:ind w:left="232" w:right="1185"/>
      </w:pPr>
      <w:r>
        <w:rPr/>
        <w:t>The second and third columns in Table 1 show how different components of the overall regulation score affect TFP growth. Of the three more detailed indicators, the only statistically significant one is the Barriers</w:t>
      </w:r>
    </w:p>
    <w:p>
      <w:pPr>
        <w:pStyle w:val="BodyText"/>
      </w:pPr>
    </w:p>
    <w:p>
      <w:pPr>
        <w:pStyle w:val="BodyText"/>
      </w:pPr>
    </w:p>
    <w:p>
      <w:pPr>
        <w:pStyle w:val="BodyText"/>
        <w:spacing w:before="9"/>
        <w:rPr>
          <w:sz w:val="16"/>
        </w:rPr>
      </w:pPr>
      <w:r>
        <w:rPr/>
        <w:pict>
          <v:shape style="position:absolute;margin-left:56.639999pt;margin-top:11.855371pt;width:144.050pt;height:.1pt;mso-position-horizontal-relative:page;mso-position-vertical-relative:paragraph;z-index:-251618304;mso-wrap-distance-left:0;mso-wrap-distance-right:0" coordorigin="1133,237" coordsize="2881,0" path="m1133,237l4014,237e" filled="false" stroked="true" strokeweight=".48004pt" strokecolor="#000000">
            <v:path arrowok="t"/>
            <v:stroke dashstyle="solid"/>
            <w10:wrap type="topAndBottom"/>
          </v:shape>
        </w:pict>
      </w:r>
    </w:p>
    <w:p>
      <w:pPr>
        <w:spacing w:before="30"/>
        <w:ind w:left="232" w:right="1093" w:firstLine="0"/>
        <w:jc w:val="left"/>
        <w:rPr>
          <w:sz w:val="16"/>
        </w:rPr>
      </w:pPr>
      <w:r>
        <w:rPr>
          <w:position w:val="8"/>
          <w:sz w:val="10"/>
        </w:rPr>
        <w:t>11 </w:t>
      </w:r>
      <w:r>
        <w:rPr>
          <w:sz w:val="16"/>
        </w:rPr>
        <w:t>The dependent variable in the regression is the difference between TFP growth before the financial crisis – 2001-07 – and after the financial crisis – 2011-13.</w:t>
      </w:r>
    </w:p>
    <w:p>
      <w:pPr>
        <w:spacing w:line="183" w:lineRule="exact" w:before="0"/>
        <w:ind w:left="232" w:right="0" w:firstLine="0"/>
        <w:jc w:val="left"/>
        <w:rPr>
          <w:sz w:val="16"/>
        </w:rPr>
      </w:pPr>
      <w:r>
        <w:rPr>
          <w:position w:val="8"/>
          <w:sz w:val="10"/>
        </w:rPr>
        <w:t>12 </w:t>
      </w:r>
      <w:r>
        <w:rPr>
          <w:sz w:val="16"/>
        </w:rPr>
        <w:t>An additional concern relates to the role of outliers in the set of countries I have studied. In particular, Korea enjoyed particularly</w:t>
      </w:r>
    </w:p>
    <w:p>
      <w:pPr>
        <w:spacing w:before="0"/>
        <w:ind w:left="232" w:right="1185" w:firstLine="0"/>
        <w:jc w:val="left"/>
        <w:rPr>
          <w:sz w:val="16"/>
        </w:rPr>
      </w:pPr>
      <w:r>
        <w:rPr>
          <w:sz w:val="16"/>
        </w:rPr>
        <w:t>strong TFP growth before the crisis, and in the simple regression framework presented in column (1), it has been omitted, to avoid it distorting the results. To check whether this is valid, I have also reported robust regression results from a quantile estimator, which is less affected by large outlying observations, in column (4). The fact that the estimated impact of reform in columns (1) and (4) are similar, suggests that the estimate is quite robust.</w:t>
      </w:r>
    </w:p>
    <w:p>
      <w:pPr>
        <w:spacing w:after="0"/>
        <w:jc w:val="left"/>
        <w:rPr>
          <w:sz w:val="16"/>
        </w:rPr>
        <w:sectPr>
          <w:pgSz w:w="11910" w:h="16840"/>
          <w:pgMar w:header="0" w:footer="1338" w:top="1580" w:bottom="1520" w:left="900" w:right="0"/>
        </w:sectPr>
      </w:pPr>
    </w:p>
    <w:p>
      <w:pPr>
        <w:pStyle w:val="BodyText"/>
        <w:spacing w:line="352" w:lineRule="auto" w:before="129"/>
        <w:ind w:left="232" w:right="1093"/>
      </w:pPr>
      <w:r>
        <w:rPr/>
        <w:t>to trade and foreign direct investment. This chimes with the literature I discussed earlier, which placed great emphasis on trade as a means of facilitating innovation.</w:t>
      </w:r>
      <w:r>
        <w:rPr>
          <w:vertAlign w:val="superscript"/>
        </w:rPr>
        <w:t>13</w:t>
      </w:r>
    </w:p>
    <w:p>
      <w:pPr>
        <w:pStyle w:val="BodyText"/>
        <w:spacing w:before="2"/>
        <w:rPr>
          <w:sz w:val="21"/>
        </w:rPr>
      </w:pPr>
    </w:p>
    <w:p>
      <w:pPr>
        <w:pStyle w:val="BodyText"/>
        <w:spacing w:line="355" w:lineRule="auto"/>
        <w:ind w:left="232" w:right="1185"/>
      </w:pPr>
      <w:r>
        <w:rPr/>
        <w:t>Summarising these results, I find that there is tentative evidence that reforms to regulation have had a beneficial effect on productivity performance: in the absence of reform, the fall in average TFP growth between the pre- and post-crisis periods would have been deeper. But the crisis had a large influence too: the more an economy’s TFP growth fell during the crisis, the weaker it was in the years that followed.</w:t>
      </w:r>
    </w:p>
    <w:p>
      <w:pPr>
        <w:pStyle w:val="Heading1"/>
        <w:spacing w:before="129"/>
      </w:pPr>
      <w:r>
        <w:rPr>
          <w:color w:val="4F81BC"/>
        </w:rPr>
        <w:t>Labour- augmenting Progress and the Quality of Labour</w:t>
      </w:r>
    </w:p>
    <w:p>
      <w:pPr>
        <w:pStyle w:val="BodyText"/>
        <w:rPr>
          <w:b/>
          <w:sz w:val="22"/>
        </w:rPr>
      </w:pPr>
    </w:p>
    <w:p>
      <w:pPr>
        <w:pStyle w:val="BodyText"/>
        <w:spacing w:line="355" w:lineRule="auto" w:before="132"/>
        <w:ind w:left="232" w:right="1143"/>
      </w:pPr>
      <w:r>
        <w:rPr/>
        <w:t>The discussion above was based on the premise that productivity increased as a result of the adoption of new technologies. Rising educational standards are, however, often also regarded as a </w:t>
      </w:r>
      <w:r>
        <w:rPr>
          <w:spacing w:val="2"/>
        </w:rPr>
        <w:t>source </w:t>
      </w:r>
      <w:r>
        <w:rPr/>
        <w:t>of increased productivity. It is generally found that well-qualified people are paid more than poorly-qualified people, and it is a reasonable assumption that this difference reflects a difference in effective “labour power” per hour worked. So how much growth might be expected to come from rising educational standards over the next few years? I would like to focus on one element of this – the proportion of the work-force that has a university education.</w:t>
      </w:r>
    </w:p>
    <w:p>
      <w:pPr>
        <w:pStyle w:val="BodyText"/>
        <w:spacing w:before="3"/>
      </w:pPr>
    </w:p>
    <w:p>
      <w:pPr>
        <w:pStyle w:val="Heading1"/>
      </w:pPr>
      <w:r>
        <w:rPr>
          <w:color w:val="4F81BC"/>
        </w:rPr>
        <w:t>Figure 4: Education gaps in 2013: proportion with tertiary education</w:t>
      </w:r>
    </w:p>
    <w:p>
      <w:pPr>
        <w:pStyle w:val="BodyText"/>
        <w:spacing w:before="1"/>
        <w:rPr>
          <w:b/>
          <w:sz w:val="13"/>
        </w:rPr>
      </w:pPr>
    </w:p>
    <w:p>
      <w:pPr>
        <w:spacing w:before="96"/>
        <w:ind w:left="364" w:right="0" w:firstLine="0"/>
        <w:jc w:val="left"/>
        <w:rPr>
          <w:sz w:val="16"/>
        </w:rPr>
      </w:pPr>
      <w:r>
        <w:rPr/>
        <w:pict>
          <v:group style="position:absolute;margin-left:76.559998pt;margin-top:9.423919pt;width:382.45pt;height:254.9pt;mso-position-horizontal-relative:page;mso-position-vertical-relative:paragraph;z-index:-254025728" coordorigin="1531,188" coordsize="7649,5098">
            <v:shape style="position:absolute;left:7327;top:1875;width:1846;height:2523" coordorigin="7327,1876" coordsize="1846,2523" path="m8846,4398l9173,4398m7327,4398l7980,4398m7327,3558l7980,3558m7327,2716l7980,2716m7327,1876l7980,1876e" filled="false" stroked="true" strokeweight=".72pt" strokecolor="#858585">
              <v:path arrowok="t"/>
              <v:stroke dashstyle="solid"/>
            </v:shape>
            <v:rect style="position:absolute;left:7980;top:1474;width:435;height:3764" filled="true" fillcolor="#4f81bc" stroked="false">
              <v:fill type="solid"/>
            </v:rect>
            <v:shape style="position:absolute;left:1579;top:1875;width:4882;height:2523" coordorigin="1579,1876" coordsize="4882,2523" path="m5810,4398l6461,4398m4291,4398l4942,4398m2772,4398l3422,4398m1579,4398l1903,4398m1579,3558l1903,3558m1579,2716l1903,2716m2338,1876l4942,1876m1579,1876l1903,1876e" filled="false" stroked="true" strokeweight=".72pt" strokecolor="#858585">
              <v:path arrowok="t"/>
              <v:stroke dashstyle="solid"/>
            </v:shape>
            <v:rect style="position:absolute;left:1903;top:1534;width:435;height:3704" filled="true" fillcolor="#4f81bc" stroked="false">
              <v:fill type="solid"/>
            </v:rect>
            <v:shape style="position:absolute;left:2772;top:2715;width:2170;height:843" coordorigin="2772,2716" coordsize="2170,843" path="m2772,3558l3422,3558m2772,2716l4942,2716e" filled="false" stroked="true" strokeweight=".72pt" strokecolor="#858585">
              <v:path arrowok="t"/>
              <v:stroke dashstyle="solid"/>
            </v:shape>
            <v:rect style="position:absolute;left:3422;top:2718;width:435;height:2520" filled="true" fillcolor="#4f81bc" stroked="false">
              <v:fill type="solid"/>
            </v:rect>
            <v:shape style="position:absolute;left:4291;top:1875;width:2170;height:1683" coordorigin="4291,1876" coordsize="2170,1683" path="m4291,3558l4942,3558m5376,1876l6461,1876e" filled="false" stroked="true" strokeweight=".72pt" strokecolor="#858585">
              <v:path arrowok="t"/>
              <v:stroke dashstyle="solid"/>
            </v:shape>
            <v:rect style="position:absolute;left:4941;top:1635;width:435;height:3603" filled="true" fillcolor="#4f81bc" stroked="false">
              <v:fill type="solid"/>
            </v:rect>
            <v:shape style="position:absolute;left:5810;top:2715;width:651;height:843" coordorigin="5810,2716" coordsize="651,843" path="m5810,3558l6461,3558m5810,2716l6461,2716e" filled="false" stroked="true" strokeweight=".72pt" strokecolor="#858585">
              <v:path arrowok="t"/>
              <v:stroke dashstyle="solid"/>
            </v:shape>
            <v:rect style="position:absolute;left:6460;top:1177;width:435;height:4061" filled="true" fillcolor="#4f81bc" stroked="false">
              <v:fill type="solid"/>
            </v:rect>
            <v:shape style="position:absolute;left:2337;top:1717;width:4990;height:3521" coordorigin="2338,1717" coordsize="4990,3521" path="m2772,2540l2338,2540,2338,5238,2772,5238,2772,2540m4291,2845l3857,2845,3857,5238,4291,5238,4291,2845m5810,2392l5376,2392,5376,5238,5810,5238,5810,2392m7327,1717l6895,1717,6895,5238,7327,5238,7327,1717e" filled="true" fillcolor="#c0504d" stroked="false">
              <v:path arrowok="t"/>
              <v:fill type="solid"/>
            </v:shape>
            <v:shape style="position:absolute;left:8846;top:1875;width:327;height:1683" coordorigin="8846,1876" coordsize="327,1683" path="m8846,3558l9173,3558m8846,2716l9173,2716m8846,1876l9173,1876e" filled="false" stroked="true" strokeweight=".72pt" strokecolor="#858585">
              <v:path arrowok="t"/>
              <v:stroke dashstyle="solid"/>
            </v:shape>
            <v:rect style="position:absolute;left:8414;top:1546;width:432;height:3692" filled="true" fillcolor="#c0504d" stroked="false">
              <v:fill type="solid"/>
            </v:rect>
            <v:shape style="position:absolute;left:1531;top:195;width:7642;height:5091" coordorigin="1531,196" coordsize="7642,5091" path="m1579,1036l9173,1036m1579,196l9173,196m1579,5238l1579,196m1531,5238l1579,5238m1531,4398l1579,4398m1531,3558l1579,3558m1531,2716l1579,2716m1531,1876l1579,1876m1531,1036l1579,1036m1531,196l1579,196m1579,5238l9173,5238m1579,5238l1579,5286m3098,5238l3098,5286m4615,5238l4615,5286m6134,5238l6134,5286m7654,5238l7654,5286m9173,5238l9173,5286e" filled="false" stroked="true" strokeweight=".72pt" strokecolor="#858585">
              <v:path arrowok="t"/>
              <v:stroke dashstyle="solid"/>
            </v:shape>
            <w10:wrap type="none"/>
          </v:group>
        </w:pict>
      </w:r>
      <w:r>
        <w:rPr>
          <w:sz w:val="16"/>
        </w:rPr>
        <w:t>60</w:t>
      </w:r>
    </w:p>
    <w:p>
      <w:pPr>
        <w:pStyle w:val="BodyText"/>
      </w:pPr>
    </w:p>
    <w:p>
      <w:pPr>
        <w:pStyle w:val="BodyText"/>
        <w:spacing w:before="9"/>
        <w:rPr>
          <w:sz w:val="28"/>
        </w:rPr>
      </w:pPr>
    </w:p>
    <w:p>
      <w:pPr>
        <w:spacing w:before="96"/>
        <w:ind w:left="364" w:right="0" w:firstLine="0"/>
        <w:jc w:val="left"/>
        <w:rPr>
          <w:sz w:val="16"/>
        </w:rPr>
      </w:pPr>
      <w:r>
        <w:rPr>
          <w:sz w:val="16"/>
        </w:rPr>
        <w:t>50</w:t>
      </w:r>
    </w:p>
    <w:p>
      <w:pPr>
        <w:pStyle w:val="BodyText"/>
      </w:pPr>
    </w:p>
    <w:p>
      <w:pPr>
        <w:pStyle w:val="BodyText"/>
        <w:spacing w:before="9"/>
        <w:rPr>
          <w:sz w:val="28"/>
        </w:rPr>
      </w:pPr>
    </w:p>
    <w:p>
      <w:pPr>
        <w:spacing w:before="96"/>
        <w:ind w:left="364" w:right="0" w:firstLine="0"/>
        <w:jc w:val="left"/>
        <w:rPr>
          <w:sz w:val="16"/>
        </w:rPr>
      </w:pPr>
      <w:r>
        <w:rPr>
          <w:sz w:val="16"/>
        </w:rPr>
        <w:t>40</w:t>
      </w:r>
    </w:p>
    <w:p>
      <w:pPr>
        <w:pStyle w:val="BodyText"/>
      </w:pPr>
    </w:p>
    <w:p>
      <w:pPr>
        <w:pStyle w:val="BodyText"/>
        <w:spacing w:before="10"/>
        <w:rPr>
          <w:sz w:val="23"/>
        </w:rPr>
      </w:pPr>
    </w:p>
    <w:p>
      <w:pPr>
        <w:tabs>
          <w:tab w:pos="8694" w:val="left" w:leader="none"/>
        </w:tabs>
        <w:spacing w:before="96"/>
        <w:ind w:left="364" w:right="0" w:firstLine="0"/>
        <w:jc w:val="left"/>
        <w:rPr>
          <w:sz w:val="16"/>
        </w:rPr>
      </w:pPr>
      <w:r>
        <w:rPr/>
        <w:pict>
          <v:rect style="position:absolute;margin-left:473.880005pt;margin-top:7.643892pt;width:4.08pt;height:4.08pt;mso-position-horizontal-relative:page;mso-position-vertical-relative:paragraph;z-index:-254024704" filled="true" fillcolor="#4f81bc" stroked="false">
            <v:fill type="solid"/>
            <w10:wrap type="none"/>
          </v:rect>
        </w:pict>
      </w:r>
      <w:r>
        <w:rPr>
          <w:position w:val="-5"/>
          <w:sz w:val="16"/>
        </w:rPr>
        <w:t>30</w:t>
        <w:tab/>
      </w:r>
      <w:r>
        <w:rPr>
          <w:sz w:val="16"/>
        </w:rPr>
        <w:t>25-34</w:t>
      </w:r>
    </w:p>
    <w:p>
      <w:pPr>
        <w:spacing w:before="53"/>
        <w:ind w:left="0" w:right="1902" w:firstLine="0"/>
        <w:jc w:val="right"/>
        <w:rPr>
          <w:sz w:val="16"/>
        </w:rPr>
      </w:pPr>
      <w:r>
        <w:rPr/>
        <w:pict>
          <v:rect style="position:absolute;margin-left:473.880005pt;margin-top:5.543905pt;width:4.08pt;height:4.08pt;mso-position-horizontal-relative:page;mso-position-vertical-relative:paragraph;z-index:251702272" filled="true" fillcolor="#c0504d" stroked="false">
            <v:fill type="solid"/>
            <w10:wrap type="none"/>
          </v:rect>
        </w:pict>
      </w:r>
      <w:r>
        <w:rPr>
          <w:spacing w:val="-2"/>
          <w:sz w:val="16"/>
        </w:rPr>
        <w:t>25-64</w:t>
      </w:r>
    </w:p>
    <w:p>
      <w:pPr>
        <w:pStyle w:val="BodyText"/>
        <w:spacing w:before="9"/>
        <w:rPr>
          <w:sz w:val="27"/>
        </w:rPr>
      </w:pPr>
    </w:p>
    <w:p>
      <w:pPr>
        <w:spacing w:before="96"/>
        <w:ind w:left="364" w:right="0" w:firstLine="0"/>
        <w:jc w:val="left"/>
        <w:rPr>
          <w:sz w:val="16"/>
        </w:rPr>
      </w:pPr>
      <w:r>
        <w:rPr>
          <w:sz w:val="16"/>
        </w:rPr>
        <w:t>20</w:t>
      </w:r>
    </w:p>
    <w:p>
      <w:pPr>
        <w:pStyle w:val="BodyText"/>
      </w:pPr>
    </w:p>
    <w:p>
      <w:pPr>
        <w:pStyle w:val="BodyText"/>
        <w:spacing w:before="9"/>
        <w:rPr>
          <w:sz w:val="28"/>
        </w:rPr>
      </w:pPr>
    </w:p>
    <w:p>
      <w:pPr>
        <w:spacing w:before="96"/>
        <w:ind w:left="364" w:right="0" w:firstLine="0"/>
        <w:jc w:val="left"/>
        <w:rPr>
          <w:sz w:val="16"/>
        </w:rPr>
      </w:pPr>
      <w:r>
        <w:rPr>
          <w:sz w:val="16"/>
        </w:rPr>
        <w:t>10</w:t>
      </w:r>
    </w:p>
    <w:p>
      <w:pPr>
        <w:pStyle w:val="BodyText"/>
      </w:pPr>
    </w:p>
    <w:p>
      <w:pPr>
        <w:pStyle w:val="BodyText"/>
        <w:spacing w:before="9"/>
        <w:rPr>
          <w:sz w:val="28"/>
        </w:rPr>
      </w:pPr>
    </w:p>
    <w:p>
      <w:pPr>
        <w:spacing w:after="0"/>
        <w:rPr>
          <w:sz w:val="28"/>
        </w:rPr>
        <w:sectPr>
          <w:footerReference w:type="default" r:id="rId15"/>
          <w:pgSz w:w="11910" w:h="16840"/>
          <w:pgMar w:footer="1338" w:header="0" w:top="1580" w:bottom="1520" w:left="900" w:right="0"/>
          <w:pgNumType w:start="10"/>
        </w:sectPr>
      </w:pPr>
    </w:p>
    <w:p>
      <w:pPr>
        <w:spacing w:before="96"/>
        <w:ind w:left="453" w:right="0" w:firstLine="0"/>
        <w:jc w:val="left"/>
        <w:rPr>
          <w:sz w:val="16"/>
        </w:rPr>
      </w:pPr>
      <w:r>
        <w:rPr>
          <w:w w:val="100"/>
          <w:sz w:val="16"/>
        </w:rPr>
        <w:t>0</w:t>
      </w:r>
    </w:p>
    <w:p>
      <w:pPr>
        <w:spacing w:before="6"/>
        <w:ind w:left="1190" w:right="0" w:firstLine="0"/>
        <w:jc w:val="left"/>
        <w:rPr>
          <w:sz w:val="16"/>
        </w:rPr>
      </w:pPr>
      <w:r>
        <w:rPr>
          <w:sz w:val="16"/>
        </w:rPr>
        <w:t>France</w:t>
      </w:r>
    </w:p>
    <w:p>
      <w:pPr>
        <w:pStyle w:val="BodyText"/>
        <w:spacing w:before="10"/>
        <w:rPr>
          <w:sz w:val="24"/>
        </w:rPr>
      </w:pPr>
      <w:r>
        <w:rPr/>
        <w:br w:type="column"/>
      </w:r>
      <w:r>
        <w:rPr>
          <w:sz w:val="24"/>
        </w:rPr>
      </w:r>
    </w:p>
    <w:p>
      <w:pPr>
        <w:spacing w:before="0"/>
        <w:ind w:left="453" w:right="0" w:firstLine="0"/>
        <w:jc w:val="left"/>
        <w:rPr>
          <w:sz w:val="16"/>
        </w:rPr>
      </w:pPr>
      <w:r>
        <w:rPr>
          <w:sz w:val="16"/>
        </w:rPr>
        <w:t>Germany</w:t>
      </w:r>
    </w:p>
    <w:p>
      <w:pPr>
        <w:pStyle w:val="BodyText"/>
        <w:spacing w:before="10"/>
        <w:rPr>
          <w:sz w:val="24"/>
        </w:rPr>
      </w:pPr>
      <w:r>
        <w:rPr/>
        <w:br w:type="column"/>
      </w:r>
      <w:r>
        <w:rPr>
          <w:sz w:val="24"/>
        </w:rPr>
      </w:r>
    </w:p>
    <w:p>
      <w:pPr>
        <w:spacing w:before="0"/>
        <w:ind w:left="453" w:right="0" w:firstLine="0"/>
        <w:jc w:val="left"/>
        <w:rPr>
          <w:sz w:val="16"/>
        </w:rPr>
      </w:pPr>
      <w:r>
        <w:rPr>
          <w:sz w:val="16"/>
        </w:rPr>
        <w:t>Netherlands</w:t>
      </w:r>
    </w:p>
    <w:p>
      <w:pPr>
        <w:pStyle w:val="BodyText"/>
        <w:spacing w:before="10"/>
        <w:rPr>
          <w:sz w:val="24"/>
        </w:rPr>
      </w:pPr>
      <w:r>
        <w:rPr/>
        <w:br w:type="column"/>
      </w:r>
      <w:r>
        <w:rPr>
          <w:sz w:val="24"/>
        </w:rPr>
      </w:r>
    </w:p>
    <w:p>
      <w:pPr>
        <w:tabs>
          <w:tab w:pos="2061" w:val="left" w:leader="none"/>
        </w:tabs>
        <w:spacing w:before="0"/>
        <w:ind w:left="453" w:right="0" w:firstLine="0"/>
        <w:jc w:val="left"/>
        <w:rPr>
          <w:sz w:val="16"/>
        </w:rPr>
      </w:pPr>
      <w:r>
        <w:rPr>
          <w:sz w:val="16"/>
        </w:rPr>
        <w:t>United</w:t>
      </w:r>
      <w:r>
        <w:rPr>
          <w:spacing w:val="-3"/>
          <w:sz w:val="16"/>
        </w:rPr>
        <w:t> </w:t>
      </w:r>
      <w:r>
        <w:rPr>
          <w:sz w:val="16"/>
        </w:rPr>
        <w:t>Kingdom</w:t>
        <w:tab/>
        <w:t>United</w:t>
      </w:r>
      <w:r>
        <w:rPr>
          <w:spacing w:val="-2"/>
          <w:sz w:val="16"/>
        </w:rPr>
        <w:t> </w:t>
      </w:r>
      <w:r>
        <w:rPr>
          <w:sz w:val="16"/>
        </w:rPr>
        <w:t>States</w:t>
      </w:r>
    </w:p>
    <w:p>
      <w:pPr>
        <w:spacing w:after="0"/>
        <w:jc w:val="left"/>
        <w:rPr>
          <w:sz w:val="16"/>
        </w:rPr>
        <w:sectPr>
          <w:type w:val="continuous"/>
          <w:pgSz w:w="11910" w:h="16840"/>
          <w:pgMar w:top="1180" w:bottom="1520" w:left="900" w:right="0"/>
          <w:cols w:num="4" w:equalWidth="0">
            <w:col w:w="1728" w:space="448"/>
            <w:col w:w="1152" w:space="265"/>
            <w:col w:w="1316" w:space="66"/>
            <w:col w:w="6035"/>
          </w:cols>
        </w:sectPr>
      </w:pPr>
    </w:p>
    <w:p>
      <w:pPr>
        <w:pStyle w:val="BodyText"/>
        <w:spacing w:before="1"/>
        <w:rPr>
          <w:sz w:val="16"/>
        </w:rPr>
      </w:pPr>
    </w:p>
    <w:p>
      <w:pPr>
        <w:spacing w:before="96"/>
        <w:ind w:left="232" w:right="0" w:firstLine="0"/>
        <w:jc w:val="left"/>
        <w:rPr>
          <w:sz w:val="16"/>
        </w:rPr>
      </w:pPr>
      <w:r>
        <w:rPr>
          <w:b/>
          <w:sz w:val="16"/>
        </w:rPr>
        <w:t>Sources: </w:t>
      </w:r>
      <w:r>
        <w:rPr>
          <w:sz w:val="16"/>
        </w:rPr>
        <w:t>OECD and Bank calculations.</w:t>
      </w:r>
    </w:p>
    <w:p>
      <w:pPr>
        <w:pStyle w:val="BodyText"/>
      </w:pPr>
    </w:p>
    <w:p>
      <w:pPr>
        <w:pStyle w:val="BodyText"/>
      </w:pPr>
    </w:p>
    <w:p>
      <w:pPr>
        <w:pStyle w:val="BodyText"/>
        <w:rPr>
          <w:sz w:val="26"/>
        </w:rPr>
      </w:pPr>
      <w:r>
        <w:rPr/>
        <w:pict>
          <v:shape style="position:absolute;margin-left:56.639999pt;margin-top:17.177784pt;width:144.050pt;height:.1pt;mso-position-horizontal-relative:page;mso-position-vertical-relative:paragraph;z-index:-251617280;mso-wrap-distance-left:0;mso-wrap-distance-right:0" coordorigin="1133,344" coordsize="2881,0" path="m1133,344l4014,344e" filled="false" stroked="true" strokeweight=".47998pt" strokecolor="#000000">
            <v:path arrowok="t"/>
            <v:stroke dashstyle="solid"/>
            <w10:wrap type="topAndBottom"/>
          </v:shape>
        </w:pict>
      </w:r>
    </w:p>
    <w:p>
      <w:pPr>
        <w:spacing w:before="30"/>
        <w:ind w:left="232" w:right="1185" w:firstLine="0"/>
        <w:jc w:val="left"/>
        <w:rPr>
          <w:sz w:val="16"/>
        </w:rPr>
      </w:pPr>
      <w:r>
        <w:rPr>
          <w:position w:val="8"/>
          <w:sz w:val="10"/>
        </w:rPr>
        <w:t>13 </w:t>
      </w:r>
      <w:r>
        <w:rPr>
          <w:sz w:val="16"/>
        </w:rPr>
        <w:t>As in the previous footnote, I have also reported robust regression results in column (5) which suggest that the exclusion of Korea from the regressions in columns (2) and (3) is not material.</w:t>
      </w:r>
    </w:p>
    <w:p>
      <w:pPr>
        <w:spacing w:after="0"/>
        <w:jc w:val="left"/>
        <w:rPr>
          <w:sz w:val="16"/>
        </w:rPr>
        <w:sectPr>
          <w:type w:val="continuous"/>
          <w:pgSz w:w="11910" w:h="16840"/>
          <w:pgMar w:top="1180" w:bottom="1520" w:left="900" w:right="0"/>
        </w:sectPr>
      </w:pPr>
    </w:p>
    <w:p>
      <w:pPr>
        <w:pStyle w:val="BodyText"/>
        <w:spacing w:line="355" w:lineRule="auto" w:before="129"/>
        <w:ind w:left="232" w:right="1119"/>
      </w:pPr>
      <w:r>
        <w:rPr/>
        <w:t>In Figure 4 I plot the proportion of two age groups that have some tertiary education, most commonly a Bachelor’s degree, for the same selection of Western European countries as above and the US. The first age group, 25 to 34 year olds, represents the most recent cohort that may have completed tertiary education.</w:t>
      </w:r>
    </w:p>
    <w:p>
      <w:pPr>
        <w:pStyle w:val="BodyText"/>
        <w:spacing w:line="355" w:lineRule="auto"/>
        <w:ind w:left="232" w:right="1155"/>
      </w:pPr>
      <w:r>
        <w:rPr/>
        <w:t>The second group, 25 to 64 year olds, represents a common definition of the post-education working-age population. The reason for comparing these two groups is to see how much scope there appears to be for the average educational attainment of the labour force to improve if recent levels of tertiary education</w:t>
      </w:r>
      <w:r>
        <w:rPr>
          <w:spacing w:val="-38"/>
        </w:rPr>
        <w:t> </w:t>
      </w:r>
      <w:r>
        <w:rPr/>
        <w:t>persist.</w:t>
      </w:r>
    </w:p>
    <w:p>
      <w:pPr>
        <w:pStyle w:val="BodyText"/>
        <w:spacing w:before="8"/>
      </w:pPr>
    </w:p>
    <w:p>
      <w:pPr>
        <w:pStyle w:val="BodyText"/>
        <w:spacing w:line="355" w:lineRule="auto"/>
        <w:ind w:left="232" w:right="1164"/>
      </w:pPr>
      <w:r>
        <w:rPr/>
        <w:t>In Gordon’s (2014) recent work on labour productivity growth prospects for the United States, he identified the plateau in educational attainment as one of the major headwinds that he expects to subtract from growth in that economy. An element of the feature that Gordon identified is obvious from the chart: the proportion of young Americans achieving a tertiary education has been similar for many years. This means that the proportion of workers in the United States with some tertiary education should not be expected to increase very much if recent trends in University attendance persist.</w:t>
      </w:r>
    </w:p>
    <w:p>
      <w:pPr>
        <w:pStyle w:val="BodyText"/>
        <w:spacing w:before="8"/>
      </w:pPr>
    </w:p>
    <w:p>
      <w:pPr>
        <w:pStyle w:val="BodyText"/>
        <w:spacing w:line="355" w:lineRule="auto"/>
        <w:ind w:left="232" w:right="1185"/>
      </w:pPr>
      <w:r>
        <w:rPr/>
        <w:t>Most of the other countries that I highlight in Figure 4 display some scope for further improvement in the educational attainment of the average worker. The picture is particularly promising for France and the Netherlands, whose recent University graduation rates been comparable to those in the United States, when for previous generations they were much lower. The notable exception to this story is Germany where, as in the United States, the most recent cohort has achieved similar levels of tertiary education as earlier cohorts. The difference to the United States is, though, that the university graduation rate is much lower in Germany, although it should be noted that is Germany renowned for having some of the best vocational training available to those who do not attend university.</w:t>
      </w:r>
    </w:p>
    <w:p>
      <w:pPr>
        <w:pStyle w:val="Heading1"/>
        <w:spacing w:before="127"/>
      </w:pPr>
      <w:r>
        <w:rPr>
          <w:color w:val="4F81BC"/>
        </w:rPr>
        <w:t>Table 2: Earnings premium of tertiary over upper secondary education</w:t>
      </w:r>
    </w:p>
    <w:p>
      <w:pPr>
        <w:pStyle w:val="BodyText"/>
        <w:spacing w:before="7"/>
        <w:rPr>
          <w:b/>
          <w:sz w:val="13"/>
        </w:rPr>
      </w:pPr>
    </w:p>
    <w:tbl>
      <w:tblPr>
        <w:tblW w:w="0" w:type="auto"/>
        <w:jc w:val="left"/>
        <w:tblInd w:w="3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59"/>
        <w:gridCol w:w="960"/>
        <w:gridCol w:w="959"/>
        <w:gridCol w:w="959"/>
        <w:gridCol w:w="959"/>
        <w:gridCol w:w="960"/>
        <w:gridCol w:w="959"/>
        <w:gridCol w:w="959"/>
      </w:tblGrid>
      <w:tr>
        <w:trPr>
          <w:trHeight w:val="460" w:hRule="atLeast"/>
        </w:trPr>
        <w:tc>
          <w:tcPr>
            <w:tcW w:w="2059" w:type="dxa"/>
          </w:tcPr>
          <w:p>
            <w:pPr>
              <w:pStyle w:val="TableParagraph"/>
              <w:rPr>
                <w:rFonts w:ascii="Times New Roman"/>
                <w:sz w:val="18"/>
              </w:rPr>
            </w:pPr>
          </w:p>
        </w:tc>
        <w:tc>
          <w:tcPr>
            <w:tcW w:w="960" w:type="dxa"/>
          </w:tcPr>
          <w:p>
            <w:pPr>
              <w:pStyle w:val="TableParagraph"/>
              <w:spacing w:before="6"/>
              <w:rPr>
                <w:b/>
                <w:sz w:val="19"/>
              </w:rPr>
            </w:pPr>
          </w:p>
          <w:p>
            <w:pPr>
              <w:pStyle w:val="TableParagraph"/>
              <w:spacing w:line="215" w:lineRule="exact"/>
              <w:ind w:right="95"/>
              <w:jc w:val="right"/>
              <w:rPr>
                <w:b/>
                <w:sz w:val="20"/>
              </w:rPr>
            </w:pPr>
            <w:r>
              <w:rPr>
                <w:b/>
                <w:w w:val="95"/>
                <w:sz w:val="20"/>
              </w:rPr>
              <w:t>2000</w:t>
            </w:r>
          </w:p>
        </w:tc>
        <w:tc>
          <w:tcPr>
            <w:tcW w:w="959" w:type="dxa"/>
          </w:tcPr>
          <w:p>
            <w:pPr>
              <w:pStyle w:val="TableParagraph"/>
              <w:spacing w:before="6"/>
              <w:rPr>
                <w:b/>
                <w:sz w:val="19"/>
              </w:rPr>
            </w:pPr>
          </w:p>
          <w:p>
            <w:pPr>
              <w:pStyle w:val="TableParagraph"/>
              <w:spacing w:line="215" w:lineRule="exact"/>
              <w:ind w:right="94"/>
              <w:jc w:val="right"/>
              <w:rPr>
                <w:b/>
                <w:sz w:val="20"/>
              </w:rPr>
            </w:pPr>
            <w:r>
              <w:rPr>
                <w:b/>
                <w:w w:val="95"/>
                <w:sz w:val="20"/>
              </w:rPr>
              <w:t>2002</w:t>
            </w:r>
          </w:p>
        </w:tc>
        <w:tc>
          <w:tcPr>
            <w:tcW w:w="959" w:type="dxa"/>
          </w:tcPr>
          <w:p>
            <w:pPr>
              <w:pStyle w:val="TableParagraph"/>
              <w:spacing w:before="6"/>
              <w:rPr>
                <w:b/>
                <w:sz w:val="19"/>
              </w:rPr>
            </w:pPr>
          </w:p>
          <w:p>
            <w:pPr>
              <w:pStyle w:val="TableParagraph"/>
              <w:spacing w:line="215" w:lineRule="exact"/>
              <w:ind w:right="93"/>
              <w:jc w:val="right"/>
              <w:rPr>
                <w:b/>
                <w:sz w:val="20"/>
              </w:rPr>
            </w:pPr>
            <w:r>
              <w:rPr>
                <w:b/>
                <w:w w:val="95"/>
                <w:sz w:val="20"/>
              </w:rPr>
              <w:t>2004</w:t>
            </w:r>
          </w:p>
        </w:tc>
        <w:tc>
          <w:tcPr>
            <w:tcW w:w="959" w:type="dxa"/>
          </w:tcPr>
          <w:p>
            <w:pPr>
              <w:pStyle w:val="TableParagraph"/>
              <w:spacing w:before="6"/>
              <w:rPr>
                <w:b/>
                <w:sz w:val="19"/>
              </w:rPr>
            </w:pPr>
          </w:p>
          <w:p>
            <w:pPr>
              <w:pStyle w:val="TableParagraph"/>
              <w:spacing w:line="215" w:lineRule="exact"/>
              <w:ind w:right="92"/>
              <w:jc w:val="right"/>
              <w:rPr>
                <w:b/>
                <w:sz w:val="20"/>
              </w:rPr>
            </w:pPr>
            <w:r>
              <w:rPr>
                <w:b/>
                <w:w w:val="95"/>
                <w:sz w:val="20"/>
              </w:rPr>
              <w:t>2006</w:t>
            </w:r>
          </w:p>
        </w:tc>
        <w:tc>
          <w:tcPr>
            <w:tcW w:w="960" w:type="dxa"/>
          </w:tcPr>
          <w:p>
            <w:pPr>
              <w:pStyle w:val="TableParagraph"/>
              <w:spacing w:before="6"/>
              <w:rPr>
                <w:b/>
                <w:sz w:val="19"/>
              </w:rPr>
            </w:pPr>
          </w:p>
          <w:p>
            <w:pPr>
              <w:pStyle w:val="TableParagraph"/>
              <w:spacing w:line="215" w:lineRule="exact"/>
              <w:ind w:right="92"/>
              <w:jc w:val="right"/>
              <w:rPr>
                <w:b/>
                <w:sz w:val="20"/>
              </w:rPr>
            </w:pPr>
            <w:r>
              <w:rPr>
                <w:b/>
                <w:w w:val="95"/>
                <w:sz w:val="20"/>
              </w:rPr>
              <w:t>2008</w:t>
            </w:r>
          </w:p>
        </w:tc>
        <w:tc>
          <w:tcPr>
            <w:tcW w:w="959" w:type="dxa"/>
          </w:tcPr>
          <w:p>
            <w:pPr>
              <w:pStyle w:val="TableParagraph"/>
              <w:spacing w:before="6"/>
              <w:rPr>
                <w:b/>
                <w:sz w:val="19"/>
              </w:rPr>
            </w:pPr>
          </w:p>
          <w:p>
            <w:pPr>
              <w:pStyle w:val="TableParagraph"/>
              <w:spacing w:line="215" w:lineRule="exact"/>
              <w:ind w:right="90"/>
              <w:jc w:val="right"/>
              <w:rPr>
                <w:b/>
                <w:sz w:val="20"/>
              </w:rPr>
            </w:pPr>
            <w:r>
              <w:rPr>
                <w:b/>
                <w:w w:val="95"/>
                <w:sz w:val="20"/>
              </w:rPr>
              <w:t>2010</w:t>
            </w:r>
          </w:p>
        </w:tc>
        <w:tc>
          <w:tcPr>
            <w:tcW w:w="959" w:type="dxa"/>
          </w:tcPr>
          <w:p>
            <w:pPr>
              <w:pStyle w:val="TableParagraph"/>
              <w:spacing w:before="6"/>
              <w:rPr>
                <w:b/>
                <w:sz w:val="19"/>
              </w:rPr>
            </w:pPr>
          </w:p>
          <w:p>
            <w:pPr>
              <w:pStyle w:val="TableParagraph"/>
              <w:spacing w:line="215" w:lineRule="exact"/>
              <w:ind w:right="89"/>
              <w:jc w:val="right"/>
              <w:rPr>
                <w:b/>
                <w:sz w:val="20"/>
              </w:rPr>
            </w:pPr>
            <w:r>
              <w:rPr>
                <w:b/>
                <w:w w:val="95"/>
                <w:sz w:val="20"/>
              </w:rPr>
              <w:t>2012</w:t>
            </w:r>
          </w:p>
        </w:tc>
      </w:tr>
      <w:tr>
        <w:trPr>
          <w:trHeight w:val="287" w:hRule="atLeast"/>
        </w:trPr>
        <w:tc>
          <w:tcPr>
            <w:tcW w:w="2059" w:type="dxa"/>
          </w:tcPr>
          <w:p>
            <w:pPr>
              <w:pStyle w:val="TableParagraph"/>
              <w:spacing w:line="215" w:lineRule="exact" w:before="52"/>
              <w:ind w:left="107"/>
              <w:rPr>
                <w:b/>
                <w:sz w:val="20"/>
              </w:rPr>
            </w:pPr>
            <w:r>
              <w:rPr>
                <w:b/>
                <w:sz w:val="20"/>
              </w:rPr>
              <w:t>France</w:t>
            </w:r>
          </w:p>
        </w:tc>
        <w:tc>
          <w:tcPr>
            <w:tcW w:w="960" w:type="dxa"/>
          </w:tcPr>
          <w:p>
            <w:pPr>
              <w:pStyle w:val="TableParagraph"/>
              <w:spacing w:line="213" w:lineRule="exact" w:before="54"/>
              <w:ind w:left="449"/>
              <w:rPr>
                <w:sz w:val="20"/>
              </w:rPr>
            </w:pPr>
            <w:r>
              <w:rPr>
                <w:w w:val="99"/>
                <w:sz w:val="20"/>
              </w:rPr>
              <w:t>-</w:t>
            </w:r>
          </w:p>
        </w:tc>
        <w:tc>
          <w:tcPr>
            <w:tcW w:w="959" w:type="dxa"/>
          </w:tcPr>
          <w:p>
            <w:pPr>
              <w:pStyle w:val="TableParagraph"/>
              <w:spacing w:line="213" w:lineRule="exact" w:before="54"/>
              <w:ind w:right="91"/>
              <w:jc w:val="right"/>
              <w:rPr>
                <w:sz w:val="20"/>
              </w:rPr>
            </w:pPr>
            <w:r>
              <w:rPr>
                <w:sz w:val="20"/>
              </w:rPr>
              <w:t>150</w:t>
            </w:r>
          </w:p>
        </w:tc>
        <w:tc>
          <w:tcPr>
            <w:tcW w:w="959" w:type="dxa"/>
          </w:tcPr>
          <w:p>
            <w:pPr>
              <w:pStyle w:val="TableParagraph"/>
              <w:spacing w:line="213" w:lineRule="exact" w:before="54"/>
              <w:ind w:right="90"/>
              <w:jc w:val="right"/>
              <w:rPr>
                <w:sz w:val="20"/>
              </w:rPr>
            </w:pPr>
            <w:r>
              <w:rPr>
                <w:sz w:val="20"/>
              </w:rPr>
              <w:t>147</w:t>
            </w:r>
          </w:p>
        </w:tc>
        <w:tc>
          <w:tcPr>
            <w:tcW w:w="959" w:type="dxa"/>
          </w:tcPr>
          <w:p>
            <w:pPr>
              <w:pStyle w:val="TableParagraph"/>
              <w:spacing w:line="213" w:lineRule="exact" w:before="54"/>
              <w:ind w:right="89"/>
              <w:jc w:val="right"/>
              <w:rPr>
                <w:sz w:val="20"/>
              </w:rPr>
            </w:pPr>
            <w:r>
              <w:rPr>
                <w:sz w:val="20"/>
              </w:rPr>
              <w:t>149</w:t>
            </w:r>
          </w:p>
        </w:tc>
        <w:tc>
          <w:tcPr>
            <w:tcW w:w="960" w:type="dxa"/>
          </w:tcPr>
          <w:p>
            <w:pPr>
              <w:pStyle w:val="TableParagraph"/>
              <w:spacing w:line="213" w:lineRule="exact" w:before="54"/>
              <w:ind w:right="89"/>
              <w:jc w:val="right"/>
              <w:rPr>
                <w:sz w:val="20"/>
              </w:rPr>
            </w:pPr>
            <w:r>
              <w:rPr>
                <w:sz w:val="20"/>
              </w:rPr>
              <w:t>147</w:t>
            </w:r>
          </w:p>
        </w:tc>
        <w:tc>
          <w:tcPr>
            <w:tcW w:w="959" w:type="dxa"/>
          </w:tcPr>
          <w:p>
            <w:pPr>
              <w:pStyle w:val="TableParagraph"/>
              <w:spacing w:line="213" w:lineRule="exact" w:before="54"/>
              <w:ind w:right="87"/>
              <w:jc w:val="right"/>
              <w:rPr>
                <w:sz w:val="20"/>
              </w:rPr>
            </w:pPr>
            <w:r>
              <w:rPr>
                <w:sz w:val="20"/>
              </w:rPr>
              <w:t>154</w:t>
            </w:r>
          </w:p>
        </w:tc>
        <w:tc>
          <w:tcPr>
            <w:tcW w:w="959" w:type="dxa"/>
          </w:tcPr>
          <w:p>
            <w:pPr>
              <w:pStyle w:val="TableParagraph"/>
              <w:spacing w:line="213" w:lineRule="exact" w:before="54"/>
              <w:ind w:left="454"/>
              <w:rPr>
                <w:sz w:val="20"/>
              </w:rPr>
            </w:pPr>
            <w:r>
              <w:rPr>
                <w:w w:val="99"/>
                <w:sz w:val="20"/>
              </w:rPr>
              <w:t>-</w:t>
            </w:r>
          </w:p>
        </w:tc>
      </w:tr>
      <w:tr>
        <w:trPr>
          <w:trHeight w:val="287" w:hRule="atLeast"/>
        </w:trPr>
        <w:tc>
          <w:tcPr>
            <w:tcW w:w="2059" w:type="dxa"/>
          </w:tcPr>
          <w:p>
            <w:pPr>
              <w:pStyle w:val="TableParagraph"/>
              <w:spacing w:line="215" w:lineRule="exact" w:before="52"/>
              <w:ind w:left="107"/>
              <w:rPr>
                <w:b/>
                <w:sz w:val="20"/>
              </w:rPr>
            </w:pPr>
            <w:r>
              <w:rPr>
                <w:b/>
                <w:sz w:val="20"/>
              </w:rPr>
              <w:t>Germany</w:t>
            </w:r>
          </w:p>
        </w:tc>
        <w:tc>
          <w:tcPr>
            <w:tcW w:w="960" w:type="dxa"/>
          </w:tcPr>
          <w:p>
            <w:pPr>
              <w:pStyle w:val="TableParagraph"/>
              <w:spacing w:line="213" w:lineRule="exact" w:before="54"/>
              <w:ind w:right="92"/>
              <w:jc w:val="right"/>
              <w:rPr>
                <w:sz w:val="20"/>
              </w:rPr>
            </w:pPr>
            <w:r>
              <w:rPr>
                <w:sz w:val="20"/>
              </w:rPr>
              <w:t>145</w:t>
            </w:r>
          </w:p>
        </w:tc>
        <w:tc>
          <w:tcPr>
            <w:tcW w:w="959" w:type="dxa"/>
          </w:tcPr>
          <w:p>
            <w:pPr>
              <w:pStyle w:val="TableParagraph"/>
              <w:spacing w:line="213" w:lineRule="exact" w:before="54"/>
              <w:ind w:right="91"/>
              <w:jc w:val="right"/>
              <w:rPr>
                <w:sz w:val="20"/>
              </w:rPr>
            </w:pPr>
            <w:r>
              <w:rPr>
                <w:sz w:val="20"/>
              </w:rPr>
              <w:t>146</w:t>
            </w:r>
          </w:p>
        </w:tc>
        <w:tc>
          <w:tcPr>
            <w:tcW w:w="959" w:type="dxa"/>
          </w:tcPr>
          <w:p>
            <w:pPr>
              <w:pStyle w:val="TableParagraph"/>
              <w:spacing w:line="213" w:lineRule="exact" w:before="54"/>
              <w:ind w:right="90"/>
              <w:jc w:val="right"/>
              <w:rPr>
                <w:sz w:val="20"/>
              </w:rPr>
            </w:pPr>
            <w:r>
              <w:rPr>
                <w:sz w:val="20"/>
              </w:rPr>
              <w:t>155</w:t>
            </w:r>
          </w:p>
        </w:tc>
        <w:tc>
          <w:tcPr>
            <w:tcW w:w="959" w:type="dxa"/>
          </w:tcPr>
          <w:p>
            <w:pPr>
              <w:pStyle w:val="TableParagraph"/>
              <w:spacing w:line="213" w:lineRule="exact" w:before="54"/>
              <w:ind w:right="89"/>
              <w:jc w:val="right"/>
              <w:rPr>
                <w:sz w:val="20"/>
              </w:rPr>
            </w:pPr>
            <w:r>
              <w:rPr>
                <w:sz w:val="20"/>
              </w:rPr>
              <w:t>168</w:t>
            </w:r>
          </w:p>
        </w:tc>
        <w:tc>
          <w:tcPr>
            <w:tcW w:w="960" w:type="dxa"/>
          </w:tcPr>
          <w:p>
            <w:pPr>
              <w:pStyle w:val="TableParagraph"/>
              <w:spacing w:line="213" w:lineRule="exact" w:before="54"/>
              <w:ind w:right="89"/>
              <w:jc w:val="right"/>
              <w:rPr>
                <w:sz w:val="20"/>
              </w:rPr>
            </w:pPr>
            <w:r>
              <w:rPr>
                <w:sz w:val="20"/>
              </w:rPr>
              <w:t>168</w:t>
            </w:r>
          </w:p>
        </w:tc>
        <w:tc>
          <w:tcPr>
            <w:tcW w:w="959" w:type="dxa"/>
          </w:tcPr>
          <w:p>
            <w:pPr>
              <w:pStyle w:val="TableParagraph"/>
              <w:spacing w:line="213" w:lineRule="exact" w:before="54"/>
              <w:ind w:right="87"/>
              <w:jc w:val="right"/>
              <w:rPr>
                <w:sz w:val="20"/>
              </w:rPr>
            </w:pPr>
            <w:r>
              <w:rPr>
                <w:sz w:val="20"/>
              </w:rPr>
              <w:t>172</w:t>
            </w:r>
          </w:p>
        </w:tc>
        <w:tc>
          <w:tcPr>
            <w:tcW w:w="959" w:type="dxa"/>
          </w:tcPr>
          <w:p>
            <w:pPr>
              <w:pStyle w:val="TableParagraph"/>
              <w:spacing w:line="213" w:lineRule="exact" w:before="54"/>
              <w:ind w:right="86"/>
              <w:jc w:val="right"/>
              <w:rPr>
                <w:sz w:val="20"/>
              </w:rPr>
            </w:pPr>
            <w:r>
              <w:rPr>
                <w:sz w:val="20"/>
              </w:rPr>
              <w:t>174</w:t>
            </w:r>
          </w:p>
        </w:tc>
      </w:tr>
      <w:tr>
        <w:trPr>
          <w:trHeight w:val="287" w:hRule="atLeast"/>
        </w:trPr>
        <w:tc>
          <w:tcPr>
            <w:tcW w:w="2059" w:type="dxa"/>
          </w:tcPr>
          <w:p>
            <w:pPr>
              <w:pStyle w:val="TableParagraph"/>
              <w:spacing w:line="213" w:lineRule="exact" w:before="54"/>
              <w:ind w:left="107"/>
              <w:rPr>
                <w:b/>
                <w:sz w:val="20"/>
              </w:rPr>
            </w:pPr>
            <w:r>
              <w:rPr>
                <w:b/>
                <w:sz w:val="20"/>
              </w:rPr>
              <w:t>Netherlands</w:t>
            </w:r>
          </w:p>
        </w:tc>
        <w:tc>
          <w:tcPr>
            <w:tcW w:w="960" w:type="dxa"/>
          </w:tcPr>
          <w:p>
            <w:pPr>
              <w:pStyle w:val="TableParagraph"/>
              <w:spacing w:line="211" w:lineRule="exact" w:before="57"/>
              <w:ind w:left="449"/>
              <w:rPr>
                <w:sz w:val="20"/>
              </w:rPr>
            </w:pPr>
            <w:r>
              <w:rPr>
                <w:w w:val="99"/>
                <w:sz w:val="20"/>
              </w:rPr>
              <w:t>-</w:t>
            </w:r>
          </w:p>
        </w:tc>
        <w:tc>
          <w:tcPr>
            <w:tcW w:w="959" w:type="dxa"/>
          </w:tcPr>
          <w:p>
            <w:pPr>
              <w:pStyle w:val="TableParagraph"/>
              <w:spacing w:line="211" w:lineRule="exact" w:before="57"/>
              <w:ind w:right="91"/>
              <w:jc w:val="right"/>
              <w:rPr>
                <w:sz w:val="20"/>
              </w:rPr>
            </w:pPr>
            <w:r>
              <w:rPr>
                <w:sz w:val="20"/>
              </w:rPr>
              <w:t>148</w:t>
            </w:r>
          </w:p>
        </w:tc>
        <w:tc>
          <w:tcPr>
            <w:tcW w:w="959" w:type="dxa"/>
          </w:tcPr>
          <w:p>
            <w:pPr>
              <w:pStyle w:val="TableParagraph"/>
              <w:spacing w:line="211" w:lineRule="exact" w:before="57"/>
              <w:ind w:left="17"/>
              <w:jc w:val="center"/>
              <w:rPr>
                <w:sz w:val="20"/>
              </w:rPr>
            </w:pPr>
            <w:r>
              <w:rPr>
                <w:w w:val="99"/>
                <w:sz w:val="20"/>
              </w:rPr>
              <w:t>-</w:t>
            </w:r>
          </w:p>
        </w:tc>
        <w:tc>
          <w:tcPr>
            <w:tcW w:w="959" w:type="dxa"/>
          </w:tcPr>
          <w:p>
            <w:pPr>
              <w:pStyle w:val="TableParagraph"/>
              <w:spacing w:line="211" w:lineRule="exact" w:before="57"/>
              <w:ind w:right="89"/>
              <w:jc w:val="right"/>
              <w:rPr>
                <w:sz w:val="20"/>
              </w:rPr>
            </w:pPr>
            <w:r>
              <w:rPr>
                <w:sz w:val="20"/>
              </w:rPr>
              <w:t>154</w:t>
            </w:r>
          </w:p>
        </w:tc>
        <w:tc>
          <w:tcPr>
            <w:tcW w:w="960" w:type="dxa"/>
          </w:tcPr>
          <w:p>
            <w:pPr>
              <w:pStyle w:val="TableParagraph"/>
              <w:spacing w:line="211" w:lineRule="exact" w:before="57"/>
              <w:ind w:right="89"/>
              <w:jc w:val="right"/>
              <w:rPr>
                <w:sz w:val="20"/>
              </w:rPr>
            </w:pPr>
            <w:r>
              <w:rPr>
                <w:sz w:val="20"/>
              </w:rPr>
              <w:t>161</w:t>
            </w:r>
          </w:p>
        </w:tc>
        <w:tc>
          <w:tcPr>
            <w:tcW w:w="959" w:type="dxa"/>
          </w:tcPr>
          <w:p>
            <w:pPr>
              <w:pStyle w:val="TableParagraph"/>
              <w:spacing w:line="211" w:lineRule="exact" w:before="57"/>
              <w:ind w:right="87"/>
              <w:jc w:val="right"/>
              <w:rPr>
                <w:sz w:val="20"/>
              </w:rPr>
            </w:pPr>
            <w:r>
              <w:rPr>
                <w:sz w:val="20"/>
              </w:rPr>
              <w:t>156</w:t>
            </w:r>
          </w:p>
        </w:tc>
        <w:tc>
          <w:tcPr>
            <w:tcW w:w="959" w:type="dxa"/>
          </w:tcPr>
          <w:p>
            <w:pPr>
              <w:pStyle w:val="TableParagraph"/>
              <w:spacing w:line="211" w:lineRule="exact" w:before="57"/>
              <w:ind w:left="454"/>
              <w:rPr>
                <w:sz w:val="20"/>
              </w:rPr>
            </w:pPr>
            <w:r>
              <w:rPr>
                <w:w w:val="99"/>
                <w:sz w:val="20"/>
              </w:rPr>
              <w:t>-</w:t>
            </w:r>
          </w:p>
        </w:tc>
      </w:tr>
      <w:tr>
        <w:trPr>
          <w:trHeight w:val="290" w:hRule="atLeast"/>
        </w:trPr>
        <w:tc>
          <w:tcPr>
            <w:tcW w:w="2059" w:type="dxa"/>
          </w:tcPr>
          <w:p>
            <w:pPr>
              <w:pStyle w:val="TableParagraph"/>
              <w:spacing w:line="215" w:lineRule="exact" w:before="54"/>
              <w:ind w:left="107"/>
              <w:rPr>
                <w:b/>
                <w:sz w:val="20"/>
              </w:rPr>
            </w:pPr>
            <w:r>
              <w:rPr>
                <w:b/>
                <w:sz w:val="20"/>
              </w:rPr>
              <w:t>United Kingdom</w:t>
            </w:r>
          </w:p>
        </w:tc>
        <w:tc>
          <w:tcPr>
            <w:tcW w:w="960" w:type="dxa"/>
          </w:tcPr>
          <w:p>
            <w:pPr>
              <w:pStyle w:val="TableParagraph"/>
              <w:spacing w:line="213" w:lineRule="exact" w:before="57"/>
              <w:ind w:right="92"/>
              <w:jc w:val="right"/>
              <w:rPr>
                <w:sz w:val="20"/>
              </w:rPr>
            </w:pPr>
            <w:r>
              <w:rPr>
                <w:sz w:val="20"/>
              </w:rPr>
              <w:t>160</w:t>
            </w:r>
          </w:p>
        </w:tc>
        <w:tc>
          <w:tcPr>
            <w:tcW w:w="959" w:type="dxa"/>
          </w:tcPr>
          <w:p>
            <w:pPr>
              <w:pStyle w:val="TableParagraph"/>
              <w:spacing w:line="213" w:lineRule="exact" w:before="57"/>
              <w:ind w:right="91"/>
              <w:jc w:val="right"/>
              <w:rPr>
                <w:sz w:val="20"/>
              </w:rPr>
            </w:pPr>
            <w:r>
              <w:rPr>
                <w:sz w:val="20"/>
              </w:rPr>
              <w:t>157</w:t>
            </w:r>
          </w:p>
        </w:tc>
        <w:tc>
          <w:tcPr>
            <w:tcW w:w="959" w:type="dxa"/>
          </w:tcPr>
          <w:p>
            <w:pPr>
              <w:pStyle w:val="TableParagraph"/>
              <w:spacing w:line="213" w:lineRule="exact" w:before="57"/>
              <w:ind w:right="90"/>
              <w:jc w:val="right"/>
              <w:rPr>
                <w:sz w:val="20"/>
              </w:rPr>
            </w:pPr>
            <w:r>
              <w:rPr>
                <w:sz w:val="20"/>
              </w:rPr>
              <w:t>157</w:t>
            </w:r>
          </w:p>
        </w:tc>
        <w:tc>
          <w:tcPr>
            <w:tcW w:w="959" w:type="dxa"/>
          </w:tcPr>
          <w:p>
            <w:pPr>
              <w:pStyle w:val="TableParagraph"/>
              <w:spacing w:line="213" w:lineRule="exact" w:before="57"/>
              <w:ind w:right="89"/>
              <w:jc w:val="right"/>
              <w:rPr>
                <w:sz w:val="20"/>
              </w:rPr>
            </w:pPr>
            <w:r>
              <w:rPr>
                <w:sz w:val="20"/>
              </w:rPr>
              <w:t>160</w:t>
            </w:r>
          </w:p>
        </w:tc>
        <w:tc>
          <w:tcPr>
            <w:tcW w:w="960" w:type="dxa"/>
          </w:tcPr>
          <w:p>
            <w:pPr>
              <w:pStyle w:val="TableParagraph"/>
              <w:spacing w:line="213" w:lineRule="exact" w:before="57"/>
              <w:ind w:right="89"/>
              <w:jc w:val="right"/>
              <w:rPr>
                <w:sz w:val="20"/>
              </w:rPr>
            </w:pPr>
            <w:r>
              <w:rPr>
                <w:sz w:val="20"/>
              </w:rPr>
              <w:t>154</w:t>
            </w:r>
          </w:p>
        </w:tc>
        <w:tc>
          <w:tcPr>
            <w:tcW w:w="959" w:type="dxa"/>
          </w:tcPr>
          <w:p>
            <w:pPr>
              <w:pStyle w:val="TableParagraph"/>
              <w:spacing w:line="213" w:lineRule="exact" w:before="57"/>
              <w:ind w:right="87"/>
              <w:jc w:val="right"/>
              <w:rPr>
                <w:sz w:val="20"/>
              </w:rPr>
            </w:pPr>
            <w:r>
              <w:rPr>
                <w:sz w:val="20"/>
              </w:rPr>
              <w:t>165</w:t>
            </w:r>
          </w:p>
        </w:tc>
        <w:tc>
          <w:tcPr>
            <w:tcW w:w="959" w:type="dxa"/>
          </w:tcPr>
          <w:p>
            <w:pPr>
              <w:pStyle w:val="TableParagraph"/>
              <w:spacing w:line="213" w:lineRule="exact" w:before="57"/>
              <w:ind w:right="86"/>
              <w:jc w:val="right"/>
              <w:rPr>
                <w:sz w:val="20"/>
              </w:rPr>
            </w:pPr>
            <w:r>
              <w:rPr>
                <w:sz w:val="20"/>
              </w:rPr>
              <w:t>156</w:t>
            </w:r>
          </w:p>
        </w:tc>
      </w:tr>
      <w:tr>
        <w:trPr>
          <w:trHeight w:val="288" w:hRule="atLeast"/>
        </w:trPr>
        <w:tc>
          <w:tcPr>
            <w:tcW w:w="2059" w:type="dxa"/>
          </w:tcPr>
          <w:p>
            <w:pPr>
              <w:pStyle w:val="TableParagraph"/>
              <w:spacing w:line="215" w:lineRule="exact" w:before="53"/>
              <w:ind w:left="107"/>
              <w:rPr>
                <w:b/>
                <w:sz w:val="20"/>
              </w:rPr>
            </w:pPr>
            <w:r>
              <w:rPr>
                <w:b/>
                <w:sz w:val="20"/>
              </w:rPr>
              <w:t>United States</w:t>
            </w:r>
          </w:p>
        </w:tc>
        <w:tc>
          <w:tcPr>
            <w:tcW w:w="960" w:type="dxa"/>
          </w:tcPr>
          <w:p>
            <w:pPr>
              <w:pStyle w:val="TableParagraph"/>
              <w:spacing w:line="213" w:lineRule="exact" w:before="55"/>
              <w:ind w:right="92"/>
              <w:jc w:val="right"/>
              <w:rPr>
                <w:sz w:val="20"/>
              </w:rPr>
            </w:pPr>
            <w:r>
              <w:rPr>
                <w:sz w:val="20"/>
              </w:rPr>
              <w:t>176</w:t>
            </w:r>
          </w:p>
        </w:tc>
        <w:tc>
          <w:tcPr>
            <w:tcW w:w="959" w:type="dxa"/>
          </w:tcPr>
          <w:p>
            <w:pPr>
              <w:pStyle w:val="TableParagraph"/>
              <w:spacing w:line="213" w:lineRule="exact" w:before="55"/>
              <w:ind w:right="91"/>
              <w:jc w:val="right"/>
              <w:rPr>
                <w:sz w:val="20"/>
              </w:rPr>
            </w:pPr>
            <w:r>
              <w:rPr>
                <w:sz w:val="20"/>
              </w:rPr>
              <w:t>186</w:t>
            </w:r>
          </w:p>
        </w:tc>
        <w:tc>
          <w:tcPr>
            <w:tcW w:w="959" w:type="dxa"/>
          </w:tcPr>
          <w:p>
            <w:pPr>
              <w:pStyle w:val="TableParagraph"/>
              <w:spacing w:line="213" w:lineRule="exact" w:before="55"/>
              <w:ind w:right="90"/>
              <w:jc w:val="right"/>
              <w:rPr>
                <w:sz w:val="20"/>
              </w:rPr>
            </w:pPr>
            <w:r>
              <w:rPr>
                <w:sz w:val="20"/>
              </w:rPr>
              <w:t>184</w:t>
            </w:r>
          </w:p>
        </w:tc>
        <w:tc>
          <w:tcPr>
            <w:tcW w:w="959" w:type="dxa"/>
          </w:tcPr>
          <w:p>
            <w:pPr>
              <w:pStyle w:val="TableParagraph"/>
              <w:spacing w:line="213" w:lineRule="exact" w:before="55"/>
              <w:ind w:right="89"/>
              <w:jc w:val="right"/>
              <w:rPr>
                <w:sz w:val="20"/>
              </w:rPr>
            </w:pPr>
            <w:r>
              <w:rPr>
                <w:sz w:val="20"/>
              </w:rPr>
              <w:t>186</w:t>
            </w:r>
          </w:p>
        </w:tc>
        <w:tc>
          <w:tcPr>
            <w:tcW w:w="960" w:type="dxa"/>
          </w:tcPr>
          <w:p>
            <w:pPr>
              <w:pStyle w:val="TableParagraph"/>
              <w:spacing w:line="213" w:lineRule="exact" w:before="55"/>
              <w:ind w:right="89"/>
              <w:jc w:val="right"/>
              <w:rPr>
                <w:sz w:val="20"/>
              </w:rPr>
            </w:pPr>
            <w:r>
              <w:rPr>
                <w:sz w:val="20"/>
              </w:rPr>
              <w:t>177</w:t>
            </w:r>
          </w:p>
        </w:tc>
        <w:tc>
          <w:tcPr>
            <w:tcW w:w="959" w:type="dxa"/>
          </w:tcPr>
          <w:p>
            <w:pPr>
              <w:pStyle w:val="TableParagraph"/>
              <w:spacing w:line="213" w:lineRule="exact" w:before="55"/>
              <w:ind w:right="87"/>
              <w:jc w:val="right"/>
              <w:rPr>
                <w:sz w:val="20"/>
              </w:rPr>
            </w:pPr>
            <w:r>
              <w:rPr>
                <w:sz w:val="20"/>
              </w:rPr>
              <w:t>177</w:t>
            </w:r>
          </w:p>
        </w:tc>
        <w:tc>
          <w:tcPr>
            <w:tcW w:w="959" w:type="dxa"/>
          </w:tcPr>
          <w:p>
            <w:pPr>
              <w:pStyle w:val="TableParagraph"/>
              <w:spacing w:line="213" w:lineRule="exact" w:before="55"/>
              <w:ind w:right="86"/>
              <w:jc w:val="right"/>
              <w:rPr>
                <w:sz w:val="20"/>
              </w:rPr>
            </w:pPr>
            <w:r>
              <w:rPr>
                <w:sz w:val="20"/>
              </w:rPr>
              <w:t>174</w:t>
            </w:r>
          </w:p>
        </w:tc>
      </w:tr>
    </w:tbl>
    <w:p>
      <w:pPr>
        <w:spacing w:before="150"/>
        <w:ind w:left="232" w:right="0" w:firstLine="0"/>
        <w:jc w:val="left"/>
        <w:rPr>
          <w:sz w:val="16"/>
        </w:rPr>
      </w:pPr>
      <w:r>
        <w:rPr>
          <w:b/>
          <w:sz w:val="16"/>
        </w:rPr>
        <w:t>Sources: </w:t>
      </w:r>
      <w:r>
        <w:rPr>
          <w:sz w:val="16"/>
        </w:rPr>
        <w:t>OECD and Bank calculations.</w:t>
      </w:r>
    </w:p>
    <w:p>
      <w:pPr>
        <w:pStyle w:val="BodyText"/>
        <w:rPr>
          <w:sz w:val="18"/>
        </w:rPr>
      </w:pPr>
    </w:p>
    <w:p>
      <w:pPr>
        <w:pStyle w:val="BodyText"/>
        <w:rPr>
          <w:sz w:val="18"/>
        </w:rPr>
      </w:pPr>
    </w:p>
    <w:p>
      <w:pPr>
        <w:pStyle w:val="BodyText"/>
        <w:spacing w:before="2"/>
        <w:rPr>
          <w:sz w:val="24"/>
        </w:rPr>
      </w:pPr>
    </w:p>
    <w:p>
      <w:pPr>
        <w:pStyle w:val="BodyText"/>
        <w:spacing w:line="355" w:lineRule="auto" w:before="1"/>
        <w:ind w:left="232" w:right="1208"/>
      </w:pPr>
      <w:r>
        <w:rPr/>
        <w:t>I would now like to move away from recent history to consider what we can learn about the prospects for investment in education in the future. One of way of looking at this is to consider the incentives to attain a university education. There are of course many benefits that arise from education, but the easiest to measure is the increase in pay that accrues to workers, which is commonly referred to by economists as the return to education.</w:t>
      </w:r>
    </w:p>
    <w:p>
      <w:pPr>
        <w:spacing w:after="0" w:line="355" w:lineRule="auto"/>
        <w:sectPr>
          <w:pgSz w:w="11910" w:h="16840"/>
          <w:pgMar w:header="0" w:footer="1338" w:top="1580" w:bottom="1520" w:left="900" w:right="0"/>
        </w:sectPr>
      </w:pPr>
    </w:p>
    <w:p>
      <w:pPr>
        <w:pStyle w:val="BodyText"/>
        <w:spacing w:line="355" w:lineRule="auto" w:before="129"/>
        <w:ind w:left="232" w:right="1261"/>
      </w:pPr>
      <w:r>
        <w:rPr/>
        <w:t>In Table 2 I display the average gross earnings of workers who have attained a tertiary education relative to that of those with an upper secondary education in the same selection of countries. It is no surprise that more-educated workers receive higher pay – in all countries achieving a university education entails several years of foregone earnings, in addition to the substantial tuition fees in some countries, and so if this differential did not exist it is unlikely that the non-economic benefits alone would be enough to compensate.</w:t>
      </w:r>
    </w:p>
    <w:p>
      <w:pPr>
        <w:pStyle w:val="BodyText"/>
        <w:spacing w:before="7"/>
      </w:pPr>
    </w:p>
    <w:p>
      <w:pPr>
        <w:pStyle w:val="BodyText"/>
        <w:spacing w:line="355" w:lineRule="auto" w:before="1"/>
        <w:ind w:left="232" w:right="1153"/>
      </w:pPr>
      <w:r>
        <w:rPr/>
        <w:t>I should note here that the earnings premiums in Table 2 are significantly larger than those that are commonly reported by economic studies. That is because these studies attempt to estimate the difference in pay that an individual would receive with and without a university degree, whereas the premiums in Table 2 are partly due to the fact that individuals with a degree are likely to have different types of jobs to those with an upper secondary education.</w:t>
      </w:r>
    </w:p>
    <w:p>
      <w:pPr>
        <w:pStyle w:val="BodyText"/>
        <w:spacing w:before="7"/>
      </w:pPr>
    </w:p>
    <w:p>
      <w:pPr>
        <w:pStyle w:val="BodyText"/>
        <w:spacing w:line="355" w:lineRule="auto" w:before="1"/>
        <w:ind w:left="232" w:right="1093"/>
      </w:pPr>
      <w:r>
        <w:rPr/>
        <w:t>The most interesting feature of the data displayed in Table 2, at least to me, is the variation, or lack of variation, over time. If we are wondering whether the incentives to invest in education are as strong for those currently making this decision as it was for previous cohorts, then the fact that the returns to having some tertiary education have either increased or remained fairly constant in the countries under consideration, points to this being the case.</w:t>
      </w:r>
    </w:p>
    <w:p>
      <w:pPr>
        <w:pStyle w:val="BodyText"/>
        <w:spacing w:before="7"/>
      </w:pPr>
    </w:p>
    <w:p>
      <w:pPr>
        <w:pStyle w:val="Heading1"/>
      </w:pPr>
      <w:r>
        <w:rPr>
          <w:color w:val="4F81BC"/>
        </w:rPr>
        <w:t>Table 3: The contribution of educational upgrade</w:t>
      </w:r>
    </w:p>
    <w:p>
      <w:pPr>
        <w:pStyle w:val="BodyText"/>
        <w:spacing w:before="8"/>
        <w:rPr>
          <w:b/>
          <w:sz w:val="10"/>
        </w:rPr>
      </w:pPr>
    </w:p>
    <w:tbl>
      <w:tblPr>
        <w:tblW w:w="0" w:type="auto"/>
        <w:jc w:val="left"/>
        <w:tblInd w:w="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62"/>
        <w:gridCol w:w="1573"/>
        <w:gridCol w:w="1575"/>
        <w:gridCol w:w="1575"/>
        <w:gridCol w:w="1573"/>
        <w:gridCol w:w="1575"/>
      </w:tblGrid>
      <w:tr>
        <w:trPr>
          <w:trHeight w:val="1610" w:hRule="atLeast"/>
        </w:trPr>
        <w:tc>
          <w:tcPr>
            <w:tcW w:w="1762" w:type="dxa"/>
          </w:tcPr>
          <w:p>
            <w:pPr>
              <w:pStyle w:val="TableParagraph"/>
              <w:rPr>
                <w:rFonts w:ascii="Times New Roman"/>
                <w:sz w:val="18"/>
              </w:rPr>
            </w:pPr>
          </w:p>
        </w:tc>
        <w:tc>
          <w:tcPr>
            <w:tcW w:w="1573" w:type="dxa"/>
          </w:tcPr>
          <w:p>
            <w:pPr>
              <w:pStyle w:val="TableParagraph"/>
              <w:spacing w:before="6"/>
              <w:rPr>
                <w:b/>
                <w:sz w:val="19"/>
              </w:rPr>
            </w:pPr>
          </w:p>
          <w:p>
            <w:pPr>
              <w:pStyle w:val="TableParagraph"/>
              <w:spacing w:before="1"/>
              <w:ind w:left="107" w:right="149"/>
              <w:rPr>
                <w:b/>
                <w:sz w:val="20"/>
              </w:rPr>
            </w:pPr>
            <w:r>
              <w:rPr>
                <w:b/>
                <w:sz w:val="20"/>
              </w:rPr>
              <w:t>Proportion of 25-64</w:t>
            </w:r>
          </w:p>
          <w:p>
            <w:pPr>
              <w:pStyle w:val="TableParagraph"/>
              <w:ind w:left="107" w:right="149"/>
              <w:rPr>
                <w:b/>
                <w:sz w:val="20"/>
              </w:rPr>
            </w:pPr>
            <w:r>
              <w:rPr>
                <w:b/>
                <w:sz w:val="20"/>
              </w:rPr>
              <w:t>population with tertiary</w:t>
            </w:r>
          </w:p>
          <w:p>
            <w:pPr>
              <w:pStyle w:val="TableParagraph"/>
              <w:spacing w:line="228" w:lineRule="exact" w:before="6"/>
              <w:ind w:left="107" w:right="258"/>
              <w:rPr>
                <w:b/>
                <w:sz w:val="20"/>
              </w:rPr>
            </w:pPr>
            <w:r>
              <w:rPr>
                <w:b/>
                <w:sz w:val="20"/>
              </w:rPr>
              <w:t>education in 2012</w:t>
            </w:r>
          </w:p>
        </w:tc>
        <w:tc>
          <w:tcPr>
            <w:tcW w:w="1575" w:type="dxa"/>
          </w:tcPr>
          <w:p>
            <w:pPr>
              <w:pStyle w:val="TableParagraph"/>
              <w:ind w:left="109" w:right="200"/>
              <w:rPr>
                <w:b/>
                <w:sz w:val="20"/>
              </w:rPr>
            </w:pPr>
            <w:r>
              <w:rPr>
                <w:b/>
                <w:sz w:val="20"/>
              </w:rPr>
              <w:t>Predicted proportion of 25-64</w:t>
            </w:r>
          </w:p>
          <w:p>
            <w:pPr>
              <w:pStyle w:val="TableParagraph"/>
              <w:ind w:left="109" w:right="200"/>
              <w:rPr>
                <w:b/>
                <w:sz w:val="20"/>
              </w:rPr>
            </w:pPr>
            <w:r>
              <w:rPr>
                <w:b/>
                <w:sz w:val="20"/>
              </w:rPr>
              <w:t>population with tertiary</w:t>
            </w:r>
          </w:p>
          <w:p>
            <w:pPr>
              <w:pStyle w:val="TableParagraph"/>
              <w:spacing w:line="228" w:lineRule="exact" w:before="2"/>
              <w:ind w:left="109" w:right="258"/>
              <w:rPr>
                <w:b/>
                <w:sz w:val="20"/>
              </w:rPr>
            </w:pPr>
            <w:r>
              <w:rPr>
                <w:b/>
                <w:sz w:val="20"/>
              </w:rPr>
              <w:t>education in 2022</w:t>
            </w:r>
          </w:p>
        </w:tc>
        <w:tc>
          <w:tcPr>
            <w:tcW w:w="1575" w:type="dxa"/>
          </w:tcPr>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spacing w:line="228" w:lineRule="exact" w:before="140"/>
              <w:ind w:left="107" w:right="593"/>
              <w:rPr>
                <w:b/>
                <w:sz w:val="20"/>
              </w:rPr>
            </w:pPr>
            <w:r>
              <w:rPr>
                <w:b/>
                <w:w w:val="95"/>
                <w:sz w:val="20"/>
              </w:rPr>
              <w:t>Earnings </w:t>
            </w:r>
            <w:r>
              <w:rPr>
                <w:b/>
                <w:sz w:val="20"/>
              </w:rPr>
              <w:t>premium</w:t>
            </w:r>
          </w:p>
        </w:tc>
        <w:tc>
          <w:tcPr>
            <w:tcW w:w="1573" w:type="dxa"/>
          </w:tcPr>
          <w:p>
            <w:pPr>
              <w:pStyle w:val="TableParagraph"/>
              <w:rPr>
                <w:b/>
                <w:sz w:val="22"/>
              </w:rPr>
            </w:pPr>
          </w:p>
          <w:p>
            <w:pPr>
              <w:pStyle w:val="TableParagraph"/>
              <w:rPr>
                <w:b/>
                <w:sz w:val="22"/>
              </w:rPr>
            </w:pPr>
          </w:p>
          <w:p>
            <w:pPr>
              <w:pStyle w:val="TableParagraph"/>
              <w:rPr>
                <w:b/>
                <w:sz w:val="22"/>
              </w:rPr>
            </w:pPr>
          </w:p>
          <w:p>
            <w:pPr>
              <w:pStyle w:val="TableParagraph"/>
              <w:rPr>
                <w:b/>
                <w:sz w:val="22"/>
              </w:rPr>
            </w:pPr>
          </w:p>
          <w:p>
            <w:pPr>
              <w:pStyle w:val="TableParagraph"/>
              <w:spacing w:line="228" w:lineRule="exact" w:before="140"/>
              <w:ind w:left="106" w:right="103"/>
              <w:rPr>
                <w:b/>
                <w:sz w:val="20"/>
              </w:rPr>
            </w:pPr>
            <w:r>
              <w:rPr>
                <w:b/>
                <w:sz w:val="20"/>
              </w:rPr>
              <w:t>Proportion of LF aged 25-64</w:t>
            </w:r>
          </w:p>
        </w:tc>
        <w:tc>
          <w:tcPr>
            <w:tcW w:w="1575" w:type="dxa"/>
          </w:tcPr>
          <w:p>
            <w:pPr>
              <w:pStyle w:val="TableParagraph"/>
              <w:spacing w:before="6"/>
              <w:rPr>
                <w:b/>
                <w:sz w:val="19"/>
              </w:rPr>
            </w:pPr>
          </w:p>
          <w:p>
            <w:pPr>
              <w:pStyle w:val="TableParagraph"/>
              <w:spacing w:before="1"/>
              <w:ind w:left="108" w:right="81"/>
              <w:rPr>
                <w:b/>
                <w:sz w:val="20"/>
              </w:rPr>
            </w:pPr>
            <w:r>
              <w:rPr>
                <w:b/>
                <w:sz w:val="20"/>
              </w:rPr>
              <w:t>Contribution of educational upgrade to annual GDP</w:t>
            </w:r>
          </w:p>
          <w:p>
            <w:pPr>
              <w:pStyle w:val="TableParagraph"/>
              <w:spacing w:line="228" w:lineRule="exact" w:before="6"/>
              <w:ind w:left="108" w:right="526"/>
              <w:rPr>
                <w:b/>
                <w:sz w:val="20"/>
              </w:rPr>
            </w:pPr>
            <w:r>
              <w:rPr>
                <w:b/>
                <w:sz w:val="20"/>
              </w:rPr>
              <w:t>growth to 2022</w:t>
            </w:r>
          </w:p>
        </w:tc>
      </w:tr>
      <w:tr>
        <w:trPr>
          <w:trHeight w:val="287" w:hRule="atLeast"/>
        </w:trPr>
        <w:tc>
          <w:tcPr>
            <w:tcW w:w="1762" w:type="dxa"/>
          </w:tcPr>
          <w:p>
            <w:pPr>
              <w:pStyle w:val="TableParagraph"/>
              <w:rPr>
                <w:rFonts w:ascii="Times New Roman"/>
                <w:sz w:val="18"/>
              </w:rPr>
            </w:pPr>
          </w:p>
        </w:tc>
        <w:tc>
          <w:tcPr>
            <w:tcW w:w="1573" w:type="dxa"/>
          </w:tcPr>
          <w:p>
            <w:pPr>
              <w:pStyle w:val="TableParagraph"/>
              <w:spacing w:line="211" w:lineRule="exact" w:before="57"/>
              <w:ind w:left="640" w:right="634"/>
              <w:jc w:val="center"/>
              <w:rPr>
                <w:sz w:val="20"/>
              </w:rPr>
            </w:pPr>
            <w:r>
              <w:rPr>
                <w:sz w:val="20"/>
              </w:rPr>
              <w:t>(a)</w:t>
            </w:r>
          </w:p>
        </w:tc>
        <w:tc>
          <w:tcPr>
            <w:tcW w:w="1575" w:type="dxa"/>
          </w:tcPr>
          <w:p>
            <w:pPr>
              <w:pStyle w:val="TableParagraph"/>
              <w:spacing w:line="211" w:lineRule="exact" w:before="57"/>
              <w:ind w:left="643" w:right="636"/>
              <w:jc w:val="center"/>
              <w:rPr>
                <w:sz w:val="20"/>
              </w:rPr>
            </w:pPr>
            <w:r>
              <w:rPr>
                <w:sz w:val="20"/>
              </w:rPr>
              <w:t>(b)</w:t>
            </w:r>
          </w:p>
        </w:tc>
        <w:tc>
          <w:tcPr>
            <w:tcW w:w="1575" w:type="dxa"/>
          </w:tcPr>
          <w:p>
            <w:pPr>
              <w:pStyle w:val="TableParagraph"/>
              <w:spacing w:line="211" w:lineRule="exact" w:before="57"/>
              <w:ind w:left="642" w:right="636"/>
              <w:jc w:val="center"/>
              <w:rPr>
                <w:sz w:val="20"/>
              </w:rPr>
            </w:pPr>
            <w:r>
              <w:rPr>
                <w:sz w:val="20"/>
              </w:rPr>
              <w:t>(c)</w:t>
            </w:r>
          </w:p>
        </w:tc>
        <w:tc>
          <w:tcPr>
            <w:tcW w:w="1573" w:type="dxa"/>
          </w:tcPr>
          <w:p>
            <w:pPr>
              <w:pStyle w:val="TableParagraph"/>
              <w:spacing w:line="211" w:lineRule="exact" w:before="57"/>
              <w:ind w:left="642" w:right="633"/>
              <w:jc w:val="center"/>
              <w:rPr>
                <w:sz w:val="20"/>
              </w:rPr>
            </w:pPr>
            <w:r>
              <w:rPr>
                <w:sz w:val="20"/>
              </w:rPr>
              <w:t>(d)</w:t>
            </w:r>
          </w:p>
        </w:tc>
        <w:tc>
          <w:tcPr>
            <w:tcW w:w="1575" w:type="dxa"/>
          </w:tcPr>
          <w:p>
            <w:pPr>
              <w:pStyle w:val="TableParagraph"/>
              <w:spacing w:line="211" w:lineRule="exact" w:before="57"/>
              <w:ind w:left="391"/>
              <w:rPr>
                <w:sz w:val="20"/>
              </w:rPr>
            </w:pPr>
            <w:r>
              <w:rPr>
                <w:sz w:val="20"/>
              </w:rPr>
              <w:t>(b-a)*c*d</w:t>
            </w:r>
          </w:p>
        </w:tc>
      </w:tr>
      <w:tr>
        <w:trPr>
          <w:trHeight w:val="290" w:hRule="atLeast"/>
        </w:trPr>
        <w:tc>
          <w:tcPr>
            <w:tcW w:w="1762" w:type="dxa"/>
          </w:tcPr>
          <w:p>
            <w:pPr>
              <w:pStyle w:val="TableParagraph"/>
              <w:spacing w:line="215" w:lineRule="exact" w:before="54"/>
              <w:ind w:left="110"/>
              <w:rPr>
                <w:b/>
                <w:sz w:val="20"/>
              </w:rPr>
            </w:pPr>
            <w:r>
              <w:rPr>
                <w:b/>
                <w:sz w:val="20"/>
              </w:rPr>
              <w:t>France*</w:t>
            </w:r>
          </w:p>
        </w:tc>
        <w:tc>
          <w:tcPr>
            <w:tcW w:w="1573" w:type="dxa"/>
          </w:tcPr>
          <w:p>
            <w:pPr>
              <w:pStyle w:val="TableParagraph"/>
              <w:spacing w:line="213" w:lineRule="exact" w:before="57"/>
              <w:ind w:right="99"/>
              <w:jc w:val="right"/>
              <w:rPr>
                <w:sz w:val="20"/>
              </w:rPr>
            </w:pPr>
            <w:r>
              <w:rPr>
                <w:w w:val="95"/>
                <w:sz w:val="20"/>
              </w:rPr>
              <w:t>0.31</w:t>
            </w:r>
          </w:p>
        </w:tc>
        <w:tc>
          <w:tcPr>
            <w:tcW w:w="1575" w:type="dxa"/>
          </w:tcPr>
          <w:p>
            <w:pPr>
              <w:pStyle w:val="TableParagraph"/>
              <w:spacing w:line="213" w:lineRule="exact" w:before="57"/>
              <w:ind w:right="99"/>
              <w:jc w:val="right"/>
              <w:rPr>
                <w:sz w:val="20"/>
              </w:rPr>
            </w:pPr>
            <w:r>
              <w:rPr>
                <w:w w:val="95"/>
                <w:sz w:val="20"/>
              </w:rPr>
              <w:t>0.36</w:t>
            </w:r>
          </w:p>
        </w:tc>
        <w:tc>
          <w:tcPr>
            <w:tcW w:w="1575" w:type="dxa"/>
          </w:tcPr>
          <w:p>
            <w:pPr>
              <w:pStyle w:val="TableParagraph"/>
              <w:spacing w:line="213" w:lineRule="exact" w:before="57"/>
              <w:ind w:right="99"/>
              <w:jc w:val="right"/>
              <w:rPr>
                <w:sz w:val="20"/>
              </w:rPr>
            </w:pPr>
            <w:r>
              <w:rPr>
                <w:w w:val="95"/>
                <w:sz w:val="20"/>
              </w:rPr>
              <w:t>0.54</w:t>
            </w:r>
          </w:p>
        </w:tc>
        <w:tc>
          <w:tcPr>
            <w:tcW w:w="1573" w:type="dxa"/>
          </w:tcPr>
          <w:p>
            <w:pPr>
              <w:pStyle w:val="TableParagraph"/>
              <w:spacing w:line="213" w:lineRule="exact" w:before="57"/>
              <w:ind w:right="97"/>
              <w:jc w:val="right"/>
              <w:rPr>
                <w:sz w:val="20"/>
              </w:rPr>
            </w:pPr>
            <w:r>
              <w:rPr>
                <w:w w:val="95"/>
                <w:sz w:val="20"/>
              </w:rPr>
              <w:t>0.90</w:t>
            </w:r>
          </w:p>
        </w:tc>
        <w:tc>
          <w:tcPr>
            <w:tcW w:w="1575" w:type="dxa"/>
          </w:tcPr>
          <w:p>
            <w:pPr>
              <w:pStyle w:val="TableParagraph"/>
              <w:spacing w:line="213" w:lineRule="exact" w:before="57"/>
              <w:ind w:right="98"/>
              <w:jc w:val="right"/>
              <w:rPr>
                <w:sz w:val="20"/>
              </w:rPr>
            </w:pPr>
            <w:r>
              <w:rPr>
                <w:w w:val="95"/>
                <w:sz w:val="20"/>
              </w:rPr>
              <w:t>0.27</w:t>
            </w:r>
          </w:p>
        </w:tc>
      </w:tr>
      <w:tr>
        <w:trPr>
          <w:trHeight w:val="287" w:hRule="atLeast"/>
        </w:trPr>
        <w:tc>
          <w:tcPr>
            <w:tcW w:w="1762" w:type="dxa"/>
          </w:tcPr>
          <w:p>
            <w:pPr>
              <w:pStyle w:val="TableParagraph"/>
              <w:spacing w:line="215" w:lineRule="exact" w:before="52"/>
              <w:ind w:left="110"/>
              <w:rPr>
                <w:b/>
                <w:sz w:val="20"/>
              </w:rPr>
            </w:pPr>
            <w:r>
              <w:rPr>
                <w:b/>
                <w:sz w:val="20"/>
              </w:rPr>
              <w:t>Germany</w:t>
            </w:r>
          </w:p>
        </w:tc>
        <w:tc>
          <w:tcPr>
            <w:tcW w:w="1573" w:type="dxa"/>
          </w:tcPr>
          <w:p>
            <w:pPr>
              <w:pStyle w:val="TableParagraph"/>
              <w:spacing w:line="213" w:lineRule="exact" w:before="54"/>
              <w:ind w:right="99"/>
              <w:jc w:val="right"/>
              <w:rPr>
                <w:sz w:val="20"/>
              </w:rPr>
            </w:pPr>
            <w:r>
              <w:rPr>
                <w:w w:val="95"/>
                <w:sz w:val="20"/>
              </w:rPr>
              <w:t>0.28</w:t>
            </w:r>
          </w:p>
        </w:tc>
        <w:tc>
          <w:tcPr>
            <w:tcW w:w="1575" w:type="dxa"/>
          </w:tcPr>
          <w:p>
            <w:pPr>
              <w:pStyle w:val="TableParagraph"/>
              <w:spacing w:line="213" w:lineRule="exact" w:before="54"/>
              <w:ind w:right="99"/>
              <w:jc w:val="right"/>
              <w:rPr>
                <w:sz w:val="20"/>
              </w:rPr>
            </w:pPr>
            <w:r>
              <w:rPr>
                <w:w w:val="95"/>
                <w:sz w:val="20"/>
              </w:rPr>
              <w:t>0.29</w:t>
            </w:r>
          </w:p>
        </w:tc>
        <w:tc>
          <w:tcPr>
            <w:tcW w:w="1575" w:type="dxa"/>
          </w:tcPr>
          <w:p>
            <w:pPr>
              <w:pStyle w:val="TableParagraph"/>
              <w:spacing w:line="213" w:lineRule="exact" w:before="54"/>
              <w:ind w:right="99"/>
              <w:jc w:val="right"/>
              <w:rPr>
                <w:sz w:val="20"/>
              </w:rPr>
            </w:pPr>
            <w:r>
              <w:rPr>
                <w:w w:val="95"/>
                <w:sz w:val="20"/>
              </w:rPr>
              <w:t>0.74</w:t>
            </w:r>
          </w:p>
        </w:tc>
        <w:tc>
          <w:tcPr>
            <w:tcW w:w="1573" w:type="dxa"/>
          </w:tcPr>
          <w:p>
            <w:pPr>
              <w:pStyle w:val="TableParagraph"/>
              <w:spacing w:line="213" w:lineRule="exact" w:before="54"/>
              <w:ind w:right="97"/>
              <w:jc w:val="right"/>
              <w:rPr>
                <w:sz w:val="20"/>
              </w:rPr>
            </w:pPr>
            <w:r>
              <w:rPr>
                <w:w w:val="95"/>
                <w:sz w:val="20"/>
              </w:rPr>
              <w:t>0.89</w:t>
            </w:r>
          </w:p>
        </w:tc>
        <w:tc>
          <w:tcPr>
            <w:tcW w:w="1575" w:type="dxa"/>
          </w:tcPr>
          <w:p>
            <w:pPr>
              <w:pStyle w:val="TableParagraph"/>
              <w:spacing w:line="213" w:lineRule="exact" w:before="54"/>
              <w:ind w:right="98"/>
              <w:jc w:val="right"/>
              <w:rPr>
                <w:sz w:val="20"/>
              </w:rPr>
            </w:pPr>
            <w:r>
              <w:rPr>
                <w:w w:val="95"/>
                <w:sz w:val="20"/>
              </w:rPr>
              <w:t>0.04</w:t>
            </w:r>
          </w:p>
        </w:tc>
      </w:tr>
      <w:tr>
        <w:trPr>
          <w:trHeight w:val="287" w:hRule="atLeast"/>
        </w:trPr>
        <w:tc>
          <w:tcPr>
            <w:tcW w:w="1762" w:type="dxa"/>
          </w:tcPr>
          <w:p>
            <w:pPr>
              <w:pStyle w:val="TableParagraph"/>
              <w:spacing w:line="215" w:lineRule="exact" w:before="52"/>
              <w:ind w:left="110"/>
              <w:rPr>
                <w:b/>
                <w:sz w:val="20"/>
              </w:rPr>
            </w:pPr>
            <w:r>
              <w:rPr>
                <w:b/>
                <w:sz w:val="20"/>
              </w:rPr>
              <w:t>Netherlands</w:t>
            </w:r>
          </w:p>
        </w:tc>
        <w:tc>
          <w:tcPr>
            <w:tcW w:w="1573" w:type="dxa"/>
          </w:tcPr>
          <w:p>
            <w:pPr>
              <w:pStyle w:val="TableParagraph"/>
              <w:spacing w:line="213" w:lineRule="exact" w:before="54"/>
              <w:ind w:right="99"/>
              <w:jc w:val="right"/>
              <w:rPr>
                <w:sz w:val="20"/>
              </w:rPr>
            </w:pPr>
            <w:r>
              <w:rPr>
                <w:w w:val="95"/>
                <w:sz w:val="20"/>
              </w:rPr>
              <w:t>0.34</w:t>
            </w:r>
          </w:p>
        </w:tc>
        <w:tc>
          <w:tcPr>
            <w:tcW w:w="1575" w:type="dxa"/>
          </w:tcPr>
          <w:p>
            <w:pPr>
              <w:pStyle w:val="TableParagraph"/>
              <w:spacing w:line="213" w:lineRule="exact" w:before="54"/>
              <w:ind w:right="99"/>
              <w:jc w:val="right"/>
              <w:rPr>
                <w:sz w:val="20"/>
              </w:rPr>
            </w:pPr>
            <w:r>
              <w:rPr>
                <w:w w:val="95"/>
                <w:sz w:val="20"/>
              </w:rPr>
              <w:t>0.38</w:t>
            </w:r>
          </w:p>
        </w:tc>
        <w:tc>
          <w:tcPr>
            <w:tcW w:w="1575" w:type="dxa"/>
          </w:tcPr>
          <w:p>
            <w:pPr>
              <w:pStyle w:val="TableParagraph"/>
              <w:spacing w:line="213" w:lineRule="exact" w:before="54"/>
              <w:ind w:right="99"/>
              <w:jc w:val="right"/>
              <w:rPr>
                <w:sz w:val="20"/>
              </w:rPr>
            </w:pPr>
            <w:r>
              <w:rPr>
                <w:w w:val="95"/>
                <w:sz w:val="20"/>
              </w:rPr>
              <w:t>0.56</w:t>
            </w:r>
          </w:p>
        </w:tc>
        <w:tc>
          <w:tcPr>
            <w:tcW w:w="1573" w:type="dxa"/>
          </w:tcPr>
          <w:p>
            <w:pPr>
              <w:pStyle w:val="TableParagraph"/>
              <w:spacing w:line="213" w:lineRule="exact" w:before="54"/>
              <w:ind w:right="97"/>
              <w:jc w:val="right"/>
              <w:rPr>
                <w:sz w:val="20"/>
              </w:rPr>
            </w:pPr>
            <w:r>
              <w:rPr>
                <w:w w:val="95"/>
                <w:sz w:val="20"/>
              </w:rPr>
              <w:t>0.84</w:t>
            </w:r>
          </w:p>
        </w:tc>
        <w:tc>
          <w:tcPr>
            <w:tcW w:w="1575" w:type="dxa"/>
          </w:tcPr>
          <w:p>
            <w:pPr>
              <w:pStyle w:val="TableParagraph"/>
              <w:spacing w:line="213" w:lineRule="exact" w:before="54"/>
              <w:ind w:right="98"/>
              <w:jc w:val="right"/>
              <w:rPr>
                <w:sz w:val="20"/>
              </w:rPr>
            </w:pPr>
            <w:r>
              <w:rPr>
                <w:w w:val="95"/>
                <w:sz w:val="20"/>
              </w:rPr>
              <w:t>0.17</w:t>
            </w:r>
          </w:p>
        </w:tc>
      </w:tr>
      <w:tr>
        <w:trPr>
          <w:trHeight w:val="287" w:hRule="atLeast"/>
        </w:trPr>
        <w:tc>
          <w:tcPr>
            <w:tcW w:w="1762" w:type="dxa"/>
          </w:tcPr>
          <w:p>
            <w:pPr>
              <w:pStyle w:val="TableParagraph"/>
              <w:spacing w:line="215" w:lineRule="exact" w:before="52"/>
              <w:ind w:left="110"/>
              <w:rPr>
                <w:b/>
                <w:sz w:val="20"/>
              </w:rPr>
            </w:pPr>
            <w:r>
              <w:rPr>
                <w:b/>
                <w:sz w:val="20"/>
              </w:rPr>
              <w:t>United Kingdom</w:t>
            </w:r>
          </w:p>
        </w:tc>
        <w:tc>
          <w:tcPr>
            <w:tcW w:w="1573" w:type="dxa"/>
          </w:tcPr>
          <w:p>
            <w:pPr>
              <w:pStyle w:val="TableParagraph"/>
              <w:spacing w:line="213" w:lineRule="exact" w:before="54"/>
              <w:ind w:right="99"/>
              <w:jc w:val="right"/>
              <w:rPr>
                <w:sz w:val="20"/>
              </w:rPr>
            </w:pPr>
            <w:r>
              <w:rPr>
                <w:w w:val="95"/>
                <w:sz w:val="20"/>
              </w:rPr>
              <w:t>0.41</w:t>
            </w:r>
          </w:p>
        </w:tc>
        <w:tc>
          <w:tcPr>
            <w:tcW w:w="1575" w:type="dxa"/>
          </w:tcPr>
          <w:p>
            <w:pPr>
              <w:pStyle w:val="TableParagraph"/>
              <w:spacing w:line="213" w:lineRule="exact" w:before="54"/>
              <w:ind w:right="99"/>
              <w:jc w:val="right"/>
              <w:rPr>
                <w:sz w:val="20"/>
              </w:rPr>
            </w:pPr>
            <w:r>
              <w:rPr>
                <w:w w:val="95"/>
                <w:sz w:val="20"/>
              </w:rPr>
              <w:t>0.44</w:t>
            </w:r>
          </w:p>
        </w:tc>
        <w:tc>
          <w:tcPr>
            <w:tcW w:w="1575" w:type="dxa"/>
          </w:tcPr>
          <w:p>
            <w:pPr>
              <w:pStyle w:val="TableParagraph"/>
              <w:spacing w:line="213" w:lineRule="exact" w:before="54"/>
              <w:ind w:right="99"/>
              <w:jc w:val="right"/>
              <w:rPr>
                <w:sz w:val="20"/>
              </w:rPr>
            </w:pPr>
            <w:r>
              <w:rPr>
                <w:w w:val="95"/>
                <w:sz w:val="20"/>
              </w:rPr>
              <w:t>0.56</w:t>
            </w:r>
          </w:p>
        </w:tc>
        <w:tc>
          <w:tcPr>
            <w:tcW w:w="1573" w:type="dxa"/>
          </w:tcPr>
          <w:p>
            <w:pPr>
              <w:pStyle w:val="TableParagraph"/>
              <w:spacing w:line="213" w:lineRule="exact" w:before="54"/>
              <w:ind w:right="97"/>
              <w:jc w:val="right"/>
              <w:rPr>
                <w:sz w:val="20"/>
              </w:rPr>
            </w:pPr>
            <w:r>
              <w:rPr>
                <w:w w:val="95"/>
                <w:sz w:val="20"/>
              </w:rPr>
              <w:t>0.85</w:t>
            </w:r>
          </w:p>
        </w:tc>
        <w:tc>
          <w:tcPr>
            <w:tcW w:w="1575" w:type="dxa"/>
          </w:tcPr>
          <w:p>
            <w:pPr>
              <w:pStyle w:val="TableParagraph"/>
              <w:spacing w:line="213" w:lineRule="exact" w:before="54"/>
              <w:ind w:right="98"/>
              <w:jc w:val="right"/>
              <w:rPr>
                <w:sz w:val="20"/>
              </w:rPr>
            </w:pPr>
            <w:r>
              <w:rPr>
                <w:w w:val="95"/>
                <w:sz w:val="20"/>
              </w:rPr>
              <w:t>0.16</w:t>
            </w:r>
          </w:p>
        </w:tc>
      </w:tr>
      <w:tr>
        <w:trPr>
          <w:trHeight w:val="287" w:hRule="atLeast"/>
        </w:trPr>
        <w:tc>
          <w:tcPr>
            <w:tcW w:w="1762" w:type="dxa"/>
          </w:tcPr>
          <w:p>
            <w:pPr>
              <w:pStyle w:val="TableParagraph"/>
              <w:spacing w:line="215" w:lineRule="exact" w:before="52"/>
              <w:ind w:left="110"/>
              <w:rPr>
                <w:b/>
                <w:sz w:val="20"/>
              </w:rPr>
            </w:pPr>
            <w:r>
              <w:rPr>
                <w:b/>
                <w:sz w:val="20"/>
              </w:rPr>
              <w:t>United States</w:t>
            </w:r>
          </w:p>
        </w:tc>
        <w:tc>
          <w:tcPr>
            <w:tcW w:w="1573" w:type="dxa"/>
          </w:tcPr>
          <w:p>
            <w:pPr>
              <w:pStyle w:val="TableParagraph"/>
              <w:spacing w:line="213" w:lineRule="exact" w:before="54"/>
              <w:ind w:right="99"/>
              <w:jc w:val="right"/>
              <w:rPr>
                <w:sz w:val="20"/>
              </w:rPr>
            </w:pPr>
            <w:r>
              <w:rPr>
                <w:w w:val="95"/>
                <w:sz w:val="20"/>
              </w:rPr>
              <w:t>0.43</w:t>
            </w:r>
          </w:p>
        </w:tc>
        <w:tc>
          <w:tcPr>
            <w:tcW w:w="1575" w:type="dxa"/>
          </w:tcPr>
          <w:p>
            <w:pPr>
              <w:pStyle w:val="TableParagraph"/>
              <w:spacing w:line="213" w:lineRule="exact" w:before="54"/>
              <w:ind w:right="99"/>
              <w:jc w:val="right"/>
              <w:rPr>
                <w:sz w:val="20"/>
              </w:rPr>
            </w:pPr>
            <w:r>
              <w:rPr>
                <w:w w:val="95"/>
                <w:sz w:val="20"/>
              </w:rPr>
              <w:t>0.44</w:t>
            </w:r>
          </w:p>
        </w:tc>
        <w:tc>
          <w:tcPr>
            <w:tcW w:w="1575" w:type="dxa"/>
          </w:tcPr>
          <w:p>
            <w:pPr>
              <w:pStyle w:val="TableParagraph"/>
              <w:spacing w:line="213" w:lineRule="exact" w:before="54"/>
              <w:ind w:right="99"/>
              <w:jc w:val="right"/>
              <w:rPr>
                <w:sz w:val="20"/>
              </w:rPr>
            </w:pPr>
            <w:r>
              <w:rPr>
                <w:w w:val="95"/>
                <w:sz w:val="20"/>
              </w:rPr>
              <w:t>0.74</w:t>
            </w:r>
          </w:p>
        </w:tc>
        <w:tc>
          <w:tcPr>
            <w:tcW w:w="1573" w:type="dxa"/>
          </w:tcPr>
          <w:p>
            <w:pPr>
              <w:pStyle w:val="TableParagraph"/>
              <w:spacing w:line="213" w:lineRule="exact" w:before="54"/>
              <w:ind w:right="97"/>
              <w:jc w:val="right"/>
              <w:rPr>
                <w:sz w:val="20"/>
              </w:rPr>
            </w:pPr>
            <w:r>
              <w:rPr>
                <w:w w:val="95"/>
                <w:sz w:val="20"/>
              </w:rPr>
              <w:t>0.86</w:t>
            </w:r>
          </w:p>
        </w:tc>
        <w:tc>
          <w:tcPr>
            <w:tcW w:w="1575" w:type="dxa"/>
          </w:tcPr>
          <w:p>
            <w:pPr>
              <w:pStyle w:val="TableParagraph"/>
              <w:spacing w:line="213" w:lineRule="exact" w:before="54"/>
              <w:ind w:right="98"/>
              <w:jc w:val="right"/>
              <w:rPr>
                <w:sz w:val="20"/>
              </w:rPr>
            </w:pPr>
            <w:r>
              <w:rPr>
                <w:w w:val="95"/>
                <w:sz w:val="20"/>
              </w:rPr>
              <w:t>0.03</w:t>
            </w:r>
          </w:p>
        </w:tc>
      </w:tr>
    </w:tbl>
    <w:p>
      <w:pPr>
        <w:spacing w:before="150"/>
        <w:ind w:left="232" w:right="0" w:firstLine="0"/>
        <w:jc w:val="left"/>
        <w:rPr>
          <w:sz w:val="16"/>
        </w:rPr>
      </w:pPr>
      <w:r>
        <w:rPr>
          <w:sz w:val="16"/>
        </w:rPr>
        <w:t>* Earnings premium is from 2010. </w:t>
      </w:r>
      <w:r>
        <w:rPr>
          <w:b/>
          <w:sz w:val="16"/>
        </w:rPr>
        <w:t>Sources: </w:t>
      </w:r>
      <w:r>
        <w:rPr>
          <w:sz w:val="16"/>
        </w:rPr>
        <w:t>OECD and Bank calculations.</w:t>
      </w:r>
    </w:p>
    <w:p>
      <w:pPr>
        <w:pStyle w:val="BodyText"/>
        <w:rPr>
          <w:sz w:val="18"/>
        </w:rPr>
      </w:pPr>
    </w:p>
    <w:p>
      <w:pPr>
        <w:pStyle w:val="BodyText"/>
        <w:rPr>
          <w:sz w:val="18"/>
        </w:rPr>
      </w:pPr>
    </w:p>
    <w:p>
      <w:pPr>
        <w:pStyle w:val="BodyText"/>
        <w:spacing w:before="5"/>
        <w:rPr>
          <w:sz w:val="24"/>
        </w:rPr>
      </w:pPr>
    </w:p>
    <w:p>
      <w:pPr>
        <w:pStyle w:val="BodyText"/>
        <w:spacing w:line="355" w:lineRule="auto" w:before="1"/>
        <w:ind w:left="232" w:right="1177"/>
      </w:pPr>
      <w:r>
        <w:rPr/>
        <w:t>Table 3 details the contribution that we might expect the increasing attainment of tertiary education to make to GDP growth over the medium-term. </w:t>
      </w:r>
      <w:r>
        <w:rPr>
          <w:spacing w:val="4"/>
        </w:rPr>
        <w:t>We </w:t>
      </w:r>
      <w:r>
        <w:rPr/>
        <w:t>see that, if current graduation rates persist, it is expected to contribute about a quarter percentage point per annum to growth in France and slightly less in the Netherlands and the UK. However, as discussed above, the contribution of the improvement of worker quality</w:t>
      </w:r>
      <w:r>
        <w:rPr>
          <w:spacing w:val="-5"/>
        </w:rPr>
        <w:t> </w:t>
      </w:r>
      <w:r>
        <w:rPr/>
        <w:t>along</w:t>
      </w:r>
      <w:r>
        <w:rPr>
          <w:spacing w:val="-3"/>
        </w:rPr>
        <w:t> </w:t>
      </w:r>
      <w:r>
        <w:rPr/>
        <w:t>this</w:t>
      </w:r>
      <w:r>
        <w:rPr>
          <w:spacing w:val="-1"/>
        </w:rPr>
        <w:t> </w:t>
      </w:r>
      <w:r>
        <w:rPr/>
        <w:t>dimension</w:t>
      </w:r>
      <w:r>
        <w:rPr>
          <w:spacing w:val="-2"/>
        </w:rPr>
        <w:t> </w:t>
      </w:r>
      <w:r>
        <w:rPr/>
        <w:t>is</w:t>
      </w:r>
      <w:r>
        <w:rPr>
          <w:spacing w:val="-1"/>
        </w:rPr>
        <w:t> </w:t>
      </w:r>
      <w:r>
        <w:rPr/>
        <w:t>expected</w:t>
      </w:r>
      <w:r>
        <w:rPr>
          <w:spacing w:val="-2"/>
        </w:rPr>
        <w:t> </w:t>
      </w:r>
      <w:r>
        <w:rPr/>
        <w:t>to</w:t>
      </w:r>
      <w:r>
        <w:rPr>
          <w:spacing w:val="-2"/>
        </w:rPr>
        <w:t> </w:t>
      </w:r>
      <w:r>
        <w:rPr/>
        <w:t>make</w:t>
      </w:r>
      <w:r>
        <w:rPr>
          <w:spacing w:val="-2"/>
        </w:rPr>
        <w:t> </w:t>
      </w:r>
      <w:r>
        <w:rPr/>
        <w:t>only</w:t>
      </w:r>
      <w:r>
        <w:rPr>
          <w:spacing w:val="-3"/>
        </w:rPr>
        <w:t> </w:t>
      </w:r>
      <w:r>
        <w:rPr/>
        <w:t>a</w:t>
      </w:r>
      <w:r>
        <w:rPr>
          <w:spacing w:val="-2"/>
        </w:rPr>
        <w:t> </w:t>
      </w:r>
      <w:r>
        <w:rPr/>
        <w:t>minor</w:t>
      </w:r>
      <w:r>
        <w:rPr>
          <w:spacing w:val="-1"/>
        </w:rPr>
        <w:t> </w:t>
      </w:r>
      <w:r>
        <w:rPr/>
        <w:t>contribution</w:t>
      </w:r>
      <w:r>
        <w:rPr>
          <w:spacing w:val="-2"/>
        </w:rPr>
        <w:t> </w:t>
      </w:r>
      <w:r>
        <w:rPr/>
        <w:t>to</w:t>
      </w:r>
      <w:r>
        <w:rPr>
          <w:spacing w:val="-2"/>
        </w:rPr>
        <w:t> </w:t>
      </w:r>
      <w:r>
        <w:rPr/>
        <w:t>growth</w:t>
      </w:r>
      <w:r>
        <w:rPr>
          <w:spacing w:val="-2"/>
        </w:rPr>
        <w:t> </w:t>
      </w:r>
      <w:r>
        <w:rPr/>
        <w:t>in</w:t>
      </w:r>
      <w:r>
        <w:rPr>
          <w:spacing w:val="-3"/>
        </w:rPr>
        <w:t> </w:t>
      </w:r>
      <w:r>
        <w:rPr/>
        <w:t>Germany</w:t>
      </w:r>
      <w:r>
        <w:rPr>
          <w:spacing w:val="-5"/>
        </w:rPr>
        <w:t> </w:t>
      </w:r>
      <w:r>
        <w:rPr/>
        <w:t>and</w:t>
      </w:r>
      <w:r>
        <w:rPr>
          <w:spacing w:val="-2"/>
        </w:rPr>
        <w:t> </w:t>
      </w:r>
      <w:r>
        <w:rPr/>
        <w:t>the</w:t>
      </w:r>
      <w:r>
        <w:rPr>
          <w:spacing w:val="-2"/>
        </w:rPr>
        <w:t> </w:t>
      </w:r>
      <w:r>
        <w:rPr/>
        <w:t>US.</w:t>
      </w:r>
    </w:p>
    <w:p>
      <w:pPr>
        <w:pStyle w:val="BodyText"/>
        <w:spacing w:before="7"/>
      </w:pPr>
    </w:p>
    <w:p>
      <w:pPr>
        <w:pStyle w:val="BodyText"/>
        <w:spacing w:line="355" w:lineRule="auto"/>
        <w:ind w:left="232" w:right="1093"/>
      </w:pPr>
      <w:r>
        <w:rPr/>
        <w:t>Obviously the possession of a university education is not the only measure of the general skill level of workers. Recent OECD work has looked at returns to more basic skills, and found large heterogeneity across</w:t>
      </w:r>
    </w:p>
    <w:p>
      <w:pPr>
        <w:spacing w:after="0" w:line="355" w:lineRule="auto"/>
        <w:sectPr>
          <w:pgSz w:w="11910" w:h="16840"/>
          <w:pgMar w:header="0" w:footer="1338" w:top="1580" w:bottom="1520" w:left="900" w:right="0"/>
        </w:sectPr>
      </w:pPr>
    </w:p>
    <w:p>
      <w:pPr>
        <w:pStyle w:val="BodyText"/>
        <w:spacing w:line="355" w:lineRule="auto" w:before="129"/>
        <w:ind w:left="232" w:right="1093"/>
      </w:pPr>
      <w:r>
        <w:rPr/>
        <w:t>countries.</w:t>
      </w:r>
      <w:r>
        <w:rPr>
          <w:vertAlign w:val="superscript"/>
        </w:rPr>
        <w:t>14</w:t>
      </w:r>
      <w:r>
        <w:rPr>
          <w:vertAlign w:val="baseline"/>
        </w:rPr>
        <w:t> Particularly striking is the returns to higher skills that are present in the United States and the United Kingdom, countries in which skills are particularly unequally distributed across workers. This suggests that there is considerable scope for an improvement in the average skill level of workers in these countries to feed into higher economic growth rates, if the demand for these skills is met.</w:t>
      </w:r>
    </w:p>
    <w:p>
      <w:pPr>
        <w:pStyle w:val="Heading1"/>
        <w:spacing w:before="127"/>
      </w:pPr>
      <w:r>
        <w:rPr>
          <w:color w:val="4F81BC"/>
        </w:rPr>
        <w:t>The return on capital and its contribution to economic growth</w:t>
      </w:r>
    </w:p>
    <w:p>
      <w:pPr>
        <w:pStyle w:val="BodyText"/>
        <w:rPr>
          <w:b/>
          <w:sz w:val="22"/>
        </w:rPr>
      </w:pPr>
    </w:p>
    <w:p>
      <w:pPr>
        <w:pStyle w:val="BodyText"/>
        <w:spacing w:line="355" w:lineRule="auto" w:before="131"/>
        <w:ind w:left="232" w:right="1152"/>
      </w:pPr>
      <w:r>
        <w:rPr/>
        <w:t>The framework set out above assumed that the capital stock would grow in line with effective labour input</w:t>
      </w:r>
      <w:r>
        <w:rPr>
          <w:spacing w:val="-33"/>
        </w:rPr>
        <w:t> </w:t>
      </w:r>
      <w:r>
        <w:rPr/>
        <w:t>per hour worked. I pointed out that in fact capital deepening had run ahead of what might be expected if technical progress was</w:t>
      </w:r>
      <w:r>
        <w:rPr>
          <w:spacing w:val="-1"/>
        </w:rPr>
        <w:t> </w:t>
      </w:r>
      <w:r>
        <w:rPr/>
        <w:t>labour-augmenting.</w:t>
      </w:r>
    </w:p>
    <w:p>
      <w:pPr>
        <w:pStyle w:val="BodyText"/>
        <w:spacing w:before="10"/>
      </w:pPr>
    </w:p>
    <w:p>
      <w:pPr>
        <w:pStyle w:val="BodyText"/>
        <w:spacing w:line="355" w:lineRule="auto"/>
        <w:ind w:left="232" w:right="1175"/>
      </w:pPr>
      <w:r>
        <w:rPr/>
        <w:t>One reason why that might have happened of course is that the required return on the capital stock had declined. That seems a particularly pertinent explanation given the way in which real rates of interest have declined over the last twenty years or so (Broadbent, 2014). A low return on capital would require a higher share of net investment in income to finance a balanced growth path. If returns were abnormally low, as they are on financial assets at the moment, it would also raise the prospect these low returns would act as a</w:t>
      </w:r>
    </w:p>
    <w:p>
      <w:pPr>
        <w:spacing w:after="0" w:line="355" w:lineRule="auto"/>
        <w:sectPr>
          <w:footerReference w:type="default" r:id="rId16"/>
          <w:pgSz w:w="11910" w:h="16840"/>
          <w:pgMar w:footer="1338" w:header="0" w:top="1580" w:bottom="1520" w:left="900" w:right="0"/>
          <w:pgNumType w:start="13"/>
        </w:sectPr>
      </w:pPr>
    </w:p>
    <w:p>
      <w:pPr>
        <w:pStyle w:val="Heading1"/>
        <w:spacing w:before="91"/>
      </w:pPr>
      <w:r>
        <w:rPr>
          <w:color w:val="4F81BC"/>
        </w:rPr>
        <w:t>Figure 5: The net rate of return on national capital</w:t>
      </w:r>
    </w:p>
    <w:p>
      <w:pPr>
        <w:pStyle w:val="BodyText"/>
        <w:spacing w:before="8"/>
        <w:rPr>
          <w:b/>
          <w:sz w:val="19"/>
        </w:rPr>
      </w:pPr>
    </w:p>
    <w:p>
      <w:pPr>
        <w:spacing w:before="0"/>
        <w:ind w:left="0" w:right="38" w:firstLine="0"/>
        <w:jc w:val="right"/>
        <w:rPr>
          <w:sz w:val="16"/>
        </w:rPr>
      </w:pPr>
      <w:r>
        <w:rPr/>
        <w:pict>
          <v:group style="position:absolute;margin-left:74.160004pt;margin-top:4.6239pt;width:256.1pt;height:179.8pt;mso-position-horizontal-relative:page;mso-position-vertical-relative:paragraph;z-index:251704320" coordorigin="1483,92" coordsize="5122,3596">
            <v:shape style="position:absolute;left:1504;top:99;width:5100;height:3588" coordorigin="1505,100" coordsize="5100,3588" path="m1505,3246l6557,3246m1505,2852l6557,2852m1505,2461l6557,2461m1505,2068l6557,2068m1505,1674l6557,1674m1505,1280l6557,1280m1505,887l6557,887m1505,493l6557,493m1505,100l6557,100m6557,3640l6557,100m6557,3640l6605,3640m6557,3246l6605,3246m6557,2852l6605,2852m6557,2461l6605,2461m6557,2068l6605,2068m6557,1674l6605,1674m6557,1280l6605,1280m6557,887l6605,887m6557,493l6605,493m6557,100l6605,100m1505,3640l6557,3640m1505,3640l1505,3688m1841,3640l1841,3688m2179,3640l2179,3688m2515,3640l2515,3688m2851,3640l2851,3688m3187,3640l3187,3688m3526,3640l3526,3688m3862,3640l3862,3688m4198,3640l4198,3688m4536,3640l4536,3688m4872,3640l4872,3688m5208,3640l5208,3688m5546,3640l5546,3688m5882,3640l5882,3688m6218,3640l6218,3688m6557,3640l6557,3688e" filled="false" stroked="true" strokeweight=".72pt" strokecolor="#858585">
              <v:path arrowok="t"/>
              <v:stroke dashstyle="solid"/>
            </v:shape>
            <v:shape style="position:absolute;left:1504;top:1779;width:5052;height:1085" coordorigin="1505,1780" coordsize="5052,1085" path="m1505,1780l1841,1909,2179,1933,2515,2017,2851,2173,3187,2305,3526,2406,3862,2555,4198,2627,4536,2615,4872,2641,5208,2788,5546,2754,5882,2804,6218,2845,6557,2864e" filled="false" stroked="true" strokeweight="2.16pt" strokecolor="#416ea6">
              <v:path arrowok="t"/>
              <v:stroke dashstyle="solid"/>
            </v:shape>
            <v:shape style="position:absolute;left:2851;top:481;width:3706;height:910" coordorigin="2851,481" coordsize="3706,910" path="m2851,1391l3187,1201,3526,1141,3862,1151,4198,930,4536,848,4872,596,5208,481,5546,784,5882,1340,6218,1055,6557,995e" filled="false" stroked="true" strokeweight="2.16pt" strokecolor="#a8423e">
              <v:path arrowok="t"/>
              <v:stroke dashstyle="solid"/>
            </v:shape>
            <v:shape style="position:absolute;left:1504;top:1861;width:5052;height:488" coordorigin="1505,1861" coordsize="5052,488" path="m1505,1861l1841,1895,2179,2032,2515,2104,2851,2197,3187,2291,3526,2348,3862,2255,4198,2149,4536,2010,4872,1976,5208,2029,5546,2327,5882,2135,6218,2092,6557,2104e" filled="false" stroked="true" strokeweight="2.16pt" strokecolor="#6d538d">
              <v:path arrowok="t"/>
              <v:stroke dashstyle="solid"/>
            </v:shape>
            <v:shape style="position:absolute;left:1504;top:1287;width:5052;height:610" coordorigin="1505,1288" coordsize="5052,610" path="m1505,1288l1841,1568,2179,1662,2515,1890,2851,1864,3187,1804,3526,1861,3862,1796,4198,1856,4536,1897,4872,1741,5208,1866,5546,1768,5882,1710,6218,1751,6557,1780e" filled="false" stroked="true" strokeweight="2.16pt" strokecolor="#3c95ad">
              <v:path arrowok="t"/>
              <v:stroke dashstyle="solid"/>
            </v:shape>
            <v:shape style="position:absolute;left:1504;top:1503;width:5052;height:1044" coordorigin="1505,1504" coordsize="5052,1044" path="m1505,1547l1841,1516,2179,1504,2515,1655,2851,1765,3187,1825,3526,1672,3862,1744,4198,1715,4536,1828,4872,1888,5208,2548,5546,2164,5882,2135,6218,2036,6557,2017e" filled="false" stroked="true" strokeweight="2.16pt" strokecolor="#da8137">
              <v:path arrowok="t"/>
              <v:stroke dashstyle="solid"/>
            </v:shape>
            <w10:wrap type="none"/>
          </v:group>
        </w:pict>
      </w:r>
      <w:r>
        <w:rPr>
          <w:spacing w:val="-2"/>
          <w:sz w:val="16"/>
        </w:rPr>
        <w:t>9%</w:t>
      </w:r>
    </w:p>
    <w:p>
      <w:pPr>
        <w:pStyle w:val="BodyText"/>
        <w:spacing w:before="2"/>
        <w:rPr>
          <w:sz w:val="18"/>
        </w:rPr>
      </w:pPr>
    </w:p>
    <w:p>
      <w:pPr>
        <w:spacing w:before="0"/>
        <w:ind w:left="0" w:right="38" w:firstLine="0"/>
        <w:jc w:val="right"/>
        <w:rPr>
          <w:sz w:val="16"/>
        </w:rPr>
      </w:pPr>
      <w:r>
        <w:rPr>
          <w:spacing w:val="-2"/>
          <w:sz w:val="16"/>
        </w:rPr>
        <w:t>8%</w:t>
      </w:r>
    </w:p>
    <w:p>
      <w:pPr>
        <w:pStyle w:val="BodyText"/>
        <w:spacing w:before="3"/>
        <w:rPr>
          <w:sz w:val="18"/>
        </w:rPr>
      </w:pPr>
    </w:p>
    <w:p>
      <w:pPr>
        <w:spacing w:before="0"/>
        <w:ind w:left="0" w:right="38" w:firstLine="0"/>
        <w:jc w:val="right"/>
        <w:rPr>
          <w:sz w:val="16"/>
        </w:rPr>
      </w:pPr>
      <w:r>
        <w:rPr>
          <w:spacing w:val="-2"/>
          <w:sz w:val="16"/>
        </w:rPr>
        <w:t>7%</w:t>
      </w:r>
    </w:p>
    <w:p>
      <w:pPr>
        <w:pStyle w:val="BodyText"/>
        <w:spacing w:before="2"/>
        <w:rPr>
          <w:sz w:val="18"/>
        </w:rPr>
      </w:pPr>
    </w:p>
    <w:p>
      <w:pPr>
        <w:spacing w:before="0"/>
        <w:ind w:left="0" w:right="38" w:firstLine="0"/>
        <w:jc w:val="right"/>
        <w:rPr>
          <w:sz w:val="16"/>
        </w:rPr>
      </w:pPr>
      <w:r>
        <w:rPr>
          <w:spacing w:val="-2"/>
          <w:sz w:val="16"/>
        </w:rPr>
        <w:t>6%</w:t>
      </w:r>
    </w:p>
    <w:p>
      <w:pPr>
        <w:pStyle w:val="BodyText"/>
        <w:spacing w:before="3"/>
        <w:rPr>
          <w:sz w:val="18"/>
        </w:rPr>
      </w:pPr>
    </w:p>
    <w:p>
      <w:pPr>
        <w:spacing w:before="0"/>
        <w:ind w:left="0" w:right="38" w:firstLine="0"/>
        <w:jc w:val="right"/>
        <w:rPr>
          <w:sz w:val="16"/>
        </w:rPr>
      </w:pPr>
      <w:r>
        <w:rPr>
          <w:spacing w:val="-2"/>
          <w:sz w:val="16"/>
        </w:rPr>
        <w:t>5%</w:t>
      </w:r>
    </w:p>
    <w:p>
      <w:pPr>
        <w:pStyle w:val="BodyText"/>
        <w:spacing w:before="2"/>
        <w:rPr>
          <w:sz w:val="18"/>
        </w:rPr>
      </w:pPr>
    </w:p>
    <w:p>
      <w:pPr>
        <w:spacing w:before="0"/>
        <w:ind w:left="0" w:right="38" w:firstLine="0"/>
        <w:jc w:val="right"/>
        <w:rPr>
          <w:sz w:val="16"/>
        </w:rPr>
      </w:pPr>
      <w:r>
        <w:rPr>
          <w:spacing w:val="-2"/>
          <w:sz w:val="16"/>
        </w:rPr>
        <w:t>4%</w:t>
      </w:r>
    </w:p>
    <w:p>
      <w:pPr>
        <w:pStyle w:val="BodyText"/>
        <w:spacing w:before="2"/>
        <w:rPr>
          <w:sz w:val="18"/>
        </w:rPr>
      </w:pPr>
    </w:p>
    <w:p>
      <w:pPr>
        <w:spacing w:before="1"/>
        <w:ind w:left="0" w:right="38" w:firstLine="0"/>
        <w:jc w:val="right"/>
        <w:rPr>
          <w:sz w:val="16"/>
        </w:rPr>
      </w:pPr>
      <w:r>
        <w:rPr>
          <w:spacing w:val="-2"/>
          <w:sz w:val="16"/>
        </w:rPr>
        <w:t>3%</w:t>
      </w:r>
    </w:p>
    <w:p>
      <w:pPr>
        <w:pStyle w:val="BodyText"/>
        <w:spacing w:before="2"/>
        <w:rPr>
          <w:sz w:val="18"/>
        </w:rPr>
      </w:pPr>
    </w:p>
    <w:p>
      <w:pPr>
        <w:spacing w:before="0"/>
        <w:ind w:left="0" w:right="38" w:firstLine="0"/>
        <w:jc w:val="right"/>
        <w:rPr>
          <w:sz w:val="16"/>
        </w:rPr>
      </w:pPr>
      <w:r>
        <w:rPr>
          <w:spacing w:val="-2"/>
          <w:sz w:val="16"/>
        </w:rPr>
        <w:t>2%</w:t>
      </w:r>
    </w:p>
    <w:p>
      <w:pPr>
        <w:pStyle w:val="BodyText"/>
        <w:spacing w:before="2"/>
        <w:rPr>
          <w:sz w:val="18"/>
        </w:rPr>
      </w:pPr>
    </w:p>
    <w:p>
      <w:pPr>
        <w:spacing w:before="0"/>
        <w:ind w:left="0" w:right="38" w:firstLine="0"/>
        <w:jc w:val="right"/>
        <w:rPr>
          <w:sz w:val="16"/>
        </w:rPr>
      </w:pPr>
      <w:r>
        <w:rPr>
          <w:spacing w:val="-2"/>
          <w:sz w:val="16"/>
        </w:rPr>
        <w:t>1%</w:t>
      </w:r>
    </w:p>
    <w:p>
      <w:pPr>
        <w:pStyle w:val="BodyText"/>
        <w:spacing w:before="3"/>
        <w:rPr>
          <w:sz w:val="18"/>
        </w:rPr>
      </w:pPr>
    </w:p>
    <w:p>
      <w:pPr>
        <w:spacing w:before="0"/>
        <w:ind w:left="0" w:right="38" w:firstLine="0"/>
        <w:jc w:val="right"/>
        <w:rPr>
          <w:sz w:val="16"/>
        </w:rPr>
      </w:pPr>
      <w:r>
        <w:rPr>
          <w:spacing w:val="-2"/>
          <w:sz w:val="16"/>
        </w:rPr>
        <w:t>0%</w:t>
      </w:r>
    </w:p>
    <w:p>
      <w:pPr>
        <w:pStyle w:val="BodyText"/>
        <w:spacing w:before="3"/>
        <w:rPr>
          <w:sz w:val="3"/>
        </w:rPr>
      </w:pPr>
    </w:p>
    <w:p>
      <w:pPr>
        <w:pStyle w:val="BodyText"/>
        <w:ind w:left="343"/>
      </w:pPr>
      <w:r>
        <w:rPr/>
        <w:drawing>
          <wp:inline distT="0" distB="0" distL="0" distR="0">
            <wp:extent cx="3377154" cy="204787"/>
            <wp:effectExtent l="0" t="0" r="0" b="0"/>
            <wp:docPr id="3" name="image6.png"/>
            <wp:cNvGraphicFramePr>
              <a:graphicFrameLocks noChangeAspect="1"/>
            </wp:cNvGraphicFramePr>
            <a:graphic>
              <a:graphicData uri="http://schemas.openxmlformats.org/drawingml/2006/picture">
                <pic:pic>
                  <pic:nvPicPr>
                    <pic:cNvPr id="4" name="image6.png"/>
                    <pic:cNvPicPr/>
                  </pic:nvPicPr>
                  <pic:blipFill>
                    <a:blip r:embed="rId17" cstate="print"/>
                    <a:stretch>
                      <a:fillRect/>
                    </a:stretch>
                  </pic:blipFill>
                  <pic:spPr>
                    <a:xfrm>
                      <a:off x="0" y="0"/>
                      <a:ext cx="3377154" cy="204787"/>
                    </a:xfrm>
                    <a:prstGeom prst="rect">
                      <a:avLst/>
                    </a:prstGeom>
                  </pic:spPr>
                </pic:pic>
              </a:graphicData>
            </a:graphic>
          </wp:inline>
        </w:drawing>
      </w:r>
      <w:r>
        <w:rPr/>
      </w:r>
    </w:p>
    <w:p>
      <w:pPr>
        <w:tabs>
          <w:tab w:pos="2823" w:val="left" w:leader="none"/>
          <w:tab w:pos="4442" w:val="left" w:leader="none"/>
        </w:tabs>
        <w:spacing w:line="388" w:lineRule="auto" w:before="112"/>
        <w:ind w:left="1205" w:right="759" w:firstLine="0"/>
        <w:jc w:val="left"/>
        <w:rPr>
          <w:sz w:val="16"/>
        </w:rPr>
      </w:pPr>
      <w:r>
        <w:rPr/>
        <w:pict>
          <v:line style="position:absolute;mso-position-horizontal-relative:page;mso-position-vertical-relative:paragraph;z-index:251705344" from="84pt,10.583896pt" to="103.2pt,10.583896pt" stroked="true" strokeweight="2.16pt" strokecolor="#416ea6">
            <v:stroke dashstyle="solid"/>
            <w10:wrap type="none"/>
          </v:line>
        </w:pict>
      </w:r>
      <w:r>
        <w:rPr/>
        <w:pict>
          <v:line style="position:absolute;mso-position-horizontal-relative:page;mso-position-vertical-relative:paragraph;z-index:-254019584" from="164.880005pt,10.583896pt" to="184.080005pt,10.583896pt" stroked="true" strokeweight="2.16pt" strokecolor="#a8423e">
            <v:stroke dashstyle="solid"/>
            <w10:wrap type="none"/>
          </v:line>
        </w:pict>
      </w:r>
      <w:r>
        <w:rPr/>
        <w:pict>
          <v:line style="position:absolute;mso-position-horizontal-relative:page;mso-position-vertical-relative:paragraph;z-index:-254018560" from="245.759995pt,10.583896pt" to="264.959995pt,10.583896pt" stroked="true" strokeweight="2.16pt" strokecolor="#6d538d">
            <v:stroke dashstyle="solid"/>
            <w10:wrap type="none"/>
          </v:line>
        </w:pict>
      </w:r>
      <w:r>
        <w:rPr/>
        <w:pict>
          <v:line style="position:absolute;mso-position-horizontal-relative:page;mso-position-vertical-relative:paragraph;z-index:251708416" from="84pt,25.463896pt" to="103.2pt,25.463896pt" stroked="true" strokeweight="2.16pt" strokecolor="#3c95ad">
            <v:stroke dashstyle="solid"/>
            <w10:wrap type="none"/>
          </v:line>
        </w:pict>
      </w:r>
      <w:r>
        <w:rPr/>
        <w:pict>
          <v:line style="position:absolute;mso-position-horizontal-relative:page;mso-position-vertical-relative:paragraph;z-index:-254016512" from="164.880005pt,25.463896pt" to="184.080005pt,25.463896pt" stroked="true" strokeweight="2.16pt" strokecolor="#da8137">
            <v:stroke dashstyle="solid"/>
            <w10:wrap type="none"/>
          </v:line>
        </w:pict>
      </w:r>
      <w:r>
        <w:rPr>
          <w:sz w:val="16"/>
        </w:rPr>
        <w:t>France</w:t>
        <w:tab/>
        <w:t>Germany</w:t>
        <w:tab/>
      </w:r>
      <w:r>
        <w:rPr>
          <w:spacing w:val="-3"/>
          <w:sz w:val="16"/>
        </w:rPr>
        <w:t>Netherlands </w:t>
      </w:r>
      <w:r>
        <w:rPr>
          <w:sz w:val="16"/>
        </w:rPr>
        <w:t>United</w:t>
      </w:r>
      <w:r>
        <w:rPr>
          <w:spacing w:val="-3"/>
          <w:sz w:val="16"/>
        </w:rPr>
        <w:t> </w:t>
      </w:r>
      <w:r>
        <w:rPr>
          <w:sz w:val="16"/>
        </w:rPr>
        <w:t>Kingdom</w:t>
        <w:tab/>
        <w:t>United</w:t>
      </w:r>
      <w:r>
        <w:rPr>
          <w:spacing w:val="-2"/>
          <w:sz w:val="16"/>
        </w:rPr>
        <w:t> </w:t>
      </w:r>
      <w:r>
        <w:rPr>
          <w:sz w:val="16"/>
        </w:rPr>
        <w:t>States</w:t>
      </w:r>
    </w:p>
    <w:p>
      <w:pPr>
        <w:spacing w:before="149"/>
        <w:ind w:left="232" w:right="0" w:firstLine="0"/>
        <w:jc w:val="left"/>
        <w:rPr>
          <w:sz w:val="20"/>
        </w:rPr>
      </w:pPr>
      <w:r>
        <w:rPr>
          <w:b/>
          <w:sz w:val="16"/>
        </w:rPr>
        <w:t>Sources: </w:t>
      </w:r>
      <w:r>
        <w:rPr>
          <w:sz w:val="16"/>
        </w:rPr>
        <w:t>National statistical sources and Bank calculations</w:t>
      </w:r>
      <w:r>
        <w:rPr>
          <w:sz w:val="20"/>
        </w:rPr>
        <w:t>.</w:t>
      </w:r>
    </w:p>
    <w:p>
      <w:pPr>
        <w:pStyle w:val="BodyText"/>
        <w:spacing w:line="355" w:lineRule="auto"/>
        <w:ind w:left="232" w:right="1106"/>
      </w:pPr>
      <w:r>
        <w:rPr/>
        <w:br w:type="column"/>
      </w:r>
      <w:r>
        <w:rPr/>
        <w:t>deterrent to investment, so that the capital deepening of the last pre-crisis period would be replaced by a period of capital-shallowing. While growth accounting (Oulton and Srinivasan, 2003) focuses on gross returns, the incentive to invest is a consequence of net returns on capital, and I examine these for France, Germany, the Netherlands, the United Kingdom and the United States.</w:t>
      </w:r>
    </w:p>
    <w:p>
      <w:pPr>
        <w:pStyle w:val="BodyText"/>
        <w:spacing w:before="5"/>
      </w:pPr>
    </w:p>
    <w:p>
      <w:pPr>
        <w:pStyle w:val="BodyText"/>
        <w:spacing w:line="355" w:lineRule="auto"/>
        <w:ind w:left="232" w:right="1149"/>
      </w:pPr>
      <w:r>
        <w:rPr/>
        <w:t>Figure 5 shows the overall net returns on capital in each of these countries.</w:t>
      </w:r>
      <w:r>
        <w:rPr>
          <w:vertAlign w:val="superscript"/>
        </w:rPr>
        <w:t>15</w:t>
      </w:r>
      <w:r>
        <w:rPr>
          <w:vertAlign w:val="baseline"/>
        </w:rPr>
        <w:t> The analysis presented here shows the return computed as net operating surplus plus a component of mixed income as a proportion of capital stock</w:t>
      </w:r>
    </w:p>
    <w:p>
      <w:pPr>
        <w:spacing w:after="0" w:line="355" w:lineRule="auto"/>
        <w:sectPr>
          <w:type w:val="continuous"/>
          <w:pgSz w:w="11910" w:h="16840"/>
          <w:pgMar w:top="1180" w:bottom="1520" w:left="900" w:right="0"/>
          <w:cols w:num="2" w:equalWidth="0">
            <w:col w:w="6068" w:space="61"/>
            <w:col w:w="4881"/>
          </w:cols>
        </w:sectPr>
      </w:pPr>
    </w:p>
    <w:p>
      <w:pPr>
        <w:pStyle w:val="BodyText"/>
        <w:spacing w:line="355" w:lineRule="auto"/>
        <w:ind w:left="232" w:right="1093"/>
      </w:pPr>
      <w:r>
        <w:rPr/>
        <w:t>measured at replacement cost except that land is valued at market prices. An analysis in terms of replacement cost is more appropriate when exploring growth potential. The figures for all except the Netherlands draw on official figures produced by statistical offices, as do those for the Netherlands since</w:t>
      </w:r>
    </w:p>
    <w:p>
      <w:pPr>
        <w:pStyle w:val="BodyText"/>
      </w:pPr>
    </w:p>
    <w:p>
      <w:pPr>
        <w:pStyle w:val="BodyText"/>
        <w:spacing w:before="10"/>
      </w:pPr>
      <w:r>
        <w:rPr/>
        <w:pict>
          <v:shape style="position:absolute;margin-left:56.639999pt;margin-top:14.201241pt;width:144.050pt;height:.1pt;mso-position-horizontal-relative:page;mso-position-vertical-relative:paragraph;z-index:-251613184;mso-wrap-distance-left:0;mso-wrap-distance-right:0" coordorigin="1133,284" coordsize="2881,0" path="m1133,284l4014,284e" filled="false" stroked="true" strokeweight=".47998pt" strokecolor="#000000">
            <v:path arrowok="t"/>
            <v:stroke dashstyle="solid"/>
            <w10:wrap type="topAndBottom"/>
          </v:shape>
        </w:pict>
      </w:r>
    </w:p>
    <w:p>
      <w:pPr>
        <w:spacing w:line="196" w:lineRule="exact" w:before="27"/>
        <w:ind w:left="232" w:right="0" w:firstLine="0"/>
        <w:jc w:val="left"/>
        <w:rPr>
          <w:sz w:val="16"/>
        </w:rPr>
      </w:pPr>
      <w:r>
        <w:rPr>
          <w:position w:val="8"/>
          <w:sz w:val="10"/>
        </w:rPr>
        <w:t>14 </w:t>
      </w:r>
      <w:r>
        <w:rPr>
          <w:sz w:val="16"/>
        </w:rPr>
        <w:t>OECD (2015a).</w:t>
      </w:r>
    </w:p>
    <w:p>
      <w:pPr>
        <w:spacing w:line="184" w:lineRule="exact" w:before="15"/>
        <w:ind w:left="232" w:right="1185" w:firstLine="0"/>
        <w:jc w:val="left"/>
        <w:rPr>
          <w:sz w:val="16"/>
        </w:rPr>
      </w:pPr>
      <w:r>
        <w:rPr>
          <w:position w:val="8"/>
          <w:sz w:val="10"/>
        </w:rPr>
        <w:t>15 </w:t>
      </w:r>
      <w:r>
        <w:rPr>
          <w:sz w:val="16"/>
        </w:rPr>
        <w:t>These figures differ from those presented by Piketty and Zucman (2014); they are returns with capital valued at replacement cost, while Piketty and Zucman looked at the return to household sector wealth.</w:t>
      </w:r>
    </w:p>
    <w:p>
      <w:pPr>
        <w:spacing w:after="0" w:line="184" w:lineRule="exact"/>
        <w:jc w:val="left"/>
        <w:rPr>
          <w:sz w:val="16"/>
        </w:rPr>
        <w:sectPr>
          <w:type w:val="continuous"/>
          <w:pgSz w:w="11910" w:h="16840"/>
          <w:pgMar w:top="1180" w:bottom="1520" w:left="900" w:right="0"/>
        </w:sectPr>
      </w:pPr>
    </w:p>
    <w:p>
      <w:pPr>
        <w:pStyle w:val="BodyText"/>
        <w:spacing w:line="352" w:lineRule="auto" w:before="129"/>
        <w:ind w:left="232" w:right="2341"/>
      </w:pPr>
      <w:r>
        <w:rPr/>
        <w:t>2010. The earlier for the Netherlands data draw on preliminary balance sheet data produced by van den Bergen, de Boo, Taminiau-van Veen and Veldhuizen (2011).</w:t>
      </w:r>
    </w:p>
    <w:p>
      <w:pPr>
        <w:pStyle w:val="BodyText"/>
        <w:spacing w:before="2"/>
        <w:rPr>
          <w:sz w:val="21"/>
        </w:rPr>
      </w:pPr>
    </w:p>
    <w:p>
      <w:pPr>
        <w:pStyle w:val="BodyText"/>
        <w:spacing w:line="355" w:lineRule="auto"/>
        <w:ind w:left="232" w:right="1141"/>
      </w:pPr>
      <w:r>
        <w:rPr/>
        <w:t>In the last few years returns in the Netherlands, the United Kingdom and the United States have been reasonably close together while those in Germany are high and those in France low.</w:t>
      </w:r>
      <w:r>
        <w:rPr>
          <w:vertAlign w:val="superscript"/>
        </w:rPr>
        <w:t>16</w:t>
      </w:r>
      <w:r>
        <w:rPr>
          <w:vertAlign w:val="baseline"/>
        </w:rPr>
        <w:t> The high return in Germany stands at odds with its status as the world’s largest capital exporter. Moreover, rates of return after the financial crisis are not very different from those before the crisis. The declining rate of interest has not been associated with a decline in the return on productive capital in five of the six countries while in France the return has drifted down steadily. Insofar as the effects of the crisis are visible, it shows as dips in the return in 2009 which are pronounced in Germany and the United States, but extremely modest in the</w:t>
      </w:r>
    </w:p>
    <w:p>
      <w:pPr>
        <w:pStyle w:val="BodyText"/>
        <w:spacing w:line="229" w:lineRule="exact"/>
        <w:ind w:left="232"/>
      </w:pPr>
      <w:r>
        <w:rPr/>
        <w:t>United Kingdom and France. Overall, with the possible exception of France, this picture suggests that it is</w:t>
      </w:r>
    </w:p>
    <w:p>
      <w:pPr>
        <w:pStyle w:val="BodyText"/>
        <w:spacing w:before="108"/>
        <w:ind w:left="6299"/>
      </w:pPr>
      <w:r>
        <w:rPr/>
        <w:t>unlikely that economic growth since the</w:t>
      </w:r>
    </w:p>
    <w:p>
      <w:pPr>
        <w:spacing w:after="0"/>
        <w:sectPr>
          <w:footerReference w:type="default" r:id="rId18"/>
          <w:pgSz w:w="11910" w:h="16840"/>
          <w:pgMar w:footer="1338" w:header="0" w:top="1580" w:bottom="1520" w:left="900" w:right="0"/>
          <w:pgNumType w:start="14"/>
        </w:sectPr>
      </w:pPr>
    </w:p>
    <w:p>
      <w:pPr>
        <w:pStyle w:val="Heading1"/>
        <w:spacing w:before="6"/>
      </w:pPr>
      <w:r>
        <w:rPr>
          <w:color w:val="4F81BC"/>
        </w:rPr>
        <w:t>Figure 6: The return on corporate capital</w:t>
      </w:r>
    </w:p>
    <w:p>
      <w:pPr>
        <w:pStyle w:val="BodyText"/>
        <w:spacing w:before="3"/>
        <w:rPr>
          <w:b/>
          <w:sz w:val="29"/>
        </w:rPr>
      </w:pPr>
    </w:p>
    <w:p>
      <w:pPr>
        <w:pStyle w:val="BodyText"/>
        <w:ind w:left="582" w:right="-58"/>
      </w:pPr>
      <w:r>
        <w:rPr/>
        <w:pict>
          <v:group style="width:248.55pt;height:189.85pt;mso-position-horizontal-relative:char;mso-position-vertical-relative:line" coordorigin="0,0" coordsize="4971,3797">
            <v:line style="position:absolute" from="22,3334" to="4922,3334" stroked="true" strokeweight=".72pt" strokecolor="#858585">
              <v:stroke dashstyle="solid"/>
            </v:line>
            <v:line style="position:absolute" from="22,2918" to="4922,2918" stroked="true" strokeweight=".72pt" strokecolor="#858585">
              <v:stroke dashstyle="solid"/>
            </v:line>
            <v:line style="position:absolute" from="22,2501" to="4922,2501" stroked="true" strokeweight=".72pt" strokecolor="#858585">
              <v:stroke dashstyle="solid"/>
            </v:line>
            <v:line style="position:absolute" from="22,2086" to="4922,2086" stroked="true" strokeweight=".72pt" strokecolor="#858585">
              <v:stroke dashstyle="solid"/>
            </v:line>
            <v:line style="position:absolute" from="22,1670" to="4922,1670" stroked="true" strokeweight=".72pt" strokecolor="#858585">
              <v:stroke dashstyle="solid"/>
            </v:line>
            <v:line style="position:absolute" from="22,1253" to="4922,1253" stroked="true" strokeweight=".72pt" strokecolor="#858585">
              <v:stroke dashstyle="solid"/>
            </v:line>
            <v:line style="position:absolute" from="22,838" to="4922,838" stroked="true" strokeweight=".72pt" strokecolor="#858585">
              <v:stroke dashstyle="solid"/>
            </v:line>
            <v:line style="position:absolute" from="22,422" to="4922,422" stroked="true" strokeweight=".72pt" strokecolor="#858585">
              <v:stroke dashstyle="solid"/>
            </v:line>
            <v:line style="position:absolute" from="22,7" to="4922,7" stroked="true" strokeweight=".72pt" strokecolor="#858585">
              <v:stroke dashstyle="solid"/>
            </v:line>
            <v:line style="position:absolute" from="4922,3749" to="4922,7" stroked="true" strokeweight=".72pt" strokecolor="#858585">
              <v:stroke dashstyle="solid"/>
            </v:line>
            <v:line style="position:absolute" from="4922,3749" to="4970,3749" stroked="true" strokeweight=".72pt" strokecolor="#858585">
              <v:stroke dashstyle="solid"/>
            </v:line>
            <v:line style="position:absolute" from="4922,3334" to="4970,3334" stroked="true" strokeweight=".72pt" strokecolor="#858585">
              <v:stroke dashstyle="solid"/>
            </v:line>
            <v:line style="position:absolute" from="4922,2918" to="4970,2918" stroked="true" strokeweight=".72pt" strokecolor="#858585">
              <v:stroke dashstyle="solid"/>
            </v:line>
            <v:line style="position:absolute" from="4922,2501" to="4970,2501" stroked="true" strokeweight=".72pt" strokecolor="#858585">
              <v:stroke dashstyle="solid"/>
            </v:line>
            <v:line style="position:absolute" from="4922,2086" to="4970,2086" stroked="true" strokeweight=".72pt" strokecolor="#858585">
              <v:stroke dashstyle="solid"/>
            </v:line>
            <v:line style="position:absolute" from="4922,1670" to="4970,1670" stroked="true" strokeweight=".72pt" strokecolor="#858585">
              <v:stroke dashstyle="solid"/>
            </v:line>
            <v:line style="position:absolute" from="4922,1253" to="4970,1253" stroked="true" strokeweight=".72pt" strokecolor="#858585">
              <v:stroke dashstyle="solid"/>
            </v:line>
            <v:line style="position:absolute" from="4922,838" to="4970,838" stroked="true" strokeweight=".72pt" strokecolor="#858585">
              <v:stroke dashstyle="solid"/>
            </v:line>
            <v:line style="position:absolute" from="4922,422" to="4970,422" stroked="true" strokeweight=".72pt" strokecolor="#858585">
              <v:stroke dashstyle="solid"/>
            </v:line>
            <v:line style="position:absolute" from="4922,7" to="4970,7" stroked="true" strokeweight=".72pt" strokecolor="#858585">
              <v:stroke dashstyle="solid"/>
            </v:line>
            <v:line style="position:absolute" from="22,3749" to="4922,3749" stroked="true" strokeweight=".72pt" strokecolor="#858585">
              <v:stroke dashstyle="solid"/>
            </v:line>
            <v:line style="position:absolute" from="22,3749" to="22,3797" stroked="true" strokeweight=".72pt" strokecolor="#858585">
              <v:stroke dashstyle="solid"/>
            </v:line>
            <v:line style="position:absolute" from="348,3749" to="348,3797" stroked="true" strokeweight=".72pt" strokecolor="#858585">
              <v:stroke dashstyle="solid"/>
            </v:line>
            <v:line style="position:absolute" from="674,3749" to="674,3797" stroked="true" strokeweight=".72pt" strokecolor="#858585">
              <v:stroke dashstyle="solid"/>
            </v:line>
            <v:line style="position:absolute" from="1001,3749" to="1001,3797" stroked="true" strokeweight=".72pt" strokecolor="#858585">
              <v:stroke dashstyle="solid"/>
            </v:line>
            <v:line style="position:absolute" from="1327,3749" to="1327,3797" stroked="true" strokeweight=".72pt" strokecolor="#858585">
              <v:stroke dashstyle="solid"/>
            </v:line>
            <v:line style="position:absolute" from="1654,3749" to="1654,3797" stroked="true" strokeweight=".72pt" strokecolor="#858585">
              <v:stroke dashstyle="solid"/>
            </v:line>
            <v:line style="position:absolute" from="1982,3749" to="1982,3797" stroked="true" strokeweight=".72pt" strokecolor="#858585">
              <v:stroke dashstyle="solid"/>
            </v:line>
            <v:line style="position:absolute" from="2309,3749" to="2309,3797" stroked="true" strokeweight=".72pt" strokecolor="#858585">
              <v:stroke dashstyle="solid"/>
            </v:line>
            <v:line style="position:absolute" from="2635,3749" to="2635,3797" stroked="true" strokeweight=".72pt" strokecolor="#858585">
              <v:stroke dashstyle="solid"/>
            </v:line>
            <v:line style="position:absolute" from="2962,3749" to="2962,3797" stroked="true" strokeweight=".72pt" strokecolor="#858585">
              <v:stroke dashstyle="solid"/>
            </v:line>
            <v:line style="position:absolute" from="3288,3749" to="3288,3797" stroked="true" strokeweight=".72pt" strokecolor="#858585">
              <v:stroke dashstyle="solid"/>
            </v:line>
            <v:line style="position:absolute" from="3614,3749" to="3614,3797" stroked="true" strokeweight=".72pt" strokecolor="#858585">
              <v:stroke dashstyle="solid"/>
            </v:line>
            <v:line style="position:absolute" from="3941,3749" to="3941,3797" stroked="true" strokeweight=".72pt" strokecolor="#858585">
              <v:stroke dashstyle="solid"/>
            </v:line>
            <v:line style="position:absolute" from="4267,3749" to="4267,3797" stroked="true" strokeweight=".72pt" strokecolor="#858585">
              <v:stroke dashstyle="solid"/>
            </v:line>
            <v:line style="position:absolute" from="4596,3749" to="4596,3797" stroked="true" strokeweight=".72pt" strokecolor="#858585">
              <v:stroke dashstyle="solid"/>
            </v:line>
            <v:line style="position:absolute" from="4922,3749" to="4922,3797" stroked="true" strokeweight=".72pt" strokecolor="#858585">
              <v:stroke dashstyle="solid"/>
            </v:line>
            <v:shape style="position:absolute;left:21;top:2157;width:4901;height:999" coordorigin="22,2158" coordsize="4901,999" path="m22,2158l348,2158,674,2292,1001,2405,1327,2539,1654,2630,1982,2676,2309,2791,2635,2844,2962,2813,3288,2875,3614,3077,3941,2993,4267,3053,4596,3118,4922,3156e" filled="false" stroked="true" strokeweight="2.16pt" strokecolor="#416ea6">
              <v:path arrowok="t"/>
              <v:stroke dashstyle="solid"/>
            </v:shape>
            <v:shape style="position:absolute;left:674;top:520;width:4248;height:1102" coordorigin="674,521" coordsize="4248,1102" path="m674,1622l1001,1416,1327,1354,1654,1332,1982,1063,2309,967,2635,682,2962,521,3288,874,3614,1416,3941,1094,4267,1030,4596,1210,4922,1274e" filled="false" stroked="true" strokeweight="2.16pt" strokecolor="#a8423e">
              <v:path arrowok="t"/>
              <v:stroke dashstyle="solid"/>
            </v:shape>
            <v:shape style="position:absolute;left:21;top:1507;width:4901;height:569" coordorigin="22,1507" coordsize="4901,569" path="m22,1838l348,1963,674,2023,1001,1951,1327,2026,1654,2076,1982,1930,2309,1757,2635,1598,2962,1572,3288,1601,3614,1786,3941,1536,4267,1550,4596,1507,4922,1512e" filled="false" stroked="true" strokeweight="2.16pt" strokecolor="#6d538d">
              <v:path arrowok="t"/>
              <v:stroke dashstyle="solid"/>
            </v:shape>
            <v:shape style="position:absolute;left:21;top:1118;width:4901;height:864" coordorigin="22,1118" coordsize="4901,864" path="m22,1543l348,1759,674,1810,1001,1982,1327,1786,1654,1531,1982,1438,2309,1243,2635,1253,2962,1178,3288,1118,3614,1238,3941,1346,4267,1327,4596,1354,4922,1294e" filled="false" stroked="true" strokeweight="2.16pt" strokecolor="#3c95ad">
              <v:path arrowok="t"/>
              <v:stroke dashstyle="solid"/>
            </v:shape>
            <v:shape style="position:absolute;left:21;top:1778;width:4901;height:689" coordorigin="22,1778" coordsize="4901,689" path="m22,2009l348,2090,674,2270,1001,2467,1327,2369,1654,2237,1982,2100,2309,2033,2635,1973,2962,2203,3288,2316,3614,2282,3941,1798,4267,1843,4596,1778,4922,1882e" filled="false" stroked="true" strokeweight="2.16pt" strokecolor="#da8137">
              <v:path arrowok="t"/>
              <v:stroke dashstyle="solid"/>
            </v:shape>
          </v:group>
        </w:pict>
      </w:r>
      <w:r>
        <w:rPr/>
      </w:r>
    </w:p>
    <w:p>
      <w:pPr>
        <w:pStyle w:val="BodyText"/>
        <w:spacing w:before="2"/>
        <w:rPr>
          <w:b/>
          <w:sz w:val="4"/>
        </w:rPr>
      </w:pPr>
    </w:p>
    <w:p>
      <w:pPr>
        <w:pStyle w:val="BodyText"/>
        <w:ind w:left="343" w:right="-29"/>
      </w:pPr>
      <w:r>
        <w:rPr/>
        <w:drawing>
          <wp:inline distT="0" distB="0" distL="0" distR="0">
            <wp:extent cx="3281534" cy="204787"/>
            <wp:effectExtent l="0" t="0" r="0" b="0"/>
            <wp:docPr id="5" name="image7.png"/>
            <wp:cNvGraphicFramePr>
              <a:graphicFrameLocks noChangeAspect="1"/>
            </wp:cNvGraphicFramePr>
            <a:graphic>
              <a:graphicData uri="http://schemas.openxmlformats.org/drawingml/2006/picture">
                <pic:pic>
                  <pic:nvPicPr>
                    <pic:cNvPr id="6" name="image7.png"/>
                    <pic:cNvPicPr/>
                  </pic:nvPicPr>
                  <pic:blipFill>
                    <a:blip r:embed="rId19" cstate="print"/>
                    <a:stretch>
                      <a:fillRect/>
                    </a:stretch>
                  </pic:blipFill>
                  <pic:spPr>
                    <a:xfrm>
                      <a:off x="0" y="0"/>
                      <a:ext cx="3281534" cy="204787"/>
                    </a:xfrm>
                    <a:prstGeom prst="rect">
                      <a:avLst/>
                    </a:prstGeom>
                  </pic:spPr>
                </pic:pic>
              </a:graphicData>
            </a:graphic>
          </wp:inline>
        </w:drawing>
      </w:r>
      <w:r>
        <w:rPr/>
      </w:r>
    </w:p>
    <w:p>
      <w:pPr>
        <w:pStyle w:val="BodyText"/>
        <w:spacing w:before="8"/>
        <w:rPr>
          <w:b/>
          <w:sz w:val="29"/>
        </w:rPr>
      </w:pPr>
    </w:p>
    <w:p>
      <w:pPr>
        <w:tabs>
          <w:tab w:pos="2793" w:val="left" w:leader="none"/>
          <w:tab w:pos="4411" w:val="left" w:leader="none"/>
        </w:tabs>
        <w:spacing w:line="386" w:lineRule="auto" w:before="0"/>
        <w:ind w:left="1174" w:right="249" w:firstLine="0"/>
        <w:jc w:val="left"/>
        <w:rPr>
          <w:sz w:val="16"/>
        </w:rPr>
      </w:pPr>
      <w:r>
        <w:rPr/>
        <w:pict>
          <v:line style="position:absolute;mso-position-horizontal-relative:page;mso-position-vertical-relative:paragraph;z-index:251712512" from="82.440002pt,4.883904pt" to="101.640002pt,4.883904pt" stroked="true" strokeweight="2.16pt" strokecolor="#416ea6">
            <v:stroke dashstyle="solid"/>
            <w10:wrap type="none"/>
          </v:line>
        </w:pict>
      </w:r>
      <w:r>
        <w:rPr/>
        <w:pict>
          <v:line style="position:absolute;mso-position-horizontal-relative:page;mso-position-vertical-relative:paragraph;z-index:-254012416" from="163.320007pt,4.883904pt" to="182.520007pt,4.883904pt" stroked="true" strokeweight="2.16pt" strokecolor="#a8423e">
            <v:stroke dashstyle="solid"/>
            <w10:wrap type="none"/>
          </v:line>
        </w:pict>
      </w:r>
      <w:r>
        <w:rPr/>
        <w:pict>
          <v:line style="position:absolute;mso-position-horizontal-relative:page;mso-position-vertical-relative:paragraph;z-index:-254011392" from="244.199997pt,4.883904pt" to="263.399997pt,4.883904pt" stroked="true" strokeweight="2.16pt" strokecolor="#6d538d">
            <v:stroke dashstyle="solid"/>
            <w10:wrap type="none"/>
          </v:line>
        </w:pict>
      </w:r>
      <w:r>
        <w:rPr/>
        <w:pict>
          <v:line style="position:absolute;mso-position-horizontal-relative:page;mso-position-vertical-relative:paragraph;z-index:251715584" from="82.440002pt,19.763905pt" to="101.640002pt,19.763905pt" stroked="true" strokeweight="2.16pt" strokecolor="#3c95ad">
            <v:stroke dashstyle="solid"/>
            <w10:wrap type="none"/>
          </v:line>
        </w:pict>
      </w:r>
      <w:r>
        <w:rPr/>
        <w:pict>
          <v:line style="position:absolute;mso-position-horizontal-relative:page;mso-position-vertical-relative:paragraph;z-index:-254009344" from="163.320007pt,19.763905pt" to="182.520007pt,19.763905pt" stroked="true" strokeweight="2.16pt" strokecolor="#da8137">
            <v:stroke dashstyle="solid"/>
            <w10:wrap type="none"/>
          </v:line>
        </w:pict>
      </w:r>
      <w:r>
        <w:rPr>
          <w:sz w:val="16"/>
        </w:rPr>
        <w:t>France</w:t>
        <w:tab/>
        <w:t>Germany</w:t>
        <w:tab/>
      </w:r>
      <w:r>
        <w:rPr>
          <w:spacing w:val="-3"/>
          <w:sz w:val="16"/>
        </w:rPr>
        <w:t>Netherlands </w:t>
      </w:r>
      <w:r>
        <w:rPr>
          <w:sz w:val="16"/>
        </w:rPr>
        <w:t>United</w:t>
      </w:r>
      <w:r>
        <w:rPr>
          <w:spacing w:val="-3"/>
          <w:sz w:val="16"/>
        </w:rPr>
        <w:t> </w:t>
      </w:r>
      <w:r>
        <w:rPr>
          <w:sz w:val="16"/>
        </w:rPr>
        <w:t>Kingdom</w:t>
        <w:tab/>
        <w:t>United</w:t>
      </w:r>
      <w:r>
        <w:rPr>
          <w:spacing w:val="-2"/>
          <w:sz w:val="16"/>
        </w:rPr>
        <w:t> </w:t>
      </w:r>
      <w:r>
        <w:rPr>
          <w:sz w:val="16"/>
        </w:rPr>
        <w:t>States</w:t>
      </w:r>
    </w:p>
    <w:p>
      <w:pPr>
        <w:spacing w:before="150"/>
        <w:ind w:left="232" w:right="0" w:firstLine="0"/>
        <w:jc w:val="left"/>
        <w:rPr>
          <w:sz w:val="20"/>
        </w:rPr>
      </w:pPr>
      <w:r>
        <w:rPr>
          <w:b/>
          <w:sz w:val="16"/>
        </w:rPr>
        <w:t>Sources: </w:t>
      </w:r>
      <w:r>
        <w:rPr>
          <w:sz w:val="16"/>
        </w:rPr>
        <w:t>National statistical sources and Bank calculations</w:t>
      </w:r>
      <w:r>
        <w:rPr>
          <w:sz w:val="20"/>
        </w:rPr>
        <w:t>.</w:t>
      </w:r>
    </w:p>
    <w:p>
      <w:pPr>
        <w:pStyle w:val="BodyText"/>
        <w:rPr>
          <w:sz w:val="18"/>
        </w:rPr>
      </w:pPr>
      <w:r>
        <w:rPr/>
        <w:br w:type="column"/>
      </w:r>
      <w:r>
        <w:rPr>
          <w:sz w:val="18"/>
        </w:rPr>
      </w:r>
    </w:p>
    <w:p>
      <w:pPr>
        <w:pStyle w:val="BodyText"/>
        <w:spacing w:before="9"/>
        <w:rPr>
          <w:sz w:val="23"/>
        </w:rPr>
      </w:pPr>
    </w:p>
    <w:p>
      <w:pPr>
        <w:spacing w:before="0"/>
        <w:ind w:left="79" w:right="0" w:firstLine="0"/>
        <w:jc w:val="left"/>
        <w:rPr>
          <w:sz w:val="16"/>
        </w:rPr>
      </w:pPr>
      <w:r>
        <w:rPr>
          <w:sz w:val="16"/>
        </w:rPr>
        <w:t>18%</w:t>
      </w:r>
    </w:p>
    <w:p>
      <w:pPr>
        <w:pStyle w:val="BodyText"/>
        <w:spacing w:before="2"/>
      </w:pPr>
    </w:p>
    <w:p>
      <w:pPr>
        <w:spacing w:before="0"/>
        <w:ind w:left="79" w:right="0" w:firstLine="0"/>
        <w:jc w:val="left"/>
        <w:rPr>
          <w:sz w:val="16"/>
        </w:rPr>
      </w:pPr>
      <w:r>
        <w:rPr>
          <w:sz w:val="16"/>
        </w:rPr>
        <w:t>16%</w:t>
      </w:r>
    </w:p>
    <w:p>
      <w:pPr>
        <w:pStyle w:val="BodyText"/>
        <w:spacing w:before="2"/>
      </w:pPr>
    </w:p>
    <w:p>
      <w:pPr>
        <w:spacing w:before="0"/>
        <w:ind w:left="79" w:right="0" w:firstLine="0"/>
        <w:jc w:val="left"/>
        <w:rPr>
          <w:sz w:val="16"/>
        </w:rPr>
      </w:pPr>
      <w:r>
        <w:rPr>
          <w:sz w:val="16"/>
        </w:rPr>
        <w:t>14%</w:t>
      </w:r>
    </w:p>
    <w:p>
      <w:pPr>
        <w:pStyle w:val="BodyText"/>
        <w:spacing w:before="2"/>
      </w:pPr>
    </w:p>
    <w:p>
      <w:pPr>
        <w:spacing w:before="0"/>
        <w:ind w:left="79" w:right="0" w:firstLine="0"/>
        <w:jc w:val="left"/>
        <w:rPr>
          <w:sz w:val="16"/>
        </w:rPr>
      </w:pPr>
      <w:r>
        <w:rPr>
          <w:sz w:val="16"/>
        </w:rPr>
        <w:t>12%</w:t>
      </w:r>
    </w:p>
    <w:p>
      <w:pPr>
        <w:pStyle w:val="BodyText"/>
        <w:spacing w:before="2"/>
      </w:pPr>
    </w:p>
    <w:p>
      <w:pPr>
        <w:spacing w:before="1"/>
        <w:ind w:left="79" w:right="0" w:firstLine="0"/>
        <w:jc w:val="left"/>
        <w:rPr>
          <w:sz w:val="16"/>
        </w:rPr>
      </w:pPr>
      <w:r>
        <w:rPr>
          <w:sz w:val="16"/>
        </w:rPr>
        <w:t>10%</w:t>
      </w:r>
    </w:p>
    <w:p>
      <w:pPr>
        <w:pStyle w:val="BodyText"/>
        <w:spacing w:before="1"/>
      </w:pPr>
    </w:p>
    <w:p>
      <w:pPr>
        <w:spacing w:before="0"/>
        <w:ind w:left="79" w:right="0" w:firstLine="0"/>
        <w:jc w:val="left"/>
        <w:rPr>
          <w:sz w:val="16"/>
        </w:rPr>
      </w:pPr>
      <w:r>
        <w:rPr>
          <w:sz w:val="16"/>
        </w:rPr>
        <w:t>8%</w:t>
      </w:r>
    </w:p>
    <w:p>
      <w:pPr>
        <w:pStyle w:val="BodyText"/>
        <w:spacing w:before="2"/>
      </w:pPr>
    </w:p>
    <w:p>
      <w:pPr>
        <w:spacing w:before="1"/>
        <w:ind w:left="79" w:right="0" w:firstLine="0"/>
        <w:jc w:val="left"/>
        <w:rPr>
          <w:sz w:val="16"/>
        </w:rPr>
      </w:pPr>
      <w:r>
        <w:rPr>
          <w:sz w:val="16"/>
        </w:rPr>
        <w:t>6%</w:t>
      </w:r>
    </w:p>
    <w:p>
      <w:pPr>
        <w:pStyle w:val="BodyText"/>
        <w:spacing w:before="1"/>
      </w:pPr>
    </w:p>
    <w:p>
      <w:pPr>
        <w:spacing w:before="0"/>
        <w:ind w:left="79" w:right="0" w:firstLine="0"/>
        <w:jc w:val="left"/>
        <w:rPr>
          <w:sz w:val="16"/>
        </w:rPr>
      </w:pPr>
      <w:r>
        <w:rPr>
          <w:sz w:val="16"/>
        </w:rPr>
        <w:t>4%</w:t>
      </w:r>
    </w:p>
    <w:p>
      <w:pPr>
        <w:pStyle w:val="BodyText"/>
        <w:spacing w:before="2"/>
      </w:pPr>
    </w:p>
    <w:p>
      <w:pPr>
        <w:spacing w:before="0"/>
        <w:ind w:left="79" w:right="0" w:firstLine="0"/>
        <w:jc w:val="left"/>
        <w:rPr>
          <w:sz w:val="16"/>
        </w:rPr>
      </w:pPr>
      <w:r>
        <w:rPr>
          <w:sz w:val="16"/>
        </w:rPr>
        <w:t>2%</w:t>
      </w:r>
    </w:p>
    <w:p>
      <w:pPr>
        <w:pStyle w:val="BodyText"/>
        <w:spacing w:before="3"/>
      </w:pPr>
    </w:p>
    <w:p>
      <w:pPr>
        <w:spacing w:before="0"/>
        <w:ind w:left="79" w:right="0" w:firstLine="0"/>
        <w:jc w:val="left"/>
        <w:rPr>
          <w:sz w:val="16"/>
        </w:rPr>
      </w:pPr>
      <w:r>
        <w:rPr>
          <w:sz w:val="16"/>
        </w:rPr>
        <w:t>0%</w:t>
      </w:r>
    </w:p>
    <w:p>
      <w:pPr>
        <w:pStyle w:val="BodyText"/>
        <w:spacing w:line="355" w:lineRule="auto" w:before="111"/>
        <w:ind w:left="232" w:right="1257"/>
      </w:pPr>
      <w:r>
        <w:rPr/>
        <w:br w:type="column"/>
      </w:r>
      <w:r>
        <w:rPr/>
        <w:t>crisis has been limited by a poor return on capital or that it is held back by a lack of investment opportunities.</w:t>
      </w:r>
    </w:p>
    <w:p>
      <w:pPr>
        <w:pStyle w:val="BodyText"/>
        <w:spacing w:before="9"/>
      </w:pPr>
    </w:p>
    <w:p>
      <w:pPr>
        <w:pStyle w:val="BodyText"/>
        <w:spacing w:line="355" w:lineRule="auto"/>
        <w:ind w:left="232" w:right="1179"/>
      </w:pPr>
      <w:r>
        <w:rPr/>
        <w:t>These overall estimates of the rate of return are, however, strongly influenced by the importance of housing, both the stock of houses and the land on which they stand. Arguably a better picture of prospects is found by looking at returns in the corporate sector shown</w:t>
      </w:r>
      <w:r>
        <w:rPr>
          <w:spacing w:val="-7"/>
        </w:rPr>
        <w:t> </w:t>
      </w:r>
      <w:r>
        <w:rPr/>
        <w:t>in</w:t>
      </w:r>
    </w:p>
    <w:p>
      <w:pPr>
        <w:pStyle w:val="BodyText"/>
        <w:spacing w:line="355" w:lineRule="auto"/>
        <w:ind w:left="232" w:right="1189"/>
      </w:pPr>
      <w:r>
        <w:rPr/>
        <w:t>Figure 6. This, at close to or above ten per cent, is high in Germany, the Netherlands and the United Kingdom. It takes intermediate values in</w:t>
      </w:r>
      <w:r>
        <w:rPr>
          <w:spacing w:val="-2"/>
        </w:rPr>
        <w:t> </w:t>
      </w:r>
      <w:r>
        <w:rPr/>
        <w:t>the</w:t>
      </w:r>
    </w:p>
    <w:p>
      <w:pPr>
        <w:pStyle w:val="BodyText"/>
        <w:spacing w:line="355" w:lineRule="auto"/>
        <w:ind w:left="232" w:right="1289"/>
      </w:pPr>
      <w:r>
        <w:rPr/>
        <w:t>United States, and has declined to low levels in France, particularly since the financial crisis. Such a disparity, particularly among the European countries which have created a single</w:t>
      </w:r>
    </w:p>
    <w:p>
      <w:pPr>
        <w:spacing w:after="0" w:line="355" w:lineRule="auto"/>
        <w:sectPr>
          <w:type w:val="continuous"/>
          <w:pgSz w:w="11910" w:h="16840"/>
          <w:pgMar w:top="1180" w:bottom="1520" w:left="900" w:right="0"/>
          <w:cols w:num="3" w:equalWidth="0">
            <w:col w:w="5526" w:space="40"/>
            <w:col w:w="440" w:space="60"/>
            <w:col w:w="4944"/>
          </w:cols>
        </w:sectPr>
      </w:pPr>
    </w:p>
    <w:p>
      <w:pPr>
        <w:pStyle w:val="BodyText"/>
        <w:spacing w:line="352" w:lineRule="auto"/>
        <w:ind w:left="232" w:right="1609"/>
      </w:pPr>
      <w:r>
        <w:rPr/>
        <w:t>market, is something of a surprise; the gap between Germany and France is sufficiently large to make it unlikely that it is simply a reflection of data problems and measurement errors.</w:t>
      </w:r>
    </w:p>
    <w:p>
      <w:pPr>
        <w:pStyle w:val="BodyText"/>
        <w:spacing w:before="9"/>
      </w:pPr>
    </w:p>
    <w:p>
      <w:pPr>
        <w:pStyle w:val="BodyText"/>
        <w:spacing w:line="355" w:lineRule="auto"/>
        <w:ind w:left="232" w:right="1197"/>
      </w:pPr>
      <w:r>
        <w:rPr/>
        <w:t>With returns in the company sector appreciably higher than those in the economy as a whole, it follows, as a matter of arithmetic that those in the rest of the economy must be lower than in economy as a whole. The national accounts are constructed on the assumption that the public sector does not earn any return on the</w:t>
      </w:r>
    </w:p>
    <w:p>
      <w:pPr>
        <w:pStyle w:val="BodyText"/>
        <w:spacing w:before="11"/>
        <w:rPr>
          <w:sz w:val="11"/>
        </w:rPr>
      </w:pPr>
      <w:r>
        <w:rPr/>
        <w:pict>
          <v:shape style="position:absolute;margin-left:56.639999pt;margin-top:9.097473pt;width:144.050pt;height:.1pt;mso-position-horizontal-relative:page;mso-position-vertical-relative:paragraph;z-index:-251604992;mso-wrap-distance-left:0;mso-wrap-distance-right:0" coordorigin="1133,182" coordsize="2881,0" path="m1133,182l4014,182e" filled="false" stroked="true" strokeweight=".47998pt" strokecolor="#000000">
            <v:path arrowok="t"/>
            <v:stroke dashstyle="solid"/>
            <w10:wrap type="topAndBottom"/>
          </v:shape>
        </w:pict>
      </w:r>
    </w:p>
    <w:p>
      <w:pPr>
        <w:spacing w:before="30"/>
        <w:ind w:left="232" w:right="1093" w:firstLine="0"/>
        <w:jc w:val="left"/>
        <w:rPr>
          <w:sz w:val="16"/>
        </w:rPr>
      </w:pPr>
      <w:r>
        <w:rPr>
          <w:position w:val="8"/>
          <w:sz w:val="10"/>
        </w:rPr>
        <w:t>16 </w:t>
      </w:r>
      <w:r>
        <w:rPr>
          <w:sz w:val="16"/>
        </w:rPr>
        <w:t>These data are somewhat at odds with Caselli and Feyrer’s (2007) observation that the marginal product of capital is not very different in different countries.</w:t>
      </w:r>
    </w:p>
    <w:p>
      <w:pPr>
        <w:spacing w:after="0"/>
        <w:jc w:val="left"/>
        <w:rPr>
          <w:sz w:val="16"/>
        </w:rPr>
        <w:sectPr>
          <w:type w:val="continuous"/>
          <w:pgSz w:w="11910" w:h="16840"/>
          <w:pgMar w:top="1180" w:bottom="1520" w:left="900" w:right="0"/>
        </w:sectPr>
      </w:pPr>
    </w:p>
    <w:p>
      <w:pPr>
        <w:pStyle w:val="BodyText"/>
        <w:spacing w:line="352" w:lineRule="auto" w:before="129"/>
        <w:ind w:left="232" w:right="1093"/>
      </w:pPr>
      <w:r>
        <w:rPr/>
        <w:t>capital that it owns, but this explains only a part of imbalance. The return on household sector capital and in particular on housing is much lower than that found in the corporate sector.</w:t>
      </w:r>
    </w:p>
    <w:p>
      <w:pPr>
        <w:pStyle w:val="BodyText"/>
        <w:spacing w:before="2"/>
        <w:rPr>
          <w:sz w:val="21"/>
        </w:rPr>
      </w:pPr>
    </w:p>
    <w:p>
      <w:pPr>
        <w:pStyle w:val="BodyText"/>
        <w:spacing w:line="355" w:lineRule="auto"/>
        <w:ind w:left="232" w:right="1119"/>
      </w:pPr>
      <w:r>
        <w:rPr/>
        <w:t>Tax issues are probably one factor behind this. Corporate income is typically taxed more heavily than income accruing directly to households (Jorgenson et al, 1987) although the tax rates quoted by Eurostat (2014) suggest that this is not the only influence. People may also own houses in the expectation of sharp capital gains, although that has not been recent experience everywhere. They may also regard investment in housing as safe while investment in companies is risky. Risks of disaster have been used to explain the different between stock market returns and returns on “safe” assets (Barro, 2009). But it is hard to see investment in property as being safe; an explanation that works for government securities does not so plausibly work for housing.</w:t>
      </w:r>
    </w:p>
    <w:p>
      <w:pPr>
        <w:pStyle w:val="BodyText"/>
        <w:spacing w:before="7"/>
      </w:pPr>
    </w:p>
    <w:p>
      <w:pPr>
        <w:pStyle w:val="BodyText"/>
        <w:spacing w:line="355" w:lineRule="auto"/>
        <w:ind w:left="232" w:right="1215"/>
      </w:pPr>
      <w:r>
        <w:rPr/>
        <w:t>Overall, though, these data do not suggest that opportunities for profitable investment have faded away, and indeed in Germany, the Netherlands and the United Kingdom pre-tax returns are higher than in the United States. But it is possible to imagine that in France the low returns on capital may prove an obstacle to capital-deepening that I have assumed runs in step with labour-augmenting technical progress.</w:t>
      </w:r>
    </w:p>
    <w:p>
      <w:pPr>
        <w:pStyle w:val="Heading1"/>
        <w:spacing w:before="129"/>
      </w:pPr>
      <w:r>
        <w:rPr>
          <w:color w:val="4F81BC"/>
        </w:rPr>
        <w:t>The contribution of labour inputs to economic growth</w:t>
      </w:r>
    </w:p>
    <w:p>
      <w:pPr>
        <w:pStyle w:val="BodyText"/>
        <w:rPr>
          <w:b/>
          <w:sz w:val="22"/>
        </w:rPr>
      </w:pPr>
    </w:p>
    <w:p>
      <w:pPr>
        <w:pStyle w:val="BodyText"/>
        <w:spacing w:line="355" w:lineRule="auto" w:before="131"/>
        <w:ind w:left="232" w:right="1093"/>
      </w:pPr>
      <w:r>
        <w:rPr/>
        <w:t>My focus so far has been on an assessment of the prospects for labour productivity, but it would be a pity not to comment at all on the overall potential for economic growth, taking account of the scope for increased labour input.</w:t>
      </w:r>
    </w:p>
    <w:p>
      <w:pPr>
        <w:pStyle w:val="BodyText"/>
        <w:spacing w:before="9"/>
      </w:pPr>
    </w:p>
    <w:p>
      <w:pPr>
        <w:pStyle w:val="BodyText"/>
        <w:spacing w:line="355" w:lineRule="auto"/>
        <w:ind w:left="232" w:right="1093"/>
      </w:pPr>
      <w:r>
        <w:rPr/>
        <w:t>The rate of growth of output is the sum of the growth in this and the growth in labour productivity. Projections of labour input growth are perhaps even more uncertain than usual and I will simply discuss some possible influences. The natural starting point is with projections of the growth rates of the working age population, defined as those aged 15-64.</w:t>
      </w:r>
    </w:p>
    <w:p>
      <w:pPr>
        <w:pStyle w:val="BodyText"/>
        <w:spacing w:before="10"/>
      </w:pPr>
    </w:p>
    <w:p>
      <w:pPr>
        <w:pStyle w:val="BodyText"/>
        <w:spacing w:line="355" w:lineRule="auto"/>
        <w:ind w:left="232" w:right="1120"/>
      </w:pPr>
      <w:r>
        <w:rPr/>
        <w:t>The first three columns of Table 4 display past and future working-age population growth rates as forecast by the UN’s Population Division in 2015 in the same selection of Western European countries and the United States. It is striking how much variation there is in the experiences of the different countries displayed, both over the last 15 years and in what is expected over the coming 10 years. Taking the two extremes, by 2024 the working age population of the United States is expected to be 15 per cent larger than it was in 2000, whilst that of Germany is expected to be just over 10 per cent smaller. If labour input were to grow in line with population of working age, this could be expected to give an overall growth figure about 0.2 per cent per annum higher than the rate of labour productivity growth in the United Kingdom and United States, while having little impact in France. It would deduct about 0.2 per cent per annum in the Netherlands and</w:t>
      </w:r>
    </w:p>
    <w:p>
      <w:pPr>
        <w:pStyle w:val="BodyText"/>
        <w:spacing w:line="352" w:lineRule="auto"/>
        <w:ind w:left="232" w:right="1093"/>
      </w:pPr>
      <w:r>
        <w:rPr/>
        <w:t>0.6 per cent per annum in Germany. Of course these projections are affected by a number of other issues, such as changes in migration patterns, amongst others, so forecasts are inevitably speculative.</w:t>
      </w:r>
    </w:p>
    <w:p>
      <w:pPr>
        <w:spacing w:after="0" w:line="352" w:lineRule="auto"/>
        <w:sectPr>
          <w:pgSz w:w="11910" w:h="16840"/>
          <w:pgMar w:header="0" w:footer="1338" w:top="1580" w:bottom="1520" w:left="900" w:right="0"/>
        </w:sectPr>
      </w:pPr>
    </w:p>
    <w:p>
      <w:pPr>
        <w:pStyle w:val="Heading1"/>
        <w:spacing w:before="79" w:after="37"/>
      </w:pPr>
      <w:r>
        <w:rPr>
          <w:color w:val="4F81BC"/>
        </w:rPr>
        <w:t>Table 4: Total hours worked, population growth and population projections</w:t>
      </w:r>
    </w:p>
    <w:tbl>
      <w:tblPr>
        <w:tblW w:w="0" w:type="auto"/>
        <w:jc w:val="left"/>
        <w:tblInd w:w="3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373"/>
        <w:gridCol w:w="1261"/>
        <w:gridCol w:w="1263"/>
        <w:gridCol w:w="1290"/>
        <w:gridCol w:w="1378"/>
        <w:gridCol w:w="1818"/>
      </w:tblGrid>
      <w:tr>
        <w:trPr>
          <w:trHeight w:val="524" w:hRule="atLeast"/>
        </w:trPr>
        <w:tc>
          <w:tcPr>
            <w:tcW w:w="1373" w:type="dxa"/>
          </w:tcPr>
          <w:p>
            <w:pPr>
              <w:pStyle w:val="TableParagraph"/>
              <w:spacing w:before="143"/>
              <w:ind w:left="107"/>
              <w:rPr>
                <w:b/>
                <w:sz w:val="20"/>
              </w:rPr>
            </w:pPr>
            <w:r>
              <w:rPr>
                <w:b/>
                <w:sz w:val="20"/>
              </w:rPr>
              <w:t>Growth in:</w:t>
            </w:r>
          </w:p>
        </w:tc>
        <w:tc>
          <w:tcPr>
            <w:tcW w:w="3814" w:type="dxa"/>
            <w:gridSpan w:val="3"/>
          </w:tcPr>
          <w:p>
            <w:pPr>
              <w:pStyle w:val="TableParagraph"/>
              <w:spacing w:before="143"/>
              <w:ind w:left="414"/>
              <w:rPr>
                <w:b/>
                <w:sz w:val="20"/>
              </w:rPr>
            </w:pPr>
            <w:r>
              <w:rPr>
                <w:b/>
                <w:sz w:val="20"/>
              </w:rPr>
              <w:t>Working age population (15-64)</w:t>
            </w:r>
          </w:p>
        </w:tc>
        <w:tc>
          <w:tcPr>
            <w:tcW w:w="3196" w:type="dxa"/>
            <w:gridSpan w:val="2"/>
          </w:tcPr>
          <w:p>
            <w:pPr>
              <w:pStyle w:val="TableParagraph"/>
              <w:spacing w:before="143"/>
              <w:ind w:left="671"/>
              <w:rPr>
                <w:b/>
                <w:sz w:val="20"/>
              </w:rPr>
            </w:pPr>
            <w:r>
              <w:rPr>
                <w:b/>
                <w:sz w:val="20"/>
              </w:rPr>
              <w:t>Total hours worked</w:t>
            </w:r>
          </w:p>
        </w:tc>
      </w:tr>
      <w:tr>
        <w:trPr>
          <w:trHeight w:val="524" w:hRule="atLeast"/>
        </w:trPr>
        <w:tc>
          <w:tcPr>
            <w:tcW w:w="1373" w:type="dxa"/>
          </w:tcPr>
          <w:p>
            <w:pPr>
              <w:pStyle w:val="TableParagraph"/>
              <w:rPr>
                <w:rFonts w:ascii="Times New Roman"/>
                <w:sz w:val="18"/>
              </w:rPr>
            </w:pPr>
          </w:p>
        </w:tc>
        <w:tc>
          <w:tcPr>
            <w:tcW w:w="1261" w:type="dxa"/>
          </w:tcPr>
          <w:p>
            <w:pPr>
              <w:pStyle w:val="TableParagraph"/>
              <w:spacing w:before="143"/>
              <w:ind w:left="107"/>
              <w:rPr>
                <w:b/>
                <w:sz w:val="20"/>
              </w:rPr>
            </w:pPr>
            <w:r>
              <w:rPr>
                <w:b/>
                <w:sz w:val="20"/>
              </w:rPr>
              <w:t>2000-2007</w:t>
            </w:r>
          </w:p>
        </w:tc>
        <w:tc>
          <w:tcPr>
            <w:tcW w:w="1263" w:type="dxa"/>
          </w:tcPr>
          <w:p>
            <w:pPr>
              <w:pStyle w:val="TableParagraph"/>
              <w:spacing w:before="143"/>
              <w:ind w:left="106"/>
              <w:rPr>
                <w:b/>
                <w:sz w:val="20"/>
              </w:rPr>
            </w:pPr>
            <w:r>
              <w:rPr>
                <w:b/>
                <w:sz w:val="20"/>
              </w:rPr>
              <w:t>2008-2014</w:t>
            </w:r>
          </w:p>
        </w:tc>
        <w:tc>
          <w:tcPr>
            <w:tcW w:w="1290" w:type="dxa"/>
          </w:tcPr>
          <w:p>
            <w:pPr>
              <w:pStyle w:val="TableParagraph"/>
              <w:spacing w:before="143"/>
              <w:ind w:left="108"/>
              <w:rPr>
                <w:b/>
                <w:sz w:val="20"/>
              </w:rPr>
            </w:pPr>
            <w:r>
              <w:rPr>
                <w:b/>
                <w:sz w:val="20"/>
              </w:rPr>
              <w:t>2015-2024</w:t>
            </w:r>
          </w:p>
        </w:tc>
        <w:tc>
          <w:tcPr>
            <w:tcW w:w="1378" w:type="dxa"/>
          </w:tcPr>
          <w:p>
            <w:pPr>
              <w:pStyle w:val="TableParagraph"/>
              <w:spacing w:before="143"/>
              <w:ind w:left="105"/>
              <w:rPr>
                <w:b/>
                <w:sz w:val="20"/>
              </w:rPr>
            </w:pPr>
            <w:r>
              <w:rPr>
                <w:b/>
                <w:sz w:val="20"/>
              </w:rPr>
              <w:t>2000-2007</w:t>
            </w:r>
          </w:p>
        </w:tc>
        <w:tc>
          <w:tcPr>
            <w:tcW w:w="1818" w:type="dxa"/>
          </w:tcPr>
          <w:p>
            <w:pPr>
              <w:pStyle w:val="TableParagraph"/>
              <w:spacing w:before="143"/>
              <w:ind w:left="105"/>
              <w:rPr>
                <w:b/>
                <w:sz w:val="20"/>
              </w:rPr>
            </w:pPr>
            <w:r>
              <w:rPr>
                <w:b/>
                <w:sz w:val="20"/>
              </w:rPr>
              <w:t>2008-2014</w:t>
            </w:r>
          </w:p>
        </w:tc>
      </w:tr>
      <w:tr>
        <w:trPr>
          <w:trHeight w:val="315" w:hRule="atLeast"/>
        </w:trPr>
        <w:tc>
          <w:tcPr>
            <w:tcW w:w="1373" w:type="dxa"/>
          </w:tcPr>
          <w:p>
            <w:pPr>
              <w:pStyle w:val="TableParagraph"/>
              <w:spacing w:before="37"/>
              <w:ind w:left="107"/>
              <w:rPr>
                <w:b/>
                <w:sz w:val="20"/>
              </w:rPr>
            </w:pPr>
            <w:r>
              <w:rPr>
                <w:b/>
                <w:sz w:val="20"/>
              </w:rPr>
              <w:t>France</w:t>
            </w:r>
          </w:p>
        </w:tc>
        <w:tc>
          <w:tcPr>
            <w:tcW w:w="1261" w:type="dxa"/>
          </w:tcPr>
          <w:p>
            <w:pPr>
              <w:pStyle w:val="TableParagraph"/>
              <w:spacing w:before="40"/>
              <w:ind w:right="91"/>
              <w:jc w:val="right"/>
              <w:rPr>
                <w:sz w:val="20"/>
              </w:rPr>
            </w:pPr>
            <w:r>
              <w:rPr>
                <w:w w:val="95"/>
                <w:sz w:val="20"/>
              </w:rPr>
              <w:t>4.0%</w:t>
            </w:r>
          </w:p>
        </w:tc>
        <w:tc>
          <w:tcPr>
            <w:tcW w:w="1263" w:type="dxa"/>
          </w:tcPr>
          <w:p>
            <w:pPr>
              <w:pStyle w:val="TableParagraph"/>
              <w:spacing w:before="40"/>
              <w:ind w:right="88"/>
              <w:jc w:val="right"/>
              <w:rPr>
                <w:sz w:val="20"/>
              </w:rPr>
            </w:pPr>
            <w:r>
              <w:rPr>
                <w:w w:val="95"/>
                <w:sz w:val="20"/>
              </w:rPr>
              <w:t>-0.3%</w:t>
            </w:r>
          </w:p>
        </w:tc>
        <w:tc>
          <w:tcPr>
            <w:tcW w:w="1290" w:type="dxa"/>
          </w:tcPr>
          <w:p>
            <w:pPr>
              <w:pStyle w:val="TableParagraph"/>
              <w:spacing w:before="40"/>
              <w:ind w:right="89"/>
              <w:jc w:val="right"/>
              <w:rPr>
                <w:sz w:val="20"/>
              </w:rPr>
            </w:pPr>
            <w:r>
              <w:rPr>
                <w:w w:val="95"/>
                <w:sz w:val="20"/>
              </w:rPr>
              <w:t>0.2%</w:t>
            </w:r>
          </w:p>
        </w:tc>
        <w:tc>
          <w:tcPr>
            <w:tcW w:w="1378" w:type="dxa"/>
          </w:tcPr>
          <w:p>
            <w:pPr>
              <w:pStyle w:val="TableParagraph"/>
              <w:spacing w:before="40"/>
              <w:ind w:right="92"/>
              <w:jc w:val="right"/>
              <w:rPr>
                <w:sz w:val="20"/>
              </w:rPr>
            </w:pPr>
            <w:r>
              <w:rPr>
                <w:w w:val="95"/>
                <w:sz w:val="20"/>
              </w:rPr>
              <w:t>3.0%</w:t>
            </w:r>
          </w:p>
        </w:tc>
        <w:tc>
          <w:tcPr>
            <w:tcW w:w="1818" w:type="dxa"/>
          </w:tcPr>
          <w:p>
            <w:pPr>
              <w:pStyle w:val="TableParagraph"/>
              <w:spacing w:before="40"/>
              <w:ind w:right="90"/>
              <w:jc w:val="right"/>
              <w:rPr>
                <w:sz w:val="20"/>
              </w:rPr>
            </w:pPr>
            <w:r>
              <w:rPr>
                <w:w w:val="95"/>
                <w:sz w:val="20"/>
              </w:rPr>
              <w:t>-1.8%</w:t>
            </w:r>
          </w:p>
        </w:tc>
      </w:tr>
      <w:tr>
        <w:trPr>
          <w:trHeight w:val="313" w:hRule="atLeast"/>
        </w:trPr>
        <w:tc>
          <w:tcPr>
            <w:tcW w:w="1373" w:type="dxa"/>
          </w:tcPr>
          <w:p>
            <w:pPr>
              <w:pStyle w:val="TableParagraph"/>
              <w:spacing w:before="37"/>
              <w:ind w:left="107"/>
              <w:rPr>
                <w:b/>
                <w:sz w:val="20"/>
              </w:rPr>
            </w:pPr>
            <w:r>
              <w:rPr>
                <w:b/>
                <w:sz w:val="20"/>
              </w:rPr>
              <w:t>Germany</w:t>
            </w:r>
          </w:p>
        </w:tc>
        <w:tc>
          <w:tcPr>
            <w:tcW w:w="1261" w:type="dxa"/>
          </w:tcPr>
          <w:p>
            <w:pPr>
              <w:pStyle w:val="TableParagraph"/>
              <w:spacing w:before="40"/>
              <w:ind w:right="91"/>
              <w:jc w:val="right"/>
              <w:rPr>
                <w:sz w:val="20"/>
              </w:rPr>
            </w:pPr>
            <w:r>
              <w:rPr>
                <w:w w:val="95"/>
                <w:sz w:val="20"/>
              </w:rPr>
              <w:t>-4.2%</w:t>
            </w:r>
          </w:p>
        </w:tc>
        <w:tc>
          <w:tcPr>
            <w:tcW w:w="1263" w:type="dxa"/>
          </w:tcPr>
          <w:p>
            <w:pPr>
              <w:pStyle w:val="TableParagraph"/>
              <w:spacing w:before="40"/>
              <w:ind w:right="88"/>
              <w:jc w:val="right"/>
              <w:rPr>
                <w:sz w:val="20"/>
              </w:rPr>
            </w:pPr>
            <w:r>
              <w:rPr>
                <w:w w:val="95"/>
                <w:sz w:val="20"/>
              </w:rPr>
              <w:t>-0.3%</w:t>
            </w:r>
          </w:p>
        </w:tc>
        <w:tc>
          <w:tcPr>
            <w:tcW w:w="1290" w:type="dxa"/>
          </w:tcPr>
          <w:p>
            <w:pPr>
              <w:pStyle w:val="TableParagraph"/>
              <w:spacing w:before="40"/>
              <w:ind w:right="89"/>
              <w:jc w:val="right"/>
              <w:rPr>
                <w:sz w:val="20"/>
              </w:rPr>
            </w:pPr>
            <w:r>
              <w:rPr>
                <w:w w:val="95"/>
                <w:sz w:val="20"/>
              </w:rPr>
              <w:t>-5.9%</w:t>
            </w:r>
          </w:p>
        </w:tc>
        <w:tc>
          <w:tcPr>
            <w:tcW w:w="1378" w:type="dxa"/>
          </w:tcPr>
          <w:p>
            <w:pPr>
              <w:pStyle w:val="TableParagraph"/>
              <w:spacing w:before="40"/>
              <w:ind w:right="92"/>
              <w:jc w:val="right"/>
              <w:rPr>
                <w:sz w:val="20"/>
              </w:rPr>
            </w:pPr>
            <w:r>
              <w:rPr>
                <w:w w:val="95"/>
                <w:sz w:val="20"/>
              </w:rPr>
              <w:t>-0.9%</w:t>
            </w:r>
          </w:p>
        </w:tc>
        <w:tc>
          <w:tcPr>
            <w:tcW w:w="1818" w:type="dxa"/>
          </w:tcPr>
          <w:p>
            <w:pPr>
              <w:pStyle w:val="TableParagraph"/>
              <w:spacing w:before="40"/>
              <w:ind w:right="90"/>
              <w:jc w:val="right"/>
              <w:rPr>
                <w:sz w:val="20"/>
              </w:rPr>
            </w:pPr>
            <w:r>
              <w:rPr>
                <w:w w:val="95"/>
                <w:sz w:val="20"/>
              </w:rPr>
              <w:t>0.7%</w:t>
            </w:r>
          </w:p>
        </w:tc>
      </w:tr>
      <w:tr>
        <w:trPr>
          <w:trHeight w:val="524" w:hRule="atLeast"/>
        </w:trPr>
        <w:tc>
          <w:tcPr>
            <w:tcW w:w="1373" w:type="dxa"/>
          </w:tcPr>
          <w:p>
            <w:pPr>
              <w:pStyle w:val="TableParagraph"/>
              <w:spacing w:before="143"/>
              <w:ind w:left="107"/>
              <w:rPr>
                <w:b/>
                <w:sz w:val="20"/>
              </w:rPr>
            </w:pPr>
            <w:r>
              <w:rPr>
                <w:b/>
                <w:sz w:val="20"/>
              </w:rPr>
              <w:t>Netherlands</w:t>
            </w:r>
          </w:p>
        </w:tc>
        <w:tc>
          <w:tcPr>
            <w:tcW w:w="1261" w:type="dxa"/>
          </w:tcPr>
          <w:p>
            <w:pPr>
              <w:pStyle w:val="TableParagraph"/>
              <w:spacing w:before="145"/>
              <w:ind w:right="91"/>
              <w:jc w:val="right"/>
              <w:rPr>
                <w:sz w:val="20"/>
              </w:rPr>
            </w:pPr>
            <w:r>
              <w:rPr>
                <w:w w:val="95"/>
                <w:sz w:val="20"/>
              </w:rPr>
              <w:t>2.9%</w:t>
            </w:r>
          </w:p>
        </w:tc>
        <w:tc>
          <w:tcPr>
            <w:tcW w:w="1263" w:type="dxa"/>
          </w:tcPr>
          <w:p>
            <w:pPr>
              <w:pStyle w:val="TableParagraph"/>
              <w:spacing w:before="145"/>
              <w:ind w:right="88"/>
              <w:jc w:val="right"/>
              <w:rPr>
                <w:sz w:val="20"/>
              </w:rPr>
            </w:pPr>
            <w:r>
              <w:rPr>
                <w:w w:val="95"/>
                <w:sz w:val="20"/>
              </w:rPr>
              <w:t>-0.7%</w:t>
            </w:r>
          </w:p>
        </w:tc>
        <w:tc>
          <w:tcPr>
            <w:tcW w:w="1290" w:type="dxa"/>
          </w:tcPr>
          <w:p>
            <w:pPr>
              <w:pStyle w:val="TableParagraph"/>
              <w:spacing w:before="145"/>
              <w:ind w:right="89"/>
              <w:jc w:val="right"/>
              <w:rPr>
                <w:sz w:val="20"/>
              </w:rPr>
            </w:pPr>
            <w:r>
              <w:rPr>
                <w:w w:val="95"/>
                <w:sz w:val="20"/>
              </w:rPr>
              <w:t>-1.9%</w:t>
            </w:r>
          </w:p>
        </w:tc>
        <w:tc>
          <w:tcPr>
            <w:tcW w:w="1378" w:type="dxa"/>
          </w:tcPr>
          <w:p>
            <w:pPr>
              <w:pStyle w:val="TableParagraph"/>
              <w:spacing w:before="145"/>
              <w:ind w:right="92"/>
              <w:jc w:val="right"/>
              <w:rPr>
                <w:sz w:val="20"/>
              </w:rPr>
            </w:pPr>
            <w:r>
              <w:rPr>
                <w:w w:val="95"/>
                <w:sz w:val="20"/>
              </w:rPr>
              <w:t>4.5%</w:t>
            </w:r>
          </w:p>
        </w:tc>
        <w:tc>
          <w:tcPr>
            <w:tcW w:w="1818" w:type="dxa"/>
          </w:tcPr>
          <w:p>
            <w:pPr>
              <w:pStyle w:val="TableParagraph"/>
              <w:spacing w:before="145"/>
              <w:ind w:right="90"/>
              <w:jc w:val="right"/>
              <w:rPr>
                <w:sz w:val="20"/>
              </w:rPr>
            </w:pPr>
            <w:r>
              <w:rPr>
                <w:w w:val="95"/>
                <w:sz w:val="20"/>
              </w:rPr>
              <w:t>-2.7%</w:t>
            </w:r>
          </w:p>
        </w:tc>
      </w:tr>
      <w:tr>
        <w:trPr>
          <w:trHeight w:val="524" w:hRule="atLeast"/>
        </w:trPr>
        <w:tc>
          <w:tcPr>
            <w:tcW w:w="1373" w:type="dxa"/>
          </w:tcPr>
          <w:p>
            <w:pPr>
              <w:pStyle w:val="TableParagraph"/>
              <w:spacing w:before="28"/>
              <w:ind w:left="107"/>
              <w:rPr>
                <w:b/>
                <w:sz w:val="20"/>
              </w:rPr>
            </w:pPr>
            <w:r>
              <w:rPr>
                <w:b/>
                <w:sz w:val="20"/>
              </w:rPr>
              <w:t>United </w:t>
            </w:r>
            <w:r>
              <w:rPr>
                <w:b/>
                <w:w w:val="95"/>
                <w:sz w:val="20"/>
              </w:rPr>
              <w:t>Kingdom</w:t>
            </w:r>
          </w:p>
        </w:tc>
        <w:tc>
          <w:tcPr>
            <w:tcW w:w="1261" w:type="dxa"/>
          </w:tcPr>
          <w:p>
            <w:pPr>
              <w:pStyle w:val="TableParagraph"/>
              <w:spacing w:before="145"/>
              <w:ind w:right="91"/>
              <w:jc w:val="right"/>
              <w:rPr>
                <w:sz w:val="20"/>
              </w:rPr>
            </w:pPr>
            <w:r>
              <w:rPr>
                <w:w w:val="95"/>
                <w:sz w:val="20"/>
              </w:rPr>
              <w:t>5.5%</w:t>
            </w:r>
          </w:p>
        </w:tc>
        <w:tc>
          <w:tcPr>
            <w:tcW w:w="1263" w:type="dxa"/>
          </w:tcPr>
          <w:p>
            <w:pPr>
              <w:pStyle w:val="TableParagraph"/>
              <w:spacing w:before="145"/>
              <w:ind w:right="88"/>
              <w:jc w:val="right"/>
              <w:rPr>
                <w:sz w:val="20"/>
              </w:rPr>
            </w:pPr>
            <w:r>
              <w:rPr>
                <w:w w:val="95"/>
                <w:sz w:val="20"/>
              </w:rPr>
              <w:t>2.1%</w:t>
            </w:r>
          </w:p>
        </w:tc>
        <w:tc>
          <w:tcPr>
            <w:tcW w:w="1290" w:type="dxa"/>
          </w:tcPr>
          <w:p>
            <w:pPr>
              <w:pStyle w:val="TableParagraph"/>
              <w:spacing w:before="145"/>
              <w:ind w:right="89"/>
              <w:jc w:val="right"/>
              <w:rPr>
                <w:sz w:val="20"/>
              </w:rPr>
            </w:pPr>
            <w:r>
              <w:rPr>
                <w:w w:val="95"/>
                <w:sz w:val="20"/>
              </w:rPr>
              <w:t>2.4%</w:t>
            </w:r>
          </w:p>
        </w:tc>
        <w:tc>
          <w:tcPr>
            <w:tcW w:w="1378" w:type="dxa"/>
          </w:tcPr>
          <w:p>
            <w:pPr>
              <w:pStyle w:val="TableParagraph"/>
              <w:spacing w:before="145"/>
              <w:ind w:right="92"/>
              <w:jc w:val="right"/>
              <w:rPr>
                <w:sz w:val="20"/>
              </w:rPr>
            </w:pPr>
            <w:r>
              <w:rPr>
                <w:w w:val="95"/>
                <w:sz w:val="20"/>
              </w:rPr>
              <w:t>5.0%</w:t>
            </w:r>
          </w:p>
        </w:tc>
        <w:tc>
          <w:tcPr>
            <w:tcW w:w="1818" w:type="dxa"/>
          </w:tcPr>
          <w:p>
            <w:pPr>
              <w:pStyle w:val="TableParagraph"/>
              <w:spacing w:before="145"/>
              <w:ind w:right="90"/>
              <w:jc w:val="right"/>
              <w:rPr>
                <w:sz w:val="20"/>
              </w:rPr>
            </w:pPr>
            <w:r>
              <w:rPr>
                <w:w w:val="95"/>
                <w:sz w:val="20"/>
              </w:rPr>
              <w:t>5.5%</w:t>
            </w:r>
          </w:p>
        </w:tc>
      </w:tr>
      <w:tr>
        <w:trPr>
          <w:trHeight w:val="527" w:hRule="atLeast"/>
        </w:trPr>
        <w:tc>
          <w:tcPr>
            <w:tcW w:w="1373" w:type="dxa"/>
          </w:tcPr>
          <w:p>
            <w:pPr>
              <w:pStyle w:val="TableParagraph"/>
              <w:spacing w:before="28"/>
              <w:ind w:left="107" w:right="603"/>
              <w:rPr>
                <w:b/>
                <w:sz w:val="20"/>
              </w:rPr>
            </w:pPr>
            <w:r>
              <w:rPr>
                <w:b/>
                <w:sz w:val="20"/>
              </w:rPr>
              <w:t>United</w:t>
            </w:r>
            <w:r>
              <w:rPr>
                <w:b/>
                <w:w w:val="99"/>
                <w:sz w:val="20"/>
              </w:rPr>
              <w:t> </w:t>
            </w:r>
            <w:r>
              <w:rPr>
                <w:b/>
                <w:sz w:val="20"/>
              </w:rPr>
              <w:t>States</w:t>
            </w:r>
          </w:p>
        </w:tc>
        <w:tc>
          <w:tcPr>
            <w:tcW w:w="1261" w:type="dxa"/>
          </w:tcPr>
          <w:p>
            <w:pPr>
              <w:pStyle w:val="TableParagraph"/>
              <w:spacing w:before="146"/>
              <w:ind w:right="91"/>
              <w:jc w:val="right"/>
              <w:rPr>
                <w:sz w:val="20"/>
              </w:rPr>
            </w:pPr>
            <w:r>
              <w:rPr>
                <w:w w:val="95"/>
                <w:sz w:val="20"/>
              </w:rPr>
              <w:t>8.0%</w:t>
            </w:r>
          </w:p>
        </w:tc>
        <w:tc>
          <w:tcPr>
            <w:tcW w:w="1263" w:type="dxa"/>
          </w:tcPr>
          <w:p>
            <w:pPr>
              <w:pStyle w:val="TableParagraph"/>
              <w:spacing w:before="146"/>
              <w:ind w:right="88"/>
              <w:jc w:val="right"/>
              <w:rPr>
                <w:sz w:val="20"/>
              </w:rPr>
            </w:pPr>
            <w:r>
              <w:rPr>
                <w:w w:val="95"/>
                <w:sz w:val="20"/>
              </w:rPr>
              <w:t>3.7%</w:t>
            </w:r>
          </w:p>
        </w:tc>
        <w:tc>
          <w:tcPr>
            <w:tcW w:w="1290" w:type="dxa"/>
          </w:tcPr>
          <w:p>
            <w:pPr>
              <w:pStyle w:val="TableParagraph"/>
              <w:spacing w:before="146"/>
              <w:ind w:right="89"/>
              <w:jc w:val="right"/>
              <w:rPr>
                <w:sz w:val="20"/>
              </w:rPr>
            </w:pPr>
            <w:r>
              <w:rPr>
                <w:w w:val="95"/>
                <w:sz w:val="20"/>
              </w:rPr>
              <w:t>1.7%</w:t>
            </w:r>
          </w:p>
        </w:tc>
        <w:tc>
          <w:tcPr>
            <w:tcW w:w="1378" w:type="dxa"/>
          </w:tcPr>
          <w:p>
            <w:pPr>
              <w:pStyle w:val="TableParagraph"/>
              <w:spacing w:before="146"/>
              <w:ind w:right="92"/>
              <w:jc w:val="right"/>
              <w:rPr>
                <w:sz w:val="20"/>
              </w:rPr>
            </w:pPr>
            <w:r>
              <w:rPr>
                <w:w w:val="95"/>
                <w:sz w:val="20"/>
              </w:rPr>
              <w:t>2.7%</w:t>
            </w:r>
          </w:p>
        </w:tc>
        <w:tc>
          <w:tcPr>
            <w:tcW w:w="1818" w:type="dxa"/>
          </w:tcPr>
          <w:p>
            <w:pPr>
              <w:pStyle w:val="TableParagraph"/>
              <w:spacing w:before="146"/>
              <w:ind w:right="90"/>
              <w:jc w:val="right"/>
              <w:rPr>
                <w:sz w:val="20"/>
              </w:rPr>
            </w:pPr>
            <w:r>
              <w:rPr>
                <w:w w:val="95"/>
                <w:sz w:val="20"/>
              </w:rPr>
              <w:t>0.8%</w:t>
            </w:r>
          </w:p>
        </w:tc>
      </w:tr>
    </w:tbl>
    <w:p>
      <w:pPr>
        <w:spacing w:before="126"/>
        <w:ind w:left="232" w:right="0" w:firstLine="0"/>
        <w:jc w:val="left"/>
        <w:rPr>
          <w:sz w:val="18"/>
        </w:rPr>
      </w:pPr>
      <w:r>
        <w:rPr>
          <w:b/>
          <w:sz w:val="18"/>
        </w:rPr>
        <w:t>Sources: </w:t>
      </w:r>
      <w:r>
        <w:rPr>
          <w:sz w:val="18"/>
        </w:rPr>
        <w:t>UN (2015), OECD and Bank calculations</w:t>
      </w:r>
    </w:p>
    <w:p>
      <w:pPr>
        <w:pStyle w:val="BodyText"/>
      </w:pPr>
    </w:p>
    <w:p>
      <w:pPr>
        <w:pStyle w:val="BodyText"/>
      </w:pPr>
    </w:p>
    <w:p>
      <w:pPr>
        <w:pStyle w:val="BodyText"/>
        <w:spacing w:before="3"/>
      </w:pPr>
    </w:p>
    <w:p>
      <w:pPr>
        <w:pStyle w:val="BodyText"/>
        <w:spacing w:line="355" w:lineRule="auto" w:before="1"/>
        <w:ind w:left="232" w:right="1221"/>
      </w:pPr>
      <w:r>
        <w:rPr/>
        <w:t>But</w:t>
      </w:r>
      <w:r>
        <w:rPr>
          <w:spacing w:val="-2"/>
        </w:rPr>
        <w:t> </w:t>
      </w:r>
      <w:r>
        <w:rPr/>
        <w:t>an</w:t>
      </w:r>
      <w:r>
        <w:rPr>
          <w:spacing w:val="-4"/>
        </w:rPr>
        <w:t> </w:t>
      </w:r>
      <w:r>
        <w:rPr/>
        <w:t>economy’s</w:t>
      </w:r>
      <w:r>
        <w:rPr>
          <w:spacing w:val="-3"/>
        </w:rPr>
        <w:t> </w:t>
      </w:r>
      <w:r>
        <w:rPr/>
        <w:t>demographic</w:t>
      </w:r>
      <w:r>
        <w:rPr>
          <w:spacing w:val="-3"/>
        </w:rPr>
        <w:t> </w:t>
      </w:r>
      <w:r>
        <w:rPr/>
        <w:t>distribution</w:t>
      </w:r>
      <w:r>
        <w:rPr>
          <w:spacing w:val="-3"/>
        </w:rPr>
        <w:t> </w:t>
      </w:r>
      <w:r>
        <w:rPr/>
        <w:t>is</w:t>
      </w:r>
      <w:r>
        <w:rPr>
          <w:spacing w:val="-3"/>
        </w:rPr>
        <w:t> </w:t>
      </w:r>
      <w:r>
        <w:rPr/>
        <w:t>not</w:t>
      </w:r>
      <w:r>
        <w:rPr>
          <w:spacing w:val="-2"/>
        </w:rPr>
        <w:t> </w:t>
      </w:r>
      <w:r>
        <w:rPr/>
        <w:t>the</w:t>
      </w:r>
      <w:r>
        <w:rPr>
          <w:spacing w:val="-2"/>
        </w:rPr>
        <w:t> </w:t>
      </w:r>
      <w:r>
        <w:rPr/>
        <w:t>only</w:t>
      </w:r>
      <w:r>
        <w:rPr>
          <w:spacing w:val="-6"/>
        </w:rPr>
        <w:t> </w:t>
      </w:r>
      <w:r>
        <w:rPr/>
        <w:t>thing</w:t>
      </w:r>
      <w:r>
        <w:rPr>
          <w:spacing w:val="-2"/>
        </w:rPr>
        <w:t> </w:t>
      </w:r>
      <w:r>
        <w:rPr/>
        <w:t>that</w:t>
      </w:r>
      <w:r>
        <w:rPr>
          <w:spacing w:val="-4"/>
        </w:rPr>
        <w:t> </w:t>
      </w:r>
      <w:r>
        <w:rPr/>
        <w:t>determines</w:t>
      </w:r>
      <w:r>
        <w:rPr>
          <w:spacing w:val="-3"/>
        </w:rPr>
        <w:t> </w:t>
      </w:r>
      <w:r>
        <w:rPr/>
        <w:t>how</w:t>
      </w:r>
      <w:r>
        <w:rPr>
          <w:spacing w:val="-6"/>
        </w:rPr>
        <w:t> </w:t>
      </w:r>
      <w:r>
        <w:rPr/>
        <w:t>effectively</w:t>
      </w:r>
      <w:r>
        <w:rPr>
          <w:spacing w:val="-5"/>
        </w:rPr>
        <w:t> </w:t>
      </w:r>
      <w:r>
        <w:rPr/>
        <w:t>it</w:t>
      </w:r>
      <w:r>
        <w:rPr>
          <w:spacing w:val="-3"/>
        </w:rPr>
        <w:t> </w:t>
      </w:r>
      <w:r>
        <w:rPr/>
        <w:t>can</w:t>
      </w:r>
      <w:r>
        <w:rPr>
          <w:spacing w:val="-4"/>
        </w:rPr>
        <w:t> </w:t>
      </w:r>
      <w:r>
        <w:rPr/>
        <w:t>supply labour. Labour market participation – which is defined as the share of the overall working-age population that forms an active part of the labour force – determines the size of the pool of workers who are either in jobs, or not (whether voluntarily or</w:t>
      </w:r>
      <w:r>
        <w:rPr>
          <w:spacing w:val="-4"/>
        </w:rPr>
        <w:t> </w:t>
      </w:r>
      <w:r>
        <w:rPr/>
        <w:t>involuntarily).</w:t>
      </w:r>
    </w:p>
    <w:p>
      <w:pPr>
        <w:pStyle w:val="BodyText"/>
        <w:spacing w:before="9"/>
      </w:pPr>
    </w:p>
    <w:p>
      <w:pPr>
        <w:pStyle w:val="BodyText"/>
        <w:spacing w:line="355" w:lineRule="auto"/>
        <w:ind w:left="232" w:right="1093"/>
      </w:pPr>
      <w:r>
        <w:rPr/>
        <w:t>Figure 7 illustrates how far countries have been able to include different groups of workers into the labour market. It shows participation rates for four groups: all men aged between 15-64; all women in the same age range; all aged 15-24; and all aged 55-64. The yellow diamonds show the rates in 1998, and the blue show 2014.</w:t>
      </w:r>
    </w:p>
    <w:p>
      <w:pPr>
        <w:pStyle w:val="BodyText"/>
        <w:spacing w:before="7"/>
      </w:pPr>
    </w:p>
    <w:p>
      <w:pPr>
        <w:pStyle w:val="BodyText"/>
        <w:spacing w:line="355" w:lineRule="auto"/>
        <w:ind w:left="232" w:right="1308"/>
      </w:pPr>
      <w:r>
        <w:rPr/>
        <w:t>Speaking, as I am, in Groningen, I wanted to flag the success of the Netherlands on these measures. It stands out as having encouraged high labour market participation across a broad range of groups. Female participation was already above-average in 1998, but then grew more than nearly all other OECD countries up to 2014. Similarly, participation of workers aged 55-64 grew by more than any other country in the sample.</w:t>
      </w:r>
    </w:p>
    <w:p>
      <w:pPr>
        <w:pStyle w:val="BodyText"/>
        <w:spacing w:before="10"/>
      </w:pPr>
    </w:p>
    <w:p>
      <w:pPr>
        <w:pStyle w:val="BodyText"/>
        <w:spacing w:line="355" w:lineRule="auto" w:before="1"/>
        <w:ind w:left="232" w:right="1208"/>
      </w:pPr>
      <w:r>
        <w:rPr/>
        <w:t>Taking a step back and looking across all the countries in the sample, I want to contrast the outcomes for two different groups. On one hand, there was a marked increase in the participation of old workers in nearly all countries. But at the same time, in most countries the participation of young workers has fallen.</w:t>
      </w:r>
    </w:p>
    <w:p>
      <w:pPr>
        <w:spacing w:after="0" w:line="355" w:lineRule="auto"/>
        <w:sectPr>
          <w:pgSz w:w="11910" w:h="16840"/>
          <w:pgMar w:header="0" w:footer="1338" w:top="1520" w:bottom="1520" w:left="900" w:right="0"/>
        </w:sectPr>
      </w:pPr>
    </w:p>
    <w:p>
      <w:pPr>
        <w:pStyle w:val="Heading1"/>
        <w:spacing w:before="79"/>
      </w:pPr>
      <w:r>
        <w:rPr>
          <w:color w:val="4F81BC"/>
        </w:rPr>
        <w:t>Figure 7: Labour participation in different parts of the labour force</w:t>
      </w:r>
    </w:p>
    <w:p>
      <w:pPr>
        <w:pStyle w:val="BodyText"/>
        <w:rPr>
          <w:b/>
        </w:rPr>
      </w:pPr>
    </w:p>
    <w:p>
      <w:pPr>
        <w:pStyle w:val="BodyText"/>
        <w:rPr>
          <w:b/>
        </w:rPr>
      </w:pPr>
    </w:p>
    <w:p>
      <w:pPr>
        <w:pStyle w:val="BodyText"/>
        <w:spacing w:before="7"/>
        <w:rPr>
          <w:b/>
          <w:sz w:val="25"/>
        </w:rPr>
      </w:pPr>
    </w:p>
    <w:p>
      <w:pPr>
        <w:spacing w:before="101"/>
        <w:ind w:left="892" w:right="0" w:firstLine="0"/>
        <w:jc w:val="left"/>
        <w:rPr>
          <w:sz w:val="17"/>
        </w:rPr>
      </w:pPr>
      <w:r>
        <w:rPr/>
        <w:pict>
          <v:group style="position:absolute;margin-left:138.107666pt;margin-top:-27.905218pt;width:393.15pt;height:269.650pt;mso-position-horizontal-relative:page;mso-position-vertical-relative:paragraph;z-index:251720704" coordorigin="2762,-558" coordsize="7863,5393">
            <v:shape style="position:absolute;left:2762;top:-559;width:7863;height:5393" type="#_x0000_t75" stroked="false">
              <v:imagedata r:id="rId20" o:title=""/>
            </v:shape>
            <v:shape style="position:absolute;left:3293;top:-516;width:989;height:198" type="#_x0000_t202" filled="false" stroked="false">
              <v:textbox inset="0,0,0,0">
                <w:txbxContent>
                  <w:p>
                    <w:pPr>
                      <w:spacing w:before="1"/>
                      <w:ind w:left="0" w:right="0" w:firstLine="0"/>
                      <w:jc w:val="left"/>
                      <w:rPr>
                        <w:sz w:val="17"/>
                      </w:rPr>
                    </w:pPr>
                    <w:r>
                      <w:rPr>
                        <w:w w:val="105"/>
                        <w:sz w:val="17"/>
                      </w:rPr>
                      <w:t>Men (15-64)</w:t>
                    </w:r>
                  </w:p>
                </w:txbxContent>
              </v:textbox>
              <w10:wrap type="none"/>
            </v:shape>
            <v:shape style="position:absolute;left:5115;top:-516;width:1259;height:198" type="#_x0000_t202" filled="false" stroked="false">
              <v:textbox inset="0,0,0,0">
                <w:txbxContent>
                  <w:p>
                    <w:pPr>
                      <w:spacing w:before="1"/>
                      <w:ind w:left="0" w:right="0" w:firstLine="0"/>
                      <w:jc w:val="left"/>
                      <w:rPr>
                        <w:sz w:val="17"/>
                      </w:rPr>
                    </w:pPr>
                    <w:r>
                      <w:rPr>
                        <w:w w:val="105"/>
                        <w:sz w:val="17"/>
                      </w:rPr>
                      <w:t>Women (15-64)</w:t>
                    </w:r>
                  </w:p>
                </w:txbxContent>
              </v:textbox>
              <w10:wrap type="none"/>
            </v:shape>
            <v:shape style="position:absolute;left:6794;top:-516;width:3755;height:198" type="#_x0000_t202" filled="false" stroked="false">
              <v:textbox inset="0,0,0,0">
                <w:txbxContent>
                  <w:p>
                    <w:pPr>
                      <w:tabs>
                        <w:tab w:pos="2007" w:val="left" w:leader="none"/>
                      </w:tabs>
                      <w:spacing w:before="1"/>
                      <w:ind w:left="0" w:right="0" w:firstLine="0"/>
                      <w:jc w:val="left"/>
                      <w:rPr>
                        <w:sz w:val="17"/>
                      </w:rPr>
                    </w:pPr>
                    <w:r>
                      <w:rPr>
                        <w:w w:val="105"/>
                        <w:sz w:val="17"/>
                      </w:rPr>
                      <w:t>Young</w:t>
                    </w:r>
                    <w:r>
                      <w:rPr>
                        <w:spacing w:val="-10"/>
                        <w:w w:val="105"/>
                        <w:sz w:val="17"/>
                      </w:rPr>
                      <w:t> </w:t>
                    </w:r>
                    <w:r>
                      <w:rPr>
                        <w:w w:val="105"/>
                        <w:sz w:val="17"/>
                      </w:rPr>
                      <w:t>workers (15-24)</w:t>
                      <w:tab/>
                    </w:r>
                    <w:r>
                      <w:rPr>
                        <w:spacing w:val="-3"/>
                        <w:w w:val="105"/>
                        <w:sz w:val="17"/>
                      </w:rPr>
                      <w:t>Older </w:t>
                    </w:r>
                    <w:r>
                      <w:rPr>
                        <w:w w:val="105"/>
                        <w:sz w:val="17"/>
                      </w:rPr>
                      <w:t>workers</w:t>
                    </w:r>
                    <w:r>
                      <w:rPr>
                        <w:spacing w:val="4"/>
                        <w:w w:val="105"/>
                        <w:sz w:val="17"/>
                      </w:rPr>
                      <w:t> </w:t>
                    </w:r>
                    <w:r>
                      <w:rPr>
                        <w:w w:val="105"/>
                        <w:sz w:val="17"/>
                      </w:rPr>
                      <w:t>(55-64)</w:t>
                    </w:r>
                  </w:p>
                </w:txbxContent>
              </v:textbox>
              <w10:wrap type="none"/>
            </v:shape>
            <w10:wrap type="none"/>
          </v:group>
        </w:pict>
      </w:r>
      <w:r>
        <w:rPr>
          <w:color w:val="7E7E7E"/>
          <w:spacing w:val="-3"/>
          <w:w w:val="105"/>
          <w:sz w:val="17"/>
        </w:rPr>
        <w:t>Netherlands</w:t>
      </w:r>
    </w:p>
    <w:p>
      <w:pPr>
        <w:pStyle w:val="BodyText"/>
      </w:pPr>
    </w:p>
    <w:p>
      <w:pPr>
        <w:pStyle w:val="BodyText"/>
        <w:spacing w:before="1"/>
        <w:rPr>
          <w:sz w:val="26"/>
        </w:rPr>
      </w:pPr>
    </w:p>
    <w:p>
      <w:pPr>
        <w:spacing w:before="101"/>
        <w:ind w:left="605" w:right="0" w:firstLine="0"/>
        <w:jc w:val="left"/>
        <w:rPr>
          <w:sz w:val="17"/>
        </w:rPr>
      </w:pPr>
      <w:r>
        <w:rPr>
          <w:color w:val="7E7E7E"/>
          <w:sz w:val="17"/>
        </w:rPr>
        <w:t>United</w:t>
      </w:r>
      <w:r>
        <w:rPr>
          <w:color w:val="7E7E7E"/>
          <w:spacing w:val="21"/>
          <w:sz w:val="17"/>
        </w:rPr>
        <w:t> </w:t>
      </w:r>
      <w:r>
        <w:rPr>
          <w:color w:val="7E7E7E"/>
          <w:sz w:val="17"/>
        </w:rPr>
        <w:t>Kingdom</w:t>
      </w:r>
    </w:p>
    <w:p>
      <w:pPr>
        <w:pStyle w:val="BodyText"/>
      </w:pPr>
    </w:p>
    <w:p>
      <w:pPr>
        <w:pStyle w:val="BodyText"/>
        <w:spacing w:before="5"/>
        <w:rPr>
          <w:sz w:val="25"/>
        </w:rPr>
      </w:pPr>
    </w:p>
    <w:p>
      <w:pPr>
        <w:spacing w:before="101"/>
        <w:ind w:left="1111" w:right="0" w:firstLine="0"/>
        <w:jc w:val="left"/>
        <w:rPr>
          <w:sz w:val="17"/>
        </w:rPr>
      </w:pPr>
      <w:r>
        <w:rPr>
          <w:color w:val="7E7E7E"/>
          <w:spacing w:val="-3"/>
          <w:w w:val="105"/>
          <w:sz w:val="17"/>
        </w:rPr>
        <w:t>Germany</w:t>
      </w:r>
    </w:p>
    <w:p>
      <w:pPr>
        <w:pStyle w:val="BodyText"/>
      </w:pPr>
    </w:p>
    <w:p>
      <w:pPr>
        <w:pStyle w:val="BodyText"/>
        <w:spacing w:before="4"/>
        <w:rPr>
          <w:sz w:val="25"/>
        </w:rPr>
      </w:pPr>
    </w:p>
    <w:p>
      <w:pPr>
        <w:spacing w:before="101"/>
        <w:ind w:left="622" w:right="0" w:firstLine="0"/>
        <w:jc w:val="left"/>
        <w:rPr>
          <w:sz w:val="17"/>
        </w:rPr>
      </w:pPr>
      <w:r>
        <w:rPr>
          <w:color w:val="7E7E7E"/>
          <w:w w:val="105"/>
          <w:sz w:val="17"/>
        </w:rPr>
        <w:t>OECD</w:t>
      </w:r>
      <w:r>
        <w:rPr>
          <w:color w:val="7E7E7E"/>
          <w:spacing w:val="-12"/>
          <w:w w:val="105"/>
          <w:sz w:val="17"/>
        </w:rPr>
        <w:t> </w:t>
      </w:r>
      <w:r>
        <w:rPr>
          <w:color w:val="7E7E7E"/>
          <w:w w:val="105"/>
          <w:sz w:val="17"/>
        </w:rPr>
        <w:t>average</w:t>
      </w:r>
    </w:p>
    <w:p>
      <w:pPr>
        <w:pStyle w:val="BodyText"/>
      </w:pPr>
    </w:p>
    <w:p>
      <w:pPr>
        <w:pStyle w:val="BodyText"/>
        <w:spacing w:before="2"/>
        <w:rPr>
          <w:sz w:val="26"/>
        </w:rPr>
      </w:pPr>
    </w:p>
    <w:p>
      <w:pPr>
        <w:spacing w:before="101"/>
        <w:ind w:left="765" w:right="0" w:firstLine="0"/>
        <w:jc w:val="left"/>
        <w:rPr>
          <w:sz w:val="17"/>
        </w:rPr>
      </w:pPr>
      <w:r>
        <w:rPr>
          <w:color w:val="7E7E7E"/>
          <w:w w:val="105"/>
          <w:sz w:val="17"/>
        </w:rPr>
        <w:t>United</w:t>
      </w:r>
      <w:r>
        <w:rPr>
          <w:color w:val="7E7E7E"/>
          <w:spacing w:val="-19"/>
          <w:w w:val="105"/>
          <w:sz w:val="17"/>
        </w:rPr>
        <w:t> </w:t>
      </w:r>
      <w:r>
        <w:rPr>
          <w:color w:val="7E7E7E"/>
          <w:w w:val="105"/>
          <w:sz w:val="17"/>
        </w:rPr>
        <w:t>States</w:t>
      </w:r>
    </w:p>
    <w:p>
      <w:pPr>
        <w:pStyle w:val="BodyText"/>
      </w:pPr>
    </w:p>
    <w:p>
      <w:pPr>
        <w:pStyle w:val="BodyText"/>
        <w:spacing w:before="4"/>
        <w:rPr>
          <w:sz w:val="25"/>
        </w:rPr>
      </w:pPr>
    </w:p>
    <w:p>
      <w:pPr>
        <w:spacing w:before="101"/>
        <w:ind w:left="1271" w:right="0" w:firstLine="0"/>
        <w:jc w:val="left"/>
        <w:rPr>
          <w:sz w:val="17"/>
        </w:rPr>
      </w:pPr>
      <w:r>
        <w:rPr>
          <w:color w:val="7E7E7E"/>
          <w:w w:val="105"/>
          <w:sz w:val="17"/>
        </w:rPr>
        <w:t>France</w:t>
      </w:r>
    </w:p>
    <w:p>
      <w:pPr>
        <w:pStyle w:val="BodyText"/>
      </w:pPr>
    </w:p>
    <w:p>
      <w:pPr>
        <w:pStyle w:val="BodyText"/>
        <w:spacing w:before="9"/>
        <w:rPr>
          <w:sz w:val="18"/>
        </w:rPr>
      </w:pPr>
    </w:p>
    <w:p>
      <w:pPr>
        <w:tabs>
          <w:tab w:pos="2789" w:val="left" w:leader="none"/>
          <w:tab w:pos="3363" w:val="left" w:leader="none"/>
          <w:tab w:pos="3937" w:val="left" w:leader="none"/>
          <w:tab w:pos="4890" w:val="left" w:leader="none"/>
          <w:tab w:pos="5388" w:val="left" w:leader="none"/>
          <w:tab w:pos="5885" w:val="left" w:leader="none"/>
          <w:tab w:pos="6383" w:val="left" w:leader="none"/>
          <w:tab w:pos="6982" w:val="left" w:leader="none"/>
          <w:tab w:pos="7438" w:val="left" w:leader="none"/>
          <w:tab w:pos="7902" w:val="left" w:leader="none"/>
          <w:tab w:pos="8357" w:val="left" w:leader="none"/>
        </w:tabs>
        <w:spacing w:line="188" w:lineRule="exact" w:before="0"/>
        <w:ind w:left="579" w:right="0" w:firstLine="0"/>
        <w:jc w:val="center"/>
        <w:rPr>
          <w:sz w:val="17"/>
        </w:rPr>
      </w:pPr>
      <w:r>
        <w:rPr>
          <w:color w:val="7E7E7E"/>
          <w:w w:val="105"/>
          <w:sz w:val="17"/>
        </w:rPr>
        <w:t>75.0   77.5 </w:t>
      </w:r>
      <w:r>
        <w:rPr>
          <w:color w:val="7E7E7E"/>
          <w:spacing w:val="7"/>
          <w:w w:val="105"/>
          <w:sz w:val="17"/>
        </w:rPr>
        <w:t> </w:t>
      </w:r>
      <w:r>
        <w:rPr>
          <w:color w:val="7E7E7E"/>
          <w:w w:val="105"/>
          <w:sz w:val="17"/>
        </w:rPr>
        <w:t>80.0 </w:t>
      </w:r>
      <w:r>
        <w:rPr>
          <w:color w:val="7E7E7E"/>
          <w:spacing w:val="33"/>
          <w:w w:val="105"/>
          <w:sz w:val="17"/>
        </w:rPr>
        <w:t> </w:t>
      </w:r>
      <w:r>
        <w:rPr>
          <w:color w:val="7E7E7E"/>
          <w:w w:val="105"/>
          <w:sz w:val="17"/>
        </w:rPr>
        <w:t>82.5</w:t>
        <w:tab/>
        <w:t>60</w:t>
        <w:tab/>
        <w:t>65</w:t>
        <w:tab/>
        <w:t>70</w:t>
        <w:tab/>
        <w:t>40</w:t>
        <w:tab/>
        <w:t>50</w:t>
        <w:tab/>
        <w:t>60</w:t>
        <w:tab/>
      </w:r>
      <w:r>
        <w:rPr>
          <w:color w:val="7E7E7E"/>
          <w:spacing w:val="-14"/>
          <w:w w:val="105"/>
          <w:sz w:val="17"/>
        </w:rPr>
        <w:t>7030</w:t>
        <w:tab/>
      </w:r>
      <w:r>
        <w:rPr>
          <w:color w:val="7E7E7E"/>
          <w:w w:val="105"/>
          <w:sz w:val="17"/>
        </w:rPr>
        <w:t>40</w:t>
        <w:tab/>
        <w:t>50</w:t>
        <w:tab/>
        <w:t>60</w:t>
        <w:tab/>
        <w:t>70</w:t>
      </w:r>
    </w:p>
    <w:p>
      <w:pPr>
        <w:spacing w:line="246" w:lineRule="exact" w:before="0"/>
        <w:ind w:left="3920" w:right="3287" w:firstLine="0"/>
        <w:jc w:val="center"/>
        <w:rPr>
          <w:sz w:val="22"/>
        </w:rPr>
      </w:pPr>
      <w:r>
        <w:rPr>
          <w:w w:val="105"/>
          <w:sz w:val="22"/>
        </w:rPr>
        <w:t>Labour market participation, per cent</w:t>
      </w:r>
    </w:p>
    <w:p>
      <w:pPr>
        <w:spacing w:before="148"/>
        <w:ind w:left="3920" w:right="3231" w:firstLine="0"/>
        <w:jc w:val="center"/>
        <w:rPr>
          <w:sz w:val="17"/>
        </w:rPr>
      </w:pPr>
      <w:r>
        <w:rPr>
          <w:position w:val="-5"/>
        </w:rPr>
        <w:drawing>
          <wp:inline distT="0" distB="0" distL="0" distR="0">
            <wp:extent cx="166046" cy="166162"/>
            <wp:effectExtent l="0" t="0" r="0" b="0"/>
            <wp:docPr id="7" name="image9.png"/>
            <wp:cNvGraphicFramePr>
              <a:graphicFrameLocks noChangeAspect="1"/>
            </wp:cNvGraphicFramePr>
            <a:graphic>
              <a:graphicData uri="http://schemas.openxmlformats.org/drawingml/2006/picture">
                <pic:pic>
                  <pic:nvPicPr>
                    <pic:cNvPr id="8" name="image9.png"/>
                    <pic:cNvPicPr/>
                  </pic:nvPicPr>
                  <pic:blipFill>
                    <a:blip r:embed="rId21" cstate="print"/>
                    <a:stretch>
                      <a:fillRect/>
                    </a:stretch>
                  </pic:blipFill>
                  <pic:spPr>
                    <a:xfrm>
                      <a:off x="0" y="0"/>
                      <a:ext cx="166046" cy="166162"/>
                    </a:xfrm>
                    <a:prstGeom prst="rect">
                      <a:avLst/>
                    </a:prstGeom>
                  </pic:spPr>
                </pic:pic>
              </a:graphicData>
            </a:graphic>
          </wp:inline>
        </w:drawing>
      </w:r>
      <w:r>
        <w:rPr>
          <w:position w:val="-5"/>
        </w:rPr>
      </w:r>
      <w:r>
        <w:rPr>
          <w:rFonts w:ascii="Times New Roman"/>
          <w:spacing w:val="-17"/>
          <w:sz w:val="20"/>
        </w:rPr>
        <w:t> </w:t>
      </w:r>
      <w:r>
        <w:rPr>
          <w:w w:val="105"/>
          <w:sz w:val="17"/>
        </w:rPr>
        <w:t>1998</w:t>
      </w:r>
      <w:r>
        <w:rPr>
          <w:spacing w:val="-11"/>
          <w:w w:val="105"/>
          <w:sz w:val="17"/>
        </w:rPr>
        <w:t> </w:t>
      </w:r>
      <w:r>
        <w:rPr>
          <w:spacing w:val="-11"/>
          <w:position w:val="-5"/>
          <w:sz w:val="17"/>
        </w:rPr>
        <w:drawing>
          <wp:inline distT="0" distB="0" distL="0" distR="0">
            <wp:extent cx="160693" cy="166162"/>
            <wp:effectExtent l="0" t="0" r="0" b="0"/>
            <wp:docPr id="9" name="image10.png"/>
            <wp:cNvGraphicFramePr>
              <a:graphicFrameLocks noChangeAspect="1"/>
            </wp:cNvGraphicFramePr>
            <a:graphic>
              <a:graphicData uri="http://schemas.openxmlformats.org/drawingml/2006/picture">
                <pic:pic>
                  <pic:nvPicPr>
                    <pic:cNvPr id="10" name="image10.png"/>
                    <pic:cNvPicPr/>
                  </pic:nvPicPr>
                  <pic:blipFill>
                    <a:blip r:embed="rId22" cstate="print"/>
                    <a:stretch>
                      <a:fillRect/>
                    </a:stretch>
                  </pic:blipFill>
                  <pic:spPr>
                    <a:xfrm>
                      <a:off x="0" y="0"/>
                      <a:ext cx="160693" cy="166162"/>
                    </a:xfrm>
                    <a:prstGeom prst="rect">
                      <a:avLst/>
                    </a:prstGeom>
                  </pic:spPr>
                </pic:pic>
              </a:graphicData>
            </a:graphic>
          </wp:inline>
        </w:drawing>
      </w:r>
      <w:r>
        <w:rPr>
          <w:spacing w:val="-11"/>
          <w:position w:val="-5"/>
          <w:sz w:val="17"/>
        </w:rPr>
      </w:r>
      <w:r>
        <w:rPr>
          <w:rFonts w:ascii="Times New Roman"/>
          <w:spacing w:val="2"/>
          <w:sz w:val="17"/>
        </w:rPr>
        <w:t> </w:t>
      </w:r>
      <w:r>
        <w:rPr>
          <w:w w:val="105"/>
          <w:sz w:val="17"/>
        </w:rPr>
        <w:t>2014</w:t>
      </w:r>
    </w:p>
    <w:p>
      <w:pPr>
        <w:pStyle w:val="BodyText"/>
        <w:rPr>
          <w:sz w:val="26"/>
        </w:rPr>
      </w:pPr>
    </w:p>
    <w:p>
      <w:pPr>
        <w:pStyle w:val="BodyText"/>
        <w:rPr>
          <w:sz w:val="22"/>
        </w:rPr>
      </w:pPr>
    </w:p>
    <w:p>
      <w:pPr>
        <w:spacing w:before="0"/>
        <w:ind w:left="232" w:right="0" w:firstLine="0"/>
        <w:jc w:val="left"/>
        <w:rPr>
          <w:sz w:val="16"/>
        </w:rPr>
      </w:pPr>
      <w:r>
        <w:rPr>
          <w:b/>
          <w:sz w:val="16"/>
        </w:rPr>
        <w:t>Sources: </w:t>
      </w:r>
      <w:r>
        <w:rPr>
          <w:sz w:val="16"/>
        </w:rPr>
        <w:t>OECD and Bank calculations.</w:t>
      </w:r>
    </w:p>
    <w:p>
      <w:pPr>
        <w:pStyle w:val="BodyText"/>
        <w:rPr>
          <w:sz w:val="18"/>
        </w:rPr>
      </w:pPr>
    </w:p>
    <w:p>
      <w:pPr>
        <w:pStyle w:val="BodyText"/>
        <w:rPr>
          <w:sz w:val="18"/>
        </w:rPr>
      </w:pPr>
    </w:p>
    <w:p>
      <w:pPr>
        <w:pStyle w:val="BodyText"/>
        <w:spacing w:before="3"/>
        <w:rPr>
          <w:sz w:val="24"/>
        </w:rPr>
      </w:pPr>
    </w:p>
    <w:p>
      <w:pPr>
        <w:pStyle w:val="BodyText"/>
        <w:spacing w:line="355" w:lineRule="auto"/>
        <w:ind w:left="232" w:right="1093"/>
      </w:pPr>
      <w:r>
        <w:rPr/>
        <w:t>Rising life expectancy might explain the rising participation of old workers, as people delay their retirement. Bloom, Canning and Moore (2014) show that retirement decisions are likely to be determined by the balance between rising real wages, which lead to earlier retirement, and rising life expectancy, which leads to later retirement. And as the evidence of rising life expectancy has become clear over the last two decades, participation of old people in the labour force has increased sharply.</w:t>
      </w:r>
    </w:p>
    <w:p>
      <w:pPr>
        <w:pStyle w:val="BodyText"/>
        <w:spacing w:before="10"/>
      </w:pPr>
    </w:p>
    <w:p>
      <w:pPr>
        <w:pStyle w:val="BodyText"/>
        <w:spacing w:line="355" w:lineRule="auto"/>
        <w:ind w:left="232" w:right="1219"/>
      </w:pPr>
      <w:r>
        <w:rPr/>
        <w:t>Although youth participation was particularly badly hit during the financial crisis in some countries, it had in fact been steadily declining beforehand. Falling labour market participation for this age group could, of course, reflect rising uptake of full-time education, so Figure 8 reports the population shares of those neither in education, employment or training – so-called NEETs – for a range of countries both before and after the crisis. NEET rates are typically low for those aged 15-19, as a result of compulsory education policies that affect many in that group. But more worrying are the high rates of NEETs aged 20-24 and especially 25-29. Whilst the outcomes for Germany, France, the Netherlands and the UK are better in comparison to the Euro area periphery countries, it is clear that some problems remain.</w:t>
      </w:r>
    </w:p>
    <w:p>
      <w:pPr>
        <w:spacing w:after="0" w:line="355" w:lineRule="auto"/>
        <w:sectPr>
          <w:pgSz w:w="11910" w:h="16840"/>
          <w:pgMar w:header="0" w:footer="1338" w:top="1520" w:bottom="1520" w:left="900" w:right="0"/>
        </w:sectPr>
      </w:pPr>
    </w:p>
    <w:p>
      <w:pPr>
        <w:pStyle w:val="Heading1"/>
        <w:spacing w:before="127"/>
      </w:pPr>
      <w:r>
        <w:rPr>
          <w:color w:val="4F81BC"/>
        </w:rPr>
        <w:t>Figure 8: Shares of population neither in training, employment or education (NEETs)</w:t>
      </w:r>
    </w:p>
    <w:p>
      <w:pPr>
        <w:pStyle w:val="BodyText"/>
        <w:rPr>
          <w:b/>
        </w:rPr>
      </w:pPr>
    </w:p>
    <w:p>
      <w:pPr>
        <w:pStyle w:val="BodyText"/>
        <w:rPr>
          <w:b/>
        </w:rPr>
      </w:pPr>
    </w:p>
    <w:p>
      <w:pPr>
        <w:pStyle w:val="BodyText"/>
        <w:spacing w:before="4"/>
        <w:rPr>
          <w:b/>
          <w:sz w:val="24"/>
        </w:rPr>
      </w:pPr>
    </w:p>
    <w:p>
      <w:pPr>
        <w:spacing w:before="103"/>
        <w:ind w:left="1077" w:right="0" w:firstLine="0"/>
        <w:jc w:val="left"/>
        <w:rPr>
          <w:sz w:val="11"/>
        </w:rPr>
      </w:pPr>
      <w:r>
        <w:rPr/>
        <w:pict>
          <v:group style="position:absolute;margin-left:118.65332pt;margin-top:-28.301159pt;width:322.350pt;height:276.6pt;mso-position-horizontal-relative:page;mso-position-vertical-relative:paragraph;z-index:251725824" coordorigin="2373,-566" coordsize="6447,5532">
            <v:shape style="position:absolute;left:2426;top:-566;width:6393;height:207" coordorigin="2427,-566" coordsize="6393,207" path="m4528,-566l2427,-566,2427,-360,4528,-360,4528,-566m6674,-566l4573,-566,4573,-360,6674,-360,6674,-566m8820,-566l6719,-566,6719,-360,8820,-360,8820,-566e" filled="true" fillcolor="#cccccc" stroked="false">
              <v:path arrowok="t"/>
              <v:fill type="solid"/>
            </v:shape>
            <v:rect style="position:absolute;left:2426;top:-360;width:2102;height:5271" filled="true" fillcolor="#e4e4e4" stroked="false">
              <v:fill type="solid"/>
            </v:rect>
            <v:shape style="position:absolute;left:2741;top:-360;width:440;height:5271" coordorigin="2741,-360" coordsize="440,5271" path="m2741,-360l2741,-234m2741,538l2741,619m2741,1383l2741,1472m2741,2236l2741,2316m2741,3089l2741,3169m2741,3933l2741,4022m2741,4786l2741,4911m3181,-360l3181,-234m3181,152l3181,619m3181,1005l3181,1849m3181,2236l3181,2316m3181,3089l3181,4911e" filled="false" stroked="true" strokeweight=".448461pt" strokecolor="#f1f1f1">
              <v:path arrowok="t"/>
              <v:stroke dashstyle="solid"/>
            </v:shape>
            <v:shape style="position:absolute;left:5565;top:1343;width:1962;height:11758" coordorigin="5565,1344" coordsize="1962,11758" path="m3630,4911l3630,-360m4070,4911l4070,-360m4510,4911l4510,-360e" filled="false" stroked="true" strokeweight=".448355pt" strokecolor="#f1f1f1">
              <v:path arrowok="t"/>
              <v:stroke dashstyle="solid"/>
            </v:shape>
            <v:shape style="position:absolute;left:2882;top:1343;width:4685;height:11758" coordorigin="2883,1344" coordsize="4685,11758" path="m2427,4400l4528,4400m2427,3555l4528,3555m2427,2703l4528,2703m2427,1849l4528,1849m2427,1005l4528,1005m2427,152l4528,152m2517,4911l2517,-360e" filled="false" stroked="true" strokeweight=".448355pt" strokecolor="#ffffff">
              <v:path arrowok="t"/>
              <v:stroke dashstyle="solid"/>
            </v:shape>
            <v:shape style="position:absolute;left:2965;top:-360;width:441;height:5271" coordorigin="2965,-360" coordsize="441,5271" path="m2965,-360l2965,-234m2965,538l2965,619m2965,1383l2965,1472m2965,2236l2965,2316m2965,3089l2965,4911m3406,-360l3406,2703m3406,3089l3406,4911e" filled="false" stroked="true" strokeweight=".448461pt" strokecolor="#ffffff">
              <v:path arrowok="t"/>
              <v:stroke dashstyle="solid"/>
            </v:shape>
            <v:shape style="position:absolute;left:6045;top:1343;width:981;height:11758" coordorigin="6046,1344" coordsize="981,11758" path="m3846,4911l3846,-360m4286,4911l4286,-360e" filled="false" stroked="true" strokeweight=".448355pt" strokecolor="#ffffff">
              <v:path arrowok="t"/>
              <v:stroke dashstyle="solid"/>
            </v:shape>
            <v:rect style="position:absolute;left:2516;top:4022;width:360;height:378" filled="true" fillcolor="#ff7e0d" stroked="false">
              <v:fill type="solid"/>
            </v:rect>
            <v:rect style="position:absolute;left:2516;top:4399;width:324;height:386" filled="true" fillcolor="#1f77b4" stroked="false">
              <v:fill type="solid"/>
            </v:rect>
            <v:rect style="position:absolute;left:2516;top:3169;width:252;height:386" filled="true" fillcolor="#ff7e0d" stroked="false">
              <v:fill type="solid"/>
            </v:rect>
            <v:rect style="position:absolute;left:2516;top:3555;width:369;height:378" filled="true" fillcolor="#1f77b4" stroked="false">
              <v:fill type="solid"/>
            </v:rect>
            <v:rect style="position:absolute;left:2516;top:2316;width:809;height:387" filled="true" fillcolor="#ff7e0d" stroked="false">
              <v:fill type="solid"/>
            </v:rect>
            <v:rect style="position:absolute;left:2516;top:2702;width:952;height:386" filled="true" fillcolor="#1f77b4" stroked="false">
              <v:fill type="solid"/>
            </v:rect>
            <v:rect style="position:absolute;left:2516;top:1472;width:629;height:378" filled="true" fillcolor="#ff7e0d" stroked="false">
              <v:fill type="solid"/>
            </v:rect>
            <v:rect style="position:absolute;left:2516;top:1849;width:710;height:387" filled="true" fillcolor="#1f77b4" stroked="false">
              <v:fill type="solid"/>
            </v:rect>
            <v:rect style="position:absolute;left:2516;top:619;width:746;height:386" filled="true" fillcolor="#ff7e0d" stroked="false">
              <v:fill type="solid"/>
            </v:rect>
            <v:rect style="position:absolute;left:2516;top:1005;width:566;height:378" filled="true" fillcolor="#1f77b4" stroked="false">
              <v:fill type="solid"/>
            </v:rect>
            <v:rect style="position:absolute;left:2516;top:-234;width:692;height:387" filled="true" fillcolor="#ff7e0d" stroked="false">
              <v:fill type="solid"/>
            </v:rect>
            <v:rect style="position:absolute;left:2516;top:152;width:557;height:386" filled="true" fillcolor="#1f77b4" stroked="false">
              <v:fill type="solid"/>
            </v:rect>
            <v:rect style="position:absolute;left:4572;top:-360;width:2102;height:5271" filled="true" fillcolor="#e4e4e4" stroked="false">
              <v:fill type="solid"/>
            </v:rect>
            <v:shape style="position:absolute;left:4886;top:-360;width:1330;height:5271" coordorigin="4887,-360" coordsize="1330,5271" path="m4887,-360l4887,-234m4887,538l4887,619m4887,1383l4887,1472m4887,2236l4887,2316m4887,3089l4887,3169m4887,3933l4887,4022m4887,4786l4887,4911m5327,-360l5327,-234m5327,538l5327,619m5327,1383l5327,1472m5327,2236l5327,2316m5327,3089l5327,3169m5327,3933l5327,4022m5327,4400l5327,4911m5767,-360l5767,-234m5767,538l5767,619m5767,1383l5767,1472m5767,2236l5767,2316m5767,3089l5767,3555m5767,3933l5767,4911m6216,-360l6216,-234m6216,538l6216,619m6216,1005l6216,1472m6216,1849l6216,2316m6216,3089l6216,4911e" filled="false" stroked="true" strokeweight=".448461pt" strokecolor="#f1f1f1">
              <v:path arrowok="t"/>
              <v:stroke dashstyle="solid"/>
            </v:shape>
            <v:line style="position:absolute" from="6656,4911" to="6656,-360" stroked="true" strokeweight=".448461pt" strokecolor="#f1f1f1">
              <v:stroke dashstyle="solid"/>
            </v:line>
            <v:shape style="position:absolute;left:7667;top:1343;width:4685;height:11758" coordorigin="7667,1344" coordsize="4685,11758" path="m4573,4400l6674,4400m4573,3555l6674,3555m4573,2703l6674,2703m4573,1849l6674,1849m4573,1005l6674,1005m4573,152l6674,152m4662,4911l4662,-360e" filled="false" stroked="true" strokeweight=".448355pt" strokecolor="#ffffff">
              <v:path arrowok="t"/>
              <v:stroke dashstyle="solid"/>
            </v:shape>
            <v:shape style="position:absolute;left:5111;top:-360;width:881;height:5271" coordorigin="5111,-360" coordsize="881,5271" path="m5111,-360l5111,-234m5111,538l5111,619m5111,1383l5111,1472m5111,2236l5111,2316m5111,3089l5111,3169m5111,3933l5111,4022m5111,4786l5111,4911m5551,-360l5551,-234m5551,538l5551,619m5551,1383l5551,1472m5551,2236l5551,2316m5551,3089l5551,3169m5551,3933l5551,4911m5992,-360l5992,-234m5992,538l5992,619m5992,1383l5992,1472m5992,2236l5992,2316m5992,3089l5992,3555m5992,3933l5992,4911e" filled="false" stroked="true" strokeweight=".448461pt" strokecolor="#ffffff">
              <v:path arrowok="t"/>
              <v:stroke dashstyle="solid"/>
            </v:shape>
            <v:line style="position:absolute" from="6431,4911" to="6431,-360" stroked="true" strokeweight=".448461pt" strokecolor="#ffffff">
              <v:stroke dashstyle="solid"/>
            </v:line>
            <v:rect style="position:absolute;left:4662;top:4022;width:844;height:378" filled="true" fillcolor="#ff7e0d" stroked="false">
              <v:fill type="solid"/>
            </v:rect>
            <v:rect style="position:absolute;left:4662;top:4399;width:620;height:386" filled="true" fillcolor="#1f77b4" stroked="false">
              <v:fill type="solid"/>
            </v:rect>
            <v:rect style="position:absolute;left:4662;top:3169;width:916;height:386" filled="true" fillcolor="#ff7e0d" stroked="false">
              <v:fill type="solid"/>
            </v:rect>
            <v:rect style="position:absolute;left:4662;top:3555;width:1347;height:378" filled="true" fillcolor="#1f77b4" stroked="false">
              <v:fill type="solid"/>
            </v:rect>
            <v:rect style="position:absolute;left:4662;top:2316;width:1689;height:387" filled="true" fillcolor="#ff7e0d" stroked="false">
              <v:fill type="solid"/>
            </v:rect>
            <v:rect style="position:absolute;left:4662;top:2702;width:1599;height:386" filled="true" fillcolor="#1f77b4" stroked="false">
              <v:fill type="solid"/>
            </v:rect>
            <v:rect style="position:absolute;left:4662;top:1472;width:1617;height:378" filled="true" fillcolor="#ff7e0d" stroked="false">
              <v:fill type="solid"/>
            </v:rect>
            <v:rect style="position:absolute;left:4662;top:1849;width:1419;height:387" filled="true" fillcolor="#1f77b4" stroked="false">
              <v:fill type="solid"/>
            </v:rect>
            <v:rect style="position:absolute;left:4662;top:619;width:1662;height:386" filled="true" fillcolor="#ff7e0d" stroked="false">
              <v:fill type="solid"/>
            </v:rect>
            <v:rect style="position:absolute;left:4662;top:1005;width:1437;height:378" filled="true" fillcolor="#1f77b4" stroked="false">
              <v:fill type="solid"/>
            </v:rect>
            <v:rect style="position:absolute;left:4662;top:-234;width:1715;height:387" filled="true" fillcolor="#ff7e0d" stroked="false">
              <v:fill type="solid"/>
            </v:rect>
            <v:rect style="position:absolute;left:4662;top:152;width:1590;height:386" filled="true" fillcolor="#1f77b4" stroked="false">
              <v:fill type="solid"/>
            </v:rect>
            <v:rect style="position:absolute;left:6718;top:-360;width:2102;height:5271" filled="true" fillcolor="#e4e4e4" stroked="false">
              <v:fill type="solid"/>
            </v:rect>
            <v:shape style="position:absolute;left:7032;top:-360;width:1330;height:5271" coordorigin="7033,-360" coordsize="1330,5271" path="m7033,-360l7033,-234m7033,152l7033,619m7033,1005l7033,1472m7033,1849l7033,2316m7033,2703l7033,3169m7033,3555l7033,4022m7033,4400l7033,4911m7473,-360l7473,-234m7473,152l7473,619m7473,1005l7473,1472m7473,1849l7473,2316m7473,2703l7473,3169m7473,3555l7473,4022m7473,4400l7473,4911m7913,-360l7913,-234m7913,152l7913,619m7913,1005l7913,1472m7913,1849l7913,2316m7913,2703l7913,3169m7913,3555l7913,4022m7913,4400l7913,4911m8362,-360l8362,-234m8362,152l8362,619m8362,1005l8362,1472m8362,1849l8362,2316m8362,2703l8362,4911e" filled="false" stroked="true" strokeweight=".448461pt" strokecolor="#f1f1f1">
              <v:path arrowok="t"/>
              <v:stroke dashstyle="solid"/>
            </v:shape>
            <v:line style="position:absolute" from="8802,4911" to="8802,-360" stroked="true" strokeweight=".448461pt" strokecolor="#f1f1f1">
              <v:stroke dashstyle="solid"/>
            </v:line>
            <v:shape style="position:absolute;left:12451;top:1343;width:4685;height:11758" coordorigin="12451,1344" coordsize="4685,11758" path="m6719,4400l8820,4400m6719,3555l8820,3555m6719,2703l8820,2703m6719,1849l8820,1849m6719,1005l8820,1005m6719,152l8820,152m6808,4911l6808,-360e" filled="false" stroked="true" strokeweight=".448355pt" strokecolor="#ffffff">
              <v:path arrowok="t"/>
              <v:stroke dashstyle="solid"/>
            </v:shape>
            <v:shape style="position:absolute;left:7248;top:-360;width:1329;height:5271" coordorigin="7248,-360" coordsize="1329,5271" path="m7248,-360l7248,-234m7248,152l7248,619m7248,1005l7248,1472m7248,1849l7248,2316m7248,2703l7248,3169m7248,3555l7248,4022m7248,4400l7248,4911m7697,-360l7697,-234m7697,152l7697,619m7697,1005l7697,1472m7697,1849l7697,2316m7697,2703l7697,3169m7697,3555l7697,4022m7697,4400l7697,4911m8137,-360l8137,-234m8137,152l8137,619m8137,1005l8137,1472m8137,1849l8137,2316m8137,2703l8137,4911m8577,-360l8577,-234m8577,152l8577,619m8577,1005l8577,1472m8577,1849l8577,4911e" filled="false" stroked="true" strokeweight=".448461pt" strokecolor="#ffffff">
              <v:path arrowok="t"/>
              <v:stroke dashstyle="solid"/>
            </v:shape>
            <v:shape style="position:absolute;left:6808;top:-234;width:1913;height:4634" coordorigin="6808,-234" coordsize="1913,4634" path="m7949,4022l6808,4022,6808,4400,7949,4400,7949,4022m8110,3169l6808,3169,6808,3555,8110,3555,8110,3169m8389,2316l6808,2316,6808,2703,8389,2703,8389,2316m8604,1472l6808,1472,6808,1849,8604,1849,8604,1472m8631,619l6808,619,6808,1005,8631,1005,8631,619m8721,-234l6808,-234,6808,152,8721,152,8721,-234e" filled="true" fillcolor="#ff7e0d" stroked="false">
              <v:path arrowok="t"/>
              <v:fill type="solid"/>
            </v:shape>
            <v:shape style="position:absolute;left:2762;top:2485;width:13833;height:10736" coordorigin="2763,2486" coordsize="13833,10736" path="m2373,4400l2427,4400m2373,3555l2427,3555m2373,2703l2427,2703m2373,1849l2427,1849m2373,1005l2427,1005m2373,152l2427,152m2517,4965l2517,4911m2965,4965l2965,4911m3406,4965l3406,4911m3846,4965l3846,4911m4286,4965l4286,4911m4662,4965l4662,4911m5111,4965l5111,4911m5551,4965l5551,4911m5992,4965l5992,4911m6431,4965l6431,4911m6808,4965l6808,4911m7248,4965l7248,4911m7697,4965l7697,4911m8137,4965l8137,4911m8577,4965l8577,4911e" filled="false" stroked="true" strokeweight=".448355pt" strokecolor="#7e7e7e">
              <v:path arrowok="t"/>
              <v:stroke dashstyle="solid"/>
            </v:shape>
            <v:shape style="position:absolute;left:3082;top:-511;width:820;height:131" type="#_x0000_t202" filled="false" stroked="false">
              <v:textbox inset="0,0,0,0">
                <w:txbxContent>
                  <w:p>
                    <w:pPr>
                      <w:spacing w:before="2"/>
                      <w:ind w:left="0" w:right="0" w:firstLine="0"/>
                      <w:jc w:val="left"/>
                      <w:rPr>
                        <w:sz w:val="11"/>
                      </w:rPr>
                    </w:pPr>
                    <w:r>
                      <w:rPr>
                        <w:w w:val="105"/>
                        <w:sz w:val="11"/>
                      </w:rPr>
                      <w:t>15-19 years old</w:t>
                    </w:r>
                  </w:p>
                </w:txbxContent>
              </v:textbox>
              <w10:wrap type="none"/>
            </v:shape>
            <v:shape style="position:absolute;left:5228;top:-511;width:820;height:131" type="#_x0000_t202" filled="false" stroked="false">
              <v:textbox inset="0,0,0,0">
                <w:txbxContent>
                  <w:p>
                    <w:pPr>
                      <w:spacing w:before="2"/>
                      <w:ind w:left="0" w:right="0" w:firstLine="0"/>
                      <w:jc w:val="left"/>
                      <w:rPr>
                        <w:sz w:val="11"/>
                      </w:rPr>
                    </w:pPr>
                    <w:r>
                      <w:rPr>
                        <w:w w:val="105"/>
                        <w:sz w:val="11"/>
                      </w:rPr>
                      <w:t>20-24 years old</w:t>
                    </w:r>
                  </w:p>
                </w:txbxContent>
              </v:textbox>
              <w10:wrap type="none"/>
            </v:shape>
            <v:shape style="position:absolute;left:7374;top:-511;width:820;height:131" type="#_x0000_t202" filled="false" stroked="false">
              <v:textbox inset="0,0,0,0">
                <w:txbxContent>
                  <w:p>
                    <w:pPr>
                      <w:spacing w:before="2"/>
                      <w:ind w:left="0" w:right="0" w:firstLine="0"/>
                      <w:jc w:val="left"/>
                      <w:rPr>
                        <w:sz w:val="11"/>
                      </w:rPr>
                    </w:pPr>
                    <w:r>
                      <w:rPr>
                        <w:w w:val="105"/>
                        <w:sz w:val="11"/>
                      </w:rPr>
                      <w:t>25-29 years old</w:t>
                    </w:r>
                  </w:p>
                </w:txbxContent>
              </v:textbox>
              <w10:wrap type="none"/>
            </v:shape>
            <w10:wrap type="none"/>
          </v:group>
        </w:pict>
      </w:r>
      <w:r>
        <w:rPr>
          <w:color w:val="7E7E7E"/>
          <w:w w:val="105"/>
          <w:sz w:val="11"/>
        </w:rPr>
        <w:t>France</w:t>
      </w:r>
    </w:p>
    <w:p>
      <w:pPr>
        <w:pStyle w:val="BodyText"/>
      </w:pPr>
    </w:p>
    <w:p>
      <w:pPr>
        <w:pStyle w:val="BodyText"/>
      </w:pPr>
    </w:p>
    <w:p>
      <w:pPr>
        <w:pStyle w:val="BodyText"/>
        <w:rPr>
          <w:sz w:val="12"/>
        </w:rPr>
      </w:pPr>
    </w:p>
    <w:p>
      <w:pPr>
        <w:pStyle w:val="BodyText"/>
        <w:spacing w:before="2"/>
        <w:rPr>
          <w:sz w:val="11"/>
        </w:rPr>
      </w:pPr>
    </w:p>
    <w:p>
      <w:pPr>
        <w:spacing w:before="0"/>
        <w:ind w:left="727" w:right="0" w:firstLine="0"/>
        <w:jc w:val="left"/>
        <w:rPr>
          <w:sz w:val="11"/>
        </w:rPr>
      </w:pPr>
      <w:r>
        <w:rPr>
          <w:color w:val="7E7E7E"/>
          <w:w w:val="105"/>
          <w:sz w:val="11"/>
        </w:rPr>
        <w:t>United</w:t>
      </w:r>
      <w:r>
        <w:rPr>
          <w:color w:val="7E7E7E"/>
          <w:spacing w:val="2"/>
          <w:w w:val="105"/>
          <w:sz w:val="11"/>
        </w:rPr>
        <w:t> </w:t>
      </w:r>
      <w:r>
        <w:rPr>
          <w:color w:val="7E7E7E"/>
          <w:w w:val="105"/>
          <w:sz w:val="11"/>
        </w:rPr>
        <w:t>States</w:t>
      </w:r>
    </w:p>
    <w:p>
      <w:pPr>
        <w:pStyle w:val="BodyText"/>
      </w:pPr>
    </w:p>
    <w:p>
      <w:pPr>
        <w:pStyle w:val="BodyText"/>
      </w:pPr>
    </w:p>
    <w:p>
      <w:pPr>
        <w:pStyle w:val="BodyText"/>
        <w:rPr>
          <w:sz w:val="12"/>
        </w:rPr>
      </w:pPr>
    </w:p>
    <w:p>
      <w:pPr>
        <w:pStyle w:val="BodyText"/>
        <w:spacing w:before="2"/>
        <w:rPr>
          <w:sz w:val="11"/>
        </w:rPr>
      </w:pPr>
    </w:p>
    <w:p>
      <w:pPr>
        <w:spacing w:before="0"/>
        <w:ind w:left="584" w:right="0" w:firstLine="0"/>
        <w:jc w:val="left"/>
        <w:rPr>
          <w:sz w:val="11"/>
        </w:rPr>
      </w:pPr>
      <w:r>
        <w:rPr>
          <w:color w:val="7E7E7E"/>
          <w:w w:val="105"/>
          <w:sz w:val="11"/>
        </w:rPr>
        <w:t>OECD -</w:t>
      </w:r>
      <w:r>
        <w:rPr>
          <w:color w:val="7E7E7E"/>
          <w:spacing w:val="8"/>
          <w:w w:val="105"/>
          <w:sz w:val="11"/>
        </w:rPr>
        <w:t> </w:t>
      </w:r>
      <w:r>
        <w:rPr>
          <w:color w:val="7E7E7E"/>
          <w:spacing w:val="-4"/>
          <w:w w:val="105"/>
          <w:sz w:val="11"/>
        </w:rPr>
        <w:t>Average</w:t>
      </w:r>
    </w:p>
    <w:p>
      <w:pPr>
        <w:pStyle w:val="BodyText"/>
        <w:spacing w:before="2"/>
        <w:rPr>
          <w:sz w:val="17"/>
        </w:rPr>
      </w:pPr>
    </w:p>
    <w:p>
      <w:pPr>
        <w:spacing w:before="0"/>
        <w:ind w:left="0" w:right="2357" w:firstLine="0"/>
        <w:jc w:val="right"/>
        <w:rPr>
          <w:sz w:val="11"/>
        </w:rPr>
      </w:pPr>
      <w:r>
        <w:rPr/>
        <w:pict>
          <v:group style="position:absolute;margin-left:449.280396pt;margin-top:-4.72614pt;width:13.95pt;height:27.65pt;mso-position-horizontal-relative:page;mso-position-vertical-relative:paragraph;z-index:251726848" coordorigin="8986,-95" coordsize="279,553">
            <v:rect style="position:absolute;left:8990;top:-95;width:270;height:279" filled="true" fillcolor="#1f77b4" stroked="false">
              <v:fill type="solid"/>
            </v:rect>
            <v:rect style="position:absolute;left:8990;top:183;width:270;height:270" filled="false" stroked="true" strokeweight=".448355pt" strokecolor="#ffffff">
              <v:stroke dashstyle="solid"/>
            </v:rect>
            <v:rect style="position:absolute;left:8990;top:183;width:270;height:270" filled="true" fillcolor="#ff7e0d" stroked="false">
              <v:fill type="solid"/>
            </v:rect>
            <w10:wrap type="none"/>
          </v:group>
        </w:pict>
      </w:r>
      <w:r>
        <w:rPr>
          <w:spacing w:val="-3"/>
          <w:w w:val="105"/>
          <w:sz w:val="11"/>
        </w:rPr>
        <w:t>2007</w:t>
      </w:r>
    </w:p>
    <w:p>
      <w:pPr>
        <w:pStyle w:val="BodyText"/>
        <w:spacing w:before="4"/>
        <w:rPr>
          <w:sz w:val="12"/>
        </w:rPr>
      </w:pPr>
    </w:p>
    <w:p>
      <w:pPr>
        <w:spacing w:before="1"/>
        <w:ind w:left="0" w:right="2357" w:firstLine="0"/>
        <w:jc w:val="right"/>
        <w:rPr>
          <w:sz w:val="11"/>
        </w:rPr>
      </w:pPr>
      <w:r>
        <w:rPr>
          <w:spacing w:val="-3"/>
          <w:w w:val="105"/>
          <w:sz w:val="11"/>
        </w:rPr>
        <w:t>2013</w:t>
      </w:r>
    </w:p>
    <w:p>
      <w:pPr>
        <w:pStyle w:val="BodyText"/>
        <w:spacing w:before="7"/>
        <w:rPr>
          <w:sz w:val="11"/>
        </w:rPr>
      </w:pPr>
    </w:p>
    <w:p>
      <w:pPr>
        <w:spacing w:before="0"/>
        <w:ind w:left="611" w:right="0" w:firstLine="0"/>
        <w:jc w:val="left"/>
        <w:rPr>
          <w:sz w:val="11"/>
        </w:rPr>
      </w:pPr>
      <w:r>
        <w:rPr>
          <w:color w:val="7E7E7E"/>
          <w:w w:val="105"/>
          <w:sz w:val="11"/>
        </w:rPr>
        <w:t>United</w:t>
      </w:r>
      <w:r>
        <w:rPr>
          <w:color w:val="7E7E7E"/>
          <w:spacing w:val="-8"/>
          <w:w w:val="105"/>
          <w:sz w:val="11"/>
        </w:rPr>
        <w:t> </w:t>
      </w:r>
      <w:r>
        <w:rPr>
          <w:color w:val="7E7E7E"/>
          <w:w w:val="105"/>
          <w:sz w:val="11"/>
        </w:rPr>
        <w:t>Kingdom</w:t>
      </w:r>
    </w:p>
    <w:p>
      <w:pPr>
        <w:pStyle w:val="BodyText"/>
      </w:pPr>
    </w:p>
    <w:p>
      <w:pPr>
        <w:pStyle w:val="BodyText"/>
      </w:pPr>
    </w:p>
    <w:p>
      <w:pPr>
        <w:pStyle w:val="BodyText"/>
        <w:rPr>
          <w:sz w:val="12"/>
        </w:rPr>
      </w:pPr>
    </w:p>
    <w:p>
      <w:pPr>
        <w:pStyle w:val="BodyText"/>
        <w:spacing w:before="5"/>
        <w:rPr>
          <w:sz w:val="10"/>
        </w:rPr>
      </w:pPr>
    </w:p>
    <w:p>
      <w:pPr>
        <w:spacing w:before="0"/>
        <w:ind w:left="961" w:right="0" w:firstLine="0"/>
        <w:jc w:val="left"/>
        <w:rPr>
          <w:sz w:val="11"/>
        </w:rPr>
      </w:pPr>
      <w:r>
        <w:rPr>
          <w:color w:val="7E7E7E"/>
          <w:w w:val="105"/>
          <w:sz w:val="11"/>
        </w:rPr>
        <w:t>Germany</w:t>
      </w:r>
    </w:p>
    <w:p>
      <w:pPr>
        <w:pStyle w:val="BodyText"/>
      </w:pPr>
    </w:p>
    <w:p>
      <w:pPr>
        <w:pStyle w:val="BodyText"/>
      </w:pPr>
    </w:p>
    <w:p>
      <w:pPr>
        <w:pStyle w:val="BodyText"/>
        <w:rPr>
          <w:sz w:val="12"/>
        </w:rPr>
      </w:pPr>
    </w:p>
    <w:p>
      <w:pPr>
        <w:pStyle w:val="BodyText"/>
        <w:spacing w:before="1"/>
        <w:rPr>
          <w:sz w:val="11"/>
        </w:rPr>
      </w:pPr>
    </w:p>
    <w:p>
      <w:pPr>
        <w:spacing w:before="1"/>
        <w:ind w:left="817" w:right="0" w:firstLine="0"/>
        <w:jc w:val="left"/>
        <w:rPr>
          <w:sz w:val="11"/>
        </w:rPr>
      </w:pPr>
      <w:r>
        <w:rPr>
          <w:color w:val="7E7E7E"/>
          <w:spacing w:val="-3"/>
          <w:w w:val="105"/>
          <w:sz w:val="11"/>
        </w:rPr>
        <w:t>Netherlands</w:t>
      </w:r>
    </w:p>
    <w:p>
      <w:pPr>
        <w:pStyle w:val="BodyText"/>
      </w:pPr>
    </w:p>
    <w:p>
      <w:pPr>
        <w:pStyle w:val="BodyText"/>
        <w:spacing w:before="3"/>
        <w:rPr>
          <w:sz w:val="16"/>
        </w:rPr>
      </w:pPr>
    </w:p>
    <w:p>
      <w:pPr>
        <w:tabs>
          <w:tab w:pos="2038" w:val="left" w:leader="none"/>
          <w:tab w:pos="2442" w:val="left" w:leader="none"/>
          <w:tab w:pos="2882" w:val="left" w:leader="none"/>
          <w:tab w:pos="3322" w:val="left" w:leader="none"/>
          <w:tab w:pos="3735" w:val="left" w:leader="none"/>
          <w:tab w:pos="4184" w:val="left" w:leader="none"/>
          <w:tab w:pos="4588" w:val="left" w:leader="none"/>
          <w:tab w:pos="5028" w:val="left" w:leader="none"/>
          <w:tab w:pos="5468" w:val="left" w:leader="none"/>
          <w:tab w:pos="5881" w:val="left" w:leader="none"/>
          <w:tab w:pos="6321" w:val="left" w:leader="none"/>
          <w:tab w:pos="6734" w:val="left" w:leader="none"/>
          <w:tab w:pos="7174" w:val="left" w:leader="none"/>
          <w:tab w:pos="7614" w:val="left" w:leader="none"/>
        </w:tabs>
        <w:spacing w:line="125" w:lineRule="exact" w:before="103"/>
        <w:ind w:left="1589" w:right="0" w:firstLine="0"/>
        <w:jc w:val="left"/>
        <w:rPr>
          <w:sz w:val="11"/>
        </w:rPr>
      </w:pPr>
      <w:r>
        <w:rPr>
          <w:color w:val="7E7E7E"/>
          <w:w w:val="105"/>
          <w:sz w:val="11"/>
        </w:rPr>
        <w:t>0</w:t>
        <w:tab/>
        <w:t>5</w:t>
        <w:tab/>
        <w:t>10</w:t>
        <w:tab/>
        <w:t>15</w:t>
        <w:tab/>
        <w:t>20</w:t>
        <w:tab/>
        <w:t>0</w:t>
        <w:tab/>
        <w:t>5</w:t>
        <w:tab/>
        <w:t>10</w:t>
        <w:tab/>
        <w:t>15</w:t>
        <w:tab/>
        <w:t>20</w:t>
        <w:tab/>
        <w:t>0</w:t>
        <w:tab/>
        <w:t>5</w:t>
        <w:tab/>
        <w:t>10</w:t>
        <w:tab/>
        <w:t>15</w:t>
        <w:tab/>
      </w:r>
      <w:r>
        <w:rPr>
          <w:color w:val="7E7E7E"/>
          <w:spacing w:val="-3"/>
          <w:w w:val="105"/>
          <w:sz w:val="11"/>
        </w:rPr>
        <w:t>20</w:t>
      </w:r>
    </w:p>
    <w:p>
      <w:pPr>
        <w:spacing w:line="160" w:lineRule="exact" w:before="0"/>
        <w:ind w:left="3636" w:right="0" w:firstLine="0"/>
        <w:jc w:val="left"/>
        <w:rPr>
          <w:sz w:val="14"/>
        </w:rPr>
      </w:pPr>
      <w:r>
        <w:rPr>
          <w:w w:val="105"/>
          <w:sz w:val="14"/>
        </w:rPr>
        <w:t>Per cent of population in age range</w:t>
      </w:r>
    </w:p>
    <w:p>
      <w:pPr>
        <w:pStyle w:val="BodyText"/>
        <w:spacing w:before="9"/>
        <w:rPr>
          <w:sz w:val="12"/>
        </w:rPr>
      </w:pPr>
    </w:p>
    <w:p>
      <w:pPr>
        <w:spacing w:before="96"/>
        <w:ind w:left="232" w:right="0" w:firstLine="0"/>
        <w:jc w:val="left"/>
        <w:rPr>
          <w:sz w:val="16"/>
        </w:rPr>
      </w:pPr>
      <w:r>
        <w:rPr>
          <w:b/>
          <w:sz w:val="16"/>
        </w:rPr>
        <w:t>Sources: </w:t>
      </w:r>
      <w:r>
        <w:rPr>
          <w:sz w:val="16"/>
        </w:rPr>
        <w:t>OECD and Bank calculations. Data for 25-29 year olds are not available for 2007.</w:t>
      </w:r>
    </w:p>
    <w:p>
      <w:pPr>
        <w:pStyle w:val="BodyText"/>
        <w:rPr>
          <w:sz w:val="18"/>
        </w:rPr>
      </w:pPr>
    </w:p>
    <w:p>
      <w:pPr>
        <w:pStyle w:val="BodyText"/>
        <w:rPr>
          <w:sz w:val="18"/>
        </w:rPr>
      </w:pPr>
    </w:p>
    <w:p>
      <w:pPr>
        <w:pStyle w:val="BodyText"/>
        <w:spacing w:before="5"/>
        <w:rPr>
          <w:sz w:val="24"/>
        </w:rPr>
      </w:pPr>
    </w:p>
    <w:p>
      <w:pPr>
        <w:pStyle w:val="BodyText"/>
        <w:spacing w:line="355" w:lineRule="auto"/>
        <w:ind w:left="232" w:right="1165"/>
      </w:pPr>
      <w:r>
        <w:rPr/>
        <w:t>What is the scope of labour market reform to improve these outcomes, especially for younger workers? OECD (2004) points out that there is a complex relationship between the degree of employment protection</w:t>
      </w:r>
      <w:r>
        <w:rPr>
          <w:spacing w:val="-36"/>
        </w:rPr>
        <w:t> </w:t>
      </w:r>
      <w:r>
        <w:rPr/>
        <w:t>in an economy, and labour market outcomes.  Whilst some employment protection can be beneficial, the OECD also observes that </w:t>
      </w:r>
      <w:r>
        <w:rPr>
          <w:i/>
        </w:rPr>
        <w:t>highly restrictive </w:t>
      </w:r>
      <w:r>
        <w:rPr/>
        <w:t>employment protection legislation could hinder employment of young workers, whilst boosting the outcomes of those already in work;</w:t>
      </w:r>
      <w:r>
        <w:rPr>
          <w:vertAlign w:val="superscript"/>
        </w:rPr>
        <w:t>17</w:t>
      </w:r>
      <w:r>
        <w:rPr>
          <w:vertAlign w:val="baseline"/>
        </w:rPr>
        <w:t> I can explore the extent to which relaxing this protection could improve outcomes, using estimates of the degree of employment protection legislation in different economies published by the OECD (OECD 2013b) alongside indicators of product market</w:t>
      </w:r>
      <w:r>
        <w:rPr>
          <w:spacing w:val="-2"/>
          <w:vertAlign w:val="baseline"/>
        </w:rPr>
        <w:t> </w:t>
      </w:r>
      <w:r>
        <w:rPr>
          <w:vertAlign w:val="baseline"/>
        </w:rPr>
        <w:t>regulation.</w:t>
      </w:r>
    </w:p>
    <w:p>
      <w:pPr>
        <w:pStyle w:val="BodyText"/>
        <w:spacing w:before="7"/>
      </w:pPr>
    </w:p>
    <w:p>
      <w:pPr>
        <w:pStyle w:val="BodyText"/>
        <w:spacing w:line="355" w:lineRule="auto"/>
        <w:ind w:left="232" w:right="1296"/>
      </w:pPr>
      <w:r>
        <w:rPr/>
        <w:t>The results reported in Table 5 suggest that a reduction in employment protection legislation could boost participation of younger workers. To put the estimates in context, if a country such as France, with a comparatively high degree of employee protection, were to reduce the level to that of the Netherlands, then youth participation might rise by just short of 20 percentage points, to a level comparable with the USA (though still below that of the Netherlands). Of course, these estimates are only indicative, and as I noted above, more detailed empirical work has suggested that </w:t>
      </w:r>
      <w:r>
        <w:rPr>
          <w:i/>
        </w:rPr>
        <w:t>some </w:t>
      </w:r>
      <w:r>
        <w:rPr/>
        <w:t>degree of protection is beneficial (OECD,</w:t>
      </w:r>
    </w:p>
    <w:p>
      <w:pPr>
        <w:pStyle w:val="BodyText"/>
      </w:pPr>
    </w:p>
    <w:p>
      <w:pPr>
        <w:pStyle w:val="BodyText"/>
        <w:spacing w:before="8"/>
        <w:rPr>
          <w:sz w:val="12"/>
        </w:rPr>
      </w:pPr>
      <w:r>
        <w:rPr/>
        <w:pict>
          <v:shape style="position:absolute;margin-left:56.639999pt;margin-top:9.531171pt;width:144.050pt;height:.1pt;mso-position-horizontal-relative:page;mso-position-vertical-relative:paragraph;z-index:-251594752;mso-wrap-distance-left:0;mso-wrap-distance-right:0" coordorigin="1133,191" coordsize="2881,0" path="m1133,191l4014,191e" filled="false" stroked="true" strokeweight=".47998pt" strokecolor="#000000">
            <v:path arrowok="t"/>
            <v:stroke dashstyle="solid"/>
            <w10:wrap type="topAndBottom"/>
          </v:shape>
        </w:pict>
      </w:r>
    </w:p>
    <w:p>
      <w:pPr>
        <w:spacing w:before="30"/>
        <w:ind w:left="232" w:right="1093" w:firstLine="0"/>
        <w:jc w:val="left"/>
        <w:rPr>
          <w:sz w:val="16"/>
        </w:rPr>
      </w:pPr>
      <w:r>
        <w:rPr>
          <w:position w:val="8"/>
          <w:sz w:val="10"/>
        </w:rPr>
        <w:t>17 </w:t>
      </w:r>
      <w:r>
        <w:rPr>
          <w:sz w:val="16"/>
        </w:rPr>
        <w:t>This ‘insider-outsider’ effect, in which those in employment exploit their bargaining power to secure their positions, at the expense of those out of work, has been discussed extensively in the literature (e.g. see Layard, Nickell and Jackman (2005)).</w:t>
      </w:r>
    </w:p>
    <w:p>
      <w:pPr>
        <w:spacing w:after="0"/>
        <w:jc w:val="left"/>
        <w:rPr>
          <w:sz w:val="16"/>
        </w:rPr>
        <w:sectPr>
          <w:pgSz w:w="11910" w:h="16840"/>
          <w:pgMar w:header="0" w:footer="1338" w:top="1580" w:bottom="1520" w:left="900" w:right="0"/>
        </w:sectPr>
      </w:pPr>
    </w:p>
    <w:p>
      <w:pPr>
        <w:pStyle w:val="BodyText"/>
        <w:spacing w:line="352" w:lineRule="auto" w:before="129"/>
        <w:ind w:left="232" w:right="1093"/>
      </w:pPr>
      <w:r>
        <w:rPr/>
        <w:t>2004). And other labour market policies also have an influence on outcomes. But it does suggest that for some countries, at least, there may be scope to increase participation among young workers.</w:t>
      </w:r>
    </w:p>
    <w:p>
      <w:pPr>
        <w:pStyle w:val="BodyText"/>
        <w:rPr>
          <w:sz w:val="22"/>
        </w:rPr>
      </w:pPr>
    </w:p>
    <w:p>
      <w:pPr>
        <w:pStyle w:val="Heading1"/>
        <w:spacing w:before="144" w:after="37"/>
      </w:pPr>
      <w:r>
        <w:rPr>
          <w:color w:val="4F81BC"/>
        </w:rPr>
        <w:t>Table 5: Impact of reform on labour market outcomes</w:t>
      </w:r>
    </w:p>
    <w:tbl>
      <w:tblPr>
        <w:tblW w:w="0" w:type="auto"/>
        <w:jc w:val="left"/>
        <w:tblInd w:w="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55"/>
        <w:gridCol w:w="5775"/>
      </w:tblGrid>
      <w:tr>
        <w:trPr>
          <w:trHeight w:val="530" w:hRule="atLeast"/>
        </w:trPr>
        <w:tc>
          <w:tcPr>
            <w:tcW w:w="3855" w:type="dxa"/>
          </w:tcPr>
          <w:p>
            <w:pPr>
              <w:pStyle w:val="TableParagraph"/>
              <w:rPr>
                <w:rFonts w:ascii="Times New Roman"/>
                <w:sz w:val="18"/>
              </w:rPr>
            </w:pPr>
          </w:p>
        </w:tc>
        <w:tc>
          <w:tcPr>
            <w:tcW w:w="5775" w:type="dxa"/>
          </w:tcPr>
          <w:p>
            <w:pPr>
              <w:pStyle w:val="TableParagraph"/>
              <w:spacing w:line="227" w:lineRule="exact"/>
              <w:ind w:left="133" w:right="126"/>
              <w:jc w:val="center"/>
              <w:rPr>
                <w:b/>
                <w:sz w:val="20"/>
              </w:rPr>
            </w:pPr>
            <w:r>
              <w:rPr>
                <w:b/>
                <w:sz w:val="20"/>
              </w:rPr>
              <w:t>Dependent variable is the participation rate of all workers</w:t>
            </w:r>
          </w:p>
          <w:p>
            <w:pPr>
              <w:pStyle w:val="TableParagraph"/>
              <w:spacing w:before="36"/>
              <w:ind w:left="137" w:right="124"/>
              <w:jc w:val="center"/>
              <w:rPr>
                <w:b/>
                <w:sz w:val="20"/>
              </w:rPr>
            </w:pPr>
            <w:r>
              <w:rPr>
                <w:b/>
                <w:sz w:val="20"/>
              </w:rPr>
              <w:t>aged 15-24</w:t>
            </w:r>
          </w:p>
        </w:tc>
      </w:tr>
      <w:tr>
        <w:trPr>
          <w:trHeight w:val="527" w:hRule="atLeast"/>
        </w:trPr>
        <w:tc>
          <w:tcPr>
            <w:tcW w:w="3855" w:type="dxa"/>
          </w:tcPr>
          <w:p>
            <w:pPr>
              <w:pStyle w:val="TableParagraph"/>
              <w:spacing w:line="229" w:lineRule="exact"/>
              <w:ind w:left="110"/>
              <w:rPr>
                <w:sz w:val="20"/>
              </w:rPr>
            </w:pPr>
            <w:r>
              <w:rPr>
                <w:sz w:val="20"/>
              </w:rPr>
              <w:t>Impact of Employment Protection</w:t>
            </w:r>
          </w:p>
          <w:p>
            <w:pPr>
              <w:pStyle w:val="TableParagraph"/>
              <w:spacing w:before="34"/>
              <w:ind w:left="110"/>
              <w:rPr>
                <w:sz w:val="20"/>
              </w:rPr>
            </w:pPr>
            <w:r>
              <w:rPr>
                <w:sz w:val="20"/>
              </w:rPr>
              <w:t>Legislation level in 2008</w:t>
            </w:r>
          </w:p>
        </w:tc>
        <w:tc>
          <w:tcPr>
            <w:tcW w:w="5775" w:type="dxa"/>
          </w:tcPr>
          <w:p>
            <w:pPr>
              <w:pStyle w:val="TableParagraph"/>
              <w:spacing w:line="229" w:lineRule="exact"/>
              <w:ind w:left="134" w:right="126"/>
              <w:jc w:val="center"/>
              <w:rPr>
                <w:sz w:val="20"/>
              </w:rPr>
            </w:pPr>
            <w:r>
              <w:rPr>
                <w:sz w:val="20"/>
              </w:rPr>
              <w:t>-14.40***</w:t>
            </w:r>
          </w:p>
          <w:p>
            <w:pPr>
              <w:pStyle w:val="TableParagraph"/>
              <w:spacing w:before="34"/>
              <w:ind w:left="133" w:right="126"/>
              <w:jc w:val="center"/>
              <w:rPr>
                <w:sz w:val="20"/>
              </w:rPr>
            </w:pPr>
            <w:r>
              <w:rPr>
                <w:sz w:val="20"/>
              </w:rPr>
              <w:t>(4.37)</w:t>
            </w:r>
          </w:p>
        </w:tc>
      </w:tr>
      <w:tr>
        <w:trPr>
          <w:trHeight w:val="530" w:hRule="atLeast"/>
        </w:trPr>
        <w:tc>
          <w:tcPr>
            <w:tcW w:w="3855" w:type="dxa"/>
          </w:tcPr>
          <w:p>
            <w:pPr>
              <w:pStyle w:val="TableParagraph"/>
              <w:spacing w:before="2"/>
              <w:ind w:left="110"/>
              <w:rPr>
                <w:sz w:val="20"/>
              </w:rPr>
            </w:pPr>
            <w:r>
              <w:rPr>
                <w:sz w:val="20"/>
              </w:rPr>
              <w:t>Impact of GDP growth between 2007-09</w:t>
            </w:r>
          </w:p>
        </w:tc>
        <w:tc>
          <w:tcPr>
            <w:tcW w:w="5775" w:type="dxa"/>
          </w:tcPr>
          <w:p>
            <w:pPr>
              <w:pStyle w:val="TableParagraph"/>
              <w:spacing w:before="2"/>
              <w:ind w:left="134" w:right="126"/>
              <w:jc w:val="center"/>
              <w:rPr>
                <w:sz w:val="20"/>
              </w:rPr>
            </w:pPr>
            <w:r>
              <w:rPr>
                <w:sz w:val="20"/>
              </w:rPr>
              <w:t>0.50</w:t>
            </w:r>
          </w:p>
          <w:p>
            <w:pPr>
              <w:pStyle w:val="TableParagraph"/>
              <w:spacing w:before="34"/>
              <w:ind w:left="133" w:right="126"/>
              <w:jc w:val="center"/>
              <w:rPr>
                <w:sz w:val="20"/>
              </w:rPr>
            </w:pPr>
            <w:r>
              <w:rPr>
                <w:sz w:val="20"/>
              </w:rPr>
              <w:t>(0.93)</w:t>
            </w:r>
          </w:p>
        </w:tc>
      </w:tr>
      <w:tr>
        <w:trPr>
          <w:trHeight w:val="264" w:hRule="atLeast"/>
        </w:trPr>
        <w:tc>
          <w:tcPr>
            <w:tcW w:w="3855" w:type="dxa"/>
          </w:tcPr>
          <w:p>
            <w:pPr>
              <w:pStyle w:val="TableParagraph"/>
              <w:rPr>
                <w:rFonts w:ascii="Times New Roman"/>
                <w:sz w:val="18"/>
              </w:rPr>
            </w:pPr>
          </w:p>
        </w:tc>
        <w:tc>
          <w:tcPr>
            <w:tcW w:w="5775" w:type="dxa"/>
          </w:tcPr>
          <w:p>
            <w:pPr>
              <w:pStyle w:val="TableParagraph"/>
              <w:rPr>
                <w:rFonts w:ascii="Times New Roman"/>
                <w:sz w:val="18"/>
              </w:rPr>
            </w:pPr>
          </w:p>
        </w:tc>
      </w:tr>
      <w:tr>
        <w:trPr>
          <w:trHeight w:val="213" w:hRule="atLeast"/>
        </w:trPr>
        <w:tc>
          <w:tcPr>
            <w:tcW w:w="3855" w:type="dxa"/>
          </w:tcPr>
          <w:p>
            <w:pPr>
              <w:pStyle w:val="TableParagraph"/>
              <w:spacing w:before="1"/>
              <w:ind w:left="110"/>
              <w:rPr>
                <w:sz w:val="16"/>
              </w:rPr>
            </w:pPr>
            <w:r>
              <w:rPr>
                <w:sz w:val="16"/>
              </w:rPr>
              <w:t>Number of countries</w:t>
            </w:r>
          </w:p>
        </w:tc>
        <w:tc>
          <w:tcPr>
            <w:tcW w:w="5775" w:type="dxa"/>
          </w:tcPr>
          <w:p>
            <w:pPr>
              <w:pStyle w:val="TableParagraph"/>
              <w:spacing w:before="1"/>
              <w:ind w:left="2799"/>
              <w:rPr>
                <w:sz w:val="16"/>
              </w:rPr>
            </w:pPr>
            <w:r>
              <w:rPr>
                <w:sz w:val="16"/>
              </w:rPr>
              <w:t>32</w:t>
            </w:r>
          </w:p>
        </w:tc>
      </w:tr>
      <w:tr>
        <w:trPr>
          <w:trHeight w:val="210" w:hRule="atLeast"/>
        </w:trPr>
        <w:tc>
          <w:tcPr>
            <w:tcW w:w="3855" w:type="dxa"/>
          </w:tcPr>
          <w:p>
            <w:pPr>
              <w:pStyle w:val="TableParagraph"/>
              <w:spacing w:line="183" w:lineRule="exact"/>
              <w:ind w:left="110"/>
              <w:rPr>
                <w:sz w:val="16"/>
              </w:rPr>
            </w:pPr>
            <w:r>
              <w:rPr>
                <w:sz w:val="16"/>
              </w:rPr>
              <w:t>Estimation method</w:t>
            </w:r>
          </w:p>
        </w:tc>
        <w:tc>
          <w:tcPr>
            <w:tcW w:w="5775" w:type="dxa"/>
          </w:tcPr>
          <w:p>
            <w:pPr>
              <w:pStyle w:val="TableParagraph"/>
              <w:spacing w:line="183" w:lineRule="exact"/>
              <w:ind w:left="2813"/>
              <w:rPr>
                <w:sz w:val="16"/>
              </w:rPr>
            </w:pPr>
            <w:r>
              <w:rPr>
                <w:sz w:val="16"/>
              </w:rPr>
              <w:t>IV</w:t>
            </w:r>
          </w:p>
        </w:tc>
      </w:tr>
      <w:tr>
        <w:trPr>
          <w:trHeight w:val="424" w:hRule="atLeast"/>
        </w:trPr>
        <w:tc>
          <w:tcPr>
            <w:tcW w:w="3855" w:type="dxa"/>
          </w:tcPr>
          <w:p>
            <w:pPr>
              <w:pStyle w:val="TableParagraph"/>
              <w:spacing w:line="183" w:lineRule="exact"/>
              <w:ind w:left="110"/>
              <w:rPr>
                <w:sz w:val="16"/>
              </w:rPr>
            </w:pPr>
            <w:r>
              <w:rPr>
                <w:sz w:val="16"/>
              </w:rPr>
              <w:t>Instruments used</w:t>
            </w:r>
          </w:p>
        </w:tc>
        <w:tc>
          <w:tcPr>
            <w:tcW w:w="5775" w:type="dxa"/>
          </w:tcPr>
          <w:p>
            <w:pPr>
              <w:pStyle w:val="TableParagraph"/>
              <w:spacing w:line="183" w:lineRule="exact"/>
              <w:ind w:left="137" w:right="126"/>
              <w:jc w:val="center"/>
              <w:rPr>
                <w:sz w:val="16"/>
              </w:rPr>
            </w:pPr>
            <w:r>
              <w:rPr>
                <w:sz w:val="16"/>
              </w:rPr>
              <w:t>OECD Product Market Regulation score in 2008 (instrumented variable is the</w:t>
            </w:r>
          </w:p>
          <w:p>
            <w:pPr>
              <w:pStyle w:val="TableParagraph"/>
              <w:spacing w:before="27"/>
              <w:ind w:left="136" w:right="126"/>
              <w:jc w:val="center"/>
              <w:rPr>
                <w:sz w:val="16"/>
              </w:rPr>
            </w:pPr>
            <w:r>
              <w:rPr>
                <w:sz w:val="16"/>
              </w:rPr>
              <w:t>level of Employment Protection in 2008)</w:t>
            </w:r>
          </w:p>
        </w:tc>
      </w:tr>
    </w:tbl>
    <w:p>
      <w:pPr>
        <w:spacing w:before="150"/>
        <w:ind w:left="232" w:right="0" w:firstLine="0"/>
        <w:jc w:val="left"/>
        <w:rPr>
          <w:sz w:val="16"/>
        </w:rPr>
      </w:pPr>
      <w:r>
        <w:rPr>
          <w:b/>
          <w:sz w:val="16"/>
        </w:rPr>
        <w:t>Sources: </w:t>
      </w:r>
      <w:r>
        <w:rPr>
          <w:sz w:val="16"/>
        </w:rPr>
        <w:t>OECD and Bank calculations</w:t>
      </w:r>
    </w:p>
    <w:p>
      <w:pPr>
        <w:pStyle w:val="BodyText"/>
        <w:rPr>
          <w:sz w:val="18"/>
        </w:rPr>
      </w:pPr>
    </w:p>
    <w:p>
      <w:pPr>
        <w:pStyle w:val="BodyText"/>
        <w:rPr>
          <w:sz w:val="18"/>
        </w:rPr>
      </w:pPr>
    </w:p>
    <w:p>
      <w:pPr>
        <w:pStyle w:val="BodyText"/>
        <w:spacing w:before="2"/>
        <w:rPr>
          <w:sz w:val="24"/>
        </w:rPr>
      </w:pPr>
    </w:p>
    <w:p>
      <w:pPr>
        <w:pStyle w:val="BodyText"/>
        <w:spacing w:before="1"/>
        <w:ind w:left="232"/>
      </w:pPr>
      <w:r>
        <w:rPr/>
        <w:t>Alongside trends in the participation rate, I also want to highlight two other determinants of labour input: one</w:t>
      </w:r>
    </w:p>
    <w:p>
      <w:pPr>
        <w:pStyle w:val="BodyText"/>
        <w:spacing w:line="355" w:lineRule="auto" w:before="110"/>
        <w:ind w:left="232" w:right="1408"/>
      </w:pPr>
      <w:r>
        <w:rPr/>
        <w:t>– unemployment – affected by fluctuations in the business cycle, and the other – average working hours – affected by longer-term trends. Both have a bearing on the outlook for labour supply over the next few years.</w:t>
      </w:r>
    </w:p>
    <w:p>
      <w:pPr>
        <w:pStyle w:val="BodyText"/>
        <w:spacing w:before="7"/>
      </w:pPr>
    </w:p>
    <w:p>
      <w:pPr>
        <w:pStyle w:val="Heading1"/>
      </w:pPr>
      <w:r>
        <w:rPr/>
        <w:pict>
          <v:group style="position:absolute;margin-left:86.82753pt;margin-top:20.306013pt;width:272.1pt;height:224.4pt;mso-position-horizontal-relative:page;mso-position-vertical-relative:paragraph;z-index:251727872" coordorigin="1737,406" coordsize="5442,4488">
            <v:rect style="position:absolute;left:1736;top:406;width:5442;height:4488" filled="true" fillcolor="#e4e4e4" stroked="false">
              <v:fill type="solid"/>
            </v:rect>
            <v:shape style="position:absolute;left:1983;top:607;width:4949;height:2121" coordorigin="1983,607" coordsize="4949,2121" path="m1983,909l2248,690,2503,607,2768,808,3024,836,3289,1585,3544,2234,3809,2188,4065,2289,4330,2133,4585,2115,4850,2143,5106,2472,5370,2727,5626,2024,5891,1960,6146,1996,6411,1722,6667,1722,6932,1722e" filled="false" stroked="true" strokeweight=".455896pt" strokecolor="#1f77b4">
              <v:path arrowok="t"/>
              <v:stroke dashstyle="solid"/>
            </v:shape>
            <v:shape style="position:absolute;left:1983;top:1164;width:4949;height:2495" coordorigin="1983,1165" coordsize="4949,2495" path="m1983,2408l2248,2115,2503,1722,2768,1969,3024,2298,3289,2563,3544,2526,3809,2225,4065,1942,4330,1530,4585,1165,4850,1512,5106,2188,5370,2645,5626,2554,5891,2819,6146,3322,6411,3504,6667,3559,6932,3660e" filled="false" stroked="true" strokeweight=".4559pt" strokecolor="#ff7e0d">
              <v:path arrowok="t"/>
              <v:stroke dashstyle="solid"/>
            </v:shape>
            <v:shape style="position:absolute;left:1983;top:2700;width:4949;height:1993" coordorigin="1983,2700" coordsize="4949,1993" path="m1983,2846l2248,3111,2503,3504,2768,3952,3024,4272,3289,4464,3544,4692,3809,4455,4065,4034,4330,3660,4585,3577,4850,3952,5106,4244,5370,4473,5626,4199,5891,3897,6146,3915,6411,3577,6667,2992,6932,2700e" filled="false" stroked="true" strokeweight=".455895pt" strokecolor="#2c9f2c">
              <v:path arrowok="t"/>
              <v:stroke dashstyle="solid"/>
            </v:shape>
            <v:shape style="position:absolute;left:1983;top:2206;width:4949;height:1609" coordorigin="1983,2207" coordsize="4949,1609" path="m1983,2207l2248,2417,2503,2855,2768,3221,3024,3285,3289,3477,3544,3778,3809,3669,4065,3751,4330,3797,4585,3815,4850,3513,5106,3559,5370,3550,5626,2563,5891,2517,6146,2472,6411,2444,6667,2545,6932,3139e" filled="false" stroked="true" strokeweight=".455891pt" strokecolor="#d52728">
              <v:path arrowok="t"/>
              <v:stroke dashstyle="solid"/>
            </v:shape>
            <v:shape style="position:absolute;left:1983;top:1776;width:4949;height:2304" coordorigin="1983,1777" coordsize="4949,2304" path="m1983,3431l2248,3504,2503,3696,2768,3870,3024,3989,3289,4080,3544,3778,3809,3349,4065,3267,4330,3449,4585,3632,4850,3815,5106,3824,5370,3349,5626,1932,5891,1777,6146,2060,6411,2417,6667,2691,6932,3184e" filled="false" stroked="true" strokeweight=".455898pt" strokecolor="#9367bc">
              <v:path arrowok="t"/>
              <v:stroke dashstyle="solid"/>
            </v:shape>
            <w10:wrap type="none"/>
          </v:group>
        </w:pict>
      </w:r>
      <w:r>
        <w:rPr/>
        <w:pict>
          <v:shape style="position:absolute;margin-left:84.091774pt;margin-top:20.306477pt;width:274.850pt;height:227.15pt;mso-position-horizontal-relative:page;mso-position-vertical-relative:paragraph;z-index:251730944" type="#_x0000_t202" filled="false" stroked="false">
            <v:textbox inset="0,0,0,0">
              <w:txbxContent>
                <w:tbl>
                  <w:tblPr>
                    <w:tblW w:w="0" w:type="auto"/>
                    <w:jc w:val="left"/>
                    <w:tblInd w:w="7"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top w:w="0" w:type="dxa"/>
                      <w:left w:w="0" w:type="dxa"/>
                      <w:bottom w:w="0" w:type="dxa"/>
                      <w:right w:w="0" w:type="dxa"/>
                    </w:tblCellMar>
                    <w:tblLook w:val="01E0"/>
                  </w:tblPr>
                  <w:tblGrid>
                    <w:gridCol w:w="301"/>
                    <w:gridCol w:w="657"/>
                    <w:gridCol w:w="648"/>
                    <w:gridCol w:w="648"/>
                    <w:gridCol w:w="648"/>
                    <w:gridCol w:w="657"/>
                    <w:gridCol w:w="648"/>
                    <w:gridCol w:w="648"/>
                    <w:gridCol w:w="639"/>
                  </w:tblGrid>
                  <w:tr>
                    <w:trPr>
                      <w:trHeight w:val="269" w:hRule="atLeast"/>
                    </w:trPr>
                    <w:tc>
                      <w:tcPr>
                        <w:tcW w:w="301" w:type="dxa"/>
                        <w:tcBorders>
                          <w:top w:val="nil"/>
                          <w:left w:val="nil"/>
                        </w:tcBorders>
                        <w:shd w:val="clear" w:color="auto" w:fill="E4E4E4"/>
                      </w:tcPr>
                      <w:p>
                        <w:pPr>
                          <w:pStyle w:val="TableParagraph"/>
                          <w:rPr>
                            <w:rFonts w:ascii="Times New Roman"/>
                            <w:sz w:val="18"/>
                          </w:rPr>
                        </w:pPr>
                      </w:p>
                    </w:tc>
                    <w:tc>
                      <w:tcPr>
                        <w:tcW w:w="657" w:type="dxa"/>
                        <w:tcBorders>
                          <w:top w:val="nil"/>
                          <w:right w:val="single" w:sz="4" w:space="0" w:color="F1F1F1"/>
                        </w:tcBorders>
                        <w:shd w:val="clear" w:color="auto" w:fill="E4E4E4"/>
                      </w:tcPr>
                      <w:p>
                        <w:pPr>
                          <w:pStyle w:val="TableParagraph"/>
                          <w:rPr>
                            <w:rFonts w:ascii="Times New Roman"/>
                            <w:sz w:val="18"/>
                          </w:rPr>
                        </w:pPr>
                      </w:p>
                    </w:tc>
                    <w:tc>
                      <w:tcPr>
                        <w:tcW w:w="648" w:type="dxa"/>
                        <w:tcBorders>
                          <w:top w:val="nil"/>
                          <w:left w:val="single" w:sz="4" w:space="0" w:color="F1F1F1"/>
                        </w:tcBorders>
                        <w:shd w:val="clear" w:color="auto" w:fill="E4E4E4"/>
                      </w:tcPr>
                      <w:p>
                        <w:pPr>
                          <w:pStyle w:val="TableParagraph"/>
                          <w:rPr>
                            <w:rFonts w:ascii="Times New Roman"/>
                            <w:sz w:val="18"/>
                          </w:rPr>
                        </w:pPr>
                      </w:p>
                    </w:tc>
                    <w:tc>
                      <w:tcPr>
                        <w:tcW w:w="648" w:type="dxa"/>
                        <w:tcBorders>
                          <w:top w:val="nil"/>
                          <w:right w:val="single" w:sz="4" w:space="0" w:color="F1F1F1"/>
                        </w:tcBorders>
                        <w:shd w:val="clear" w:color="auto" w:fill="E4E4E4"/>
                      </w:tcPr>
                      <w:p>
                        <w:pPr>
                          <w:pStyle w:val="TableParagraph"/>
                          <w:rPr>
                            <w:rFonts w:ascii="Times New Roman"/>
                            <w:sz w:val="18"/>
                          </w:rPr>
                        </w:pPr>
                      </w:p>
                    </w:tc>
                    <w:tc>
                      <w:tcPr>
                        <w:tcW w:w="648" w:type="dxa"/>
                        <w:tcBorders>
                          <w:top w:val="nil"/>
                          <w:left w:val="single" w:sz="4" w:space="0" w:color="F1F1F1"/>
                        </w:tcBorders>
                        <w:shd w:val="clear" w:color="auto" w:fill="E4E4E4"/>
                      </w:tcPr>
                      <w:p>
                        <w:pPr>
                          <w:pStyle w:val="TableParagraph"/>
                          <w:rPr>
                            <w:rFonts w:ascii="Times New Roman"/>
                            <w:sz w:val="18"/>
                          </w:rPr>
                        </w:pPr>
                      </w:p>
                    </w:tc>
                    <w:tc>
                      <w:tcPr>
                        <w:tcW w:w="657" w:type="dxa"/>
                        <w:tcBorders>
                          <w:top w:val="nil"/>
                          <w:right w:val="single" w:sz="4" w:space="0" w:color="F1F1F1"/>
                        </w:tcBorders>
                        <w:shd w:val="clear" w:color="auto" w:fill="E4E4E4"/>
                      </w:tcPr>
                      <w:p>
                        <w:pPr>
                          <w:pStyle w:val="TableParagraph"/>
                          <w:rPr>
                            <w:rFonts w:ascii="Times New Roman"/>
                            <w:sz w:val="18"/>
                          </w:rPr>
                        </w:pPr>
                      </w:p>
                    </w:tc>
                    <w:tc>
                      <w:tcPr>
                        <w:tcW w:w="648" w:type="dxa"/>
                        <w:tcBorders>
                          <w:top w:val="nil"/>
                          <w:left w:val="single" w:sz="4" w:space="0" w:color="F1F1F1"/>
                        </w:tcBorders>
                        <w:shd w:val="clear" w:color="auto" w:fill="E4E4E4"/>
                      </w:tcPr>
                      <w:p>
                        <w:pPr>
                          <w:pStyle w:val="TableParagraph"/>
                          <w:rPr>
                            <w:rFonts w:ascii="Times New Roman"/>
                            <w:sz w:val="18"/>
                          </w:rPr>
                        </w:pPr>
                      </w:p>
                    </w:tc>
                    <w:tc>
                      <w:tcPr>
                        <w:tcW w:w="648" w:type="dxa"/>
                        <w:tcBorders>
                          <w:top w:val="nil"/>
                          <w:right w:val="single" w:sz="4" w:space="0" w:color="F1F1F1"/>
                        </w:tcBorders>
                        <w:shd w:val="clear" w:color="auto" w:fill="E4E4E4"/>
                      </w:tcPr>
                      <w:p>
                        <w:pPr>
                          <w:pStyle w:val="TableParagraph"/>
                          <w:rPr>
                            <w:rFonts w:ascii="Times New Roman"/>
                            <w:sz w:val="18"/>
                          </w:rPr>
                        </w:pPr>
                      </w:p>
                    </w:tc>
                    <w:tc>
                      <w:tcPr>
                        <w:tcW w:w="639" w:type="dxa"/>
                        <w:tcBorders>
                          <w:top w:val="nil"/>
                          <w:left w:val="single" w:sz="4" w:space="0" w:color="F1F1F1"/>
                          <w:right w:val="nil"/>
                        </w:tcBorders>
                        <w:shd w:val="clear" w:color="auto" w:fill="E4E4E4"/>
                      </w:tcPr>
                      <w:p>
                        <w:pPr>
                          <w:pStyle w:val="TableParagraph"/>
                          <w:rPr>
                            <w:rFonts w:ascii="Times New Roman"/>
                            <w:sz w:val="18"/>
                          </w:rPr>
                        </w:pPr>
                      </w:p>
                    </w:tc>
                  </w:tr>
                  <w:tr>
                    <w:trPr>
                      <w:trHeight w:val="492" w:hRule="atLeast"/>
                    </w:trPr>
                    <w:tc>
                      <w:tcPr>
                        <w:tcW w:w="301" w:type="dxa"/>
                        <w:tcBorders>
                          <w:left w:val="nil"/>
                          <w:bottom w:val="single" w:sz="4" w:space="0" w:color="F1F1F1"/>
                        </w:tcBorders>
                        <w:shd w:val="clear" w:color="auto" w:fill="E4E4E4"/>
                      </w:tcPr>
                      <w:p>
                        <w:pPr>
                          <w:pStyle w:val="TableParagraph"/>
                          <w:rPr>
                            <w:rFonts w:ascii="Times New Roman"/>
                            <w:sz w:val="18"/>
                          </w:rPr>
                        </w:pPr>
                      </w:p>
                    </w:tc>
                    <w:tc>
                      <w:tcPr>
                        <w:tcW w:w="657" w:type="dxa"/>
                        <w:tcBorders>
                          <w:bottom w:val="single" w:sz="4" w:space="0" w:color="F1F1F1"/>
                          <w:right w:val="single" w:sz="4" w:space="0" w:color="F1F1F1"/>
                        </w:tcBorders>
                        <w:shd w:val="clear" w:color="auto" w:fill="E4E4E4"/>
                      </w:tcPr>
                      <w:p>
                        <w:pPr>
                          <w:pStyle w:val="TableParagraph"/>
                          <w:rPr>
                            <w:rFonts w:ascii="Times New Roman"/>
                            <w:sz w:val="18"/>
                          </w:rPr>
                        </w:pPr>
                      </w:p>
                    </w:tc>
                    <w:tc>
                      <w:tcPr>
                        <w:tcW w:w="648" w:type="dxa"/>
                        <w:tcBorders>
                          <w:left w:val="single" w:sz="4" w:space="0" w:color="F1F1F1"/>
                          <w:bottom w:val="single" w:sz="4" w:space="0" w:color="F1F1F1"/>
                        </w:tcBorders>
                        <w:shd w:val="clear" w:color="auto" w:fill="E4E4E4"/>
                      </w:tcPr>
                      <w:p>
                        <w:pPr>
                          <w:pStyle w:val="TableParagraph"/>
                          <w:rPr>
                            <w:rFonts w:ascii="Times New Roman"/>
                            <w:sz w:val="18"/>
                          </w:rPr>
                        </w:pPr>
                      </w:p>
                    </w:tc>
                    <w:tc>
                      <w:tcPr>
                        <w:tcW w:w="648" w:type="dxa"/>
                        <w:tcBorders>
                          <w:bottom w:val="single" w:sz="4" w:space="0" w:color="F1F1F1"/>
                          <w:right w:val="single" w:sz="4" w:space="0" w:color="F1F1F1"/>
                        </w:tcBorders>
                        <w:shd w:val="clear" w:color="auto" w:fill="E4E4E4"/>
                      </w:tcPr>
                      <w:p>
                        <w:pPr>
                          <w:pStyle w:val="TableParagraph"/>
                          <w:rPr>
                            <w:rFonts w:ascii="Times New Roman"/>
                            <w:sz w:val="18"/>
                          </w:rPr>
                        </w:pPr>
                      </w:p>
                    </w:tc>
                    <w:tc>
                      <w:tcPr>
                        <w:tcW w:w="648" w:type="dxa"/>
                        <w:tcBorders>
                          <w:left w:val="single" w:sz="4" w:space="0" w:color="F1F1F1"/>
                          <w:bottom w:val="single" w:sz="4" w:space="0" w:color="F1F1F1"/>
                        </w:tcBorders>
                        <w:shd w:val="clear" w:color="auto" w:fill="E4E4E4"/>
                      </w:tcPr>
                      <w:p>
                        <w:pPr>
                          <w:pStyle w:val="TableParagraph"/>
                          <w:rPr>
                            <w:rFonts w:ascii="Times New Roman"/>
                            <w:sz w:val="18"/>
                          </w:rPr>
                        </w:pPr>
                      </w:p>
                    </w:tc>
                    <w:tc>
                      <w:tcPr>
                        <w:tcW w:w="657" w:type="dxa"/>
                        <w:tcBorders>
                          <w:bottom w:val="single" w:sz="4" w:space="0" w:color="F1F1F1"/>
                          <w:right w:val="single" w:sz="4" w:space="0" w:color="F1F1F1"/>
                        </w:tcBorders>
                        <w:shd w:val="clear" w:color="auto" w:fill="E4E4E4"/>
                      </w:tcPr>
                      <w:p>
                        <w:pPr>
                          <w:pStyle w:val="TableParagraph"/>
                          <w:rPr>
                            <w:rFonts w:ascii="Times New Roman"/>
                            <w:sz w:val="18"/>
                          </w:rPr>
                        </w:pPr>
                      </w:p>
                    </w:tc>
                    <w:tc>
                      <w:tcPr>
                        <w:tcW w:w="648" w:type="dxa"/>
                        <w:tcBorders>
                          <w:left w:val="single" w:sz="4" w:space="0" w:color="F1F1F1"/>
                          <w:bottom w:val="single" w:sz="4" w:space="0" w:color="F1F1F1"/>
                        </w:tcBorders>
                        <w:shd w:val="clear" w:color="auto" w:fill="E4E4E4"/>
                      </w:tcPr>
                      <w:p>
                        <w:pPr>
                          <w:pStyle w:val="TableParagraph"/>
                          <w:rPr>
                            <w:rFonts w:ascii="Times New Roman"/>
                            <w:sz w:val="18"/>
                          </w:rPr>
                        </w:pPr>
                      </w:p>
                    </w:tc>
                    <w:tc>
                      <w:tcPr>
                        <w:tcW w:w="648" w:type="dxa"/>
                        <w:tcBorders>
                          <w:bottom w:val="single" w:sz="4" w:space="0" w:color="F1F1F1"/>
                          <w:right w:val="single" w:sz="4" w:space="0" w:color="F1F1F1"/>
                        </w:tcBorders>
                        <w:shd w:val="clear" w:color="auto" w:fill="E4E4E4"/>
                      </w:tcPr>
                      <w:p>
                        <w:pPr>
                          <w:pStyle w:val="TableParagraph"/>
                          <w:rPr>
                            <w:rFonts w:ascii="Times New Roman"/>
                            <w:sz w:val="18"/>
                          </w:rPr>
                        </w:pPr>
                      </w:p>
                    </w:tc>
                    <w:tc>
                      <w:tcPr>
                        <w:tcW w:w="639" w:type="dxa"/>
                        <w:tcBorders>
                          <w:left w:val="single" w:sz="4" w:space="0" w:color="F1F1F1"/>
                          <w:bottom w:val="single" w:sz="4" w:space="0" w:color="F1F1F1"/>
                          <w:right w:val="nil"/>
                        </w:tcBorders>
                        <w:shd w:val="clear" w:color="auto" w:fill="E4E4E4"/>
                      </w:tcPr>
                      <w:p>
                        <w:pPr>
                          <w:pStyle w:val="TableParagraph"/>
                          <w:rPr>
                            <w:rFonts w:ascii="Times New Roman"/>
                            <w:sz w:val="18"/>
                          </w:rPr>
                        </w:pPr>
                      </w:p>
                    </w:tc>
                  </w:tr>
                  <w:tr>
                    <w:trPr>
                      <w:trHeight w:val="492" w:hRule="atLeast"/>
                    </w:trPr>
                    <w:tc>
                      <w:tcPr>
                        <w:tcW w:w="301" w:type="dxa"/>
                        <w:tcBorders>
                          <w:top w:val="single" w:sz="4" w:space="0" w:color="F1F1F1"/>
                          <w:left w:val="nil"/>
                        </w:tcBorders>
                        <w:shd w:val="clear" w:color="auto" w:fill="E4E4E4"/>
                      </w:tcPr>
                      <w:p>
                        <w:pPr>
                          <w:pStyle w:val="TableParagraph"/>
                          <w:rPr>
                            <w:rFonts w:ascii="Times New Roman"/>
                            <w:sz w:val="18"/>
                          </w:rPr>
                        </w:pPr>
                      </w:p>
                    </w:tc>
                    <w:tc>
                      <w:tcPr>
                        <w:tcW w:w="657" w:type="dxa"/>
                        <w:tcBorders>
                          <w:top w:val="single" w:sz="4" w:space="0" w:color="F1F1F1"/>
                          <w:right w:val="single" w:sz="4" w:space="0" w:color="F1F1F1"/>
                        </w:tcBorders>
                        <w:shd w:val="clear" w:color="auto" w:fill="E4E4E4"/>
                      </w:tcPr>
                      <w:p>
                        <w:pPr>
                          <w:pStyle w:val="TableParagraph"/>
                          <w:rPr>
                            <w:rFonts w:ascii="Times New Roman"/>
                            <w:sz w:val="18"/>
                          </w:rPr>
                        </w:pPr>
                      </w:p>
                    </w:tc>
                    <w:tc>
                      <w:tcPr>
                        <w:tcW w:w="648" w:type="dxa"/>
                        <w:tcBorders>
                          <w:top w:val="single" w:sz="4" w:space="0" w:color="F1F1F1"/>
                          <w:left w:val="single" w:sz="4" w:space="0" w:color="F1F1F1"/>
                        </w:tcBorders>
                        <w:shd w:val="clear" w:color="auto" w:fill="E4E4E4"/>
                      </w:tcPr>
                      <w:p>
                        <w:pPr>
                          <w:pStyle w:val="TableParagraph"/>
                          <w:rPr>
                            <w:rFonts w:ascii="Times New Roman"/>
                            <w:sz w:val="18"/>
                          </w:rPr>
                        </w:pPr>
                      </w:p>
                    </w:tc>
                    <w:tc>
                      <w:tcPr>
                        <w:tcW w:w="648" w:type="dxa"/>
                        <w:tcBorders>
                          <w:top w:val="single" w:sz="4" w:space="0" w:color="F1F1F1"/>
                          <w:right w:val="single" w:sz="4" w:space="0" w:color="F1F1F1"/>
                        </w:tcBorders>
                        <w:shd w:val="clear" w:color="auto" w:fill="E4E4E4"/>
                      </w:tcPr>
                      <w:p>
                        <w:pPr>
                          <w:pStyle w:val="TableParagraph"/>
                          <w:rPr>
                            <w:rFonts w:ascii="Times New Roman"/>
                            <w:sz w:val="18"/>
                          </w:rPr>
                        </w:pPr>
                      </w:p>
                    </w:tc>
                    <w:tc>
                      <w:tcPr>
                        <w:tcW w:w="648" w:type="dxa"/>
                        <w:tcBorders>
                          <w:top w:val="single" w:sz="4" w:space="0" w:color="F1F1F1"/>
                          <w:left w:val="single" w:sz="4" w:space="0" w:color="F1F1F1"/>
                        </w:tcBorders>
                        <w:shd w:val="clear" w:color="auto" w:fill="E4E4E4"/>
                      </w:tcPr>
                      <w:p>
                        <w:pPr>
                          <w:pStyle w:val="TableParagraph"/>
                          <w:rPr>
                            <w:rFonts w:ascii="Times New Roman"/>
                            <w:sz w:val="18"/>
                          </w:rPr>
                        </w:pPr>
                      </w:p>
                    </w:tc>
                    <w:tc>
                      <w:tcPr>
                        <w:tcW w:w="657" w:type="dxa"/>
                        <w:tcBorders>
                          <w:top w:val="single" w:sz="4" w:space="0" w:color="F1F1F1"/>
                          <w:right w:val="single" w:sz="4" w:space="0" w:color="F1F1F1"/>
                        </w:tcBorders>
                        <w:shd w:val="clear" w:color="auto" w:fill="E4E4E4"/>
                      </w:tcPr>
                      <w:p>
                        <w:pPr>
                          <w:pStyle w:val="TableParagraph"/>
                          <w:rPr>
                            <w:rFonts w:ascii="Times New Roman"/>
                            <w:sz w:val="18"/>
                          </w:rPr>
                        </w:pPr>
                      </w:p>
                    </w:tc>
                    <w:tc>
                      <w:tcPr>
                        <w:tcW w:w="648" w:type="dxa"/>
                        <w:tcBorders>
                          <w:top w:val="single" w:sz="4" w:space="0" w:color="F1F1F1"/>
                          <w:left w:val="single" w:sz="4" w:space="0" w:color="F1F1F1"/>
                        </w:tcBorders>
                        <w:shd w:val="clear" w:color="auto" w:fill="E4E4E4"/>
                      </w:tcPr>
                      <w:p>
                        <w:pPr>
                          <w:pStyle w:val="TableParagraph"/>
                          <w:rPr>
                            <w:rFonts w:ascii="Times New Roman"/>
                            <w:sz w:val="18"/>
                          </w:rPr>
                        </w:pPr>
                      </w:p>
                    </w:tc>
                    <w:tc>
                      <w:tcPr>
                        <w:tcW w:w="648" w:type="dxa"/>
                        <w:tcBorders>
                          <w:top w:val="single" w:sz="4" w:space="0" w:color="F1F1F1"/>
                          <w:right w:val="single" w:sz="4" w:space="0" w:color="F1F1F1"/>
                        </w:tcBorders>
                        <w:shd w:val="clear" w:color="auto" w:fill="E4E4E4"/>
                      </w:tcPr>
                      <w:p>
                        <w:pPr>
                          <w:pStyle w:val="TableParagraph"/>
                          <w:rPr>
                            <w:rFonts w:ascii="Times New Roman"/>
                            <w:sz w:val="18"/>
                          </w:rPr>
                        </w:pPr>
                      </w:p>
                    </w:tc>
                    <w:tc>
                      <w:tcPr>
                        <w:tcW w:w="639" w:type="dxa"/>
                        <w:tcBorders>
                          <w:top w:val="single" w:sz="4" w:space="0" w:color="F1F1F1"/>
                          <w:left w:val="single" w:sz="4" w:space="0" w:color="F1F1F1"/>
                          <w:right w:val="nil"/>
                        </w:tcBorders>
                        <w:shd w:val="clear" w:color="auto" w:fill="E4E4E4"/>
                      </w:tcPr>
                      <w:p>
                        <w:pPr>
                          <w:pStyle w:val="TableParagraph"/>
                          <w:rPr>
                            <w:rFonts w:ascii="Times New Roman"/>
                            <w:sz w:val="18"/>
                          </w:rPr>
                        </w:pPr>
                      </w:p>
                    </w:tc>
                  </w:tr>
                  <w:tr>
                    <w:trPr>
                      <w:trHeight w:val="492" w:hRule="atLeast"/>
                    </w:trPr>
                    <w:tc>
                      <w:tcPr>
                        <w:tcW w:w="301" w:type="dxa"/>
                        <w:tcBorders>
                          <w:left w:val="nil"/>
                          <w:bottom w:val="single" w:sz="4" w:space="0" w:color="F1F1F1"/>
                        </w:tcBorders>
                        <w:shd w:val="clear" w:color="auto" w:fill="E4E4E4"/>
                      </w:tcPr>
                      <w:p>
                        <w:pPr>
                          <w:pStyle w:val="TableParagraph"/>
                          <w:rPr>
                            <w:rFonts w:ascii="Times New Roman"/>
                            <w:sz w:val="18"/>
                          </w:rPr>
                        </w:pPr>
                      </w:p>
                    </w:tc>
                    <w:tc>
                      <w:tcPr>
                        <w:tcW w:w="657" w:type="dxa"/>
                        <w:tcBorders>
                          <w:bottom w:val="single" w:sz="4" w:space="0" w:color="F1F1F1"/>
                          <w:right w:val="single" w:sz="4" w:space="0" w:color="F1F1F1"/>
                        </w:tcBorders>
                        <w:shd w:val="clear" w:color="auto" w:fill="E4E4E4"/>
                      </w:tcPr>
                      <w:p>
                        <w:pPr>
                          <w:pStyle w:val="TableParagraph"/>
                          <w:rPr>
                            <w:rFonts w:ascii="Times New Roman"/>
                            <w:sz w:val="18"/>
                          </w:rPr>
                        </w:pPr>
                      </w:p>
                    </w:tc>
                    <w:tc>
                      <w:tcPr>
                        <w:tcW w:w="648" w:type="dxa"/>
                        <w:tcBorders>
                          <w:left w:val="single" w:sz="4" w:space="0" w:color="F1F1F1"/>
                          <w:bottom w:val="single" w:sz="4" w:space="0" w:color="F1F1F1"/>
                        </w:tcBorders>
                        <w:shd w:val="clear" w:color="auto" w:fill="E4E4E4"/>
                      </w:tcPr>
                      <w:p>
                        <w:pPr>
                          <w:pStyle w:val="TableParagraph"/>
                          <w:rPr>
                            <w:rFonts w:ascii="Times New Roman"/>
                            <w:sz w:val="18"/>
                          </w:rPr>
                        </w:pPr>
                      </w:p>
                    </w:tc>
                    <w:tc>
                      <w:tcPr>
                        <w:tcW w:w="648" w:type="dxa"/>
                        <w:tcBorders>
                          <w:bottom w:val="single" w:sz="4" w:space="0" w:color="F1F1F1"/>
                          <w:right w:val="single" w:sz="4" w:space="0" w:color="F1F1F1"/>
                        </w:tcBorders>
                        <w:shd w:val="clear" w:color="auto" w:fill="E4E4E4"/>
                      </w:tcPr>
                      <w:p>
                        <w:pPr>
                          <w:pStyle w:val="TableParagraph"/>
                          <w:rPr>
                            <w:rFonts w:ascii="Times New Roman"/>
                            <w:sz w:val="18"/>
                          </w:rPr>
                        </w:pPr>
                      </w:p>
                    </w:tc>
                    <w:tc>
                      <w:tcPr>
                        <w:tcW w:w="648" w:type="dxa"/>
                        <w:tcBorders>
                          <w:left w:val="single" w:sz="4" w:space="0" w:color="F1F1F1"/>
                          <w:bottom w:val="single" w:sz="4" w:space="0" w:color="F1F1F1"/>
                        </w:tcBorders>
                        <w:shd w:val="clear" w:color="auto" w:fill="E4E4E4"/>
                      </w:tcPr>
                      <w:p>
                        <w:pPr>
                          <w:pStyle w:val="TableParagraph"/>
                          <w:rPr>
                            <w:rFonts w:ascii="Times New Roman"/>
                            <w:sz w:val="18"/>
                          </w:rPr>
                        </w:pPr>
                      </w:p>
                    </w:tc>
                    <w:tc>
                      <w:tcPr>
                        <w:tcW w:w="657" w:type="dxa"/>
                        <w:tcBorders>
                          <w:bottom w:val="single" w:sz="4" w:space="0" w:color="F1F1F1"/>
                          <w:right w:val="single" w:sz="4" w:space="0" w:color="F1F1F1"/>
                        </w:tcBorders>
                        <w:shd w:val="clear" w:color="auto" w:fill="E4E4E4"/>
                      </w:tcPr>
                      <w:p>
                        <w:pPr>
                          <w:pStyle w:val="TableParagraph"/>
                          <w:rPr>
                            <w:rFonts w:ascii="Times New Roman"/>
                            <w:sz w:val="18"/>
                          </w:rPr>
                        </w:pPr>
                      </w:p>
                    </w:tc>
                    <w:tc>
                      <w:tcPr>
                        <w:tcW w:w="648" w:type="dxa"/>
                        <w:tcBorders>
                          <w:left w:val="single" w:sz="4" w:space="0" w:color="F1F1F1"/>
                          <w:bottom w:val="single" w:sz="4" w:space="0" w:color="F1F1F1"/>
                        </w:tcBorders>
                        <w:shd w:val="clear" w:color="auto" w:fill="E4E4E4"/>
                      </w:tcPr>
                      <w:p>
                        <w:pPr>
                          <w:pStyle w:val="TableParagraph"/>
                          <w:rPr>
                            <w:rFonts w:ascii="Times New Roman"/>
                            <w:sz w:val="18"/>
                          </w:rPr>
                        </w:pPr>
                      </w:p>
                    </w:tc>
                    <w:tc>
                      <w:tcPr>
                        <w:tcW w:w="648" w:type="dxa"/>
                        <w:tcBorders>
                          <w:bottom w:val="single" w:sz="4" w:space="0" w:color="F1F1F1"/>
                          <w:right w:val="single" w:sz="4" w:space="0" w:color="F1F1F1"/>
                        </w:tcBorders>
                        <w:shd w:val="clear" w:color="auto" w:fill="E4E4E4"/>
                      </w:tcPr>
                      <w:p>
                        <w:pPr>
                          <w:pStyle w:val="TableParagraph"/>
                          <w:rPr>
                            <w:rFonts w:ascii="Times New Roman"/>
                            <w:sz w:val="18"/>
                          </w:rPr>
                        </w:pPr>
                      </w:p>
                    </w:tc>
                    <w:tc>
                      <w:tcPr>
                        <w:tcW w:w="639" w:type="dxa"/>
                        <w:tcBorders>
                          <w:left w:val="single" w:sz="4" w:space="0" w:color="F1F1F1"/>
                          <w:bottom w:val="single" w:sz="4" w:space="0" w:color="F1F1F1"/>
                          <w:right w:val="nil"/>
                        </w:tcBorders>
                        <w:shd w:val="clear" w:color="auto" w:fill="E4E4E4"/>
                      </w:tcPr>
                      <w:p>
                        <w:pPr>
                          <w:pStyle w:val="TableParagraph"/>
                          <w:rPr>
                            <w:rFonts w:ascii="Times New Roman"/>
                            <w:sz w:val="18"/>
                          </w:rPr>
                        </w:pPr>
                      </w:p>
                    </w:tc>
                  </w:tr>
                  <w:tr>
                    <w:trPr>
                      <w:trHeight w:val="492" w:hRule="atLeast"/>
                    </w:trPr>
                    <w:tc>
                      <w:tcPr>
                        <w:tcW w:w="301" w:type="dxa"/>
                        <w:tcBorders>
                          <w:top w:val="single" w:sz="4" w:space="0" w:color="F1F1F1"/>
                          <w:left w:val="nil"/>
                        </w:tcBorders>
                        <w:shd w:val="clear" w:color="auto" w:fill="E4E4E4"/>
                      </w:tcPr>
                      <w:p>
                        <w:pPr>
                          <w:pStyle w:val="TableParagraph"/>
                          <w:rPr>
                            <w:rFonts w:ascii="Times New Roman"/>
                            <w:sz w:val="18"/>
                          </w:rPr>
                        </w:pPr>
                      </w:p>
                    </w:tc>
                    <w:tc>
                      <w:tcPr>
                        <w:tcW w:w="657" w:type="dxa"/>
                        <w:tcBorders>
                          <w:top w:val="single" w:sz="4" w:space="0" w:color="F1F1F1"/>
                          <w:right w:val="single" w:sz="4" w:space="0" w:color="F1F1F1"/>
                        </w:tcBorders>
                        <w:shd w:val="clear" w:color="auto" w:fill="E4E4E4"/>
                      </w:tcPr>
                      <w:p>
                        <w:pPr>
                          <w:pStyle w:val="TableParagraph"/>
                          <w:rPr>
                            <w:rFonts w:ascii="Times New Roman"/>
                            <w:sz w:val="18"/>
                          </w:rPr>
                        </w:pPr>
                      </w:p>
                    </w:tc>
                    <w:tc>
                      <w:tcPr>
                        <w:tcW w:w="648" w:type="dxa"/>
                        <w:tcBorders>
                          <w:top w:val="single" w:sz="4" w:space="0" w:color="F1F1F1"/>
                          <w:left w:val="single" w:sz="4" w:space="0" w:color="F1F1F1"/>
                        </w:tcBorders>
                        <w:shd w:val="clear" w:color="auto" w:fill="E4E4E4"/>
                      </w:tcPr>
                      <w:p>
                        <w:pPr>
                          <w:pStyle w:val="TableParagraph"/>
                          <w:rPr>
                            <w:rFonts w:ascii="Times New Roman"/>
                            <w:sz w:val="18"/>
                          </w:rPr>
                        </w:pPr>
                      </w:p>
                    </w:tc>
                    <w:tc>
                      <w:tcPr>
                        <w:tcW w:w="648" w:type="dxa"/>
                        <w:tcBorders>
                          <w:top w:val="single" w:sz="4" w:space="0" w:color="F1F1F1"/>
                          <w:right w:val="single" w:sz="4" w:space="0" w:color="F1F1F1"/>
                        </w:tcBorders>
                        <w:shd w:val="clear" w:color="auto" w:fill="E4E4E4"/>
                      </w:tcPr>
                      <w:p>
                        <w:pPr>
                          <w:pStyle w:val="TableParagraph"/>
                          <w:rPr>
                            <w:rFonts w:ascii="Times New Roman"/>
                            <w:sz w:val="18"/>
                          </w:rPr>
                        </w:pPr>
                      </w:p>
                    </w:tc>
                    <w:tc>
                      <w:tcPr>
                        <w:tcW w:w="648" w:type="dxa"/>
                        <w:tcBorders>
                          <w:top w:val="single" w:sz="4" w:space="0" w:color="F1F1F1"/>
                          <w:left w:val="single" w:sz="4" w:space="0" w:color="F1F1F1"/>
                        </w:tcBorders>
                        <w:shd w:val="clear" w:color="auto" w:fill="E4E4E4"/>
                      </w:tcPr>
                      <w:p>
                        <w:pPr>
                          <w:pStyle w:val="TableParagraph"/>
                          <w:rPr>
                            <w:rFonts w:ascii="Times New Roman"/>
                            <w:sz w:val="18"/>
                          </w:rPr>
                        </w:pPr>
                      </w:p>
                    </w:tc>
                    <w:tc>
                      <w:tcPr>
                        <w:tcW w:w="657" w:type="dxa"/>
                        <w:tcBorders>
                          <w:top w:val="single" w:sz="4" w:space="0" w:color="F1F1F1"/>
                          <w:right w:val="single" w:sz="4" w:space="0" w:color="F1F1F1"/>
                        </w:tcBorders>
                        <w:shd w:val="clear" w:color="auto" w:fill="E4E4E4"/>
                      </w:tcPr>
                      <w:p>
                        <w:pPr>
                          <w:pStyle w:val="TableParagraph"/>
                          <w:rPr>
                            <w:rFonts w:ascii="Times New Roman"/>
                            <w:sz w:val="18"/>
                          </w:rPr>
                        </w:pPr>
                      </w:p>
                    </w:tc>
                    <w:tc>
                      <w:tcPr>
                        <w:tcW w:w="648" w:type="dxa"/>
                        <w:tcBorders>
                          <w:top w:val="single" w:sz="4" w:space="0" w:color="F1F1F1"/>
                          <w:left w:val="single" w:sz="4" w:space="0" w:color="F1F1F1"/>
                        </w:tcBorders>
                        <w:shd w:val="clear" w:color="auto" w:fill="E4E4E4"/>
                      </w:tcPr>
                      <w:p>
                        <w:pPr>
                          <w:pStyle w:val="TableParagraph"/>
                          <w:rPr>
                            <w:rFonts w:ascii="Times New Roman"/>
                            <w:sz w:val="18"/>
                          </w:rPr>
                        </w:pPr>
                      </w:p>
                    </w:tc>
                    <w:tc>
                      <w:tcPr>
                        <w:tcW w:w="648" w:type="dxa"/>
                        <w:tcBorders>
                          <w:top w:val="single" w:sz="4" w:space="0" w:color="F1F1F1"/>
                          <w:right w:val="single" w:sz="4" w:space="0" w:color="F1F1F1"/>
                        </w:tcBorders>
                        <w:shd w:val="clear" w:color="auto" w:fill="E4E4E4"/>
                      </w:tcPr>
                      <w:p>
                        <w:pPr>
                          <w:pStyle w:val="TableParagraph"/>
                          <w:rPr>
                            <w:rFonts w:ascii="Times New Roman"/>
                            <w:sz w:val="18"/>
                          </w:rPr>
                        </w:pPr>
                      </w:p>
                    </w:tc>
                    <w:tc>
                      <w:tcPr>
                        <w:tcW w:w="639" w:type="dxa"/>
                        <w:tcBorders>
                          <w:top w:val="single" w:sz="4" w:space="0" w:color="F1F1F1"/>
                          <w:left w:val="single" w:sz="4" w:space="0" w:color="F1F1F1"/>
                          <w:right w:val="nil"/>
                        </w:tcBorders>
                        <w:shd w:val="clear" w:color="auto" w:fill="E4E4E4"/>
                      </w:tcPr>
                      <w:p>
                        <w:pPr>
                          <w:pStyle w:val="TableParagraph"/>
                          <w:rPr>
                            <w:rFonts w:ascii="Times New Roman"/>
                            <w:sz w:val="18"/>
                          </w:rPr>
                        </w:pPr>
                      </w:p>
                    </w:tc>
                  </w:tr>
                  <w:tr>
                    <w:trPr>
                      <w:trHeight w:val="483" w:hRule="atLeast"/>
                    </w:trPr>
                    <w:tc>
                      <w:tcPr>
                        <w:tcW w:w="301" w:type="dxa"/>
                        <w:tcBorders>
                          <w:left w:val="nil"/>
                          <w:bottom w:val="single" w:sz="4" w:space="0" w:color="F1F1F1"/>
                        </w:tcBorders>
                        <w:shd w:val="clear" w:color="auto" w:fill="E4E4E4"/>
                      </w:tcPr>
                      <w:p>
                        <w:pPr>
                          <w:pStyle w:val="TableParagraph"/>
                          <w:rPr>
                            <w:rFonts w:ascii="Times New Roman"/>
                            <w:sz w:val="18"/>
                          </w:rPr>
                        </w:pPr>
                      </w:p>
                    </w:tc>
                    <w:tc>
                      <w:tcPr>
                        <w:tcW w:w="657" w:type="dxa"/>
                        <w:tcBorders>
                          <w:bottom w:val="single" w:sz="4" w:space="0" w:color="F1F1F1"/>
                          <w:right w:val="single" w:sz="4" w:space="0" w:color="F1F1F1"/>
                        </w:tcBorders>
                        <w:shd w:val="clear" w:color="auto" w:fill="E4E4E4"/>
                      </w:tcPr>
                      <w:p>
                        <w:pPr>
                          <w:pStyle w:val="TableParagraph"/>
                          <w:rPr>
                            <w:rFonts w:ascii="Times New Roman"/>
                            <w:sz w:val="18"/>
                          </w:rPr>
                        </w:pPr>
                      </w:p>
                    </w:tc>
                    <w:tc>
                      <w:tcPr>
                        <w:tcW w:w="648" w:type="dxa"/>
                        <w:tcBorders>
                          <w:left w:val="single" w:sz="4" w:space="0" w:color="F1F1F1"/>
                          <w:bottom w:val="single" w:sz="4" w:space="0" w:color="F1F1F1"/>
                        </w:tcBorders>
                        <w:shd w:val="clear" w:color="auto" w:fill="E4E4E4"/>
                      </w:tcPr>
                      <w:p>
                        <w:pPr>
                          <w:pStyle w:val="TableParagraph"/>
                          <w:rPr>
                            <w:rFonts w:ascii="Times New Roman"/>
                            <w:sz w:val="18"/>
                          </w:rPr>
                        </w:pPr>
                      </w:p>
                    </w:tc>
                    <w:tc>
                      <w:tcPr>
                        <w:tcW w:w="648" w:type="dxa"/>
                        <w:tcBorders>
                          <w:bottom w:val="single" w:sz="4" w:space="0" w:color="F1F1F1"/>
                          <w:right w:val="single" w:sz="4" w:space="0" w:color="F1F1F1"/>
                        </w:tcBorders>
                        <w:shd w:val="clear" w:color="auto" w:fill="E4E4E4"/>
                      </w:tcPr>
                      <w:p>
                        <w:pPr>
                          <w:pStyle w:val="TableParagraph"/>
                          <w:rPr>
                            <w:rFonts w:ascii="Times New Roman"/>
                            <w:sz w:val="18"/>
                          </w:rPr>
                        </w:pPr>
                      </w:p>
                    </w:tc>
                    <w:tc>
                      <w:tcPr>
                        <w:tcW w:w="648" w:type="dxa"/>
                        <w:tcBorders>
                          <w:left w:val="single" w:sz="4" w:space="0" w:color="F1F1F1"/>
                          <w:bottom w:val="single" w:sz="4" w:space="0" w:color="F1F1F1"/>
                        </w:tcBorders>
                        <w:shd w:val="clear" w:color="auto" w:fill="E4E4E4"/>
                      </w:tcPr>
                      <w:p>
                        <w:pPr>
                          <w:pStyle w:val="TableParagraph"/>
                          <w:rPr>
                            <w:rFonts w:ascii="Times New Roman"/>
                            <w:sz w:val="18"/>
                          </w:rPr>
                        </w:pPr>
                      </w:p>
                    </w:tc>
                    <w:tc>
                      <w:tcPr>
                        <w:tcW w:w="657" w:type="dxa"/>
                        <w:tcBorders>
                          <w:bottom w:val="single" w:sz="4" w:space="0" w:color="F1F1F1"/>
                          <w:right w:val="single" w:sz="4" w:space="0" w:color="F1F1F1"/>
                        </w:tcBorders>
                        <w:shd w:val="clear" w:color="auto" w:fill="E4E4E4"/>
                      </w:tcPr>
                      <w:p>
                        <w:pPr>
                          <w:pStyle w:val="TableParagraph"/>
                          <w:rPr>
                            <w:rFonts w:ascii="Times New Roman"/>
                            <w:sz w:val="18"/>
                          </w:rPr>
                        </w:pPr>
                      </w:p>
                    </w:tc>
                    <w:tc>
                      <w:tcPr>
                        <w:tcW w:w="648" w:type="dxa"/>
                        <w:tcBorders>
                          <w:left w:val="single" w:sz="4" w:space="0" w:color="F1F1F1"/>
                          <w:bottom w:val="single" w:sz="4" w:space="0" w:color="F1F1F1"/>
                        </w:tcBorders>
                        <w:shd w:val="clear" w:color="auto" w:fill="E4E4E4"/>
                      </w:tcPr>
                      <w:p>
                        <w:pPr>
                          <w:pStyle w:val="TableParagraph"/>
                          <w:rPr>
                            <w:rFonts w:ascii="Times New Roman"/>
                            <w:sz w:val="18"/>
                          </w:rPr>
                        </w:pPr>
                      </w:p>
                    </w:tc>
                    <w:tc>
                      <w:tcPr>
                        <w:tcW w:w="648" w:type="dxa"/>
                        <w:tcBorders>
                          <w:bottom w:val="single" w:sz="4" w:space="0" w:color="F1F1F1"/>
                          <w:right w:val="single" w:sz="4" w:space="0" w:color="F1F1F1"/>
                        </w:tcBorders>
                        <w:shd w:val="clear" w:color="auto" w:fill="E4E4E4"/>
                      </w:tcPr>
                      <w:p>
                        <w:pPr>
                          <w:pStyle w:val="TableParagraph"/>
                          <w:rPr>
                            <w:rFonts w:ascii="Times New Roman"/>
                            <w:sz w:val="18"/>
                          </w:rPr>
                        </w:pPr>
                      </w:p>
                    </w:tc>
                    <w:tc>
                      <w:tcPr>
                        <w:tcW w:w="639" w:type="dxa"/>
                        <w:tcBorders>
                          <w:left w:val="single" w:sz="4" w:space="0" w:color="F1F1F1"/>
                          <w:bottom w:val="single" w:sz="4" w:space="0" w:color="F1F1F1"/>
                          <w:right w:val="nil"/>
                        </w:tcBorders>
                        <w:shd w:val="clear" w:color="auto" w:fill="E4E4E4"/>
                      </w:tcPr>
                      <w:p>
                        <w:pPr>
                          <w:pStyle w:val="TableParagraph"/>
                          <w:rPr>
                            <w:rFonts w:ascii="Times New Roman"/>
                            <w:sz w:val="18"/>
                          </w:rPr>
                        </w:pPr>
                      </w:p>
                    </w:tc>
                  </w:tr>
                  <w:tr>
                    <w:trPr>
                      <w:trHeight w:val="492" w:hRule="atLeast"/>
                    </w:trPr>
                    <w:tc>
                      <w:tcPr>
                        <w:tcW w:w="301" w:type="dxa"/>
                        <w:tcBorders>
                          <w:top w:val="single" w:sz="4" w:space="0" w:color="F1F1F1"/>
                          <w:left w:val="nil"/>
                        </w:tcBorders>
                        <w:shd w:val="clear" w:color="auto" w:fill="E4E4E4"/>
                      </w:tcPr>
                      <w:p>
                        <w:pPr>
                          <w:pStyle w:val="TableParagraph"/>
                          <w:rPr>
                            <w:rFonts w:ascii="Times New Roman"/>
                            <w:sz w:val="18"/>
                          </w:rPr>
                        </w:pPr>
                      </w:p>
                    </w:tc>
                    <w:tc>
                      <w:tcPr>
                        <w:tcW w:w="657" w:type="dxa"/>
                        <w:tcBorders>
                          <w:top w:val="single" w:sz="4" w:space="0" w:color="F1F1F1"/>
                          <w:right w:val="single" w:sz="4" w:space="0" w:color="F1F1F1"/>
                        </w:tcBorders>
                        <w:shd w:val="clear" w:color="auto" w:fill="E4E4E4"/>
                      </w:tcPr>
                      <w:p>
                        <w:pPr>
                          <w:pStyle w:val="TableParagraph"/>
                          <w:rPr>
                            <w:rFonts w:ascii="Times New Roman"/>
                            <w:sz w:val="18"/>
                          </w:rPr>
                        </w:pPr>
                      </w:p>
                    </w:tc>
                    <w:tc>
                      <w:tcPr>
                        <w:tcW w:w="648" w:type="dxa"/>
                        <w:tcBorders>
                          <w:top w:val="single" w:sz="4" w:space="0" w:color="F1F1F1"/>
                          <w:left w:val="single" w:sz="4" w:space="0" w:color="F1F1F1"/>
                        </w:tcBorders>
                        <w:shd w:val="clear" w:color="auto" w:fill="E4E4E4"/>
                      </w:tcPr>
                      <w:p>
                        <w:pPr>
                          <w:pStyle w:val="TableParagraph"/>
                          <w:rPr>
                            <w:rFonts w:ascii="Times New Roman"/>
                            <w:sz w:val="18"/>
                          </w:rPr>
                        </w:pPr>
                      </w:p>
                    </w:tc>
                    <w:tc>
                      <w:tcPr>
                        <w:tcW w:w="648" w:type="dxa"/>
                        <w:tcBorders>
                          <w:top w:val="single" w:sz="4" w:space="0" w:color="F1F1F1"/>
                          <w:right w:val="single" w:sz="4" w:space="0" w:color="F1F1F1"/>
                        </w:tcBorders>
                        <w:shd w:val="clear" w:color="auto" w:fill="E4E4E4"/>
                      </w:tcPr>
                      <w:p>
                        <w:pPr>
                          <w:pStyle w:val="TableParagraph"/>
                          <w:rPr>
                            <w:rFonts w:ascii="Times New Roman"/>
                            <w:sz w:val="18"/>
                          </w:rPr>
                        </w:pPr>
                      </w:p>
                    </w:tc>
                    <w:tc>
                      <w:tcPr>
                        <w:tcW w:w="648" w:type="dxa"/>
                        <w:tcBorders>
                          <w:top w:val="single" w:sz="4" w:space="0" w:color="F1F1F1"/>
                          <w:left w:val="single" w:sz="4" w:space="0" w:color="F1F1F1"/>
                        </w:tcBorders>
                        <w:shd w:val="clear" w:color="auto" w:fill="E4E4E4"/>
                      </w:tcPr>
                      <w:p>
                        <w:pPr>
                          <w:pStyle w:val="TableParagraph"/>
                          <w:rPr>
                            <w:rFonts w:ascii="Times New Roman"/>
                            <w:sz w:val="18"/>
                          </w:rPr>
                        </w:pPr>
                      </w:p>
                    </w:tc>
                    <w:tc>
                      <w:tcPr>
                        <w:tcW w:w="657" w:type="dxa"/>
                        <w:tcBorders>
                          <w:top w:val="single" w:sz="4" w:space="0" w:color="F1F1F1"/>
                          <w:right w:val="single" w:sz="4" w:space="0" w:color="F1F1F1"/>
                        </w:tcBorders>
                        <w:shd w:val="clear" w:color="auto" w:fill="E4E4E4"/>
                      </w:tcPr>
                      <w:p>
                        <w:pPr>
                          <w:pStyle w:val="TableParagraph"/>
                          <w:rPr>
                            <w:rFonts w:ascii="Times New Roman"/>
                            <w:sz w:val="18"/>
                          </w:rPr>
                        </w:pPr>
                      </w:p>
                    </w:tc>
                    <w:tc>
                      <w:tcPr>
                        <w:tcW w:w="648" w:type="dxa"/>
                        <w:tcBorders>
                          <w:top w:val="single" w:sz="4" w:space="0" w:color="F1F1F1"/>
                          <w:left w:val="single" w:sz="4" w:space="0" w:color="F1F1F1"/>
                        </w:tcBorders>
                        <w:shd w:val="clear" w:color="auto" w:fill="E4E4E4"/>
                      </w:tcPr>
                      <w:p>
                        <w:pPr>
                          <w:pStyle w:val="TableParagraph"/>
                          <w:rPr>
                            <w:rFonts w:ascii="Times New Roman"/>
                            <w:sz w:val="18"/>
                          </w:rPr>
                        </w:pPr>
                      </w:p>
                    </w:tc>
                    <w:tc>
                      <w:tcPr>
                        <w:tcW w:w="648" w:type="dxa"/>
                        <w:tcBorders>
                          <w:top w:val="single" w:sz="4" w:space="0" w:color="F1F1F1"/>
                          <w:right w:val="single" w:sz="4" w:space="0" w:color="F1F1F1"/>
                        </w:tcBorders>
                        <w:shd w:val="clear" w:color="auto" w:fill="E4E4E4"/>
                      </w:tcPr>
                      <w:p>
                        <w:pPr>
                          <w:pStyle w:val="TableParagraph"/>
                          <w:rPr>
                            <w:rFonts w:ascii="Times New Roman"/>
                            <w:sz w:val="18"/>
                          </w:rPr>
                        </w:pPr>
                      </w:p>
                    </w:tc>
                    <w:tc>
                      <w:tcPr>
                        <w:tcW w:w="639" w:type="dxa"/>
                        <w:tcBorders>
                          <w:top w:val="single" w:sz="4" w:space="0" w:color="F1F1F1"/>
                          <w:left w:val="single" w:sz="4" w:space="0" w:color="F1F1F1"/>
                          <w:right w:val="nil"/>
                        </w:tcBorders>
                        <w:shd w:val="clear" w:color="auto" w:fill="E4E4E4"/>
                      </w:tcPr>
                      <w:p>
                        <w:pPr>
                          <w:pStyle w:val="TableParagraph"/>
                          <w:rPr>
                            <w:rFonts w:ascii="Times New Roman"/>
                            <w:sz w:val="18"/>
                          </w:rPr>
                        </w:pPr>
                      </w:p>
                    </w:tc>
                  </w:tr>
                  <w:tr>
                    <w:trPr>
                      <w:trHeight w:val="492" w:hRule="atLeast"/>
                    </w:trPr>
                    <w:tc>
                      <w:tcPr>
                        <w:tcW w:w="301" w:type="dxa"/>
                        <w:tcBorders>
                          <w:left w:val="nil"/>
                          <w:bottom w:val="single" w:sz="4" w:space="0" w:color="F1F1F1"/>
                        </w:tcBorders>
                        <w:shd w:val="clear" w:color="auto" w:fill="E4E4E4"/>
                      </w:tcPr>
                      <w:p>
                        <w:pPr>
                          <w:pStyle w:val="TableParagraph"/>
                          <w:rPr>
                            <w:rFonts w:ascii="Times New Roman"/>
                            <w:sz w:val="18"/>
                          </w:rPr>
                        </w:pPr>
                      </w:p>
                    </w:tc>
                    <w:tc>
                      <w:tcPr>
                        <w:tcW w:w="657" w:type="dxa"/>
                        <w:tcBorders>
                          <w:bottom w:val="single" w:sz="4" w:space="0" w:color="F1F1F1"/>
                          <w:right w:val="single" w:sz="4" w:space="0" w:color="F1F1F1"/>
                        </w:tcBorders>
                        <w:shd w:val="clear" w:color="auto" w:fill="E4E4E4"/>
                      </w:tcPr>
                      <w:p>
                        <w:pPr>
                          <w:pStyle w:val="TableParagraph"/>
                          <w:rPr>
                            <w:rFonts w:ascii="Times New Roman"/>
                            <w:sz w:val="18"/>
                          </w:rPr>
                        </w:pPr>
                      </w:p>
                    </w:tc>
                    <w:tc>
                      <w:tcPr>
                        <w:tcW w:w="648" w:type="dxa"/>
                        <w:tcBorders>
                          <w:left w:val="single" w:sz="4" w:space="0" w:color="F1F1F1"/>
                          <w:bottom w:val="single" w:sz="4" w:space="0" w:color="F1F1F1"/>
                        </w:tcBorders>
                        <w:shd w:val="clear" w:color="auto" w:fill="E4E4E4"/>
                      </w:tcPr>
                      <w:p>
                        <w:pPr>
                          <w:pStyle w:val="TableParagraph"/>
                          <w:rPr>
                            <w:rFonts w:ascii="Times New Roman"/>
                            <w:sz w:val="18"/>
                          </w:rPr>
                        </w:pPr>
                      </w:p>
                    </w:tc>
                    <w:tc>
                      <w:tcPr>
                        <w:tcW w:w="648" w:type="dxa"/>
                        <w:tcBorders>
                          <w:bottom w:val="single" w:sz="4" w:space="0" w:color="F1F1F1"/>
                          <w:right w:val="single" w:sz="4" w:space="0" w:color="F1F1F1"/>
                        </w:tcBorders>
                        <w:shd w:val="clear" w:color="auto" w:fill="E4E4E4"/>
                      </w:tcPr>
                      <w:p>
                        <w:pPr>
                          <w:pStyle w:val="TableParagraph"/>
                          <w:rPr>
                            <w:rFonts w:ascii="Times New Roman"/>
                            <w:sz w:val="18"/>
                          </w:rPr>
                        </w:pPr>
                      </w:p>
                    </w:tc>
                    <w:tc>
                      <w:tcPr>
                        <w:tcW w:w="648" w:type="dxa"/>
                        <w:tcBorders>
                          <w:left w:val="single" w:sz="4" w:space="0" w:color="F1F1F1"/>
                          <w:bottom w:val="single" w:sz="4" w:space="0" w:color="F1F1F1"/>
                        </w:tcBorders>
                        <w:shd w:val="clear" w:color="auto" w:fill="E4E4E4"/>
                      </w:tcPr>
                      <w:p>
                        <w:pPr>
                          <w:pStyle w:val="TableParagraph"/>
                          <w:rPr>
                            <w:rFonts w:ascii="Times New Roman"/>
                            <w:sz w:val="18"/>
                          </w:rPr>
                        </w:pPr>
                      </w:p>
                    </w:tc>
                    <w:tc>
                      <w:tcPr>
                        <w:tcW w:w="657" w:type="dxa"/>
                        <w:tcBorders>
                          <w:bottom w:val="single" w:sz="4" w:space="0" w:color="F1F1F1"/>
                          <w:right w:val="single" w:sz="4" w:space="0" w:color="F1F1F1"/>
                        </w:tcBorders>
                        <w:shd w:val="clear" w:color="auto" w:fill="E4E4E4"/>
                      </w:tcPr>
                      <w:p>
                        <w:pPr>
                          <w:pStyle w:val="TableParagraph"/>
                          <w:rPr>
                            <w:rFonts w:ascii="Times New Roman"/>
                            <w:sz w:val="18"/>
                          </w:rPr>
                        </w:pPr>
                      </w:p>
                    </w:tc>
                    <w:tc>
                      <w:tcPr>
                        <w:tcW w:w="648" w:type="dxa"/>
                        <w:tcBorders>
                          <w:left w:val="single" w:sz="4" w:space="0" w:color="F1F1F1"/>
                          <w:bottom w:val="single" w:sz="4" w:space="0" w:color="F1F1F1"/>
                        </w:tcBorders>
                        <w:shd w:val="clear" w:color="auto" w:fill="E4E4E4"/>
                      </w:tcPr>
                      <w:p>
                        <w:pPr>
                          <w:pStyle w:val="TableParagraph"/>
                          <w:rPr>
                            <w:rFonts w:ascii="Times New Roman"/>
                            <w:sz w:val="18"/>
                          </w:rPr>
                        </w:pPr>
                      </w:p>
                    </w:tc>
                    <w:tc>
                      <w:tcPr>
                        <w:tcW w:w="648" w:type="dxa"/>
                        <w:tcBorders>
                          <w:bottom w:val="single" w:sz="4" w:space="0" w:color="F1F1F1"/>
                          <w:right w:val="single" w:sz="4" w:space="0" w:color="F1F1F1"/>
                        </w:tcBorders>
                        <w:shd w:val="clear" w:color="auto" w:fill="E4E4E4"/>
                      </w:tcPr>
                      <w:p>
                        <w:pPr>
                          <w:pStyle w:val="TableParagraph"/>
                          <w:rPr>
                            <w:rFonts w:ascii="Times New Roman"/>
                            <w:sz w:val="18"/>
                          </w:rPr>
                        </w:pPr>
                      </w:p>
                    </w:tc>
                    <w:tc>
                      <w:tcPr>
                        <w:tcW w:w="639" w:type="dxa"/>
                        <w:tcBorders>
                          <w:left w:val="single" w:sz="4" w:space="0" w:color="F1F1F1"/>
                          <w:bottom w:val="single" w:sz="4" w:space="0" w:color="F1F1F1"/>
                          <w:right w:val="nil"/>
                        </w:tcBorders>
                        <w:shd w:val="clear" w:color="auto" w:fill="E4E4E4"/>
                      </w:tcPr>
                      <w:p>
                        <w:pPr>
                          <w:pStyle w:val="TableParagraph"/>
                          <w:rPr>
                            <w:rFonts w:ascii="Times New Roman"/>
                            <w:sz w:val="18"/>
                          </w:rPr>
                        </w:pPr>
                      </w:p>
                    </w:tc>
                  </w:tr>
                  <w:tr>
                    <w:trPr>
                      <w:trHeight w:val="492" w:hRule="atLeast"/>
                    </w:trPr>
                    <w:tc>
                      <w:tcPr>
                        <w:tcW w:w="301" w:type="dxa"/>
                        <w:tcBorders>
                          <w:top w:val="single" w:sz="4" w:space="0" w:color="F1F1F1"/>
                          <w:left w:val="nil"/>
                        </w:tcBorders>
                        <w:shd w:val="clear" w:color="auto" w:fill="E4E4E4"/>
                      </w:tcPr>
                      <w:p>
                        <w:pPr>
                          <w:pStyle w:val="TableParagraph"/>
                          <w:rPr>
                            <w:rFonts w:ascii="Times New Roman"/>
                            <w:sz w:val="18"/>
                          </w:rPr>
                        </w:pPr>
                      </w:p>
                    </w:tc>
                    <w:tc>
                      <w:tcPr>
                        <w:tcW w:w="657" w:type="dxa"/>
                        <w:tcBorders>
                          <w:top w:val="single" w:sz="4" w:space="0" w:color="F1F1F1"/>
                          <w:right w:val="single" w:sz="4" w:space="0" w:color="F1F1F1"/>
                        </w:tcBorders>
                        <w:shd w:val="clear" w:color="auto" w:fill="E4E4E4"/>
                      </w:tcPr>
                      <w:p>
                        <w:pPr>
                          <w:pStyle w:val="TableParagraph"/>
                          <w:rPr>
                            <w:rFonts w:ascii="Times New Roman"/>
                            <w:sz w:val="18"/>
                          </w:rPr>
                        </w:pPr>
                      </w:p>
                    </w:tc>
                    <w:tc>
                      <w:tcPr>
                        <w:tcW w:w="648" w:type="dxa"/>
                        <w:tcBorders>
                          <w:top w:val="single" w:sz="4" w:space="0" w:color="F1F1F1"/>
                          <w:left w:val="single" w:sz="4" w:space="0" w:color="F1F1F1"/>
                        </w:tcBorders>
                        <w:shd w:val="clear" w:color="auto" w:fill="E4E4E4"/>
                      </w:tcPr>
                      <w:p>
                        <w:pPr>
                          <w:pStyle w:val="TableParagraph"/>
                          <w:rPr>
                            <w:rFonts w:ascii="Times New Roman"/>
                            <w:sz w:val="18"/>
                          </w:rPr>
                        </w:pPr>
                      </w:p>
                    </w:tc>
                    <w:tc>
                      <w:tcPr>
                        <w:tcW w:w="648" w:type="dxa"/>
                        <w:tcBorders>
                          <w:top w:val="single" w:sz="4" w:space="0" w:color="F1F1F1"/>
                          <w:right w:val="single" w:sz="4" w:space="0" w:color="F1F1F1"/>
                        </w:tcBorders>
                        <w:shd w:val="clear" w:color="auto" w:fill="E4E4E4"/>
                      </w:tcPr>
                      <w:p>
                        <w:pPr>
                          <w:pStyle w:val="TableParagraph"/>
                          <w:rPr>
                            <w:rFonts w:ascii="Times New Roman"/>
                            <w:sz w:val="18"/>
                          </w:rPr>
                        </w:pPr>
                      </w:p>
                    </w:tc>
                    <w:tc>
                      <w:tcPr>
                        <w:tcW w:w="648" w:type="dxa"/>
                        <w:tcBorders>
                          <w:top w:val="single" w:sz="4" w:space="0" w:color="F1F1F1"/>
                          <w:left w:val="single" w:sz="4" w:space="0" w:color="F1F1F1"/>
                        </w:tcBorders>
                        <w:shd w:val="clear" w:color="auto" w:fill="E4E4E4"/>
                      </w:tcPr>
                      <w:p>
                        <w:pPr>
                          <w:pStyle w:val="TableParagraph"/>
                          <w:rPr>
                            <w:rFonts w:ascii="Times New Roman"/>
                            <w:sz w:val="18"/>
                          </w:rPr>
                        </w:pPr>
                      </w:p>
                    </w:tc>
                    <w:tc>
                      <w:tcPr>
                        <w:tcW w:w="657" w:type="dxa"/>
                        <w:tcBorders>
                          <w:top w:val="single" w:sz="4" w:space="0" w:color="F1F1F1"/>
                          <w:right w:val="single" w:sz="4" w:space="0" w:color="F1F1F1"/>
                        </w:tcBorders>
                        <w:shd w:val="clear" w:color="auto" w:fill="E4E4E4"/>
                      </w:tcPr>
                      <w:p>
                        <w:pPr>
                          <w:pStyle w:val="TableParagraph"/>
                          <w:rPr>
                            <w:rFonts w:ascii="Times New Roman"/>
                            <w:sz w:val="18"/>
                          </w:rPr>
                        </w:pPr>
                      </w:p>
                    </w:tc>
                    <w:tc>
                      <w:tcPr>
                        <w:tcW w:w="648" w:type="dxa"/>
                        <w:tcBorders>
                          <w:top w:val="single" w:sz="4" w:space="0" w:color="F1F1F1"/>
                          <w:left w:val="single" w:sz="4" w:space="0" w:color="F1F1F1"/>
                        </w:tcBorders>
                        <w:shd w:val="clear" w:color="auto" w:fill="E4E4E4"/>
                      </w:tcPr>
                      <w:p>
                        <w:pPr>
                          <w:pStyle w:val="TableParagraph"/>
                          <w:rPr>
                            <w:rFonts w:ascii="Times New Roman"/>
                            <w:sz w:val="18"/>
                          </w:rPr>
                        </w:pPr>
                      </w:p>
                    </w:tc>
                    <w:tc>
                      <w:tcPr>
                        <w:tcW w:w="648" w:type="dxa"/>
                        <w:tcBorders>
                          <w:top w:val="single" w:sz="4" w:space="0" w:color="F1F1F1"/>
                          <w:right w:val="single" w:sz="4" w:space="0" w:color="F1F1F1"/>
                        </w:tcBorders>
                        <w:shd w:val="clear" w:color="auto" w:fill="E4E4E4"/>
                      </w:tcPr>
                      <w:p>
                        <w:pPr>
                          <w:pStyle w:val="TableParagraph"/>
                          <w:rPr>
                            <w:rFonts w:ascii="Times New Roman"/>
                            <w:sz w:val="18"/>
                          </w:rPr>
                        </w:pPr>
                      </w:p>
                    </w:tc>
                    <w:tc>
                      <w:tcPr>
                        <w:tcW w:w="639" w:type="dxa"/>
                        <w:tcBorders>
                          <w:top w:val="single" w:sz="4" w:space="0" w:color="F1F1F1"/>
                          <w:left w:val="single" w:sz="4" w:space="0" w:color="F1F1F1"/>
                          <w:right w:val="nil"/>
                        </w:tcBorders>
                        <w:shd w:val="clear" w:color="auto" w:fill="E4E4E4"/>
                      </w:tcPr>
                      <w:p>
                        <w:pPr>
                          <w:pStyle w:val="TableParagraph"/>
                          <w:rPr>
                            <w:rFonts w:ascii="Times New Roman"/>
                            <w:sz w:val="18"/>
                          </w:rPr>
                        </w:pPr>
                      </w:p>
                    </w:tc>
                  </w:tr>
                  <w:tr>
                    <w:trPr>
                      <w:trHeight w:val="250" w:hRule="atLeast"/>
                    </w:trPr>
                    <w:tc>
                      <w:tcPr>
                        <w:tcW w:w="301" w:type="dxa"/>
                        <w:tcBorders>
                          <w:left w:val="nil"/>
                          <w:bottom w:val="nil"/>
                        </w:tcBorders>
                      </w:tcPr>
                      <w:p>
                        <w:pPr>
                          <w:pStyle w:val="TableParagraph"/>
                          <w:rPr>
                            <w:rFonts w:ascii="Times New Roman"/>
                            <w:sz w:val="18"/>
                          </w:rPr>
                        </w:pPr>
                      </w:p>
                    </w:tc>
                    <w:tc>
                      <w:tcPr>
                        <w:tcW w:w="657" w:type="dxa"/>
                        <w:tcBorders>
                          <w:bottom w:val="nil"/>
                          <w:right w:val="single" w:sz="4" w:space="0" w:color="F1F1F1"/>
                        </w:tcBorders>
                      </w:tcPr>
                      <w:p>
                        <w:pPr>
                          <w:pStyle w:val="TableParagraph"/>
                          <w:rPr>
                            <w:rFonts w:ascii="Times New Roman"/>
                            <w:sz w:val="18"/>
                          </w:rPr>
                        </w:pPr>
                      </w:p>
                    </w:tc>
                    <w:tc>
                      <w:tcPr>
                        <w:tcW w:w="648" w:type="dxa"/>
                        <w:tcBorders>
                          <w:left w:val="single" w:sz="4" w:space="0" w:color="F1F1F1"/>
                          <w:bottom w:val="nil"/>
                        </w:tcBorders>
                      </w:tcPr>
                      <w:p>
                        <w:pPr>
                          <w:pStyle w:val="TableParagraph"/>
                          <w:rPr>
                            <w:rFonts w:ascii="Times New Roman"/>
                            <w:sz w:val="18"/>
                          </w:rPr>
                        </w:pPr>
                      </w:p>
                    </w:tc>
                    <w:tc>
                      <w:tcPr>
                        <w:tcW w:w="648" w:type="dxa"/>
                        <w:tcBorders>
                          <w:bottom w:val="nil"/>
                          <w:right w:val="single" w:sz="4" w:space="0" w:color="F1F1F1"/>
                        </w:tcBorders>
                      </w:tcPr>
                      <w:p>
                        <w:pPr>
                          <w:pStyle w:val="TableParagraph"/>
                          <w:rPr>
                            <w:rFonts w:ascii="Times New Roman"/>
                            <w:sz w:val="18"/>
                          </w:rPr>
                        </w:pPr>
                      </w:p>
                    </w:tc>
                    <w:tc>
                      <w:tcPr>
                        <w:tcW w:w="648" w:type="dxa"/>
                        <w:tcBorders>
                          <w:left w:val="single" w:sz="4" w:space="0" w:color="F1F1F1"/>
                          <w:bottom w:val="nil"/>
                        </w:tcBorders>
                      </w:tcPr>
                      <w:p>
                        <w:pPr>
                          <w:pStyle w:val="TableParagraph"/>
                          <w:rPr>
                            <w:rFonts w:ascii="Times New Roman"/>
                            <w:sz w:val="18"/>
                          </w:rPr>
                        </w:pPr>
                      </w:p>
                    </w:tc>
                    <w:tc>
                      <w:tcPr>
                        <w:tcW w:w="657" w:type="dxa"/>
                        <w:tcBorders>
                          <w:bottom w:val="nil"/>
                          <w:right w:val="single" w:sz="4" w:space="0" w:color="F1F1F1"/>
                        </w:tcBorders>
                      </w:tcPr>
                      <w:p>
                        <w:pPr>
                          <w:pStyle w:val="TableParagraph"/>
                          <w:rPr>
                            <w:rFonts w:ascii="Times New Roman"/>
                            <w:sz w:val="18"/>
                          </w:rPr>
                        </w:pPr>
                      </w:p>
                    </w:tc>
                    <w:tc>
                      <w:tcPr>
                        <w:tcW w:w="648" w:type="dxa"/>
                        <w:tcBorders>
                          <w:left w:val="single" w:sz="4" w:space="0" w:color="F1F1F1"/>
                          <w:bottom w:val="nil"/>
                        </w:tcBorders>
                      </w:tcPr>
                      <w:p>
                        <w:pPr>
                          <w:pStyle w:val="TableParagraph"/>
                          <w:rPr>
                            <w:rFonts w:ascii="Times New Roman"/>
                            <w:sz w:val="18"/>
                          </w:rPr>
                        </w:pPr>
                      </w:p>
                    </w:tc>
                    <w:tc>
                      <w:tcPr>
                        <w:tcW w:w="648" w:type="dxa"/>
                        <w:tcBorders>
                          <w:bottom w:val="nil"/>
                          <w:right w:val="single" w:sz="4" w:space="0" w:color="F1F1F1"/>
                        </w:tcBorders>
                      </w:tcPr>
                      <w:p>
                        <w:pPr>
                          <w:pStyle w:val="TableParagraph"/>
                          <w:rPr>
                            <w:rFonts w:ascii="Times New Roman"/>
                            <w:sz w:val="18"/>
                          </w:rPr>
                        </w:pPr>
                      </w:p>
                    </w:tc>
                    <w:tc>
                      <w:tcPr>
                        <w:tcW w:w="639" w:type="dxa"/>
                        <w:tcBorders>
                          <w:left w:val="single" w:sz="4" w:space="0" w:color="F1F1F1"/>
                          <w:bottom w:val="nil"/>
                          <w:right w:val="nil"/>
                        </w:tcBorders>
                      </w:tcPr>
                      <w:p>
                        <w:pPr>
                          <w:pStyle w:val="TableParagraph"/>
                          <w:rPr>
                            <w:rFonts w:ascii="Times New Roman"/>
                            <w:sz w:val="18"/>
                          </w:rPr>
                        </w:pPr>
                      </w:p>
                    </w:tc>
                  </w:tr>
                </w:tbl>
                <w:p>
                  <w:pPr>
                    <w:pStyle w:val="BodyText"/>
                  </w:pPr>
                </w:p>
              </w:txbxContent>
            </v:textbox>
            <w10:wrap type="none"/>
          </v:shape>
        </w:pict>
      </w:r>
      <w:r>
        <w:rPr>
          <w:color w:val="4F81BC"/>
        </w:rPr>
        <w:t>Figure 9: Unemployment rates in a selection of countries</w:t>
      </w:r>
    </w:p>
    <w:p>
      <w:pPr>
        <w:pStyle w:val="BodyText"/>
        <w:rPr>
          <w:b/>
          <w:sz w:val="22"/>
        </w:rPr>
      </w:pPr>
    </w:p>
    <w:p>
      <w:pPr>
        <w:spacing w:before="140"/>
        <w:ind w:left="526" w:right="0" w:firstLine="0"/>
        <w:jc w:val="left"/>
        <w:rPr>
          <w:sz w:val="12"/>
        </w:rPr>
      </w:pPr>
      <w:r>
        <w:rPr>
          <w:color w:val="7E7E7E"/>
          <w:sz w:val="12"/>
        </w:rPr>
        <w:t>12.5</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5"/>
        <w:rPr>
          <w:sz w:val="15"/>
        </w:rPr>
      </w:pPr>
    </w:p>
    <w:p>
      <w:pPr>
        <w:spacing w:before="0"/>
        <w:ind w:left="526" w:right="0" w:firstLine="0"/>
        <w:jc w:val="left"/>
        <w:rPr>
          <w:sz w:val="12"/>
        </w:rPr>
      </w:pPr>
      <w:r>
        <w:rPr/>
        <w:pict>
          <v:shape style="position:absolute;margin-left:61.863655pt;margin-top:3.290215pt;width:10.2pt;height:95.2pt;mso-position-horizontal-relative:page;mso-position-vertical-relative:paragraph;z-index:251729920" type="#_x0000_t202" filled="false" stroked="false">
            <v:textbox inset="0,0,0,0" style="layout-flow:vertical;mso-layout-flow-alt:bottom-to-top">
              <w:txbxContent>
                <w:p>
                  <w:pPr>
                    <w:spacing w:before="21"/>
                    <w:ind w:left="20" w:right="0" w:firstLine="0"/>
                    <w:jc w:val="left"/>
                    <w:rPr>
                      <w:sz w:val="14"/>
                    </w:rPr>
                  </w:pPr>
                  <w:r>
                    <w:rPr>
                      <w:w w:val="105"/>
                      <w:sz w:val="14"/>
                    </w:rPr>
                    <w:t>Unemployment</w:t>
                  </w:r>
                  <w:r>
                    <w:rPr>
                      <w:spacing w:val="-15"/>
                      <w:w w:val="105"/>
                      <w:sz w:val="14"/>
                    </w:rPr>
                    <w:t> </w:t>
                  </w:r>
                  <w:r>
                    <w:rPr>
                      <w:w w:val="105"/>
                      <w:sz w:val="14"/>
                    </w:rPr>
                    <w:t>rate,</w:t>
                  </w:r>
                  <w:r>
                    <w:rPr>
                      <w:spacing w:val="-14"/>
                      <w:w w:val="105"/>
                      <w:sz w:val="14"/>
                    </w:rPr>
                    <w:t> </w:t>
                  </w:r>
                  <w:r>
                    <w:rPr>
                      <w:w w:val="105"/>
                      <w:sz w:val="14"/>
                    </w:rPr>
                    <w:t>per</w:t>
                  </w:r>
                  <w:r>
                    <w:rPr>
                      <w:spacing w:val="-13"/>
                      <w:w w:val="105"/>
                      <w:sz w:val="14"/>
                    </w:rPr>
                    <w:t> </w:t>
                  </w:r>
                  <w:r>
                    <w:rPr>
                      <w:w w:val="105"/>
                      <w:sz w:val="14"/>
                    </w:rPr>
                    <w:t>cent</w:t>
                  </w:r>
                </w:p>
              </w:txbxContent>
            </v:textbox>
            <w10:wrap type="none"/>
          </v:shape>
        </w:pict>
      </w:r>
      <w:r>
        <w:rPr>
          <w:color w:val="7E7E7E"/>
          <w:sz w:val="12"/>
        </w:rPr>
        <w:t>10.0</w:t>
      </w:r>
    </w:p>
    <w:p>
      <w:pPr>
        <w:pStyle w:val="BodyText"/>
        <w:rPr>
          <w:sz w:val="12"/>
        </w:rPr>
      </w:pPr>
    </w:p>
    <w:p>
      <w:pPr>
        <w:pStyle w:val="BodyText"/>
        <w:spacing w:before="1"/>
        <w:rPr>
          <w:sz w:val="14"/>
        </w:rPr>
      </w:pPr>
    </w:p>
    <w:p>
      <w:pPr>
        <w:spacing w:line="491" w:lineRule="auto" w:before="1"/>
        <w:ind w:left="6771" w:right="3750" w:firstLine="0"/>
        <w:jc w:val="left"/>
        <w:rPr>
          <w:sz w:val="12"/>
        </w:rPr>
      </w:pPr>
      <w:r>
        <w:rPr/>
        <w:pict>
          <v:group style="position:absolute;margin-left:367.34552pt;margin-top:-4.379254pt;width:14.65pt;height:70.6pt;mso-position-horizontal-relative:page;mso-position-vertical-relative:paragraph;z-index:251728896" coordorigin="7347,-88" coordsize="293,1412">
            <v:rect style="position:absolute;left:7351;top:-88;width:284;height:284" filled="true" fillcolor="#f1f1f1" stroked="false">
              <v:fill type="solid"/>
            </v:rect>
            <v:line style="position:absolute" from="7379,59" to="7607,59" stroked="true" strokeweight=".455884pt" strokecolor="#1f77b4">
              <v:stroke dashstyle="solid"/>
            </v:line>
            <v:rect style="position:absolute;left:7351;top:195;width:284;height:284" filled="true" fillcolor="#f1f1f1" stroked="false">
              <v:fill type="solid"/>
            </v:rect>
            <v:rect style="position:absolute;left:7351;top:195;width:284;height:284" filled="false" stroked="true" strokeweight=".455924pt" strokecolor="#ffffff">
              <v:stroke dashstyle="solid"/>
            </v:rect>
            <v:line style="position:absolute" from="7379,333" to="7607,333" stroked="true" strokeweight=".455884pt" strokecolor="#ff7e0d">
              <v:stroke dashstyle="solid"/>
            </v:line>
            <v:rect style="position:absolute;left:7351;top:478;width:284;height:275" filled="true" fillcolor="#f1f1f1" stroked="false">
              <v:fill type="solid"/>
            </v:rect>
            <v:rect style="position:absolute;left:7351;top:478;width:284;height:275" filled="false" stroked="true" strokeweight=".455923pt" strokecolor="#ffffff">
              <v:stroke dashstyle="solid"/>
            </v:rect>
            <v:line style="position:absolute" from="7379,616" to="7607,616" stroked="true" strokeweight=".455884pt" strokecolor="#2c9f2c">
              <v:stroke dashstyle="solid"/>
            </v:line>
            <v:rect style="position:absolute;left:7351;top:753;width:284;height:284" filled="true" fillcolor="#f1f1f1" stroked="false">
              <v:fill type="solid"/>
            </v:rect>
            <v:rect style="position:absolute;left:7351;top:753;width:284;height:284" filled="false" stroked="true" strokeweight=".455924pt" strokecolor="#ffffff">
              <v:stroke dashstyle="solid"/>
            </v:rect>
            <v:line style="position:absolute" from="7379,899" to="7607,899" stroked="true" strokeweight=".455884pt" strokecolor="#d52728">
              <v:stroke dashstyle="solid"/>
            </v:line>
            <v:rect style="position:absolute;left:7351;top:1036;width:284;height:284" filled="true" fillcolor="#f1f1f1" stroked="false">
              <v:fill type="solid"/>
            </v:rect>
            <v:rect style="position:absolute;left:7351;top:1036;width:284;height:284" filled="false" stroked="true" strokeweight=".455924pt" strokecolor="#ffffff">
              <v:stroke dashstyle="solid"/>
            </v:rect>
            <v:line style="position:absolute" from="7379,1183" to="7607,1183" stroked="true" strokeweight=".455884pt" strokecolor="#9367bc">
              <v:stroke dashstyle="solid"/>
            </v:line>
            <w10:wrap type="none"/>
          </v:group>
        </w:pict>
      </w:r>
      <w:r>
        <w:rPr>
          <w:sz w:val="12"/>
        </w:rPr>
        <w:t>France </w:t>
      </w:r>
      <w:r>
        <w:rPr>
          <w:w w:val="95"/>
          <w:sz w:val="12"/>
        </w:rPr>
        <w:t>Germany</w:t>
      </w:r>
    </w:p>
    <w:p>
      <w:pPr>
        <w:spacing w:after="0" w:line="491" w:lineRule="auto"/>
        <w:jc w:val="left"/>
        <w:rPr>
          <w:sz w:val="12"/>
        </w:rPr>
        <w:sectPr>
          <w:pgSz w:w="11910" w:h="16840"/>
          <w:pgMar w:header="0" w:footer="1338" w:top="1580" w:bottom="1520" w:left="900" w:right="0"/>
        </w:sectPr>
      </w:pPr>
    </w:p>
    <w:p>
      <w:pPr>
        <w:spacing w:before="0"/>
        <w:ind w:left="0" w:right="0" w:firstLine="0"/>
        <w:jc w:val="right"/>
        <w:rPr>
          <w:sz w:val="12"/>
        </w:rPr>
      </w:pPr>
      <w:r>
        <w:rPr>
          <w:color w:val="7E7E7E"/>
          <w:spacing w:val="-1"/>
          <w:sz w:val="12"/>
        </w:rPr>
        <w:t>7.5</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5"/>
        <w:rPr>
          <w:sz w:val="15"/>
        </w:rPr>
      </w:pPr>
    </w:p>
    <w:p>
      <w:pPr>
        <w:spacing w:before="0"/>
        <w:ind w:left="0" w:right="0" w:firstLine="0"/>
        <w:jc w:val="right"/>
        <w:rPr>
          <w:sz w:val="12"/>
        </w:rPr>
      </w:pPr>
      <w:r>
        <w:rPr>
          <w:color w:val="7E7E7E"/>
          <w:spacing w:val="-1"/>
          <w:sz w:val="12"/>
        </w:rPr>
        <w:t>5.0</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5"/>
        <w:rPr>
          <w:sz w:val="15"/>
        </w:rPr>
      </w:pPr>
    </w:p>
    <w:p>
      <w:pPr>
        <w:spacing w:before="0"/>
        <w:ind w:left="0" w:right="0" w:firstLine="0"/>
        <w:jc w:val="right"/>
        <w:rPr>
          <w:sz w:val="12"/>
        </w:rPr>
      </w:pPr>
      <w:r>
        <w:rPr>
          <w:color w:val="7E7E7E"/>
          <w:spacing w:val="-1"/>
          <w:sz w:val="12"/>
        </w:rPr>
        <w:t>2.5</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5"/>
        <w:rPr>
          <w:sz w:val="11"/>
        </w:rPr>
      </w:pPr>
    </w:p>
    <w:p>
      <w:pPr>
        <w:tabs>
          <w:tab w:pos="1464" w:val="left" w:leader="none"/>
          <w:tab w:pos="2760" w:val="left" w:leader="none"/>
          <w:tab w:pos="4066" w:val="left" w:leader="none"/>
        </w:tabs>
        <w:spacing w:before="1"/>
        <w:ind w:left="159" w:right="0" w:firstLine="0"/>
        <w:jc w:val="left"/>
        <w:rPr>
          <w:sz w:val="12"/>
        </w:rPr>
      </w:pPr>
      <w:r>
        <w:rPr>
          <w:color w:val="7E7E7E"/>
          <w:spacing w:val="-3"/>
          <w:sz w:val="12"/>
        </w:rPr>
        <w:t>1995</w:t>
        <w:tab/>
        <w:t>2000</w:t>
        <w:tab/>
        <w:t>2005</w:t>
        <w:tab/>
        <w:t>2010</w:t>
      </w:r>
    </w:p>
    <w:p>
      <w:pPr>
        <w:spacing w:line="484" w:lineRule="auto" w:before="0"/>
        <w:ind w:left="590" w:right="3265" w:firstLine="0"/>
        <w:jc w:val="left"/>
        <w:rPr>
          <w:sz w:val="12"/>
        </w:rPr>
      </w:pPr>
      <w:r>
        <w:rPr/>
        <w:br w:type="column"/>
      </w:r>
      <w:r>
        <w:rPr>
          <w:sz w:val="12"/>
        </w:rPr>
        <w:t>Netherlands United Kingdom United States</w:t>
      </w:r>
    </w:p>
    <w:p>
      <w:pPr>
        <w:spacing w:after="0" w:line="484" w:lineRule="auto"/>
        <w:jc w:val="left"/>
        <w:rPr>
          <w:sz w:val="12"/>
        </w:rPr>
        <w:sectPr>
          <w:type w:val="continuous"/>
          <w:pgSz w:w="11910" w:h="16840"/>
          <w:pgMar w:top="1180" w:bottom="1520" w:left="900" w:right="0"/>
          <w:cols w:num="3" w:equalWidth="0">
            <w:col w:w="757" w:space="40"/>
            <w:col w:w="4362" w:space="1022"/>
            <w:col w:w="4829"/>
          </w:cols>
        </w:sectPr>
      </w:pPr>
    </w:p>
    <w:p>
      <w:pPr>
        <w:pStyle w:val="BodyText"/>
        <w:spacing w:before="9"/>
        <w:rPr>
          <w:sz w:val="26"/>
        </w:rPr>
      </w:pPr>
    </w:p>
    <w:p>
      <w:pPr>
        <w:spacing w:before="96"/>
        <w:ind w:left="232" w:right="0" w:firstLine="0"/>
        <w:jc w:val="left"/>
        <w:rPr>
          <w:sz w:val="16"/>
        </w:rPr>
      </w:pPr>
      <w:r>
        <w:rPr>
          <w:b/>
          <w:sz w:val="16"/>
        </w:rPr>
        <w:t>Sources: </w:t>
      </w:r>
      <w:r>
        <w:rPr>
          <w:sz w:val="16"/>
        </w:rPr>
        <w:t>OECD and Bank calculations.</w:t>
      </w:r>
    </w:p>
    <w:p>
      <w:pPr>
        <w:spacing w:after="0"/>
        <w:jc w:val="left"/>
        <w:rPr>
          <w:sz w:val="16"/>
        </w:rPr>
        <w:sectPr>
          <w:type w:val="continuous"/>
          <w:pgSz w:w="11910" w:h="16840"/>
          <w:pgMar w:top="1180" w:bottom="1520" w:left="900" w:right="0"/>
        </w:sectPr>
      </w:pPr>
    </w:p>
    <w:p>
      <w:pPr>
        <w:pStyle w:val="BodyText"/>
        <w:spacing w:line="355" w:lineRule="auto" w:before="129"/>
        <w:ind w:left="232" w:right="1275"/>
      </w:pPr>
      <w:r>
        <w:rPr/>
        <w:t>Figure 9 shows that the financial crisis had a very different effect on unemployment from one country to another. In Germany, the United Kingdom and the United States it seems hard to believe that there is room for a substantial further reduction in unemployment rates, while in the Netherlands, there should at least in principle be room for a fall and the same must be true of France. At the same time, it is not clear how far, or how fast, unemployment will fall as these economies pick up speed.</w:t>
      </w:r>
    </w:p>
    <w:p>
      <w:pPr>
        <w:pStyle w:val="BodyText"/>
        <w:spacing w:before="7"/>
      </w:pPr>
    </w:p>
    <w:p>
      <w:pPr>
        <w:pStyle w:val="BodyText"/>
        <w:spacing w:line="355" w:lineRule="auto" w:before="1"/>
        <w:ind w:left="232" w:right="1264"/>
      </w:pPr>
      <w:r>
        <w:rPr/>
        <w:t>On the question of hours worked, Gordon (2004) points to a long-term trend towards shorter working weeks in general, and in particular a change in the working hours of the USA compared to Western Europe.</w:t>
      </w:r>
    </w:p>
    <w:p>
      <w:pPr>
        <w:pStyle w:val="BodyText"/>
        <w:spacing w:line="355" w:lineRule="auto"/>
        <w:ind w:left="232" w:right="1166"/>
      </w:pPr>
      <w:r>
        <w:rPr/>
        <w:t>According to him, in 1960, Western Europeans worked around 2% more hours per week than workers in the USA, on average; but by 2004, this had reversed, to working 15% fewer hours. Part of this trend may be explained by the structure of the workforce. A country with a high proportion of women working may well find that, because women disproportionately work part time – as is the case in the United Kingdom – its average number of hours worked is lower than in countries with lower female participation. But in any case, in the long run I might expect rising living standards to continue to push down on average hours worked per worker.</w:t>
      </w:r>
    </w:p>
    <w:p>
      <w:pPr>
        <w:pStyle w:val="BodyText"/>
        <w:spacing w:before="7"/>
      </w:pPr>
    </w:p>
    <w:p>
      <w:pPr>
        <w:pStyle w:val="BodyText"/>
        <w:spacing w:line="355" w:lineRule="auto"/>
        <w:ind w:left="232" w:right="1185"/>
      </w:pPr>
      <w:r>
        <w:rPr/>
        <w:t>A comparison of the first three columns of Table 4 with the last two shows how important these other</w:t>
      </w:r>
      <w:r>
        <w:rPr>
          <w:spacing w:val="-33"/>
        </w:rPr>
        <w:t> </w:t>
      </w:r>
      <w:r>
        <w:rPr/>
        <w:t>factors can be. The last two columns display the growth in labour inputs, total hours worked, since 2000. You can see that for many countries there is a significant difference between the growth rates of the working-age population and the total hours worked. In particular, in the period before the Great Recession, the Netherlands saw hours grow much more than the working-age population, Germany managed to almost maintain a constant number of hours worked in the face of a declining working-age population, and the United States saw total hours worked grow by much less than the size of the</w:t>
      </w:r>
      <w:r>
        <w:rPr>
          <w:spacing w:val="-17"/>
        </w:rPr>
        <w:t> </w:t>
      </w:r>
      <w:r>
        <w:rPr/>
        <w:t>population.</w:t>
      </w:r>
    </w:p>
    <w:p>
      <w:pPr>
        <w:pStyle w:val="BodyText"/>
        <w:spacing w:before="8"/>
      </w:pPr>
    </w:p>
    <w:p>
      <w:pPr>
        <w:pStyle w:val="BodyText"/>
        <w:spacing w:line="352" w:lineRule="auto" w:before="1"/>
        <w:ind w:left="232" w:right="1286"/>
      </w:pPr>
      <w:r>
        <w:rPr/>
        <w:t>So while we can infer that Germany in particular, but also the Netherlands faces a demographic head-wind, that does not necessarily translate into a decline in labour input over the next few</w:t>
      </w:r>
      <w:r>
        <w:rPr>
          <w:spacing w:val="-15"/>
        </w:rPr>
        <w:t> </w:t>
      </w:r>
      <w:r>
        <w:rPr/>
        <w:t>years.</w:t>
      </w:r>
    </w:p>
    <w:p>
      <w:pPr>
        <w:pStyle w:val="Heading1"/>
        <w:spacing w:before="132"/>
      </w:pPr>
      <w:r>
        <w:rPr>
          <w:color w:val="4F81BC"/>
        </w:rPr>
        <w:t>Conclusions</w:t>
      </w:r>
    </w:p>
    <w:p>
      <w:pPr>
        <w:pStyle w:val="BodyText"/>
        <w:rPr>
          <w:b/>
          <w:sz w:val="22"/>
        </w:rPr>
      </w:pPr>
    </w:p>
    <w:p>
      <w:pPr>
        <w:pStyle w:val="BodyText"/>
        <w:spacing w:line="355" w:lineRule="auto" w:before="132"/>
        <w:ind w:left="232" w:right="1145"/>
      </w:pPr>
      <w:r>
        <w:rPr/>
        <w:t>Growth rates have been low in advanced economies recently, partly because growth rates of productivity have been weak. The evidence suggests that, except perhaps in France where returns on capital have been falling for some time, rates of return in the corporate sector have held up. This suggests, in contrast to what might be inferred from returns on financial assets, that plenty of opportunity for profitable investment remains. Nevertheless, the evidence suggests that much capital investment is induced by labour-augmenting technical progress and the key to growth in labour productivity is therefore the extent to which this, measured by the rate of total factor productivity growth divided by the share of labour in total income,</w:t>
      </w:r>
      <w:r>
        <w:rPr>
          <w:spacing w:val="-26"/>
        </w:rPr>
        <w:t> </w:t>
      </w:r>
      <w:r>
        <w:rPr/>
        <w:t>recovers.</w:t>
      </w:r>
    </w:p>
    <w:p>
      <w:pPr>
        <w:pStyle w:val="BodyText"/>
        <w:spacing w:before="8"/>
      </w:pPr>
    </w:p>
    <w:p>
      <w:pPr>
        <w:pStyle w:val="BodyText"/>
        <w:spacing w:line="355" w:lineRule="auto"/>
        <w:ind w:left="232" w:right="1463"/>
      </w:pPr>
      <w:r>
        <w:rPr/>
        <w:t>A body of work suggests that technical progress can be handicapped by barriers to the implementation of new technology, and a loss of business confidence is likely to constitute one such barrier. Britain’s most recent experience suggests tentatively that reviving business confidence can see an improvement in productivity growth and an analysis of the persistence of rates of technical progress suggests the five</w:t>
      </w:r>
    </w:p>
    <w:p>
      <w:pPr>
        <w:spacing w:after="0" w:line="355" w:lineRule="auto"/>
        <w:sectPr>
          <w:pgSz w:w="11910" w:h="16840"/>
          <w:pgMar w:header="0" w:footer="1338" w:top="1580" w:bottom="1520" w:left="900" w:right="0"/>
        </w:sectPr>
      </w:pPr>
    </w:p>
    <w:p>
      <w:pPr>
        <w:pStyle w:val="BodyText"/>
        <w:spacing w:line="355" w:lineRule="auto" w:before="129"/>
        <w:ind w:left="232" w:right="1186"/>
      </w:pPr>
      <w:r>
        <w:rPr/>
        <w:t>countries I have considered might all hope for underlying productivity growth in the rate of 1-2 per cent. If, as before the crisis, actual capital deepening runs ahead of labour productivity growth then the rate of labour productivity growth might be higher than this, while if, as in France, low returns deter investment, it may be lower. The evidence also suggests that countries with substantial scope for reducing regulation of product markets could see a further productivity dividend. France, the Netherlands and the United Kingdom are also likely to benefit from increasing educational attainment.</w:t>
      </w:r>
    </w:p>
    <w:p>
      <w:pPr>
        <w:pStyle w:val="BodyText"/>
        <w:spacing w:before="8"/>
      </w:pPr>
    </w:p>
    <w:p>
      <w:pPr>
        <w:pStyle w:val="BodyText"/>
        <w:spacing w:line="355" w:lineRule="auto"/>
        <w:ind w:left="232" w:right="1186"/>
      </w:pPr>
      <w:r>
        <w:rPr/>
        <w:t>These prospects are offset by demographic headwinds in the Netherlands and particularly in Germany. While demographic prospects must eventually curtail overall economic growth, even with respectable productivity performance, over periods of several years it is perfectly possible for actual labour input to move very differently from the number of people of working age. Thus the outcome for overall growth is likely to depend both on the way in which people respond to changing economic circumstances and the institutional framework in which employment takes place.</w:t>
      </w:r>
    </w:p>
    <w:p>
      <w:pPr>
        <w:pStyle w:val="BodyText"/>
        <w:spacing w:before="8"/>
      </w:pPr>
    </w:p>
    <w:p>
      <w:pPr>
        <w:pStyle w:val="BodyText"/>
        <w:spacing w:line="355" w:lineRule="auto"/>
        <w:ind w:left="232" w:right="1263"/>
      </w:pPr>
      <w:r>
        <w:rPr/>
        <w:t>To return, however, to my starting point, Bolt and van Zanden (2014) indicate that, during the run-up to the Golden Age from 1550-1600, GDP </w:t>
      </w:r>
      <w:r>
        <w:rPr>
          <w:i/>
        </w:rPr>
        <w:t>per capita </w:t>
      </w:r>
      <w:r>
        <w:rPr/>
        <w:t>in the Netherlands grew by 0.8 per cent per annum. That is at the bottom of what I think is the likely range for labour productivity over the next ten years and appreciably below what I think of as the most likely outcome.</w:t>
      </w:r>
    </w:p>
    <w:p>
      <w:pPr>
        <w:pStyle w:val="BodyText"/>
        <w:spacing w:before="7"/>
      </w:pPr>
    </w:p>
    <w:p>
      <w:pPr>
        <w:pStyle w:val="BodyText"/>
        <w:ind w:left="232"/>
      </w:pPr>
      <w:r>
        <w:rPr/>
        <w:t>Hartlijk Dank!</w:t>
      </w:r>
    </w:p>
    <w:p>
      <w:pPr>
        <w:spacing w:after="0"/>
        <w:sectPr>
          <w:pgSz w:w="11910" w:h="16840"/>
          <w:pgMar w:header="0" w:footer="1338" w:top="1580" w:bottom="1520" w:left="900" w:right="0"/>
        </w:sectPr>
      </w:pPr>
    </w:p>
    <w:p>
      <w:pPr>
        <w:spacing w:before="80"/>
        <w:ind w:left="232" w:right="0" w:firstLine="0"/>
        <w:jc w:val="left"/>
        <w:rPr>
          <w:b/>
          <w:sz w:val="24"/>
        </w:rPr>
      </w:pPr>
      <w:r>
        <w:rPr>
          <w:b/>
          <w:sz w:val="24"/>
        </w:rPr>
        <w:t>References</w:t>
      </w:r>
    </w:p>
    <w:p>
      <w:pPr>
        <w:spacing w:line="242" w:lineRule="auto" w:before="133"/>
        <w:ind w:left="232" w:right="1120" w:firstLine="0"/>
        <w:jc w:val="left"/>
        <w:rPr>
          <w:sz w:val="20"/>
        </w:rPr>
      </w:pPr>
      <w:r>
        <w:rPr>
          <w:b/>
          <w:sz w:val="20"/>
        </w:rPr>
        <w:t>Anzoategui, D., D. Comin, M. Gertler and J. Martinez (2015)</w:t>
      </w:r>
      <w:r>
        <w:rPr>
          <w:sz w:val="20"/>
        </w:rPr>
        <w:t>, ‘Endogenous Technology Adoption and R&amp;D as Sources of Business Cycle Persistence’, mimeo</w:t>
      </w:r>
    </w:p>
    <w:p>
      <w:pPr>
        <w:pStyle w:val="BodyText"/>
        <w:spacing w:before="8"/>
        <w:rPr>
          <w:sz w:val="19"/>
        </w:rPr>
      </w:pPr>
    </w:p>
    <w:p>
      <w:pPr>
        <w:spacing w:before="0"/>
        <w:ind w:left="232" w:right="1333" w:firstLine="0"/>
        <w:jc w:val="left"/>
        <w:rPr>
          <w:i/>
          <w:sz w:val="20"/>
        </w:rPr>
      </w:pPr>
      <w:r>
        <w:rPr>
          <w:b/>
          <w:sz w:val="20"/>
        </w:rPr>
        <w:t>Barro, R (2009). </w:t>
      </w:r>
      <w:r>
        <w:rPr>
          <w:sz w:val="20"/>
        </w:rPr>
        <w:t>‘Rare Disasters, Asset Prices, and Welfare Costs’. </w:t>
      </w:r>
      <w:r>
        <w:rPr>
          <w:i/>
          <w:sz w:val="20"/>
        </w:rPr>
        <w:t>American Economic Review, </w:t>
      </w:r>
      <w:r>
        <w:rPr>
          <w:sz w:val="20"/>
        </w:rPr>
        <w:t>99(1), pp 243-64</w:t>
      </w:r>
      <w:r>
        <w:rPr>
          <w:i/>
          <w:sz w:val="20"/>
        </w:rPr>
        <w:t>.</w:t>
      </w:r>
    </w:p>
    <w:p>
      <w:pPr>
        <w:pStyle w:val="BodyText"/>
        <w:spacing w:before="11"/>
        <w:rPr>
          <w:i/>
          <w:sz w:val="19"/>
        </w:rPr>
      </w:pPr>
    </w:p>
    <w:p>
      <w:pPr>
        <w:spacing w:line="242" w:lineRule="auto" w:before="0"/>
        <w:ind w:left="232" w:right="1241" w:firstLine="0"/>
        <w:jc w:val="left"/>
        <w:rPr>
          <w:sz w:val="20"/>
        </w:rPr>
      </w:pPr>
      <w:r>
        <w:rPr>
          <w:b/>
          <w:sz w:val="20"/>
        </w:rPr>
        <w:t>van den Bergen, D., A. J. de Boo, P. Taminiau-van Veen and E. Veldhuizen (2011)</w:t>
      </w:r>
      <w:r>
        <w:rPr>
          <w:sz w:val="20"/>
        </w:rPr>
        <w:t>, ‘Non-Financial Balance Sheets for the Netherlands: Use, Compilation and Extensions’, paper presented to joint IMF-OECD conference on sectoral position and flow data in the macroeconomic accounts</w:t>
      </w:r>
    </w:p>
    <w:p>
      <w:pPr>
        <w:pStyle w:val="BodyText"/>
        <w:spacing w:before="4"/>
        <w:rPr>
          <w:sz w:val="19"/>
        </w:rPr>
      </w:pPr>
    </w:p>
    <w:p>
      <w:pPr>
        <w:spacing w:before="0"/>
        <w:ind w:left="232" w:right="0" w:firstLine="0"/>
        <w:jc w:val="left"/>
        <w:rPr>
          <w:sz w:val="20"/>
        </w:rPr>
      </w:pPr>
      <w:r>
        <w:rPr>
          <w:b/>
          <w:sz w:val="20"/>
        </w:rPr>
        <w:t>Bianchi, F. and H. Kung (2014). </w:t>
      </w:r>
      <w:r>
        <w:rPr>
          <w:sz w:val="20"/>
        </w:rPr>
        <w:t>‘Growth, Slowdowns, and Recoveries’. </w:t>
      </w:r>
      <w:r>
        <w:rPr>
          <w:i/>
          <w:sz w:val="20"/>
        </w:rPr>
        <w:t>NBER Working Paper </w:t>
      </w:r>
      <w:r>
        <w:rPr>
          <w:sz w:val="20"/>
        </w:rPr>
        <w:t>20725</w:t>
      </w:r>
    </w:p>
    <w:p>
      <w:pPr>
        <w:pStyle w:val="BodyText"/>
        <w:spacing w:before="1"/>
      </w:pPr>
    </w:p>
    <w:p>
      <w:pPr>
        <w:spacing w:before="0"/>
        <w:ind w:left="232" w:right="0" w:firstLine="0"/>
        <w:jc w:val="left"/>
        <w:rPr>
          <w:sz w:val="20"/>
        </w:rPr>
      </w:pPr>
      <w:r>
        <w:rPr>
          <w:b/>
          <w:sz w:val="20"/>
        </w:rPr>
        <w:t>Bloom, D.E., D. Canning and M. Moore (2014). </w:t>
      </w:r>
      <w:r>
        <w:rPr>
          <w:sz w:val="20"/>
        </w:rPr>
        <w:t>‘Optimal Retirement with Increasing Longevity’.</w:t>
      </w:r>
    </w:p>
    <w:p>
      <w:pPr>
        <w:spacing w:before="1"/>
        <w:ind w:left="232" w:right="0" w:firstLine="0"/>
        <w:jc w:val="left"/>
        <w:rPr>
          <w:sz w:val="20"/>
        </w:rPr>
      </w:pPr>
      <w:r>
        <w:rPr>
          <w:i/>
          <w:sz w:val="20"/>
        </w:rPr>
        <w:t>Scandinavian Journal of Economics, </w:t>
      </w:r>
      <w:r>
        <w:rPr>
          <w:sz w:val="20"/>
        </w:rPr>
        <w:t>116. pp 838-858.</w:t>
      </w:r>
    </w:p>
    <w:p>
      <w:pPr>
        <w:pStyle w:val="BodyText"/>
        <w:spacing w:before="9"/>
        <w:rPr>
          <w:sz w:val="19"/>
        </w:rPr>
      </w:pPr>
    </w:p>
    <w:p>
      <w:pPr>
        <w:spacing w:before="1"/>
        <w:ind w:left="232" w:right="1376" w:firstLine="0"/>
        <w:jc w:val="left"/>
        <w:rPr>
          <w:i/>
          <w:sz w:val="20"/>
        </w:rPr>
      </w:pPr>
      <w:r>
        <w:rPr>
          <w:b/>
          <w:sz w:val="20"/>
        </w:rPr>
        <w:t>Bolt, J. and J. L. van Zanden (2014). </w:t>
      </w:r>
      <w:r>
        <w:rPr>
          <w:sz w:val="20"/>
        </w:rPr>
        <w:t>‘The Maddison Project: collaborative research on historical national accounts’. </w:t>
      </w:r>
      <w:r>
        <w:rPr>
          <w:i/>
          <w:sz w:val="20"/>
        </w:rPr>
        <w:t>Economic History Review, </w:t>
      </w:r>
      <w:r>
        <w:rPr>
          <w:sz w:val="20"/>
        </w:rPr>
        <w:t>67(3), pp. 627–651</w:t>
      </w:r>
      <w:r>
        <w:rPr>
          <w:i/>
          <w:sz w:val="20"/>
        </w:rPr>
        <w:t>.</w:t>
      </w:r>
    </w:p>
    <w:p>
      <w:pPr>
        <w:pStyle w:val="BodyText"/>
        <w:spacing w:before="1"/>
        <w:rPr>
          <w:i/>
        </w:rPr>
      </w:pPr>
    </w:p>
    <w:p>
      <w:pPr>
        <w:pStyle w:val="BodyText"/>
        <w:spacing w:line="242" w:lineRule="auto"/>
        <w:ind w:left="232" w:right="1093"/>
      </w:pPr>
      <w:r>
        <w:rPr>
          <w:b/>
        </w:rPr>
        <w:t>Broadbent, B. (2014) </w:t>
      </w:r>
      <w:r>
        <w:rPr/>
        <w:t>‘Monetary policy, asset prices and distribution’, speech delivered to the Society of Business Economists Annual Conference</w:t>
      </w:r>
    </w:p>
    <w:p>
      <w:pPr>
        <w:pStyle w:val="BodyText"/>
        <w:spacing w:before="5"/>
        <w:rPr>
          <w:sz w:val="19"/>
        </w:rPr>
      </w:pPr>
    </w:p>
    <w:p>
      <w:pPr>
        <w:spacing w:before="1"/>
        <w:ind w:left="232" w:right="1142" w:firstLine="0"/>
        <w:jc w:val="left"/>
        <w:rPr>
          <w:i/>
          <w:sz w:val="20"/>
        </w:rPr>
      </w:pPr>
      <w:r>
        <w:rPr>
          <w:b/>
          <w:sz w:val="20"/>
        </w:rPr>
        <w:t>Caselli, F. and J. Feyrer (2007). </w:t>
      </w:r>
      <w:r>
        <w:rPr>
          <w:sz w:val="20"/>
        </w:rPr>
        <w:t>‘The Marginal Product of Capital’. </w:t>
      </w:r>
      <w:r>
        <w:rPr>
          <w:i/>
          <w:sz w:val="20"/>
        </w:rPr>
        <w:t>Quarterly Journal of Economics, </w:t>
      </w:r>
      <w:r>
        <w:rPr>
          <w:sz w:val="20"/>
        </w:rPr>
        <w:t>122, pp. 535.568</w:t>
      </w:r>
      <w:r>
        <w:rPr>
          <w:i/>
          <w:sz w:val="20"/>
        </w:rPr>
        <w:t>.</w:t>
      </w:r>
    </w:p>
    <w:p>
      <w:pPr>
        <w:pStyle w:val="BodyText"/>
        <w:spacing w:before="1"/>
        <w:rPr>
          <w:i/>
        </w:rPr>
      </w:pPr>
    </w:p>
    <w:p>
      <w:pPr>
        <w:spacing w:before="0"/>
        <w:ind w:left="232" w:right="0" w:firstLine="0"/>
        <w:jc w:val="left"/>
        <w:rPr>
          <w:sz w:val="20"/>
        </w:rPr>
      </w:pPr>
      <w:r>
        <w:rPr>
          <w:b/>
          <w:sz w:val="20"/>
        </w:rPr>
        <w:t>Eurostat (2014). </w:t>
      </w:r>
      <w:r>
        <w:rPr>
          <w:sz w:val="20"/>
        </w:rPr>
        <w:t>‘Taxation Trends in the European Union’.</w:t>
      </w:r>
    </w:p>
    <w:p>
      <w:pPr>
        <w:pStyle w:val="BodyText"/>
        <w:spacing w:before="1"/>
      </w:pPr>
    </w:p>
    <w:p>
      <w:pPr>
        <w:spacing w:before="0"/>
        <w:ind w:left="232" w:right="1866" w:firstLine="0"/>
        <w:jc w:val="left"/>
        <w:rPr>
          <w:sz w:val="20"/>
        </w:rPr>
      </w:pPr>
      <w:r>
        <w:rPr>
          <w:b/>
          <w:sz w:val="20"/>
        </w:rPr>
        <w:t>Fawcett, N. and G. Cameron (2005) </w:t>
      </w:r>
      <w:r>
        <w:rPr>
          <w:sz w:val="20"/>
        </w:rPr>
        <w:t>‘The Five Drivers of Productivity’, </w:t>
      </w:r>
      <w:r>
        <w:rPr>
          <w:i/>
          <w:sz w:val="20"/>
        </w:rPr>
        <w:t>Oxford University Economics </w:t>
      </w:r>
      <w:r>
        <w:rPr>
          <w:i/>
          <w:sz w:val="20"/>
        </w:rPr>
        <w:t>Discussion Paper </w:t>
      </w:r>
      <w:r>
        <w:rPr>
          <w:sz w:val="20"/>
        </w:rPr>
        <w:t>252</w:t>
      </w:r>
    </w:p>
    <w:p>
      <w:pPr>
        <w:pStyle w:val="BodyText"/>
        <w:spacing w:before="10"/>
        <w:rPr>
          <w:sz w:val="19"/>
        </w:rPr>
      </w:pPr>
    </w:p>
    <w:p>
      <w:pPr>
        <w:spacing w:before="0"/>
        <w:ind w:left="232" w:right="1998" w:firstLine="0"/>
        <w:jc w:val="left"/>
        <w:rPr>
          <w:sz w:val="20"/>
        </w:rPr>
      </w:pPr>
      <w:r>
        <w:rPr>
          <w:b/>
          <w:sz w:val="20"/>
        </w:rPr>
        <w:t>Gordon, R. J. (2004) </w:t>
      </w:r>
      <w:r>
        <w:rPr>
          <w:sz w:val="20"/>
        </w:rPr>
        <w:t>‘Why was Europe Left at the Station when America’s Productivity Locomotive Departed?’, </w:t>
      </w:r>
      <w:r>
        <w:rPr>
          <w:i/>
          <w:sz w:val="20"/>
        </w:rPr>
        <w:t>NBER Working Papers</w:t>
      </w:r>
      <w:r>
        <w:rPr>
          <w:sz w:val="20"/>
        </w:rPr>
        <w:t>, 10661.</w:t>
      </w:r>
    </w:p>
    <w:p>
      <w:pPr>
        <w:pStyle w:val="BodyText"/>
        <w:spacing w:before="11"/>
        <w:rPr>
          <w:sz w:val="19"/>
        </w:rPr>
      </w:pPr>
    </w:p>
    <w:p>
      <w:pPr>
        <w:spacing w:before="0"/>
        <w:ind w:left="232" w:right="0" w:firstLine="0"/>
        <w:jc w:val="left"/>
        <w:rPr>
          <w:sz w:val="20"/>
        </w:rPr>
      </w:pPr>
      <w:r>
        <w:rPr>
          <w:b/>
          <w:sz w:val="20"/>
        </w:rPr>
        <w:t>Gordon, R. J. (2014). </w:t>
      </w:r>
      <w:r>
        <w:rPr>
          <w:sz w:val="20"/>
        </w:rPr>
        <w:t>‘The Demise of U.S. Economic Growth: Restatement, Rebuttal, and Reflections’.</w:t>
      </w:r>
    </w:p>
    <w:p>
      <w:pPr>
        <w:spacing w:before="0"/>
        <w:ind w:left="232" w:right="0" w:firstLine="0"/>
        <w:jc w:val="left"/>
        <w:rPr>
          <w:sz w:val="20"/>
        </w:rPr>
      </w:pPr>
      <w:r>
        <w:rPr>
          <w:i/>
          <w:sz w:val="20"/>
        </w:rPr>
        <w:t>NBER Working Papers </w:t>
      </w:r>
      <w:r>
        <w:rPr>
          <w:sz w:val="20"/>
        </w:rPr>
        <w:t>19895</w:t>
      </w:r>
    </w:p>
    <w:p>
      <w:pPr>
        <w:pStyle w:val="BodyText"/>
        <w:spacing w:before="1"/>
      </w:pPr>
    </w:p>
    <w:p>
      <w:pPr>
        <w:spacing w:before="0"/>
        <w:ind w:left="232" w:right="0" w:firstLine="0"/>
        <w:jc w:val="left"/>
        <w:rPr>
          <w:sz w:val="20"/>
        </w:rPr>
      </w:pPr>
      <w:r>
        <w:rPr>
          <w:b/>
          <w:sz w:val="20"/>
        </w:rPr>
        <w:t>Harrod, R. (1948). </w:t>
      </w:r>
      <w:r>
        <w:rPr>
          <w:i/>
          <w:sz w:val="20"/>
        </w:rPr>
        <w:t>Towards a Dynamic Economics</w:t>
      </w:r>
      <w:r>
        <w:rPr>
          <w:sz w:val="20"/>
        </w:rPr>
        <w:t>. London Macmillan.</w:t>
      </w:r>
    </w:p>
    <w:p>
      <w:pPr>
        <w:pStyle w:val="BodyText"/>
        <w:spacing w:before="1"/>
      </w:pPr>
    </w:p>
    <w:p>
      <w:pPr>
        <w:spacing w:before="0"/>
        <w:ind w:left="232" w:right="1093" w:firstLine="0"/>
        <w:jc w:val="left"/>
        <w:rPr>
          <w:sz w:val="20"/>
        </w:rPr>
      </w:pPr>
      <w:r>
        <w:rPr>
          <w:b/>
          <w:sz w:val="20"/>
        </w:rPr>
        <w:t>Hayashi, F. (1982). </w:t>
      </w:r>
      <w:r>
        <w:rPr>
          <w:sz w:val="20"/>
        </w:rPr>
        <w:t>‘Tobin's Marginal q and Average q: A Neoclassical Interpretation’. </w:t>
      </w:r>
      <w:r>
        <w:rPr>
          <w:i/>
          <w:sz w:val="20"/>
        </w:rPr>
        <w:t>Econometrica, </w:t>
      </w:r>
      <w:r>
        <w:rPr>
          <w:sz w:val="20"/>
        </w:rPr>
        <w:t>50(1), pp. 213-24.</w:t>
      </w:r>
    </w:p>
    <w:p>
      <w:pPr>
        <w:pStyle w:val="BodyText"/>
        <w:spacing w:before="11"/>
        <w:rPr>
          <w:sz w:val="19"/>
        </w:rPr>
      </w:pPr>
    </w:p>
    <w:p>
      <w:pPr>
        <w:spacing w:before="0"/>
        <w:ind w:left="232" w:right="0" w:firstLine="0"/>
        <w:jc w:val="left"/>
        <w:rPr>
          <w:sz w:val="20"/>
        </w:rPr>
      </w:pPr>
      <w:r>
        <w:rPr>
          <w:b/>
          <w:sz w:val="20"/>
        </w:rPr>
        <w:t>Hicks, J. (1932). </w:t>
      </w:r>
      <w:r>
        <w:rPr>
          <w:i/>
          <w:sz w:val="20"/>
        </w:rPr>
        <w:t>The Theory of Wages. </w:t>
      </w:r>
      <w:r>
        <w:rPr>
          <w:sz w:val="20"/>
        </w:rPr>
        <w:t>London: Macmillan</w:t>
      </w:r>
    </w:p>
    <w:p>
      <w:pPr>
        <w:pStyle w:val="BodyText"/>
      </w:pPr>
    </w:p>
    <w:p>
      <w:pPr>
        <w:spacing w:before="1"/>
        <w:ind w:left="232" w:right="0" w:firstLine="0"/>
        <w:jc w:val="left"/>
        <w:rPr>
          <w:sz w:val="20"/>
        </w:rPr>
      </w:pPr>
      <w:r>
        <w:rPr>
          <w:b/>
          <w:sz w:val="20"/>
        </w:rPr>
        <w:t>HM Treasury (2000) </w:t>
      </w:r>
      <w:r>
        <w:rPr>
          <w:i/>
          <w:sz w:val="20"/>
        </w:rPr>
        <w:t>Productivity in the UK</w:t>
      </w:r>
      <w:r>
        <w:rPr>
          <w:sz w:val="20"/>
        </w:rPr>
        <w:t>, London</w:t>
      </w:r>
    </w:p>
    <w:p>
      <w:pPr>
        <w:pStyle w:val="BodyText"/>
        <w:spacing w:before="9"/>
        <w:rPr>
          <w:sz w:val="19"/>
        </w:rPr>
      </w:pPr>
    </w:p>
    <w:p>
      <w:pPr>
        <w:spacing w:before="1"/>
        <w:ind w:left="232" w:right="0" w:firstLine="0"/>
        <w:jc w:val="left"/>
        <w:rPr>
          <w:sz w:val="20"/>
        </w:rPr>
      </w:pPr>
      <w:r>
        <w:rPr>
          <w:b/>
          <w:sz w:val="20"/>
        </w:rPr>
        <w:t>HM Treasury (2015) </w:t>
      </w:r>
      <w:r>
        <w:rPr>
          <w:i/>
          <w:sz w:val="20"/>
        </w:rPr>
        <w:t>Fixing the foundations: creating a more prosperous nation</w:t>
      </w:r>
      <w:r>
        <w:rPr>
          <w:sz w:val="20"/>
        </w:rPr>
        <w:t>, London</w:t>
      </w:r>
    </w:p>
    <w:p>
      <w:pPr>
        <w:pStyle w:val="BodyText"/>
      </w:pPr>
    </w:p>
    <w:p>
      <w:pPr>
        <w:spacing w:before="0"/>
        <w:ind w:left="232" w:right="0" w:firstLine="0"/>
        <w:jc w:val="left"/>
        <w:rPr>
          <w:i/>
          <w:sz w:val="20"/>
        </w:rPr>
      </w:pPr>
      <w:r>
        <w:rPr>
          <w:b/>
          <w:sz w:val="20"/>
        </w:rPr>
        <w:t>Izyumov, A. and J. Vahaly (2015) </w:t>
      </w:r>
      <w:r>
        <w:rPr>
          <w:sz w:val="20"/>
        </w:rPr>
        <w:t>‘Income share revisited’. </w:t>
      </w:r>
      <w:r>
        <w:rPr>
          <w:i/>
          <w:sz w:val="20"/>
        </w:rPr>
        <w:t>Review of Income and Wealth</w:t>
      </w:r>
      <w:r>
        <w:rPr>
          <w:sz w:val="20"/>
        </w:rPr>
        <w:t>, 61 (1)</w:t>
      </w:r>
      <w:r>
        <w:rPr>
          <w:i/>
          <w:sz w:val="20"/>
        </w:rPr>
        <w:t>.</w:t>
      </w:r>
    </w:p>
    <w:p>
      <w:pPr>
        <w:pStyle w:val="BodyText"/>
        <w:spacing w:before="1"/>
        <w:rPr>
          <w:i/>
        </w:rPr>
      </w:pPr>
    </w:p>
    <w:p>
      <w:pPr>
        <w:spacing w:before="0"/>
        <w:ind w:left="232" w:right="1555" w:firstLine="0"/>
        <w:jc w:val="left"/>
        <w:rPr>
          <w:i/>
          <w:sz w:val="20"/>
        </w:rPr>
      </w:pPr>
      <w:r>
        <w:rPr>
          <w:b/>
          <w:sz w:val="20"/>
        </w:rPr>
        <w:t>Jorgenson, D., F. Gollop and B. Fraumeni (1987) </w:t>
      </w:r>
      <w:r>
        <w:rPr>
          <w:i/>
          <w:sz w:val="20"/>
        </w:rPr>
        <w:t>Productivity and U.S. economic growth</w:t>
      </w:r>
      <w:r>
        <w:rPr>
          <w:sz w:val="20"/>
        </w:rPr>
        <w:t>, Cambridge, Harvard University Press</w:t>
      </w:r>
      <w:r>
        <w:rPr>
          <w:i/>
          <w:sz w:val="20"/>
        </w:rPr>
        <w:t>.</w:t>
      </w:r>
    </w:p>
    <w:p>
      <w:pPr>
        <w:pStyle w:val="BodyText"/>
        <w:spacing w:before="10"/>
        <w:rPr>
          <w:i/>
          <w:sz w:val="19"/>
        </w:rPr>
      </w:pPr>
    </w:p>
    <w:p>
      <w:pPr>
        <w:spacing w:before="1"/>
        <w:ind w:left="232" w:right="1687" w:firstLine="0"/>
        <w:jc w:val="left"/>
        <w:rPr>
          <w:i/>
          <w:sz w:val="20"/>
        </w:rPr>
      </w:pPr>
      <w:r>
        <w:rPr>
          <w:b/>
          <w:sz w:val="20"/>
        </w:rPr>
        <w:t>Layard, R., S. Nickell and R. Jackman (2005) </w:t>
      </w:r>
      <w:r>
        <w:rPr>
          <w:sz w:val="20"/>
        </w:rPr>
        <w:t>‘Unemployment: Macroeconomic Performance and the Labour Market’. </w:t>
      </w:r>
      <w:r>
        <w:rPr>
          <w:i/>
          <w:sz w:val="20"/>
        </w:rPr>
        <w:t>OUP Catalogue, Oxford University Press.</w:t>
      </w:r>
    </w:p>
    <w:p>
      <w:pPr>
        <w:spacing w:after="0"/>
        <w:jc w:val="left"/>
        <w:rPr>
          <w:sz w:val="20"/>
        </w:rPr>
        <w:sectPr>
          <w:pgSz w:w="11910" w:h="16840"/>
          <w:pgMar w:header="0" w:footer="1338" w:top="1520" w:bottom="1520" w:left="900" w:right="0"/>
        </w:sectPr>
      </w:pPr>
    </w:p>
    <w:p>
      <w:pPr>
        <w:spacing w:line="240" w:lineRule="auto" w:before="77"/>
        <w:ind w:left="232" w:right="1154" w:firstLine="0"/>
        <w:jc w:val="left"/>
        <w:rPr>
          <w:sz w:val="20"/>
        </w:rPr>
      </w:pPr>
      <w:r>
        <w:rPr>
          <w:b/>
          <w:sz w:val="20"/>
        </w:rPr>
        <w:t>Marris, R. (1964) </w:t>
      </w:r>
      <w:r>
        <w:rPr>
          <w:i/>
          <w:sz w:val="20"/>
        </w:rPr>
        <w:t>The Economic Theory of "Managerial" Capitalism</w:t>
      </w:r>
      <w:r>
        <w:rPr>
          <w:sz w:val="20"/>
        </w:rPr>
        <w:t>, New York: Free Press of Glencoe </w:t>
      </w:r>
      <w:r>
        <w:rPr>
          <w:b/>
          <w:sz w:val="20"/>
        </w:rPr>
        <w:t>OECD (2004) </w:t>
      </w:r>
      <w:r>
        <w:rPr>
          <w:sz w:val="20"/>
        </w:rPr>
        <w:t>‘Employment Protection Regulation and Labour Market Performance’, </w:t>
      </w:r>
      <w:r>
        <w:rPr>
          <w:i/>
          <w:sz w:val="20"/>
        </w:rPr>
        <w:t>Employment Outlook</w:t>
      </w:r>
      <w:r>
        <w:rPr>
          <w:sz w:val="20"/>
        </w:rPr>
        <w:t>, 1, 61–125.</w:t>
      </w:r>
    </w:p>
    <w:p>
      <w:pPr>
        <w:pStyle w:val="BodyText"/>
        <w:spacing w:before="10"/>
        <w:rPr>
          <w:sz w:val="19"/>
        </w:rPr>
      </w:pPr>
    </w:p>
    <w:p>
      <w:pPr>
        <w:spacing w:before="0"/>
        <w:ind w:left="232" w:right="0" w:firstLine="0"/>
        <w:jc w:val="left"/>
        <w:rPr>
          <w:sz w:val="20"/>
        </w:rPr>
      </w:pPr>
      <w:r>
        <w:rPr>
          <w:b/>
          <w:sz w:val="20"/>
        </w:rPr>
        <w:t>OECD (2010) </w:t>
      </w:r>
      <w:r>
        <w:rPr>
          <w:i/>
          <w:sz w:val="20"/>
        </w:rPr>
        <w:t>Economic Policy Reforms: Going for Growth 2010</w:t>
      </w:r>
      <w:r>
        <w:rPr>
          <w:sz w:val="20"/>
        </w:rPr>
        <w:t>, OECD: Paris</w:t>
      </w:r>
    </w:p>
    <w:p>
      <w:pPr>
        <w:pStyle w:val="BodyText"/>
        <w:spacing w:before="1"/>
      </w:pPr>
    </w:p>
    <w:p>
      <w:pPr>
        <w:spacing w:before="0"/>
        <w:ind w:left="232" w:right="0" w:firstLine="0"/>
        <w:jc w:val="left"/>
        <w:rPr>
          <w:sz w:val="20"/>
        </w:rPr>
      </w:pPr>
      <w:r>
        <w:rPr>
          <w:b/>
          <w:sz w:val="20"/>
        </w:rPr>
        <w:t>OECD (2013a) </w:t>
      </w:r>
      <w:r>
        <w:rPr>
          <w:i/>
          <w:sz w:val="20"/>
        </w:rPr>
        <w:t>Product Market Regulation Database</w:t>
      </w:r>
      <w:r>
        <w:rPr>
          <w:sz w:val="20"/>
        </w:rPr>
        <w:t>, </w:t>
      </w:r>
      <w:hyperlink r:id="rId23">
        <w:r>
          <w:rPr>
            <w:color w:val="0000FF"/>
            <w:sz w:val="20"/>
            <w:u w:val="single" w:color="0000FF"/>
          </w:rPr>
          <w:t>http://www.oecd.org/economy/pmr</w:t>
        </w:r>
      </w:hyperlink>
    </w:p>
    <w:p>
      <w:pPr>
        <w:pStyle w:val="BodyText"/>
        <w:spacing w:before="9"/>
        <w:rPr>
          <w:sz w:val="11"/>
        </w:rPr>
      </w:pPr>
    </w:p>
    <w:p>
      <w:pPr>
        <w:spacing w:before="93"/>
        <w:ind w:left="232" w:right="1093" w:firstLine="0"/>
        <w:jc w:val="left"/>
        <w:rPr>
          <w:sz w:val="20"/>
        </w:rPr>
      </w:pPr>
      <w:r>
        <w:rPr>
          <w:b/>
          <w:sz w:val="20"/>
        </w:rPr>
        <w:t>OECD (2013b) </w:t>
      </w:r>
      <w:r>
        <w:rPr>
          <w:sz w:val="20"/>
        </w:rPr>
        <w:t>‘Protecting jobs, enhancing flexibility: A new look at employment protection legislation’, Chapter 2 of the </w:t>
      </w:r>
      <w:r>
        <w:rPr>
          <w:i/>
          <w:sz w:val="20"/>
        </w:rPr>
        <w:t>OECD Employment Outlook 2013</w:t>
      </w:r>
      <w:r>
        <w:rPr>
          <w:sz w:val="20"/>
        </w:rPr>
        <w:t>, OECD: Paris</w:t>
      </w:r>
    </w:p>
    <w:p>
      <w:pPr>
        <w:pStyle w:val="BodyText"/>
        <w:spacing w:before="1"/>
      </w:pPr>
    </w:p>
    <w:p>
      <w:pPr>
        <w:spacing w:before="0"/>
        <w:ind w:left="232" w:right="0" w:firstLine="0"/>
        <w:jc w:val="left"/>
        <w:rPr>
          <w:sz w:val="20"/>
        </w:rPr>
      </w:pPr>
      <w:r>
        <w:rPr>
          <w:b/>
          <w:sz w:val="20"/>
        </w:rPr>
        <w:t>OECD (2015a) </w:t>
      </w:r>
      <w:r>
        <w:rPr>
          <w:sz w:val="20"/>
        </w:rPr>
        <w:t>‘Chapter 2: Skills and Wage Inequality’. </w:t>
      </w:r>
      <w:r>
        <w:rPr>
          <w:i/>
          <w:sz w:val="20"/>
        </w:rPr>
        <w:t>OECD Employment Outlook 2015</w:t>
      </w:r>
      <w:r>
        <w:rPr>
          <w:sz w:val="20"/>
        </w:rPr>
        <w:t>, OECD: Paris</w:t>
      </w:r>
    </w:p>
    <w:p>
      <w:pPr>
        <w:pStyle w:val="BodyText"/>
        <w:spacing w:before="10"/>
        <w:rPr>
          <w:sz w:val="19"/>
        </w:rPr>
      </w:pPr>
    </w:p>
    <w:p>
      <w:pPr>
        <w:spacing w:before="0"/>
        <w:ind w:left="232" w:right="0" w:firstLine="0"/>
        <w:jc w:val="left"/>
        <w:rPr>
          <w:sz w:val="20"/>
        </w:rPr>
      </w:pPr>
      <w:r>
        <w:rPr>
          <w:b/>
          <w:sz w:val="20"/>
        </w:rPr>
        <w:t>OECD (2015b) </w:t>
      </w:r>
      <w:r>
        <w:rPr>
          <w:i/>
          <w:sz w:val="20"/>
        </w:rPr>
        <w:t>Economic Policy Reforms: Going for Growth 2015</w:t>
      </w:r>
      <w:r>
        <w:rPr>
          <w:sz w:val="20"/>
        </w:rPr>
        <w:t>, OECD: Paris</w:t>
      </w:r>
    </w:p>
    <w:p>
      <w:pPr>
        <w:pStyle w:val="BodyText"/>
        <w:spacing w:before="1"/>
      </w:pPr>
    </w:p>
    <w:p>
      <w:pPr>
        <w:spacing w:before="1"/>
        <w:ind w:left="232" w:right="1754" w:firstLine="0"/>
        <w:jc w:val="left"/>
        <w:rPr>
          <w:i/>
          <w:sz w:val="20"/>
        </w:rPr>
      </w:pPr>
      <w:r>
        <w:rPr>
          <w:b/>
          <w:sz w:val="20"/>
        </w:rPr>
        <w:t>Oulton, N. and S. Srinivasan (2003) </w:t>
      </w:r>
      <w:r>
        <w:rPr>
          <w:sz w:val="20"/>
        </w:rPr>
        <w:t>‘Capital stocks, capital services, and depreciation: an integrated framework’. </w:t>
      </w:r>
      <w:r>
        <w:rPr>
          <w:i/>
          <w:sz w:val="20"/>
        </w:rPr>
        <w:t>Bank of England Working Paper No. 192.</w:t>
      </w:r>
    </w:p>
    <w:p>
      <w:pPr>
        <w:pStyle w:val="BodyText"/>
        <w:spacing w:before="10"/>
        <w:rPr>
          <w:i/>
          <w:sz w:val="19"/>
        </w:rPr>
      </w:pPr>
    </w:p>
    <w:p>
      <w:pPr>
        <w:spacing w:before="0"/>
        <w:ind w:left="232" w:right="0" w:firstLine="0"/>
        <w:jc w:val="left"/>
        <w:rPr>
          <w:sz w:val="20"/>
        </w:rPr>
      </w:pPr>
      <w:r>
        <w:rPr>
          <w:b/>
          <w:sz w:val="20"/>
        </w:rPr>
        <w:t>Piketty, T. and G. Zucman (2014) </w:t>
      </w:r>
      <w:r>
        <w:rPr>
          <w:sz w:val="20"/>
        </w:rPr>
        <w:t>‘Capital is Back: Wealth-Income Ratios in Rich Countries 1700-2010’.</w:t>
      </w:r>
    </w:p>
    <w:p>
      <w:pPr>
        <w:spacing w:before="0"/>
        <w:ind w:left="232" w:right="0" w:firstLine="0"/>
        <w:jc w:val="left"/>
        <w:rPr>
          <w:sz w:val="20"/>
        </w:rPr>
      </w:pPr>
      <w:r>
        <w:rPr>
          <w:i/>
          <w:sz w:val="20"/>
        </w:rPr>
        <w:t>Quarterly Journal of Economics, </w:t>
      </w:r>
      <w:r>
        <w:rPr>
          <w:sz w:val="20"/>
        </w:rPr>
        <w:t>129(3), pp. 1255-1310.</w:t>
      </w:r>
    </w:p>
    <w:p>
      <w:pPr>
        <w:pStyle w:val="BodyText"/>
        <w:spacing w:before="1"/>
      </w:pPr>
    </w:p>
    <w:p>
      <w:pPr>
        <w:spacing w:before="0"/>
        <w:ind w:left="232" w:right="1119" w:firstLine="0"/>
        <w:jc w:val="left"/>
        <w:rPr>
          <w:i/>
          <w:sz w:val="20"/>
        </w:rPr>
      </w:pPr>
      <w:r>
        <w:rPr>
          <w:b/>
          <w:sz w:val="20"/>
        </w:rPr>
        <w:t>Solow, R. (1957) </w:t>
      </w:r>
      <w:r>
        <w:rPr>
          <w:sz w:val="20"/>
        </w:rPr>
        <w:t>‘Technical Change and the Aggregate Production Function’. </w:t>
      </w:r>
      <w:r>
        <w:rPr>
          <w:i/>
          <w:sz w:val="20"/>
        </w:rPr>
        <w:t>The Review of Economics and </w:t>
      </w:r>
      <w:r>
        <w:rPr>
          <w:i/>
          <w:sz w:val="20"/>
        </w:rPr>
        <w:t>Statistics, MIT Press, Vol. 39, No. 3, pp. 312-320, August.</w:t>
      </w:r>
    </w:p>
    <w:p>
      <w:pPr>
        <w:pStyle w:val="BodyText"/>
        <w:spacing w:before="10"/>
        <w:rPr>
          <w:i/>
          <w:sz w:val="19"/>
        </w:rPr>
      </w:pPr>
    </w:p>
    <w:p>
      <w:pPr>
        <w:spacing w:before="1"/>
        <w:ind w:left="232" w:right="0" w:firstLine="0"/>
        <w:jc w:val="left"/>
        <w:rPr>
          <w:sz w:val="20"/>
        </w:rPr>
      </w:pPr>
      <w:r>
        <w:rPr>
          <w:b/>
          <w:sz w:val="20"/>
        </w:rPr>
        <w:t>Stokey, N. (2015) </w:t>
      </w:r>
      <w:r>
        <w:rPr>
          <w:sz w:val="20"/>
        </w:rPr>
        <w:t>‘Catching up and falling behind’. </w:t>
      </w:r>
      <w:r>
        <w:rPr>
          <w:i/>
          <w:sz w:val="20"/>
        </w:rPr>
        <w:t>Journal of Economic Growth, </w:t>
      </w:r>
      <w:r>
        <w:rPr>
          <w:sz w:val="20"/>
        </w:rPr>
        <w:t>20 (1), pp. 1-36.</w:t>
      </w:r>
    </w:p>
    <w:p>
      <w:pPr>
        <w:pStyle w:val="BodyText"/>
      </w:pPr>
    </w:p>
    <w:p>
      <w:pPr>
        <w:spacing w:before="0"/>
        <w:ind w:left="232" w:right="0" w:firstLine="0"/>
        <w:jc w:val="left"/>
        <w:rPr>
          <w:sz w:val="20"/>
        </w:rPr>
      </w:pPr>
      <w:r>
        <w:rPr>
          <w:b/>
          <w:sz w:val="20"/>
        </w:rPr>
        <w:t>Summers, L. (2015) </w:t>
      </w:r>
      <w:r>
        <w:rPr>
          <w:sz w:val="20"/>
        </w:rPr>
        <w:t>‘Demand Side Secular Stagnation’. </w:t>
      </w:r>
      <w:r>
        <w:rPr>
          <w:i/>
          <w:sz w:val="20"/>
        </w:rPr>
        <w:t>American Economic Review</w:t>
      </w:r>
      <w:r>
        <w:rPr>
          <w:sz w:val="20"/>
        </w:rPr>
        <w:t>, 105(5), pp. 60-65.</w:t>
      </w:r>
    </w:p>
    <w:p>
      <w:pPr>
        <w:spacing w:before="1"/>
        <w:ind w:left="232" w:right="0" w:firstLine="0"/>
        <w:jc w:val="left"/>
        <w:rPr>
          <w:sz w:val="20"/>
        </w:rPr>
      </w:pPr>
      <w:r>
        <w:rPr>
          <w:b/>
          <w:sz w:val="20"/>
        </w:rPr>
        <w:t>UN (2015) </w:t>
      </w:r>
      <w:r>
        <w:rPr>
          <w:i/>
          <w:sz w:val="20"/>
        </w:rPr>
        <w:t>World Population Prospects 2015</w:t>
      </w:r>
      <w:r>
        <w:rPr>
          <w:sz w:val="20"/>
        </w:rPr>
        <w:t>, UN: New York</w:t>
      </w:r>
    </w:p>
    <w:p>
      <w:pPr>
        <w:spacing w:after="0"/>
        <w:jc w:val="left"/>
        <w:rPr>
          <w:sz w:val="20"/>
        </w:rPr>
        <w:sectPr>
          <w:pgSz w:w="11910" w:h="16840"/>
          <w:pgMar w:header="0" w:footer="1338" w:top="1520" w:bottom="1520" w:left="900" w:right="0"/>
        </w:sectPr>
      </w:pPr>
    </w:p>
    <w:p>
      <w:pPr>
        <w:pStyle w:val="Heading1"/>
        <w:spacing w:before="77"/>
      </w:pPr>
      <w:r>
        <w:rPr>
          <w:color w:val="4F81BC"/>
        </w:rPr>
        <w:t>Appendix I: Calculation of Rates of Return</w:t>
      </w:r>
    </w:p>
    <w:p>
      <w:pPr>
        <w:pStyle w:val="BodyText"/>
        <w:rPr>
          <w:b/>
          <w:sz w:val="22"/>
        </w:rPr>
      </w:pPr>
    </w:p>
    <w:p>
      <w:pPr>
        <w:pStyle w:val="BodyText"/>
        <w:spacing w:before="1"/>
        <w:rPr>
          <w:b/>
          <w:sz w:val="18"/>
        </w:rPr>
      </w:pPr>
    </w:p>
    <w:p>
      <w:pPr>
        <w:pStyle w:val="BodyText"/>
        <w:spacing w:line="360" w:lineRule="auto"/>
        <w:ind w:left="232" w:right="1152"/>
      </w:pPr>
      <w:r>
        <w:rPr/>
        <w:t>The return to capital can be calculated in a number of different ways. The measure we focus on in the first instance is computed as the value of operating surplus net of depreciation divided by the capital stock. There are, broadly speaking, four different types of capital. First there is capital equipment, buildings, machinery and transport equipment. Secondly there is intangible capital. This has been measured only relatively recently; it represents items such as the stock of knowledge resulting from research and development activity. Even though it is harder than conventional capital equipment, the role that it plays in the production process is straightforward enough to understand. Thirdly, while stocks do not play a role in the process of physical production, businesses know that in order to produce efficiently, they have to keep adequate stock levels. “Just in time” stock management has the advantage that it keeps stocks to a minimum. But it does leave production vulnerable to supply disruption. An efficiently run business will strike a balance between the risks of disruption and the costs of holding and managing large levels of stocks. Finally, land is a</w:t>
      </w:r>
    </w:p>
    <w:p>
      <w:pPr>
        <w:pStyle w:val="BodyText"/>
        <w:spacing w:line="360" w:lineRule="auto"/>
        <w:ind w:left="232" w:right="1696"/>
      </w:pPr>
      <w:r>
        <w:rPr/>
        <w:t>non-produced capital good whose importance to the economy cannot be denied. After all, people need somewhere to live and industrial enterprises need premises.</w:t>
      </w:r>
    </w:p>
    <w:p>
      <w:pPr>
        <w:pStyle w:val="BodyText"/>
        <w:spacing w:line="355" w:lineRule="auto" w:before="112"/>
        <w:ind w:left="232" w:right="1185"/>
      </w:pPr>
      <w:r>
        <w:rPr/>
        <w:t>The first three of these can be measured either at the cost of production or in terms of the value put on them by financial markets18 . The fourth, land, has in broad terms, no cost of production and can be measured only at market value. Marris (1964) coined the term “valuation ratio” to represent the ratio of the financial market value of a firm to the replacement cost of its capital.</w:t>
      </w:r>
    </w:p>
    <w:p>
      <w:pPr>
        <w:pStyle w:val="BodyText"/>
        <w:spacing w:before="7"/>
      </w:pPr>
    </w:p>
    <w:p>
      <w:pPr>
        <w:pStyle w:val="BodyText"/>
        <w:spacing w:line="355" w:lineRule="auto"/>
        <w:ind w:left="232" w:right="1196"/>
      </w:pPr>
      <w:r>
        <w:rPr/>
        <w:t>The calculation is complicated by the fact that the incomes of self-employed people, so-called mixed incomes, include both an element of wage income, for the effort that the self-employed person puts into the business, and a return on the capital employed. It is not possible to distinguish the two, perhaps even for the proprietors of such businesses. There is no completely satisfactory way of splitting mixed income between employment income and operating surplus (Izyumov and Vahaly, 2015). The approach most frequently adopted is to assume that the split is the same as that observed between employment income and surplus gross of depreciation in the non-financial corporate sector. This makes it possible to derive an estimate of the surplus straightforwardly.</w:t>
      </w:r>
    </w:p>
    <w:p>
      <w:pPr>
        <w:pStyle w:val="BodyText"/>
        <w:spacing w:before="9"/>
      </w:pPr>
    </w:p>
    <w:p>
      <w:pPr>
        <w:pStyle w:val="BodyText"/>
        <w:spacing w:line="355" w:lineRule="auto"/>
        <w:ind w:left="232" w:right="1363"/>
      </w:pPr>
      <w:r>
        <w:rPr/>
        <w:t>A further complication is that, while business profits are typically collected from surveys and tax data, one important component of operating surplus, the return on owner-occupied housing, is imputed. Estimates of overall returns will depend on how accurate, or inaccurate this imputation is.</w:t>
      </w:r>
    </w:p>
    <w:p>
      <w:pPr>
        <w:pStyle w:val="BodyText"/>
        <w:spacing w:before="9"/>
      </w:pPr>
    </w:p>
    <w:p>
      <w:pPr>
        <w:pStyle w:val="BodyText"/>
        <w:spacing w:line="355" w:lineRule="auto"/>
        <w:ind w:left="232" w:right="1286"/>
      </w:pPr>
      <w:r>
        <w:rPr/>
        <w:t>Finally, an important component of the capital stock, that owned by the government is often provided to users without direct charge. It is not possible to say how far the fact that businesses have access to roads without paying directly for their use increases the profits of the business sector, or perhaps the employment income of the people who work in it. This means, first of all, that the overall return on capital is probably</w:t>
      </w:r>
    </w:p>
    <w:p>
      <w:pPr>
        <w:pStyle w:val="BodyText"/>
      </w:pPr>
    </w:p>
    <w:p>
      <w:pPr>
        <w:pStyle w:val="BodyText"/>
        <w:rPr>
          <w:sz w:val="15"/>
        </w:rPr>
      </w:pPr>
      <w:r>
        <w:rPr/>
        <w:pict>
          <v:shape style="position:absolute;margin-left:56.639999pt;margin-top:10.83335pt;width:144.050pt;height:.1pt;mso-position-horizontal-relative:page;mso-position-vertical-relative:paragraph;z-index:-251584512;mso-wrap-distance-left:0;mso-wrap-distance-right:0" coordorigin="1133,217" coordsize="2881,0" path="m1133,217l4014,217e" filled="false" stroked="true" strokeweight=".47998pt" strokecolor="#000000">
            <v:path arrowok="t"/>
            <v:stroke dashstyle="solid"/>
            <w10:wrap type="topAndBottom"/>
          </v:shape>
        </w:pict>
      </w:r>
    </w:p>
    <w:p>
      <w:pPr>
        <w:spacing w:before="30"/>
        <w:ind w:left="232" w:right="1093" w:firstLine="0"/>
        <w:jc w:val="left"/>
        <w:rPr>
          <w:sz w:val="16"/>
        </w:rPr>
      </w:pPr>
      <w:r>
        <w:rPr>
          <w:position w:val="8"/>
          <w:sz w:val="10"/>
        </w:rPr>
        <w:t>18 </w:t>
      </w:r>
      <w:r>
        <w:rPr>
          <w:sz w:val="16"/>
        </w:rPr>
        <w:t>In financial markets we can observe the value put on businesses but not the individual components of capital which make up their balance sheet.</w:t>
      </w:r>
    </w:p>
    <w:p>
      <w:pPr>
        <w:spacing w:after="0"/>
        <w:jc w:val="left"/>
        <w:rPr>
          <w:sz w:val="16"/>
        </w:rPr>
        <w:sectPr>
          <w:pgSz w:w="11910" w:h="16840"/>
          <w:pgMar w:header="0" w:footer="1338" w:top="1520" w:bottom="1520" w:left="900" w:right="0"/>
        </w:sectPr>
      </w:pPr>
    </w:p>
    <w:p>
      <w:pPr>
        <w:pStyle w:val="BodyText"/>
        <w:spacing w:line="355" w:lineRule="auto" w:before="129"/>
        <w:ind w:left="232" w:right="1308"/>
      </w:pPr>
      <w:r>
        <w:rPr/>
        <w:t>understated and secondly, that the return on capital in the business sector is probably overstated. There is, however, no reason to think that the distortion is on such a scale so as to render the calculation meaningless.</w:t>
      </w:r>
    </w:p>
    <w:sectPr>
      <w:pgSz w:w="11910" w:h="16840"/>
      <w:pgMar w:header="0" w:footer="1338" w:top="1580" w:bottom="1520" w:left="90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17pt;width:517.6pt;height:.25pt;mso-position-horizontal-relative:page;mso-position-vertical-relative:page;z-index:-254067712" coordorigin="778,15221" coordsize="10352,5">
          <v:line style="position:absolute" from="778,15223" to="10421,15223" stroked="true" strokeweight=".24005pt" strokecolor="#000000">
            <v:stroke dashstyle="solid"/>
          </v:line>
          <v:rect style="position:absolute;left:10420;top:15220;width:5;height:5" filled="true" fillcolor="#000000" stroked="false">
            <v:fill type="solid"/>
          </v:rect>
          <v:line style="position:absolute" from="10426,15223" to="11129,15223" stroked="true" strokeweight=".24005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3.440002pt;margin-top:760.250916pt;width:6.55pt;height:3.1pt;mso-position-horizontal-relative:page;mso-position-vertical-relative:page;z-index:-254066688"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95"/>
                    <w:sz w:val="2"/>
                  </w:rPr>
                  <w:instrText> PAGE </w:instrText>
                </w:r>
                <w:r>
                  <w:rPr/>
                  <w:fldChar w:fldCharType="separate"/>
                </w:r>
                <w:r>
                  <w:rPr/>
                  <w:t>1</w:t>
                </w:r>
                <w:r>
                  <w:rPr/>
                  <w:fldChar w:fldCharType="end"/>
                </w:r>
              </w:p>
            </w:txbxContent>
          </v:textbox>
          <w10:wrap type="none"/>
        </v:shape>
      </w:pict>
    </w:r>
    <w:r>
      <w:rPr/>
      <w:pict>
        <v:shape style="position:absolute;margin-left:43.400002pt;margin-top:772.023438pt;width:466.9pt;height:13.15pt;mso-position-horizontal-relative:page;mso-position-vertical-relative:page;z-index:-25406566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17pt;width:517.6pt;height:.25pt;mso-position-horizontal-relative:page;mso-position-vertical-relative:page;z-index:-254064640" coordorigin="778,15221" coordsize="10352,5">
          <v:line style="position:absolute" from="778,15223" to="10421,15223" stroked="true" strokeweight=".24005pt" strokecolor="#000000">
            <v:stroke dashstyle="solid"/>
          </v:line>
          <v:rect style="position:absolute;left:10420;top:15220;width:5;height:5" filled="true" fillcolor="#000000" stroked="false">
            <v:fill type="solid"/>
          </v:rect>
          <v:line style="position:absolute" from="10426,15223" to="11129,15223" stroked="true" strokeweight=".24005pt" strokecolor="#000000">
            <v:stroke dashstyle="solid"/>
          </v:line>
          <w10:wrap type="none"/>
        </v:group>
      </w:pict>
    </w:r>
    <w:r>
      <w:rPr/>
      <w:pict>
        <v:shape style="position:absolute;margin-left:523.440002pt;margin-top:760.250916pt;width:6.55pt;height:3.1pt;mso-position-horizontal-relative:page;mso-position-vertical-relative:page;z-index:-25406361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43.400002pt;margin-top:772.023438pt;width:466.9pt;height:13.15pt;mso-position-horizontal-relative:page;mso-position-vertical-relative:page;z-index:-25406259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22345pt;width:7.55pt;height:13.15pt;mso-position-horizontal-relative:page;mso-position-vertical-relative:page;z-index:-254061568"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17pt;width:517.6pt;height:.25pt;mso-position-horizontal-relative:page;mso-position-vertical-relative:page;z-index:-254060544" coordorigin="778,15221" coordsize="10352,5">
          <v:line style="position:absolute" from="778,15223" to="10421,15223" stroked="true" strokeweight=".24005pt" strokecolor="#000000">
            <v:stroke dashstyle="solid"/>
          </v:line>
          <v:rect style="position:absolute;left:10420;top:15220;width:5;height:5" filled="true" fillcolor="#000000" stroked="false">
            <v:fill type="solid"/>
          </v:rect>
          <v:line style="position:absolute" from="10426,15223" to="11129,15223" stroked="true" strokeweight=".24005pt" strokecolor="#000000">
            <v:stroke dashstyle="solid"/>
          </v:line>
          <w10:wrap type="none"/>
        </v:group>
      </w:pict>
    </w:r>
    <w:r>
      <w:rPr/>
      <w:pict>
        <v:shape style="position:absolute;margin-left:523.440002pt;margin-top:760.250916pt;width:6.55pt;height:3.1pt;mso-position-horizontal-relative:page;mso-position-vertical-relative:page;z-index:-25405952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5</w:t>
                </w:r>
                <w:r>
                  <w:rPr/>
                  <w:fldChar w:fldCharType="end"/>
                </w:r>
              </w:p>
            </w:txbxContent>
          </v:textbox>
          <w10:wrap type="none"/>
        </v:shape>
      </w:pict>
    </w:r>
    <w:r>
      <w:rPr/>
      <w:pict>
        <v:shape style="position:absolute;margin-left:43.400002pt;margin-top:772.023438pt;width:466.9pt;height:13.15pt;mso-position-horizontal-relative:page;mso-position-vertical-relative:page;z-index:-25405849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22345pt;width:7.55pt;height:13.15pt;mso-position-horizontal-relative:page;mso-position-vertical-relative:page;z-index:-254057472" type="#_x0000_t202" filled="false" stroked="false">
          <v:textbox inset="0,0,0,0">
            <w:txbxContent>
              <w:p>
                <w:pPr>
                  <w:pStyle w:val="BodyText"/>
                  <w:spacing w:before="12"/>
                  <w:ind w:left="20"/>
                </w:pPr>
                <w:r>
                  <w:rPr>
                    <w:w w:val="99"/>
                  </w:rPr>
                  <w:t>5</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17pt;width:517.6pt;height:.25pt;mso-position-horizontal-relative:page;mso-position-vertical-relative:page;z-index:-254056448" coordorigin="778,15221" coordsize="10352,5">
          <v:line style="position:absolute" from="778,15223" to="10421,15223" stroked="true" strokeweight=".24005pt" strokecolor="#000000">
            <v:stroke dashstyle="solid"/>
          </v:line>
          <v:rect style="position:absolute;left:10420;top:15220;width:5;height:5" filled="true" fillcolor="#000000" stroked="false">
            <v:fill type="solid"/>
          </v:rect>
          <v:line style="position:absolute" from="10426,15223" to="11129,15223" stroked="true" strokeweight=".24005pt" strokecolor="#000000">
            <v:stroke dashstyle="solid"/>
          </v:line>
          <w10:wrap type="none"/>
        </v:group>
      </w:pict>
    </w:r>
    <w:r>
      <w:rPr/>
      <w:pict>
        <v:shape style="position:absolute;margin-left:523.440002pt;margin-top:760.250916pt;width:6.55pt;height:3.1pt;mso-position-horizontal-relative:page;mso-position-vertical-relative:page;z-index:-25405542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6</w:t>
                </w:r>
                <w:r>
                  <w:rPr/>
                  <w:fldChar w:fldCharType="end"/>
                </w:r>
              </w:p>
            </w:txbxContent>
          </v:textbox>
          <w10:wrap type="none"/>
        </v:shape>
      </w:pict>
    </w:r>
    <w:r>
      <w:rPr/>
      <w:pict>
        <v:shape style="position:absolute;margin-left:43.400002pt;margin-top:772.023438pt;width:466.9pt;height:13.15pt;mso-position-horizontal-relative:page;mso-position-vertical-relative:page;z-index:-25405440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22345pt;width:7.55pt;height:13.15pt;mso-position-horizontal-relative:page;mso-position-vertical-relative:page;z-index:-254053376" type="#_x0000_t202" filled="false" stroked="false">
          <v:textbox inset="0,0,0,0">
            <w:txbxContent>
              <w:p>
                <w:pPr>
                  <w:pStyle w:val="BodyText"/>
                  <w:spacing w:before="12"/>
                  <w:ind w:left="20"/>
                </w:pPr>
                <w:r>
                  <w:rPr>
                    <w:w w:val="99"/>
                  </w:rPr>
                  <w:t>6</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17pt;width:517.6pt;height:.25pt;mso-position-horizontal-relative:page;mso-position-vertical-relative:page;z-index:-254052352" coordorigin="778,15221" coordsize="10352,5">
          <v:line style="position:absolute" from="778,15223" to="10421,15223" stroked="true" strokeweight=".24005pt" strokecolor="#000000">
            <v:stroke dashstyle="solid"/>
          </v:line>
          <v:rect style="position:absolute;left:10420;top:15220;width:5;height:5" filled="true" fillcolor="#000000" stroked="false">
            <v:fill type="solid"/>
          </v:rect>
          <v:line style="position:absolute" from="10426,15223" to="11129,15223" stroked="true" strokeweight=".24005pt" strokecolor="#000000">
            <v:stroke dashstyle="solid"/>
          </v:line>
          <w10:wrap type="none"/>
        </v:group>
      </w:pict>
    </w:r>
    <w:r>
      <w:rPr/>
      <w:pict>
        <v:shape style="position:absolute;margin-left:523.440002pt;margin-top:760.250916pt;width:6.55pt;height:3.1pt;mso-position-horizontal-relative:page;mso-position-vertical-relative:page;z-index:-25405132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7</w:t>
                </w:r>
                <w:r>
                  <w:rPr/>
                  <w:fldChar w:fldCharType="end"/>
                </w:r>
              </w:p>
            </w:txbxContent>
          </v:textbox>
          <w10:wrap type="none"/>
        </v:shape>
      </w:pict>
    </w:r>
    <w:r>
      <w:rPr/>
      <w:pict>
        <v:shape style="position:absolute;margin-left:43.400002pt;margin-top:772.023438pt;width:466.9pt;height:13.15pt;mso-position-horizontal-relative:page;mso-position-vertical-relative:page;z-index:-25405030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22345pt;width:7.55pt;height:13.15pt;mso-position-horizontal-relative:page;mso-position-vertical-relative:page;z-index:-254049280" type="#_x0000_t202" filled="false" stroked="false">
          <v:textbox inset="0,0,0,0">
            <w:txbxContent>
              <w:p>
                <w:pPr>
                  <w:pStyle w:val="BodyText"/>
                  <w:spacing w:before="12"/>
                  <w:ind w:left="20"/>
                </w:pPr>
                <w:r>
                  <w:rPr>
                    <w:w w:val="99"/>
                  </w:rPr>
                  <w:t>7</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17pt;width:517.6pt;height:.25pt;mso-position-horizontal-relative:page;mso-position-vertical-relative:page;z-index:-254048256" coordorigin="778,15221" coordsize="10352,5">
          <v:line style="position:absolute" from="778,15223" to="10421,15223" stroked="true" strokeweight=".24005pt" strokecolor="#000000">
            <v:stroke dashstyle="solid"/>
          </v:line>
          <v:rect style="position:absolute;left:10420;top:15220;width:5;height:5" filled="true" fillcolor="#000000" stroked="false">
            <v:fill type="solid"/>
          </v:rect>
          <v:line style="position:absolute" from="10426,15223" to="11129,15223" stroked="true" strokeweight=".24005pt" strokecolor="#000000">
            <v:stroke dashstyle="solid"/>
          </v:line>
          <w10:wrap type="none"/>
        </v:group>
      </w:pict>
    </w:r>
    <w:r>
      <w:rPr/>
      <w:pict>
        <v:shape style="position:absolute;margin-left:523.440002pt;margin-top:760.250916pt;width:7pt;height:3.1pt;mso-position-horizontal-relative:page;mso-position-vertical-relative:page;z-index:-254047232"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400002pt;margin-top:772.023438pt;width:466.9pt;height:13.15pt;mso-position-horizontal-relative:page;mso-position-vertical-relative:page;z-index:-25404620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22345pt;width:13.05pt;height:13.15pt;mso-position-horizontal-relative:page;mso-position-vertical-relative:page;z-index:-254045184" type="#_x0000_t202" filled="false" stroked="false">
          <v:textbox inset="0,0,0,0">
            <w:txbxContent>
              <w:p>
                <w:pPr>
                  <w:pStyle w:val="BodyText"/>
                  <w:spacing w:before="12"/>
                  <w:ind w:left="20"/>
                </w:pPr>
                <w:r>
                  <w:rPr/>
                  <w:t>10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17pt;width:517.6pt;height:.25pt;mso-position-horizontal-relative:page;mso-position-vertical-relative:page;z-index:-254044160" coordorigin="778,15221" coordsize="10352,5">
          <v:line style="position:absolute" from="778,15223" to="10421,15223" stroked="true" strokeweight=".24005pt" strokecolor="#000000">
            <v:stroke dashstyle="solid"/>
          </v:line>
          <v:rect style="position:absolute;left:10420;top:15220;width:5;height:5" filled="true" fillcolor="#000000" stroked="false">
            <v:fill type="solid"/>
          </v:rect>
          <v:line style="position:absolute" from="10426,15223" to="11129,15223" stroked="true" strokeweight=".24005pt" strokecolor="#000000">
            <v:stroke dashstyle="solid"/>
          </v:line>
          <w10:wrap type="none"/>
        </v:group>
      </w:pict>
    </w:r>
    <w:r>
      <w:rPr/>
      <w:pict>
        <v:shape style="position:absolute;margin-left:523.440002pt;margin-top:760.250916pt;width:7pt;height:3.1pt;mso-position-horizontal-relative:page;mso-position-vertical-relative:page;z-index:-254043136"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13</w:t>
                </w:r>
                <w:r>
                  <w:rPr/>
                  <w:fldChar w:fldCharType="end"/>
                </w:r>
              </w:p>
            </w:txbxContent>
          </v:textbox>
          <w10:wrap type="none"/>
        </v:shape>
      </w:pict>
    </w:r>
    <w:r>
      <w:rPr/>
      <w:pict>
        <v:shape style="position:absolute;margin-left:43.400002pt;margin-top:772.023438pt;width:466.9pt;height:13.15pt;mso-position-horizontal-relative:page;mso-position-vertical-relative:page;z-index:-25404211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22345pt;width:13.05pt;height:13.15pt;mso-position-horizontal-relative:page;mso-position-vertical-relative:page;z-index:-254041088" type="#_x0000_t202" filled="false" stroked="false">
          <v:textbox inset="0,0,0,0">
            <w:txbxContent>
              <w:p>
                <w:pPr>
                  <w:pStyle w:val="BodyText"/>
                  <w:spacing w:before="12"/>
                  <w:ind w:left="20"/>
                </w:pPr>
                <w:r>
                  <w:rPr/>
                  <w:t>13</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39917pt;width:517.6pt;height:.25pt;mso-position-horizontal-relative:page;mso-position-vertical-relative:page;z-index:-254040064" coordorigin="778,15221" coordsize="10352,5">
          <v:line style="position:absolute" from="778,15223" to="10421,15223" stroked="true" strokeweight=".24005pt" strokecolor="#000000">
            <v:stroke dashstyle="solid"/>
          </v:line>
          <v:rect style="position:absolute;left:10420;top:15220;width:5;height:5" filled="true" fillcolor="#000000" stroked="false">
            <v:fill type="solid"/>
          </v:rect>
          <v:line style="position:absolute" from="10426,15223" to="11129,15223" stroked="true" strokeweight=".24005pt" strokecolor="#000000">
            <v:stroke dashstyle="solid"/>
          </v:line>
          <w10:wrap type="none"/>
        </v:group>
      </w:pict>
    </w:r>
    <w:r>
      <w:rPr/>
      <w:pict>
        <v:shape style="position:absolute;margin-left:523.440002pt;margin-top:760.250916pt;width:7pt;height:3.1pt;mso-position-horizontal-relative:page;mso-position-vertical-relative:page;z-index:-254039040"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14</w:t>
                </w:r>
                <w:r>
                  <w:rPr/>
                  <w:fldChar w:fldCharType="end"/>
                </w:r>
              </w:p>
            </w:txbxContent>
          </v:textbox>
          <w10:wrap type="none"/>
        </v:shape>
      </w:pict>
    </w:r>
    <w:r>
      <w:rPr/>
      <w:pict>
        <v:shape style="position:absolute;margin-left:43.400002pt;margin-top:772.023438pt;width:466.9pt;height:13.15pt;mso-position-horizontal-relative:page;mso-position-vertical-relative:page;z-index:-25403801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22345pt;width:13.05pt;height:13.15pt;mso-position-horizontal-relative:page;mso-position-vertical-relative:page;z-index:-254036992" type="#_x0000_t202" filled="false" stroked="false">
          <v:textbox inset="0,0,0,0">
            <w:txbxContent>
              <w:p>
                <w:pPr>
                  <w:pStyle w:val="BodyText"/>
                  <w:spacing w:before="12"/>
                  <w:ind w:left="20"/>
                </w:pPr>
                <w:r>
                  <w:rPr/>
                  <w:t>14</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232"/>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image" Target="media/image6.png"/><Relationship Id="rId18" Type="http://schemas.openxmlformats.org/officeDocument/2006/relationships/footer" Target="footer8.xml"/><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hyperlink" Target="http://www.oecd.org/economy/pmr"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dc:subject>
  <dc:title>Speech by Martin Weale at the University of Groningen, the Netherlands, Monday 12 October 2015</dc:title>
  <dcterms:created xsi:type="dcterms:W3CDTF">2020-06-02T18:14:10Z</dcterms:created>
  <dcterms:modified xsi:type="dcterms:W3CDTF">2020-06-02T18:14:10Z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2015-10-12T00:00:00Z</vt:filetime>
  </property>
  <property fmtid="{D5CDD505-2E9C-101B-9397-08002B2CF9AE}" pid="3" name="LastSaved">
    <vt:filetime>2020-06-02T00:00:00Z</vt:filetime>
  </property>
</Properties>
</file>