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0" w:firstLine="0"/>
        <w:jc w:val="left"/>
        <w:rPr>
          <w:rFonts w:ascii="Arial"/>
          <w:b/>
          <w:sz w:val="32"/>
        </w:rPr>
      </w:pPr>
      <w:r>
        <w:rPr>
          <w:rFonts w:ascii="Arial"/>
          <w:b/>
          <w:color w:val="6A719F"/>
          <w:sz w:val="32"/>
        </w:rPr>
        <w:t>Quantitative Easing: An Interim Report</w:t>
      </w:r>
    </w:p>
    <w:p>
      <w:pPr>
        <w:pStyle w:val="BodyText"/>
        <w:spacing w:before="281"/>
        <w:ind w:left="352"/>
        <w:rPr>
          <w:rFonts w:ascii="Arial"/>
        </w:rPr>
      </w:pPr>
      <w:r>
        <w:rPr>
          <w:rFonts w:ascii="Arial"/>
        </w:rPr>
        <w:t>Speech given by</w:t>
      </w:r>
    </w:p>
    <w:p>
      <w:pPr>
        <w:pStyle w:val="BodyText"/>
        <w:spacing w:before="137"/>
        <w:ind w:left="352"/>
        <w:rPr>
          <w:rFonts w:ascii="Arial"/>
        </w:rPr>
      </w:pPr>
      <w:r>
        <w:rPr>
          <w:rFonts w:ascii="Arial"/>
        </w:rPr>
        <w:t>Charles Bean, Deputy Governor for Monetary Policy, Bank of England</w:t>
      </w:r>
    </w:p>
    <w:p>
      <w:pPr>
        <w:pStyle w:val="BodyText"/>
        <w:rPr>
          <w:rFonts w:ascii="Arial"/>
          <w:sz w:val="26"/>
        </w:rPr>
      </w:pPr>
    </w:p>
    <w:p>
      <w:pPr>
        <w:pStyle w:val="BodyText"/>
        <w:rPr>
          <w:rFonts w:ascii="Arial"/>
          <w:sz w:val="22"/>
        </w:rPr>
      </w:pPr>
    </w:p>
    <w:p>
      <w:pPr>
        <w:pStyle w:val="BodyText"/>
        <w:spacing w:line="360" w:lineRule="auto"/>
        <w:ind w:left="352" w:right="3150"/>
        <w:rPr>
          <w:rFonts w:ascii="Arial"/>
        </w:rPr>
      </w:pPr>
      <w:r>
        <w:rPr>
          <w:rFonts w:ascii="Arial"/>
        </w:rPr>
        <w:t>At the London Society of Chartered Accountants Annual Lunch, London 13 October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6"/>
        </w:rPr>
      </w:pPr>
    </w:p>
    <w:p>
      <w:pPr>
        <w:pStyle w:val="BodyText"/>
        <w:spacing w:line="20" w:lineRule="exact"/>
        <w:ind w:left="-6"/>
        <w:rPr>
          <w:rFonts w:ascii="Arial"/>
          <w:sz w:val="2"/>
        </w:rPr>
      </w:pPr>
      <w:r>
        <w:rPr>
          <w:rFonts w:ascii="Arial"/>
          <w:sz w:val="2"/>
        </w:rPr>
        <w:pict>
          <v:group style="width:517.4500pt;height:.25pt;mso-position-horizontal-relative:char;mso-position-vertical-relative:line" coordorigin="0,0" coordsize="10349,5">
            <v:line style="position:absolute" from="0,2" to="9641,2" stroked="true" strokeweight=".24pt" strokecolor="#000000">
              <v:stroke dashstyle="solid"/>
            </v:line>
            <v:rect style="position:absolute;left:9640;top:0;width:5;height:5" filled="true" fillcolor="#000000" stroked="false">
              <v:fill type="solid"/>
            </v:rect>
            <v:line style="position:absolute" from="9646,2" to="10349,2" stroked="true" strokeweight=".24pt" strokecolor="#000000">
              <v:stroke dashstyle="solid"/>
            </v:line>
          </v:group>
        </w:pict>
      </w:r>
      <w:r>
        <w:rPr>
          <w:rFonts w:ascii="Arial"/>
          <w:sz w:val="2"/>
        </w:rPr>
      </w:r>
    </w:p>
    <w:p>
      <w:pPr>
        <w:spacing w:line="6" w:lineRule="exact" w:before="0"/>
        <w:ind w:left="0" w:right="1365"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2"/>
        </w:sectPr>
      </w:pPr>
    </w:p>
    <w:p>
      <w:pPr>
        <w:pStyle w:val="BodyText"/>
        <w:spacing w:before="76"/>
        <w:ind w:left="1017"/>
      </w:pPr>
      <w:r>
        <w:rPr/>
        <w:t>It’s a great pleasure to be invited to speak to you this afternoon.</w:t>
      </w:r>
    </w:p>
    <w:p>
      <w:pPr>
        <w:pStyle w:val="BodyText"/>
        <w:rPr>
          <w:sz w:val="26"/>
        </w:rPr>
      </w:pPr>
    </w:p>
    <w:p>
      <w:pPr>
        <w:pStyle w:val="BodyText"/>
        <w:rPr>
          <w:sz w:val="26"/>
        </w:rPr>
      </w:pPr>
    </w:p>
    <w:p>
      <w:pPr>
        <w:pStyle w:val="BodyText"/>
        <w:spacing w:line="360" w:lineRule="auto" w:before="195"/>
        <w:ind w:left="1017" w:right="1814"/>
      </w:pPr>
      <w:r>
        <w:rPr/>
        <w:t>It is almost exactly a year since Lehman Brothers collapsed, precipitating a near-fatal heart attack for the global financial system. And in its wake came an unprecedentedly sharp and synchronised contraction in global economic activity, from which we are only just starting to emerge. In part, that stabilisation reflects the intensity of the countervailing policy actions by governments and central banks around the world.</w:t>
      </w:r>
    </w:p>
    <w:p>
      <w:pPr>
        <w:pStyle w:val="BodyText"/>
        <w:spacing w:line="360" w:lineRule="auto"/>
        <w:ind w:left="1017" w:right="1814"/>
      </w:pPr>
      <w:r>
        <w:rPr/>
        <w:t>Injections of capital, funding guarantees, ring-fencing of toxic assets and abundant liquidity support have helped to return the banking system towards normality, though the process of balance-sheet repair still has some way to go. And substantial increases in fiscal deficits and aggressively expansionary monetary policies have helped to arrest the fall in spending, output and</w:t>
      </w:r>
      <w:r>
        <w:rPr>
          <w:spacing w:val="-1"/>
        </w:rPr>
        <w:t> </w:t>
      </w:r>
      <w:r>
        <w:rPr/>
        <w:t>employment.</w:t>
      </w:r>
    </w:p>
    <w:p>
      <w:pPr>
        <w:pStyle w:val="BodyText"/>
        <w:rPr>
          <w:sz w:val="26"/>
        </w:rPr>
      </w:pPr>
    </w:p>
    <w:p>
      <w:pPr>
        <w:pStyle w:val="BodyText"/>
        <w:spacing w:before="10"/>
        <w:rPr>
          <w:sz w:val="30"/>
        </w:rPr>
      </w:pPr>
    </w:p>
    <w:p>
      <w:pPr>
        <w:pStyle w:val="BodyText"/>
        <w:spacing w:line="360" w:lineRule="auto"/>
        <w:ind w:left="1017" w:right="1826"/>
      </w:pPr>
      <w:r>
        <w:rPr/>
        <w:t>For its part, the Bank of England’s Monetary Policy Committee not only cut Bank Rate from 5% in September last year to just 0.5% in February, but also embarked on a programme of large scale asset purchases financed by the issuance of extra reserves – so-called ‘Quantitative Easing’. This unlovely phrase was originally coined to describe a related policy conducted by the Bank of Japan in the early part of this decade and has perhaps lost something in the translation. But sadly it is a phrase that we are now well and truly stuck with.</w:t>
      </w:r>
    </w:p>
    <w:p>
      <w:pPr>
        <w:pStyle w:val="BodyText"/>
        <w:rPr>
          <w:sz w:val="26"/>
        </w:rPr>
      </w:pPr>
    </w:p>
    <w:p>
      <w:pPr>
        <w:pStyle w:val="BodyText"/>
        <w:spacing w:before="9"/>
        <w:rPr>
          <w:sz w:val="30"/>
        </w:rPr>
      </w:pPr>
    </w:p>
    <w:p>
      <w:pPr>
        <w:pStyle w:val="BodyText"/>
        <w:spacing w:line="360" w:lineRule="auto"/>
        <w:ind w:left="1017" w:right="1814"/>
      </w:pPr>
      <w:r>
        <w:rPr/>
        <w:t>Like a lot of our operations, Quantitative Easing can seem a bit mysterious and confusing to those not steeped in what central banks do. As much of this confusion arises from a misunderstanding of the Bank of England’s accounts, I am therefore delighted to be speaking to an audience of accountants, who might find this arcane subject rather exciting!</w:t>
      </w:r>
    </w:p>
    <w:p>
      <w:pPr>
        <w:pStyle w:val="BodyText"/>
        <w:spacing w:line="360" w:lineRule="auto" w:before="120"/>
        <w:ind w:left="1017" w:right="1881"/>
      </w:pPr>
      <w:r>
        <w:rPr/>
        <w:t>In January this year, the Chancellor authorised the Bank to create a new fund – the Asset Purchase Facility – for the purpose of buying assets from the private sector. Any profits on the Asset Purchase Facility are passed to Her Majesty’s Treasury, while any losses are also indemnified by the Exchequer. The accounts are therefore not consolidated with the Bank’s own accounts, as the Bank has no economic interest in the fund.</w:t>
      </w:r>
    </w:p>
    <w:p>
      <w:pPr>
        <w:spacing w:after="0" w:line="360" w:lineRule="auto"/>
        <w:sectPr>
          <w:footerReference w:type="default" r:id="rId7"/>
          <w:pgSz w:w="11910" w:h="16840"/>
          <w:pgMar w:footer="779" w:header="0" w:top="1360" w:bottom="960" w:left="780" w:right="0"/>
          <w:pgNumType w:start="2"/>
        </w:sectPr>
      </w:pPr>
    </w:p>
    <w:p>
      <w:pPr>
        <w:pStyle w:val="BodyText"/>
        <w:spacing w:before="4"/>
      </w:pPr>
    </w:p>
    <w:p>
      <w:pPr>
        <w:pStyle w:val="BodyText"/>
        <w:spacing w:line="360" w:lineRule="auto" w:before="90"/>
        <w:ind w:left="1017" w:right="1920"/>
      </w:pPr>
      <w:r>
        <w:rPr/>
        <w:t>Initially, the Facility purchased commercial paper, funded by the proceeds of sales of short-term Treasury bills by the Debt Management Office. This asset swap took credit risk onto the public sector’s balance sheet and was therefore more akin to a fiscal operation. But since March, purchases have been on a much larger scale and funded through the issuance of central bank reserves rather than Treasury bills. The bulk of the purchases have been of government bonds, though a small quantity of investment-grade corporate bonds have also been bought. So far, about £164 billion of assets have been purchased in this way, as against the Monetary Policy Committee’s current target of £175 billion. To put that in perspective, £175 billion represents roughly 12% of annual GDP.</w:t>
      </w:r>
    </w:p>
    <w:p>
      <w:pPr>
        <w:pStyle w:val="BodyText"/>
        <w:rPr>
          <w:sz w:val="26"/>
        </w:rPr>
      </w:pPr>
    </w:p>
    <w:p>
      <w:pPr>
        <w:pStyle w:val="BodyText"/>
        <w:spacing w:before="11"/>
        <w:rPr>
          <w:sz w:val="30"/>
        </w:rPr>
      </w:pPr>
    </w:p>
    <w:p>
      <w:pPr>
        <w:pStyle w:val="BodyText"/>
        <w:spacing w:line="360" w:lineRule="auto"/>
        <w:ind w:left="1017" w:right="1847"/>
      </w:pPr>
      <w:r>
        <w:rPr/>
        <w:t>Technically what happens is the following. The Asset Purchase Facility buys assets funded by a loan from the Bank. In turn, the Bank funds that loan through additional reserve creation (Chart 1). If this sounds like financial alchemy, consider how the money flows through the system. When the Asset Purchase Facility buys a gilt from a pension fund, say, it can be thought of as paying with a cheque drawn on the Bank of England. The pension fund will then bank the cheque with its own commercial bank, so the latter now has a claim on the Bank of England – that is what reserves are. In reality, these payments are not made by cheque, but rather are carried out electronically. But the principle is the same, though one key difference is that we pay Bank Rate to the commercial bank on its claim on us, as well as charging Bank Rate on the loan we make to the Asset Purchase Facility.</w:t>
      </w:r>
    </w:p>
    <w:p>
      <w:pPr>
        <w:pStyle w:val="BodyText"/>
        <w:rPr>
          <w:sz w:val="26"/>
        </w:rPr>
      </w:pPr>
    </w:p>
    <w:p>
      <w:pPr>
        <w:pStyle w:val="BodyText"/>
        <w:spacing w:before="9"/>
        <w:rPr>
          <w:sz w:val="30"/>
        </w:rPr>
      </w:pPr>
    </w:p>
    <w:p>
      <w:pPr>
        <w:pStyle w:val="BodyText"/>
        <w:spacing w:line="360" w:lineRule="auto"/>
        <w:ind w:left="1017" w:right="1882"/>
      </w:pPr>
      <w:r>
        <w:rPr/>
        <w:t>Now I can add detours for the money at any point in this cycle. For example, the pension fund that sold the gilt to the Asset Purchase Facility might now withdraw its deposit and use it to purchase a newly issued corporate bond. The company issuing the bond then deposits that money in their own bank. So now it is the corporate’s bank that holds the claim on us. A similar sort of circle occurs if the corporate then uses its deposit to buy a new piece of machinery, because the seller of that machinery will end up putting the proceeds into her bank, so that the claim on the Bank of England is now held by the capital goods producer’s bank. Whatever the type of</w:t>
      </w:r>
    </w:p>
    <w:p>
      <w:pPr>
        <w:spacing w:after="0" w:line="360" w:lineRule="auto"/>
        <w:sectPr>
          <w:pgSz w:w="11910" w:h="16840"/>
          <w:pgMar w:header="0" w:footer="779" w:top="1600" w:bottom="960" w:left="780" w:right="0"/>
        </w:sectPr>
      </w:pPr>
    </w:p>
    <w:p>
      <w:pPr>
        <w:pStyle w:val="BodyText"/>
        <w:spacing w:line="360" w:lineRule="auto" w:before="76"/>
        <w:ind w:left="1017" w:right="1915"/>
      </w:pPr>
      <w:r>
        <w:rPr/>
        <w:t>purchase, it will always end up with someone’s commercial bank having a claim on us. That is even the case if the money is used to buy foreign goods, as the foreign commercial bank will need to exchange the sterling claim with a commercial bank that holds an account with us, if it does not do so itself. The only way that the claim can be eliminated from the system is if a bank chooses to exchange it for cash, which would make little sense since cash pays no interest at all.</w:t>
      </w:r>
    </w:p>
    <w:p>
      <w:pPr>
        <w:pStyle w:val="BodyText"/>
        <w:rPr>
          <w:sz w:val="26"/>
        </w:rPr>
      </w:pPr>
    </w:p>
    <w:p>
      <w:pPr>
        <w:pStyle w:val="BodyText"/>
        <w:spacing w:before="11"/>
        <w:rPr>
          <w:sz w:val="30"/>
        </w:rPr>
      </w:pPr>
    </w:p>
    <w:p>
      <w:pPr>
        <w:pStyle w:val="BodyText"/>
        <w:spacing w:line="360" w:lineRule="auto"/>
        <w:ind w:left="1017" w:right="1848"/>
      </w:pPr>
      <w:r>
        <w:rPr/>
        <w:t>The reason for going through this in such mind-numbing detail is to make the point that the level of commercial banks’ reserves </w:t>
      </w:r>
      <w:r>
        <w:rPr>
          <w:i/>
        </w:rPr>
        <w:t>in aggregate </w:t>
      </w:r>
      <w:r>
        <w:rPr/>
        <w:t>is determined by the way we have funded the asset purchases, not by the commercial banks’ own decisions. The size of banks’ reserves cannot, as is frequently claimed, be a sign that they are “sitting on them”. No matter how rapidly or how slowly the economy is growing, or how fast or slow the money is circulating, the aggregate amount of reserves will be exactly the same. So it should be clear that the quantity of central bank reserves held by the commercial banks is useless as an indicator of the effectiveness of Quantitative Easing.</w:t>
      </w:r>
    </w:p>
    <w:p>
      <w:pPr>
        <w:pStyle w:val="BodyText"/>
        <w:rPr>
          <w:sz w:val="26"/>
        </w:rPr>
      </w:pPr>
    </w:p>
    <w:p>
      <w:pPr>
        <w:pStyle w:val="BodyText"/>
        <w:spacing w:before="10"/>
        <w:rPr>
          <w:sz w:val="30"/>
        </w:rPr>
      </w:pPr>
    </w:p>
    <w:p>
      <w:pPr>
        <w:pStyle w:val="BodyText"/>
        <w:spacing w:line="360" w:lineRule="auto"/>
        <w:ind w:left="1017" w:right="1888"/>
      </w:pPr>
      <w:r>
        <w:rPr/>
        <w:t>Now obviously we would prefer that the money circulates more rapidly and that this is done through increased bank lending and deposit taking. In other words, we would like to see a further expansion of credit and broad money. Since the banks collectively are now awash with reserves, they should not be prevented from making additional loans because of any liquidity concerns. Banks are, though, constrained by a lack of capital and are looking to reduce leverage rather than increase</w:t>
      </w:r>
      <w:r>
        <w:rPr>
          <w:spacing w:val="-5"/>
        </w:rPr>
        <w:t> </w:t>
      </w:r>
      <w:r>
        <w:rPr/>
        <w:t>it.</w:t>
      </w:r>
    </w:p>
    <w:p>
      <w:pPr>
        <w:pStyle w:val="BodyText"/>
        <w:rPr>
          <w:sz w:val="26"/>
        </w:rPr>
      </w:pPr>
    </w:p>
    <w:p>
      <w:pPr>
        <w:pStyle w:val="BodyText"/>
        <w:spacing w:before="9"/>
        <w:rPr>
          <w:sz w:val="30"/>
        </w:rPr>
      </w:pPr>
    </w:p>
    <w:p>
      <w:pPr>
        <w:pStyle w:val="BodyText"/>
        <w:spacing w:line="360" w:lineRule="auto"/>
        <w:ind w:left="1017" w:right="1814"/>
      </w:pPr>
      <w:r>
        <w:rPr/>
        <w:t>Fortunately, increased bank lending is not necessary for Quantitative Easing to work. Indeed, it was precisely because the Monetary Policy Committee expected the additional monetary injection not to stimulate bank lending directly at the current juncture, that the Asset Purchase Facility’s purchases were targeted at assets held primarily by the non-bank private sector</w:t>
      </w:r>
      <w:r>
        <w:rPr>
          <w:vertAlign w:val="superscript"/>
        </w:rPr>
        <w:t>1</w:t>
      </w:r>
      <w:r>
        <w:rPr>
          <w:vertAlign w:val="baseline"/>
        </w:rPr>
        <w:t>. So if the Asset Purchase Facility buys gilts</w:t>
      </w:r>
    </w:p>
    <w:p>
      <w:pPr>
        <w:pStyle w:val="BodyText"/>
        <w:rPr>
          <w:sz w:val="20"/>
        </w:rPr>
      </w:pPr>
    </w:p>
    <w:p>
      <w:pPr>
        <w:pStyle w:val="BodyText"/>
        <w:spacing w:before="11"/>
        <w:rPr>
          <w:sz w:val="13"/>
        </w:rPr>
      </w:pPr>
      <w:r>
        <w:rPr/>
        <w:pict>
          <v:shape style="position:absolute;margin-left:89.879997pt;margin-top:10.294893pt;width:144pt;height:.1pt;mso-position-horizontal-relative:page;mso-position-vertical-relative:paragraph;z-index:-251656192;mso-wrap-distance-left:0;mso-wrap-distance-right:0" coordorigin="1798,206" coordsize="2880,0" path="m1798,206l4678,206e" filled="false" stroked="true" strokeweight=".599980pt" strokecolor="#000000">
            <v:path arrowok="t"/>
            <v:stroke dashstyle="solid"/>
            <w10:wrap type="topAndBottom"/>
          </v:shape>
        </w:pict>
      </w:r>
    </w:p>
    <w:p>
      <w:pPr>
        <w:spacing w:before="49"/>
        <w:ind w:left="1017" w:right="2234" w:firstLine="0"/>
        <w:jc w:val="left"/>
        <w:rPr>
          <w:sz w:val="20"/>
        </w:rPr>
      </w:pPr>
      <w:r>
        <w:rPr>
          <w:position w:val="9"/>
          <w:sz w:val="13"/>
        </w:rPr>
        <w:t>1 </w:t>
      </w:r>
      <w:r>
        <w:rPr>
          <w:sz w:val="20"/>
        </w:rPr>
        <w:t>That is in contrast to the related policy conducted by the Bank of Japan in the early part of this decade, which was instead directed at purchases of Japanese government debt held by the banking sector.</w:t>
      </w:r>
    </w:p>
    <w:p>
      <w:pPr>
        <w:spacing w:after="0"/>
        <w:jc w:val="left"/>
        <w:rPr>
          <w:sz w:val="20"/>
        </w:rPr>
        <w:sectPr>
          <w:pgSz w:w="11910" w:h="16840"/>
          <w:pgMar w:header="0" w:footer="779" w:top="1360" w:bottom="960" w:left="780" w:right="0"/>
        </w:sectPr>
      </w:pPr>
    </w:p>
    <w:p>
      <w:pPr>
        <w:pStyle w:val="BodyText"/>
        <w:spacing w:line="360" w:lineRule="auto" w:before="76"/>
        <w:ind w:left="1017" w:right="1920"/>
      </w:pPr>
      <w:r>
        <w:rPr/>
        <w:t>from pension funds or asset managers, they will then have to look for another home for their money. As it is not very rewarding just to hold it on deposit, they are likely to look to put their money into other assets, including equities and corporate bonds. Thus not only does the price of gilts rise as a consequence of the Asset Purchase Facility’s initial purchases, but also the prices of a whole spectrum of other assets.</w:t>
      </w:r>
    </w:p>
    <w:p>
      <w:pPr>
        <w:pStyle w:val="BodyText"/>
        <w:spacing w:line="360" w:lineRule="auto" w:before="1"/>
        <w:ind w:left="1017" w:right="1989"/>
      </w:pPr>
      <w:r>
        <w:rPr/>
        <w:t>That in turn lowers the cost of non-bank finance and encourages increased corporate issuance. Also the rise in asset prices increases wealth and improves balance sheets. In this way, Quantitative Easing helps to work around the blockage created by a banking system that is still undergoing a process of balance sheet repair.</w:t>
      </w:r>
    </w:p>
    <w:p>
      <w:pPr>
        <w:pStyle w:val="BodyText"/>
        <w:rPr>
          <w:sz w:val="26"/>
        </w:rPr>
      </w:pPr>
    </w:p>
    <w:p>
      <w:pPr>
        <w:pStyle w:val="BodyText"/>
        <w:spacing w:before="10"/>
        <w:rPr>
          <w:sz w:val="30"/>
        </w:rPr>
      </w:pPr>
    </w:p>
    <w:p>
      <w:pPr>
        <w:pStyle w:val="BodyText"/>
        <w:spacing w:line="360" w:lineRule="auto"/>
        <w:ind w:left="1017" w:right="1814"/>
      </w:pPr>
      <w:r>
        <w:rPr/>
        <w:t>That is exactly what we have seen since the Monetary Policy Committee started its asset purchase program. Gilt yields fell sharply, though they have subsequently risen and fallen again (Chart 2). But gilt yields can move for a variety of reasons, including changing expectations of future interest rates. If we control for that by comparing gilt yields with a measure of market expectations of the future level of Bank Rate (Overnight Indexed Swap rates for an equivalent maturity), we find that this spread has fallen by around ¾ percentage point (Chart 3). Moreover, no such movement is observed in either the United States or euro area, which strongly suggests that the movement may be related to our gilt purchases</w:t>
      </w:r>
      <w:r>
        <w:rPr>
          <w:vertAlign w:val="superscript"/>
        </w:rPr>
        <w:t>2</w:t>
      </w:r>
      <w:r>
        <w:rPr>
          <w:vertAlign w:val="baseline"/>
        </w:rPr>
        <w:t>. More importantly for the real economy, sterling investment-grade corporate bond spreads have fallen over three and a half percentage points since the start of Quantitative Easing (Chart 4). And equity prices have risen by almost a half, the fifth largest increase in a six-month period over the past three hundred years (Chart 5). Accompanying this, UK companies have issued over £60 billion worth of bonds and equities since January, compared with an annual average of around £40 billion in recent years (Chart 6). Moreover, the spread between the three-month interbank rate over expected Bank Rate, which had been unusually elevated during the crisis, particularly after the collapse of Lehman Brothers, has fallen by almost 1½ percentage points and is now more or less back to pre-crisis levels (Chart</w:t>
      </w:r>
      <w:r>
        <w:rPr>
          <w:spacing w:val="-3"/>
          <w:vertAlign w:val="baseline"/>
        </w:rPr>
        <w:t> </w:t>
      </w:r>
      <w:r>
        <w:rPr>
          <w:vertAlign w:val="baseline"/>
        </w:rPr>
        <w:t>7).</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5"/>
        </w:rPr>
      </w:pPr>
      <w:r>
        <w:rPr/>
        <w:pict>
          <v:shape style="position:absolute;margin-left:89.879997pt;margin-top:11.205854pt;width:144pt;height:.1pt;mso-position-horizontal-relative:page;mso-position-vertical-relative:paragraph;z-index:-251655168;mso-wrap-distance-left:0;mso-wrap-distance-right:0" coordorigin="1798,224" coordsize="2880,0" path="m1798,224l4678,224e" filled="false" stroked="true" strokeweight=".600010pt" strokecolor="#000000">
            <v:path arrowok="t"/>
            <v:stroke dashstyle="solid"/>
            <w10:wrap type="topAndBottom"/>
          </v:shape>
        </w:pict>
      </w:r>
    </w:p>
    <w:p>
      <w:pPr>
        <w:spacing w:before="49"/>
        <w:ind w:left="1017" w:right="1814" w:firstLine="0"/>
        <w:jc w:val="left"/>
        <w:rPr>
          <w:sz w:val="20"/>
        </w:rPr>
      </w:pPr>
      <w:r>
        <w:rPr>
          <w:position w:val="9"/>
          <w:sz w:val="13"/>
        </w:rPr>
        <w:t>2 </w:t>
      </w:r>
      <w:r>
        <w:rPr>
          <w:sz w:val="20"/>
        </w:rPr>
        <w:t>The ECB has undertaken no such purchases of government debt, while the Federal Reserve’s purchases of US Treasuries represent a much smaller fraction of the market.</w:t>
      </w:r>
    </w:p>
    <w:p>
      <w:pPr>
        <w:spacing w:after="0"/>
        <w:jc w:val="left"/>
        <w:rPr>
          <w:sz w:val="20"/>
        </w:rPr>
        <w:sectPr>
          <w:pgSz w:w="11910" w:h="16840"/>
          <w:pgMar w:header="0" w:footer="779" w:top="1360" w:bottom="960" w:left="780" w:right="0"/>
        </w:sectPr>
      </w:pPr>
    </w:p>
    <w:p>
      <w:pPr>
        <w:pStyle w:val="BodyText"/>
        <w:spacing w:line="360" w:lineRule="auto" w:before="76"/>
        <w:ind w:left="1017" w:right="1814"/>
      </w:pPr>
      <w:r>
        <w:rPr/>
        <w:t>All this suggests that Quantitative Easing is having the expected effects on the economy. However, there may also be other reasons why asset prices have recovered in recent months. Early in the year, there were considerable fears that the recession would continue to deepen, whereas it now seems that activity here and elsewhere has probably troughed, so some of the worst downside risks look unlikely to crystallise. And asset prices have been rising not only here, but elsewhere, though that could reflect the aggressive monetary policy measures adopted by other central banks too.</w:t>
      </w:r>
    </w:p>
    <w:p>
      <w:pPr>
        <w:pStyle w:val="BodyText"/>
        <w:rPr>
          <w:sz w:val="26"/>
        </w:rPr>
      </w:pPr>
    </w:p>
    <w:p>
      <w:pPr>
        <w:pStyle w:val="BodyText"/>
        <w:spacing w:before="11"/>
        <w:rPr>
          <w:sz w:val="30"/>
        </w:rPr>
      </w:pPr>
    </w:p>
    <w:p>
      <w:pPr>
        <w:pStyle w:val="BodyText"/>
        <w:spacing w:line="360" w:lineRule="auto"/>
        <w:ind w:left="1017" w:right="1804"/>
      </w:pPr>
      <w:r>
        <w:rPr/>
        <w:t>Moreover, the ultimate aim of the policy is to get the annual rate of growth of nominal spending in the economy back to the 5% or so that it averaged during the first decade of the Monetary Policy Committee’s existence and which is consistent with inflation at target and growth at trend. In contrast, over the past year, nominal spending has fallen by roughly 5% (Chart 8). The £175 billion of asset purchases has been calibrated with this in mind, though it will be some while yet before we know how effective the policy has been in achieving the</w:t>
      </w:r>
      <w:r>
        <w:rPr>
          <w:spacing w:val="-3"/>
        </w:rPr>
        <w:t> </w:t>
      </w:r>
      <w:r>
        <w:rPr/>
        <w:t>objective.</w:t>
      </w:r>
    </w:p>
    <w:p>
      <w:pPr>
        <w:pStyle w:val="BodyText"/>
        <w:rPr>
          <w:sz w:val="26"/>
        </w:rPr>
      </w:pPr>
    </w:p>
    <w:p>
      <w:pPr>
        <w:pStyle w:val="BodyText"/>
        <w:spacing w:before="10"/>
        <w:rPr>
          <w:sz w:val="30"/>
        </w:rPr>
      </w:pPr>
    </w:p>
    <w:p>
      <w:pPr>
        <w:pStyle w:val="BodyText"/>
        <w:spacing w:line="360" w:lineRule="auto"/>
        <w:ind w:left="1017" w:right="1862"/>
      </w:pPr>
      <w:r>
        <w:rPr/>
        <w:t>Indeed, the truth is that we will probably never know exactly how effective the policy of Quantitative Easing has been, for the simple reason that we can never know with precision what would have happened in its absence. My only confident prediction is that academic economists and their PhD students will be poring over the topic for decades to come.</w:t>
      </w:r>
    </w:p>
    <w:p>
      <w:pPr>
        <w:pStyle w:val="BodyText"/>
        <w:rPr>
          <w:sz w:val="26"/>
        </w:rPr>
      </w:pPr>
    </w:p>
    <w:p>
      <w:pPr>
        <w:pStyle w:val="BodyText"/>
        <w:spacing w:before="9"/>
        <w:rPr>
          <w:sz w:val="30"/>
        </w:rPr>
      </w:pPr>
    </w:p>
    <w:p>
      <w:pPr>
        <w:pStyle w:val="BodyText"/>
        <w:spacing w:line="360" w:lineRule="auto"/>
        <w:ind w:left="1017" w:right="1935"/>
      </w:pPr>
      <w:r>
        <w:rPr/>
        <w:t>To conclude, I want to return to some accounting issues. As I noted earlier, the Asset Purchase Facility is set up as a separate entity, indemnified by the Treasury. The Bank is committed to transparency about its operations, and we will be publishing annual accounts for the Asset Purchase Facility, drawn up in accordance with established international accounting principles.</w:t>
      </w:r>
    </w:p>
    <w:p>
      <w:pPr>
        <w:pStyle w:val="BodyText"/>
        <w:rPr>
          <w:sz w:val="26"/>
        </w:rPr>
      </w:pPr>
    </w:p>
    <w:p>
      <w:pPr>
        <w:pStyle w:val="BodyText"/>
        <w:spacing w:before="10"/>
        <w:rPr>
          <w:sz w:val="30"/>
        </w:rPr>
      </w:pPr>
    </w:p>
    <w:p>
      <w:pPr>
        <w:pStyle w:val="BodyText"/>
        <w:spacing w:line="360" w:lineRule="auto"/>
        <w:ind w:left="1017" w:right="1888"/>
      </w:pPr>
      <w:r>
        <w:rPr/>
        <w:t>The Asset Purchase Facility receives coupon payments from the government on the gilts it holds, as well as some income from its small holding of corporate assets. The Asset Purchase Facility also pays interest at Bank Rate to the Bank of England on the</w:t>
      </w:r>
    </w:p>
    <w:p>
      <w:pPr>
        <w:spacing w:after="0" w:line="360" w:lineRule="auto"/>
        <w:sectPr>
          <w:pgSz w:w="11910" w:h="16840"/>
          <w:pgMar w:header="0" w:footer="779" w:top="1360" w:bottom="960" w:left="780" w:right="0"/>
        </w:sectPr>
      </w:pPr>
    </w:p>
    <w:p>
      <w:pPr>
        <w:pStyle w:val="BodyText"/>
        <w:spacing w:line="360" w:lineRule="auto" w:before="76"/>
        <w:ind w:left="1017" w:right="1834"/>
      </w:pPr>
      <w:r>
        <w:rPr/>
        <w:t>loan used to buy the assets. At present, the average coupon on the purchased gilts is around 5%, which substantially exceeds Bank Rate at 0.5%. Consequently the net interest income of the Fund is positive. But international accounting principles dictate that the assets on the balance sheet of the Asset Purchase Facility are also marked to market. Since gilt prices are highly sensitive to movements in discount rates, it is quite plausible that falls in the prices of gilts as a result of any future increase in discount rates will leave the Asset Purchase Facility accounts in deficit</w:t>
      </w:r>
      <w:r>
        <w:rPr>
          <w:spacing w:val="-13"/>
        </w:rPr>
        <w:t> </w:t>
      </w:r>
      <w:r>
        <w:rPr/>
        <w:t>overall.</w:t>
      </w:r>
    </w:p>
    <w:p>
      <w:pPr>
        <w:pStyle w:val="BodyText"/>
        <w:rPr>
          <w:sz w:val="26"/>
        </w:rPr>
      </w:pPr>
    </w:p>
    <w:p>
      <w:pPr>
        <w:pStyle w:val="BodyText"/>
        <w:spacing w:before="11"/>
        <w:rPr>
          <w:sz w:val="30"/>
        </w:rPr>
      </w:pPr>
    </w:p>
    <w:p>
      <w:pPr>
        <w:pStyle w:val="BodyText"/>
        <w:spacing w:line="360" w:lineRule="auto"/>
        <w:ind w:left="1017" w:right="1814"/>
      </w:pPr>
      <w:r>
        <w:rPr/>
        <w:t>The question is: Does this matter? At first sight, any loss on the Asset Purchase Facility would represent a cost to the taxpayer, given the Treasury indemnity. But of course the gilts held in one part of the public sector, the Asset Purchase Facility, are just a liability of the rest of the public sector. In the accounts for the rest of the public sector, there must therefore be offsetting interest flows, as well as corresponding capital gains or losses, at least if those accounts were also to be marked to market. So gilt price movements necessarily all wash out once the public accounts are compiled on a consistent basis, at least so long as the assets are retained within the public sector</w:t>
      </w:r>
      <w:r>
        <w:rPr>
          <w:vertAlign w:val="superscript"/>
        </w:rPr>
        <w:t>3</w:t>
      </w:r>
      <w:r>
        <w:rPr>
          <w:vertAlign w:val="baseline"/>
        </w:rPr>
        <w:t>.</w:t>
      </w:r>
    </w:p>
    <w:p>
      <w:pPr>
        <w:pStyle w:val="BodyText"/>
        <w:rPr>
          <w:sz w:val="30"/>
        </w:rPr>
      </w:pPr>
    </w:p>
    <w:p>
      <w:pPr>
        <w:pStyle w:val="BodyText"/>
        <w:spacing w:before="9"/>
        <w:rPr>
          <w:sz w:val="26"/>
        </w:rPr>
      </w:pPr>
    </w:p>
    <w:p>
      <w:pPr>
        <w:pStyle w:val="BodyText"/>
        <w:spacing w:line="360" w:lineRule="auto"/>
        <w:ind w:left="1017" w:right="1812"/>
      </w:pPr>
      <w:r>
        <w:rPr/>
        <w:t>We do not, however, expect to retain all the purchased assets in the Asset Purchase Facility to maturity. At some stage, as the recovery proceeds, the Monetary Policy Committee will need gradually to remove the large monetary stimulus that we have imparted to the economy, otherwise we will be in danger of overshooting our 2% inflation target.  That monetary tightening will take the form of some combination of a higher level of Bank Rate and asset sales from the Asset Purchase Facility to the private sector. The process of selling off the gilts can then be expected to push gilt yields back up towards where they would have been in the absence of the Quantitative Easing programme. When the Asset Purchase Facility is finally run down, won’t the closing accounts tell us about the benefits or costs of the</w:t>
      </w:r>
      <w:r>
        <w:rPr>
          <w:spacing w:val="-19"/>
        </w:rPr>
        <w:t> </w:t>
      </w:r>
      <w:r>
        <w:rPr/>
        <w:t>programme?</w:t>
      </w:r>
    </w:p>
    <w:p>
      <w:pPr>
        <w:pStyle w:val="BodyText"/>
        <w:rPr>
          <w:sz w:val="26"/>
        </w:rPr>
      </w:pPr>
    </w:p>
    <w:p>
      <w:pPr>
        <w:pStyle w:val="BodyText"/>
        <w:spacing w:before="10"/>
        <w:rPr>
          <w:sz w:val="30"/>
        </w:rPr>
      </w:pPr>
    </w:p>
    <w:p>
      <w:pPr>
        <w:pStyle w:val="BodyText"/>
        <w:spacing w:line="360" w:lineRule="auto"/>
        <w:ind w:left="1017" w:right="2281"/>
      </w:pPr>
      <w:r>
        <w:rPr/>
        <w:pict>
          <v:shape style="position:absolute;margin-left:89.879997pt;margin-top:44.74342pt;width:144pt;height:.1pt;mso-position-horizontal-relative:page;mso-position-vertical-relative:paragraph;z-index:-251654144;mso-wrap-distance-left:0;mso-wrap-distance-right:0" coordorigin="1798,895" coordsize="2880,0" path="m1798,895l4678,895e" filled="false" stroked="true" strokeweight=".600010pt" strokecolor="#000000">
            <v:path arrowok="t"/>
            <v:stroke dashstyle="solid"/>
            <w10:wrap type="topAndBottom"/>
          </v:shape>
        </w:pict>
      </w:r>
      <w:r>
        <w:rPr/>
        <w:t>The answer to this is: No. The first point to make is that the aim of Quantitative Easing and the Asset Purchase Facility is to help the Monetary Policy Committee</w:t>
      </w:r>
    </w:p>
    <w:p>
      <w:pPr>
        <w:spacing w:before="49"/>
        <w:ind w:left="1017" w:right="0" w:firstLine="0"/>
        <w:jc w:val="left"/>
        <w:rPr>
          <w:sz w:val="20"/>
        </w:rPr>
      </w:pPr>
      <w:r>
        <w:rPr>
          <w:position w:val="9"/>
          <w:sz w:val="13"/>
        </w:rPr>
        <w:t>3 </w:t>
      </w:r>
      <w:r>
        <w:rPr>
          <w:sz w:val="20"/>
        </w:rPr>
        <w:t>Of course that is not true of holdings of corporate assets.</w:t>
      </w:r>
    </w:p>
    <w:p>
      <w:pPr>
        <w:spacing w:after="0"/>
        <w:jc w:val="left"/>
        <w:rPr>
          <w:sz w:val="20"/>
        </w:rPr>
        <w:sectPr>
          <w:pgSz w:w="11910" w:h="16840"/>
          <w:pgMar w:header="0" w:footer="779" w:top="1360" w:bottom="960" w:left="780" w:right="0"/>
        </w:sectPr>
      </w:pPr>
    </w:p>
    <w:p>
      <w:pPr>
        <w:pStyle w:val="BodyText"/>
        <w:spacing w:line="360" w:lineRule="auto" w:before="76"/>
        <w:ind w:left="1017" w:right="1808"/>
      </w:pPr>
      <w:r>
        <w:rPr/>
        <w:t>achieve its macroeconomic objective, namely hitting the Government’s inflation target without generating undue volatility in output. The accounts of the Asset Purchase Facility are not designed to address these overall macroeconomic costs or benefits, which instead requires an assessment of the impact of Quantitative Easing on demand and inflation. As I have already noted, this is a difficult issue which is likely to keep researchers busy for many years to</w:t>
      </w:r>
      <w:r>
        <w:rPr>
          <w:spacing w:val="-1"/>
        </w:rPr>
        <w:t> </w:t>
      </w:r>
      <w:r>
        <w:rPr/>
        <w:t>come.</w:t>
      </w:r>
    </w:p>
    <w:p>
      <w:pPr>
        <w:pStyle w:val="BodyText"/>
        <w:rPr>
          <w:sz w:val="26"/>
        </w:rPr>
      </w:pPr>
    </w:p>
    <w:p>
      <w:pPr>
        <w:pStyle w:val="BodyText"/>
        <w:spacing w:before="11"/>
        <w:rPr>
          <w:sz w:val="30"/>
        </w:rPr>
      </w:pPr>
    </w:p>
    <w:p>
      <w:pPr>
        <w:pStyle w:val="BodyText"/>
        <w:spacing w:line="360" w:lineRule="auto"/>
        <w:ind w:left="1017" w:right="1825"/>
      </w:pPr>
      <w:r>
        <w:rPr/>
        <w:t>Second, even if one were interested in the rather narrower issue of the impact of Quantitative Easing on the public finances, whether the Treasury ends up with a profit or a loss from the Asset Purchase Facility represents only a small part of the picture. Gilt yields will be lower than they would otherwise have been during the period that they are held in the Asset Purchase Facility, so reducing the cost of financing a given budget deficit. This needs to be factored into any calculation of the implications for the public finances. Rather more significantly, Quantitative Easing is intended to boost spending and activity. In the process, it should raise tax revenues and reduce benefit payments. And, unless Quantitative Easing proves to be largely ineffective, this effect is likely to dominate the other elements of the</w:t>
      </w:r>
      <w:r>
        <w:rPr>
          <w:spacing w:val="-2"/>
        </w:rPr>
        <w:t> </w:t>
      </w:r>
      <w:r>
        <w:rPr/>
        <w:t>calculation.</w:t>
      </w:r>
    </w:p>
    <w:p>
      <w:pPr>
        <w:pStyle w:val="BodyText"/>
        <w:rPr>
          <w:sz w:val="26"/>
        </w:rPr>
      </w:pPr>
    </w:p>
    <w:p>
      <w:pPr>
        <w:pStyle w:val="BodyText"/>
        <w:spacing w:before="9"/>
        <w:rPr>
          <w:sz w:val="30"/>
        </w:rPr>
      </w:pPr>
    </w:p>
    <w:p>
      <w:pPr>
        <w:pStyle w:val="BodyText"/>
        <w:spacing w:line="360" w:lineRule="auto"/>
        <w:ind w:left="1017" w:right="1841"/>
      </w:pPr>
      <w:r>
        <w:rPr/>
        <w:t>Finally, it is worth noting that normal monetary policy, conducted by varying Bank Rate, also generally affects both gilt yields and activity. Consequently, it too has an influence on the public finances, including through the Bank’s balance sheet. Yet we usually do not try to conduct such an exercise. The success of policy is instead judged by whether the macroeconomic objectives are met.</w:t>
      </w:r>
    </w:p>
    <w:p>
      <w:pPr>
        <w:pStyle w:val="BodyText"/>
        <w:rPr>
          <w:sz w:val="26"/>
        </w:rPr>
      </w:pPr>
    </w:p>
    <w:p>
      <w:pPr>
        <w:pStyle w:val="BodyText"/>
        <w:spacing w:before="10"/>
        <w:rPr>
          <w:sz w:val="30"/>
        </w:rPr>
      </w:pPr>
    </w:p>
    <w:p>
      <w:pPr>
        <w:pStyle w:val="BodyText"/>
        <w:spacing w:line="360" w:lineRule="auto"/>
        <w:ind w:left="1017" w:right="1881"/>
      </w:pPr>
      <w:r>
        <w:rPr/>
        <w:t>The moral from all this is one that will be all too familiar to you as accountants, though perhaps one that sometimes gets forgotten by consumers of accounting statements, namely that the appropriate way to frame accounts depends on how they will be used and what questions are being asked. The Asset Purchase Facility accounts may tell us the scale of gains or losses on the Asset Purchase Facility portfolio narrowly considered, but will miss the impact on the public finances from higher activity and lower financing costs and fail to tell us anything about it macroeconomic effectiveness. The rise in asset prices and the recovery in confidence</w:t>
      </w:r>
    </w:p>
    <w:p>
      <w:pPr>
        <w:spacing w:after="0" w:line="360" w:lineRule="auto"/>
        <w:sectPr>
          <w:pgSz w:w="11910" w:h="16840"/>
          <w:pgMar w:header="0" w:footer="779" w:top="1360" w:bottom="960" w:left="780" w:right="0"/>
        </w:sectPr>
      </w:pPr>
    </w:p>
    <w:p>
      <w:pPr>
        <w:pStyle w:val="BodyText"/>
        <w:spacing w:line="360" w:lineRule="auto" w:before="76"/>
        <w:ind w:left="1017" w:right="1806"/>
      </w:pPr>
      <w:r>
        <w:rPr/>
        <w:t>since the start of the Quantitative Easing program have been significant. We cannot identify precisely how much of this is a direct result of Quantitative Easing, and hence the scale of the boost to tax revenues. I have no doubt that this issue will continue to be debated for years to come, and that some sceptics may remain unconvinced. But even a sceptic should acknowledge that the net accounting gain or loss on the Asset Purchase Facility provides an incomplete measure of the impact of Quantitative Easing on the economy and on the public</w:t>
      </w:r>
      <w:r>
        <w:rPr>
          <w:spacing w:val="-1"/>
        </w:rPr>
        <w:t> </w:t>
      </w:r>
      <w:r>
        <w:rPr/>
        <w:t>finances.</w:t>
      </w:r>
    </w:p>
    <w:p>
      <w:pPr>
        <w:pStyle w:val="BodyText"/>
        <w:rPr>
          <w:sz w:val="26"/>
        </w:rPr>
      </w:pPr>
    </w:p>
    <w:p>
      <w:pPr>
        <w:pStyle w:val="BodyText"/>
        <w:spacing w:before="11"/>
        <w:rPr>
          <w:sz w:val="30"/>
        </w:rPr>
      </w:pPr>
    </w:p>
    <w:p>
      <w:pPr>
        <w:pStyle w:val="BodyText"/>
        <w:ind w:left="1017"/>
      </w:pPr>
      <w:r>
        <w:rPr/>
        <w:t>Thank you.</w:t>
      </w:r>
    </w:p>
    <w:p>
      <w:pPr>
        <w:spacing w:after="0"/>
        <w:sectPr>
          <w:pgSz w:w="11910" w:h="16840"/>
          <w:pgMar w:header="0" w:footer="779" w:top="1360" w:bottom="960" w:left="780" w:right="0"/>
        </w:sectPr>
      </w:pPr>
    </w:p>
    <w:p>
      <w:pPr>
        <w:pStyle w:val="Heading1"/>
      </w:pPr>
      <w:r>
        <w:rPr/>
        <w:t>Chart 1 – The Bank of England’s balance sheet</w:t>
      </w:r>
    </w:p>
    <w:p>
      <w:pPr>
        <w:pStyle w:val="BodyText"/>
        <w:spacing w:before="9"/>
        <w:rPr>
          <w:sz w:val="35"/>
        </w:rPr>
      </w:pPr>
    </w:p>
    <w:p>
      <w:pPr>
        <w:spacing w:before="1"/>
        <w:ind w:left="2436" w:right="0" w:firstLine="0"/>
        <w:jc w:val="left"/>
        <w:rPr>
          <w:rFonts w:ascii="Arial"/>
          <w:b/>
          <w:sz w:val="41"/>
        </w:rPr>
      </w:pPr>
      <w:r>
        <w:rPr/>
        <w:pict>
          <v:group style="position:absolute;margin-left:93.900002pt;margin-top:29.719053pt;width:386.8pt;height:278.3pt;mso-position-horizontal-relative:page;mso-position-vertical-relative:paragraph;z-index:-251640832;mso-wrap-distance-left:0;mso-wrap-distance-right:0" coordorigin="1878,594" coordsize="7736,5566">
            <v:shape style="position:absolute;left:2262;top:1679;width:6898;height:3935" type="#_x0000_t75" stroked="false">
              <v:imagedata r:id="rId8" o:title=""/>
            </v:shape>
            <v:rect style="position:absolute;left:2090;top:1573;width:99;height:98" filled="false" stroked="true" strokeweight=".816984pt" strokecolor="#000000">
              <v:stroke dashstyle="solid"/>
            </v:rect>
            <v:rect style="position:absolute;left:2090;top:1932;width:99;height:99" filled="false" stroked="true" strokeweight=".817001pt" strokecolor="#000000">
              <v:stroke dashstyle="solid"/>
            </v:rect>
            <v:rect style="position:absolute;left:2090;top:2291;width:99;height:99" filled="false" stroked="true" strokeweight=".817001pt" strokecolor="#000000">
              <v:stroke dashstyle="solid"/>
            </v:rect>
            <v:rect style="position:absolute;left:2090;top:2651;width:99;height:98" filled="false" stroked="true" strokeweight=".816984pt" strokecolor="#000000">
              <v:stroke dashstyle="solid"/>
            </v:rect>
            <v:rect style="position:absolute;left:2090;top:854;width:99;height:99" filled="false" stroked="true" strokeweight=".817001pt" strokecolor="#000000">
              <v:stroke dashstyle="solid"/>
            </v:rect>
            <v:rect style="position:absolute;left:2090;top:1213;width:99;height:99" filled="false" stroked="true" strokeweight=".817001pt" strokecolor="#000000">
              <v:stroke dashstyle="solid"/>
            </v:rect>
            <v:rect style="position:absolute;left:1878;top:594;width:7732;height:5566" filled="true" fillcolor="#ffffff" stroked="false">
              <v:fill type="solid"/>
            </v:rect>
            <v:shape style="position:absolute;left:2262;top:1679;width:6898;height:3935" type="#_x0000_t75" stroked="false">
              <v:imagedata r:id="rId8" o:title=""/>
            </v:shape>
            <v:line style="position:absolute" from="9151,1050" to="9151,5606" stroked="true" strokeweight=".06pt" strokecolor="#000000">
              <v:stroke dashstyle="solid"/>
            </v:line>
            <v:line style="position:absolute" from="9151,5606" to="9200,5606" stroked="true" strokeweight=".06pt" strokecolor="#000000">
              <v:stroke dashstyle="solid"/>
            </v:line>
            <v:line style="position:absolute" from="9151,4854" to="9200,4854" stroked="true" strokeweight=".06pt" strokecolor="#000000">
              <v:stroke dashstyle="solid"/>
            </v:line>
            <v:line style="position:absolute" from="9151,4088" to="9200,4088" stroked="true" strokeweight=".06pt" strokecolor="#000000">
              <v:stroke dashstyle="solid"/>
            </v:line>
            <v:line style="position:absolute" from="9151,3336" to="9200,3336" stroked="true" strokeweight=".06pt" strokecolor="#000000">
              <v:stroke dashstyle="solid"/>
            </v:line>
            <v:line style="position:absolute" from="9151,2568" to="9200,2568" stroked="true" strokeweight=".06pt" strokecolor="#000000">
              <v:stroke dashstyle="solid"/>
            </v:line>
            <v:line style="position:absolute" from="9151,1818" to="9200,1818" stroked="true" strokeweight=".06pt" strokecolor="#000000">
              <v:stroke dashstyle="solid"/>
            </v:line>
            <v:line style="position:absolute" from="9151,1050" to="9200,1050" stroked="true" strokeweight=".06pt" strokecolor="#000000">
              <v:stroke dashstyle="solid"/>
            </v:line>
            <v:line style="position:absolute" from="2221,5606" to="9151,5606" stroked="true" strokeweight=".06pt" strokecolor="#000000">
              <v:stroke dashstyle="solid"/>
            </v:line>
            <v:line style="position:absolute" from="2221,5606" to="2221,5556" stroked="true" strokeweight=".06pt" strokecolor="#000000">
              <v:stroke dashstyle="solid"/>
            </v:line>
            <v:line style="position:absolute" from="2893,5606" to="2893,5556" stroked="true" strokeweight=".06pt" strokecolor="#000000">
              <v:stroke dashstyle="solid"/>
            </v:line>
            <v:line style="position:absolute" from="3565,5606" to="3565,5556" stroked="true" strokeweight=".06pt" strokecolor="#000000">
              <v:stroke dashstyle="solid"/>
            </v:line>
            <v:line style="position:absolute" from="4220,5606" to="4220,5556" stroked="true" strokeweight=".06pt" strokecolor="#000000">
              <v:stroke dashstyle="solid"/>
            </v:line>
            <v:line style="position:absolute" from="4892,5606" to="4892,5556" stroked="true" strokeweight=".06pt" strokecolor="#000000">
              <v:stroke dashstyle="solid"/>
            </v:line>
            <v:line style="position:absolute" from="5563,5606" to="5563,5556" stroked="true" strokeweight=".06pt" strokecolor="#000000">
              <v:stroke dashstyle="solid"/>
            </v:line>
            <v:line style="position:absolute" from="6235,5606" to="6235,5556" stroked="true" strokeweight=".06pt" strokecolor="#000000">
              <v:stroke dashstyle="solid"/>
            </v:line>
            <v:line style="position:absolute" from="6890,5606" to="6890,5556" stroked="true" strokeweight=".06pt" strokecolor="#000000">
              <v:stroke dashstyle="solid"/>
            </v:line>
            <v:line style="position:absolute" from="7546,5606" to="7546,5556" stroked="true" strokeweight=".06pt" strokecolor="#000000">
              <v:stroke dashstyle="solid"/>
            </v:line>
            <v:line style="position:absolute" from="8218,5606" to="8218,5556" stroked="true" strokeweight=".06pt" strokecolor="#000000">
              <v:stroke dashstyle="solid"/>
            </v:line>
            <v:line style="position:absolute" from="8890,5606" to="8890,5556" stroked="true" strokeweight=".06pt" strokecolor="#000000">
              <v:stroke dashstyle="solid"/>
            </v:line>
            <v:rect style="position:absolute;left:2090;top:854;width:99;height:99" filled="true" fillcolor="#ff8080" stroked="false">
              <v:fill type="solid"/>
            </v:rect>
            <v:rect style="position:absolute;left:2090;top:854;width:99;height:99" filled="false" stroked="true" strokeweight=".817001pt" strokecolor="#000000">
              <v:stroke dashstyle="solid"/>
            </v:rect>
            <v:rect style="position:absolute;left:2090;top:1213;width:99;height:99" filled="true" fillcolor="#600080" stroked="false">
              <v:fill type="solid"/>
            </v:rect>
            <v:rect style="position:absolute;left:2090;top:1213;width:99;height:99" filled="false" stroked="true" strokeweight=".817001pt" strokecolor="#000000">
              <v:stroke dashstyle="solid"/>
            </v:rect>
            <v:rect style="position:absolute;left:2090;top:1573;width:99;height:98" filled="true" fillcolor="#339a33" stroked="false">
              <v:fill type="solid"/>
            </v:rect>
            <v:rect style="position:absolute;left:2090;top:1573;width:99;height:98" filled="false" stroked="true" strokeweight=".816984pt" strokecolor="#000000">
              <v:stroke dashstyle="solid"/>
            </v:rect>
            <v:rect style="position:absolute;left:2090;top:1932;width:99;height:99" filled="true" fillcolor="#ffffc0" stroked="false">
              <v:fill type="solid"/>
            </v:rect>
            <v:rect style="position:absolute;left:2090;top:1932;width:99;height:99" filled="false" stroked="true" strokeweight=".817001pt" strokecolor="#000000">
              <v:stroke dashstyle="solid"/>
            </v:rect>
            <v:rect style="position:absolute;left:2090;top:2291;width:99;height:99" filled="true" fillcolor="#9a3365" stroked="false">
              <v:fill type="solid"/>
            </v:rect>
            <v:rect style="position:absolute;left:2090;top:2291;width:99;height:99" filled="false" stroked="true" strokeweight=".817001pt" strokecolor="#000000">
              <v:stroke dashstyle="solid"/>
            </v:rect>
            <v:rect style="position:absolute;left:2090;top:2651;width:99;height:98" filled="true" fillcolor="#8080ff" stroked="false">
              <v:fill type="solid"/>
            </v:rect>
            <v:rect style="position:absolute;left:2090;top:2651;width:99;height:98" filled="false" stroked="true" strokeweight=".816984pt" strokecolor="#000000">
              <v:stroke dashstyle="solid"/>
            </v:rect>
            <v:line style="position:absolute" from="7619,5628" to="7619,1485" stroked="true" strokeweight=".819pt" strokecolor="#010101">
              <v:stroke dashstyle="solid"/>
            </v:line>
            <v:line style="position:absolute" from="6391,5628" to="6391,1485" stroked="true" strokeweight=".819pt" strokecolor="#010101">
              <v:stroke dashstyle="solid"/>
            </v:line>
            <v:shape style="position:absolute;left:2254;top:789;width:1142;height:201" type="#_x0000_t202" filled="false" stroked="false">
              <v:textbox inset="0,0,0,0">
                <w:txbxContent>
                  <w:p>
                    <w:pPr>
                      <w:spacing w:line="201" w:lineRule="exact" w:before="0"/>
                      <w:ind w:left="0" w:right="0" w:firstLine="0"/>
                      <w:jc w:val="left"/>
                      <w:rPr>
                        <w:rFonts w:ascii="Arial"/>
                        <w:sz w:val="18"/>
                      </w:rPr>
                    </w:pPr>
                    <w:r>
                      <w:rPr>
                        <w:rFonts w:ascii="Arial"/>
                        <w:spacing w:val="-3"/>
                        <w:sz w:val="18"/>
                      </w:rPr>
                      <w:t>Other </w:t>
                    </w:r>
                    <w:r>
                      <w:rPr>
                        <w:rFonts w:ascii="Arial"/>
                        <w:spacing w:val="-5"/>
                        <w:sz w:val="18"/>
                      </w:rPr>
                      <w:t>liabilities</w:t>
                    </w:r>
                  </w:p>
                </w:txbxContent>
              </v:textbox>
              <w10:wrap type="none"/>
            </v:shape>
            <v:shape style="position:absolute;left:8889;top:643;width:725;height:495" type="#_x0000_t202" filled="false" stroked="false">
              <v:textbox inset="0,0,0,0">
                <w:txbxContent>
                  <w:p>
                    <w:pPr>
                      <w:spacing w:line="201" w:lineRule="exact" w:before="0"/>
                      <w:ind w:left="0" w:right="60" w:firstLine="0"/>
                      <w:jc w:val="right"/>
                      <w:rPr>
                        <w:rFonts w:ascii="Arial" w:hAnsi="Arial"/>
                        <w:sz w:val="18"/>
                      </w:rPr>
                    </w:pPr>
                    <w:r>
                      <w:rPr>
                        <w:rFonts w:ascii="Arial" w:hAnsi="Arial"/>
                        <w:sz w:val="18"/>
                      </w:rPr>
                      <w:t>£</w:t>
                    </w:r>
                    <w:r>
                      <w:rPr>
                        <w:rFonts w:ascii="Arial" w:hAnsi="Arial"/>
                        <w:spacing w:val="-1"/>
                        <w:sz w:val="18"/>
                      </w:rPr>
                      <w:t> </w:t>
                    </w:r>
                    <w:r>
                      <w:rPr>
                        <w:rFonts w:ascii="Arial" w:hAnsi="Arial"/>
                        <w:spacing w:val="-7"/>
                        <w:sz w:val="18"/>
                      </w:rPr>
                      <w:t>billions</w:t>
                    </w:r>
                  </w:p>
                  <w:p>
                    <w:pPr>
                      <w:spacing w:before="87"/>
                      <w:ind w:left="0" w:right="18" w:firstLine="0"/>
                      <w:jc w:val="right"/>
                      <w:rPr>
                        <w:rFonts w:ascii="Arial"/>
                        <w:sz w:val="18"/>
                      </w:rPr>
                    </w:pPr>
                    <w:r>
                      <w:rPr>
                        <w:rFonts w:ascii="Arial"/>
                        <w:spacing w:val="-3"/>
                        <w:sz w:val="18"/>
                      </w:rPr>
                      <w:t>300</w:t>
                    </w:r>
                  </w:p>
                </w:txbxContent>
              </v:textbox>
              <w10:wrap type="none"/>
            </v:shape>
            <v:shape style="position:absolute;left:2254;top:1149;width:3280;height:1637" type="#_x0000_t202" filled="false" stroked="false">
              <v:textbox inset="0,0,0,0">
                <w:txbxContent>
                  <w:p>
                    <w:pPr>
                      <w:spacing w:line="415" w:lineRule="auto" w:before="0"/>
                      <w:ind w:left="0" w:right="3" w:firstLine="0"/>
                      <w:jc w:val="left"/>
                      <w:rPr>
                        <w:rFonts w:ascii="Arial"/>
                        <w:sz w:val="18"/>
                      </w:rPr>
                    </w:pPr>
                    <w:r>
                      <w:rPr>
                        <w:rFonts w:ascii="Arial"/>
                        <w:sz w:val="18"/>
                      </w:rPr>
                      <w:t>Short-term open </w:t>
                    </w:r>
                    <w:r>
                      <w:rPr>
                        <w:rFonts w:ascii="Arial"/>
                        <w:spacing w:val="-5"/>
                        <w:sz w:val="18"/>
                      </w:rPr>
                      <w:t>market </w:t>
                    </w:r>
                    <w:r>
                      <w:rPr>
                        <w:rFonts w:ascii="Arial"/>
                        <w:sz w:val="18"/>
                      </w:rPr>
                      <w:t>operations, drain Reserve Balances</w:t>
                    </w:r>
                  </w:p>
                  <w:p>
                    <w:pPr>
                      <w:spacing w:line="415" w:lineRule="auto" w:before="0"/>
                      <w:ind w:left="0" w:right="3" w:firstLine="0"/>
                      <w:jc w:val="left"/>
                      <w:rPr>
                        <w:rFonts w:ascii="Arial"/>
                        <w:sz w:val="18"/>
                      </w:rPr>
                    </w:pPr>
                    <w:r>
                      <w:rPr>
                        <w:rFonts w:ascii="Arial"/>
                        <w:spacing w:val="-3"/>
                        <w:sz w:val="18"/>
                      </w:rPr>
                      <w:t>Foreign </w:t>
                    </w:r>
                    <w:r>
                      <w:rPr>
                        <w:rFonts w:ascii="Arial"/>
                        <w:spacing w:val="2"/>
                        <w:sz w:val="18"/>
                      </w:rPr>
                      <w:t>currency </w:t>
                    </w:r>
                    <w:r>
                      <w:rPr>
                        <w:rFonts w:ascii="Arial"/>
                        <w:spacing w:val="-4"/>
                        <w:sz w:val="18"/>
                      </w:rPr>
                      <w:t>public </w:t>
                    </w:r>
                    <w:r>
                      <w:rPr>
                        <w:rFonts w:ascii="Arial"/>
                        <w:sz w:val="18"/>
                      </w:rPr>
                      <w:t>securities issued </w:t>
                    </w:r>
                    <w:r>
                      <w:rPr>
                        <w:rFonts w:ascii="Arial"/>
                        <w:spacing w:val="-3"/>
                        <w:sz w:val="18"/>
                      </w:rPr>
                      <w:t>Cash </w:t>
                    </w:r>
                    <w:r>
                      <w:rPr>
                        <w:rFonts w:ascii="Arial"/>
                        <w:sz w:val="18"/>
                      </w:rPr>
                      <w:t>ratio</w:t>
                    </w:r>
                    <w:r>
                      <w:rPr>
                        <w:rFonts w:ascii="Arial"/>
                        <w:spacing w:val="-4"/>
                        <w:sz w:val="18"/>
                      </w:rPr>
                      <w:t> </w:t>
                    </w:r>
                    <w:r>
                      <w:rPr>
                        <w:rFonts w:ascii="Arial"/>
                        <w:sz w:val="18"/>
                      </w:rPr>
                      <w:t>deposits</w:t>
                    </w:r>
                  </w:p>
                  <w:p>
                    <w:pPr>
                      <w:spacing w:before="0"/>
                      <w:ind w:left="0" w:right="0" w:firstLine="0"/>
                      <w:jc w:val="left"/>
                      <w:rPr>
                        <w:rFonts w:ascii="Arial"/>
                        <w:sz w:val="18"/>
                      </w:rPr>
                    </w:pPr>
                    <w:r>
                      <w:rPr>
                        <w:rFonts w:ascii="Arial"/>
                        <w:spacing w:val="-4"/>
                        <w:sz w:val="18"/>
                      </w:rPr>
                      <w:t>Notes in</w:t>
                    </w:r>
                    <w:r>
                      <w:rPr>
                        <w:rFonts w:ascii="Arial"/>
                        <w:spacing w:val="-1"/>
                        <w:sz w:val="18"/>
                      </w:rPr>
                      <w:t> </w:t>
                    </w:r>
                    <w:r>
                      <w:rPr>
                        <w:rFonts w:ascii="Arial"/>
                        <w:sz w:val="18"/>
                      </w:rPr>
                      <w:t>circulation</w:t>
                    </w:r>
                  </w:p>
                </w:txbxContent>
              </v:textbox>
              <w10:wrap type="none"/>
            </v:shape>
            <v:shape style="position:absolute;left:6071;top:1235;width:753;height:201" type="#_x0000_t202" filled="false" stroked="false">
              <v:textbox inset="0,0,0,0">
                <w:txbxContent>
                  <w:p>
                    <w:pPr>
                      <w:spacing w:line="201" w:lineRule="exact" w:before="0"/>
                      <w:ind w:left="0" w:right="0" w:firstLine="0"/>
                      <w:jc w:val="left"/>
                      <w:rPr>
                        <w:rFonts w:ascii="Arial"/>
                        <w:b/>
                        <w:sz w:val="18"/>
                      </w:rPr>
                    </w:pPr>
                    <w:r>
                      <w:rPr>
                        <w:rFonts w:ascii="Arial"/>
                        <w:b/>
                        <w:sz w:val="18"/>
                      </w:rPr>
                      <w:t>Lehman</w:t>
                    </w:r>
                  </w:p>
                </w:txbxContent>
              </v:textbox>
              <w10:wrap type="none"/>
            </v:shape>
            <v:shape style="position:absolute;left:7185;top:1235;width:1119;height:201" type="#_x0000_t202" filled="false" stroked="false">
              <v:textbox inset="0,0,0,0">
                <w:txbxContent>
                  <w:p>
                    <w:pPr>
                      <w:spacing w:line="201" w:lineRule="exact" w:before="0"/>
                      <w:ind w:left="0" w:right="0" w:firstLine="0"/>
                      <w:jc w:val="left"/>
                      <w:rPr>
                        <w:rFonts w:ascii="Arial"/>
                        <w:b/>
                        <w:sz w:val="18"/>
                      </w:rPr>
                    </w:pPr>
                    <w:r>
                      <w:rPr>
                        <w:rFonts w:ascii="Arial"/>
                        <w:b/>
                        <w:sz w:val="18"/>
                      </w:rPr>
                      <w:t>APF Phase II</w:t>
                    </w:r>
                  </w:p>
                </w:txbxContent>
              </v:textbox>
              <w10:wrap type="none"/>
            </v:shape>
            <v:shape style="position:absolute;left:9298;top:1703;width:316;height:201" type="#_x0000_t202" filled="false" stroked="false">
              <v:textbox inset="0,0,0,0">
                <w:txbxContent>
                  <w:p>
                    <w:pPr>
                      <w:spacing w:line="201" w:lineRule="exact" w:before="0"/>
                      <w:ind w:left="0" w:right="0" w:firstLine="0"/>
                      <w:jc w:val="left"/>
                      <w:rPr>
                        <w:rFonts w:ascii="Arial"/>
                        <w:sz w:val="18"/>
                      </w:rPr>
                    </w:pPr>
                    <w:r>
                      <w:rPr>
                        <w:rFonts w:ascii="Arial"/>
                        <w:sz w:val="18"/>
                      </w:rPr>
                      <w:t>250</w:t>
                    </w:r>
                  </w:p>
                </w:txbxContent>
              </v:textbox>
              <w10:wrap type="none"/>
            </v:shape>
            <v:shape style="position:absolute;left:9298;top:2455;width:316;height:201" type="#_x0000_t202" filled="false" stroked="false">
              <v:textbox inset="0,0,0,0">
                <w:txbxContent>
                  <w:p>
                    <w:pPr>
                      <w:spacing w:line="201" w:lineRule="exact" w:before="0"/>
                      <w:ind w:left="0" w:right="0" w:firstLine="0"/>
                      <w:jc w:val="left"/>
                      <w:rPr>
                        <w:rFonts w:ascii="Arial"/>
                        <w:sz w:val="18"/>
                      </w:rPr>
                    </w:pPr>
                    <w:r>
                      <w:rPr>
                        <w:rFonts w:ascii="Arial"/>
                        <w:sz w:val="18"/>
                      </w:rPr>
                      <w:t>200</w:t>
                    </w:r>
                  </w:p>
                </w:txbxContent>
              </v:textbox>
              <w10:wrap type="none"/>
            </v:shape>
            <v:shape style="position:absolute;left:9298;top:3221;width:316;height:201" type="#_x0000_t202" filled="false" stroked="false">
              <v:textbox inset="0,0,0,0">
                <w:txbxContent>
                  <w:p>
                    <w:pPr>
                      <w:spacing w:line="201" w:lineRule="exact" w:before="0"/>
                      <w:ind w:left="0" w:right="0" w:firstLine="0"/>
                      <w:jc w:val="left"/>
                      <w:rPr>
                        <w:rFonts w:ascii="Arial"/>
                        <w:sz w:val="18"/>
                      </w:rPr>
                    </w:pPr>
                    <w:r>
                      <w:rPr>
                        <w:rFonts w:ascii="Arial"/>
                        <w:sz w:val="18"/>
                      </w:rPr>
                      <w:t>150</w:t>
                    </w:r>
                  </w:p>
                </w:txbxContent>
              </v:textbox>
              <w10:wrap type="none"/>
            </v:shape>
            <v:shape style="position:absolute;left:9298;top:3973;width:316;height:201" type="#_x0000_t202" filled="false" stroked="false">
              <v:textbox inset="0,0,0,0">
                <w:txbxContent>
                  <w:p>
                    <w:pPr>
                      <w:spacing w:line="201" w:lineRule="exact" w:before="0"/>
                      <w:ind w:left="0" w:right="0" w:firstLine="0"/>
                      <w:jc w:val="left"/>
                      <w:rPr>
                        <w:rFonts w:ascii="Arial"/>
                        <w:sz w:val="18"/>
                      </w:rPr>
                    </w:pPr>
                    <w:r>
                      <w:rPr>
                        <w:rFonts w:ascii="Arial"/>
                        <w:sz w:val="18"/>
                      </w:rPr>
                      <w:t>100</w:t>
                    </w:r>
                  </w:p>
                </w:txbxContent>
              </v:textbox>
              <w10:wrap type="none"/>
            </v:shape>
            <v:shape style="position:absolute;left:9298;top:4739;width:217;height:201" type="#_x0000_t202" filled="false" stroked="false">
              <v:textbox inset="0,0,0,0">
                <w:txbxContent>
                  <w:p>
                    <w:pPr>
                      <w:spacing w:line="201" w:lineRule="exact" w:before="0"/>
                      <w:ind w:left="0" w:right="0" w:firstLine="0"/>
                      <w:jc w:val="left"/>
                      <w:rPr>
                        <w:rFonts w:ascii="Arial"/>
                        <w:sz w:val="18"/>
                      </w:rPr>
                    </w:pPr>
                    <w:r>
                      <w:rPr>
                        <w:rFonts w:ascii="Arial"/>
                        <w:sz w:val="18"/>
                      </w:rPr>
                      <w:t>50</w:t>
                    </w:r>
                  </w:p>
                </w:txbxContent>
              </v:textbox>
              <w10:wrap type="none"/>
            </v:shape>
            <v:shape style="position:absolute;left:9298;top:5491;width:121;height:201" type="#_x0000_t202" filled="false" stroked="false">
              <v:textbox inset="0,0,0,0">
                <w:txbxContent>
                  <w:p>
                    <w:pPr>
                      <w:spacing w:line="201" w:lineRule="exact" w:before="0"/>
                      <w:ind w:left="0" w:right="0" w:firstLine="0"/>
                      <w:jc w:val="left"/>
                      <w:rPr>
                        <w:rFonts w:ascii="Arial"/>
                        <w:sz w:val="18"/>
                      </w:rPr>
                    </w:pPr>
                    <w:r>
                      <w:rPr>
                        <w:rFonts w:ascii="Arial"/>
                        <w:w w:val="100"/>
                        <w:sz w:val="18"/>
                      </w:rPr>
                      <w:t>0</w:t>
                    </w:r>
                  </w:p>
                </w:txbxContent>
              </v:textbox>
              <w10:wrap type="none"/>
            </v:shape>
            <v:shape style="position:absolute;left:1944;top:5752;width:7260;height:201" type="#_x0000_t202" filled="false" stroked="false">
              <v:textbox inset="0,0,0,0">
                <w:txbxContent>
                  <w:p>
                    <w:pPr>
                      <w:spacing w:line="201" w:lineRule="exact" w:before="0"/>
                      <w:ind w:left="0" w:right="0" w:firstLine="0"/>
                      <w:jc w:val="left"/>
                      <w:rPr>
                        <w:rFonts w:ascii="Arial"/>
                        <w:sz w:val="18"/>
                      </w:rPr>
                    </w:pPr>
                    <w:r>
                      <w:rPr>
                        <w:rFonts w:ascii="Arial"/>
                        <w:sz w:val="18"/>
                      </w:rPr>
                      <w:t>Mar-07 Jun-07 Sep-07 Dec-07 Mar-08 Jun-08 Sep-08 Dec-08 Mar-09 Jun-09 Sep-09</w:t>
                    </w:r>
                  </w:p>
                </w:txbxContent>
              </v:textbox>
              <w10:wrap type="none"/>
            </v:shape>
            <w10:wrap type="topAndBottom"/>
          </v:group>
        </w:pict>
      </w:r>
      <w:r>
        <w:rPr/>
        <w:pict>
          <v:shape style="position:absolute;margin-left:97.201408pt;margin-top:32.150887pt;width:382.5pt;height:265.55pt;mso-position-horizontal-relative:page;mso-position-vertical-relative:paragraph;z-index:-252482560" type="#_x0000_t202" filled="false" stroked="false">
            <v:textbox inset="0,0,0,0">
              <w:txbxContent>
                <w:p>
                  <w:pPr>
                    <w:spacing w:line="170" w:lineRule="exact" w:before="0"/>
                    <w:ind w:left="6945" w:right="0" w:firstLine="0"/>
                    <w:jc w:val="left"/>
                    <w:rPr>
                      <w:rFonts w:ascii="Arial" w:hAnsi="Arial"/>
                      <w:sz w:val="18"/>
                    </w:rPr>
                  </w:pPr>
                  <w:r>
                    <w:rPr>
                      <w:rFonts w:ascii="Arial" w:hAnsi="Arial"/>
                      <w:sz w:val="18"/>
                    </w:rPr>
                    <w:t>£ billions</w:t>
                  </w:r>
                </w:p>
                <w:p>
                  <w:pPr>
                    <w:spacing w:line="147" w:lineRule="exact" w:before="0"/>
                    <w:ind w:left="310" w:right="0" w:firstLine="0"/>
                    <w:jc w:val="left"/>
                    <w:rPr>
                      <w:rFonts w:ascii="Arial"/>
                      <w:sz w:val="18"/>
                    </w:rPr>
                  </w:pPr>
                  <w:r>
                    <w:rPr>
                      <w:rFonts w:ascii="Arial"/>
                      <w:sz w:val="18"/>
                    </w:rPr>
                    <w:t>Other liabilities</w:t>
                  </w:r>
                </w:p>
                <w:p>
                  <w:pPr>
                    <w:spacing w:line="177" w:lineRule="exact" w:before="0"/>
                    <w:ind w:left="7354" w:right="0" w:firstLine="0"/>
                    <w:jc w:val="left"/>
                    <w:rPr>
                      <w:rFonts w:ascii="Arial"/>
                      <w:sz w:val="18"/>
                    </w:rPr>
                  </w:pPr>
                  <w:r>
                    <w:rPr>
                      <w:rFonts w:ascii="Arial"/>
                      <w:spacing w:val="-2"/>
                      <w:sz w:val="18"/>
                    </w:rPr>
                    <w:t>300</w:t>
                  </w:r>
                </w:p>
                <w:p>
                  <w:pPr>
                    <w:tabs>
                      <w:tab w:pos="4127" w:val="left" w:leader="none"/>
                      <w:tab w:pos="5241" w:val="left" w:leader="none"/>
                    </w:tabs>
                    <w:spacing w:before="5"/>
                    <w:ind w:left="310" w:right="0" w:firstLine="0"/>
                    <w:jc w:val="left"/>
                    <w:rPr>
                      <w:rFonts w:ascii="Arial"/>
                      <w:b/>
                      <w:sz w:val="18"/>
                    </w:rPr>
                  </w:pPr>
                  <w:r>
                    <w:rPr>
                      <w:rFonts w:ascii="Arial"/>
                      <w:sz w:val="18"/>
                    </w:rPr>
                    <w:t>Short-term open </w:t>
                  </w:r>
                  <w:r>
                    <w:rPr>
                      <w:rFonts w:ascii="Arial"/>
                      <w:spacing w:val="-5"/>
                      <w:sz w:val="18"/>
                    </w:rPr>
                    <w:t>market</w:t>
                  </w:r>
                  <w:r>
                    <w:rPr>
                      <w:rFonts w:ascii="Arial"/>
                      <w:spacing w:val="-32"/>
                      <w:sz w:val="18"/>
                    </w:rPr>
                    <w:t> </w:t>
                  </w:r>
                  <w:r>
                    <w:rPr>
                      <w:rFonts w:ascii="Arial"/>
                      <w:sz w:val="18"/>
                    </w:rPr>
                    <w:t>operations,</w:t>
                  </w:r>
                  <w:r>
                    <w:rPr>
                      <w:rFonts w:ascii="Arial"/>
                      <w:spacing w:val="-5"/>
                      <w:sz w:val="18"/>
                    </w:rPr>
                    <w:t> </w:t>
                  </w:r>
                  <w:r>
                    <w:rPr>
                      <w:rFonts w:ascii="Arial"/>
                      <w:sz w:val="18"/>
                    </w:rPr>
                    <w:t>drain</w:t>
                    <w:tab/>
                  </w:r>
                  <w:r>
                    <w:rPr>
                      <w:rFonts w:ascii="Arial"/>
                      <w:b/>
                      <w:spacing w:val="6"/>
                      <w:position w:val="-8"/>
                      <w:sz w:val="18"/>
                    </w:rPr>
                    <w:t>Lehman</w:t>
                    <w:tab/>
                  </w:r>
                  <w:r>
                    <w:rPr>
                      <w:rFonts w:ascii="Arial"/>
                      <w:b/>
                      <w:position w:val="-8"/>
                      <w:sz w:val="18"/>
                    </w:rPr>
                    <w:t>APF Phase</w:t>
                  </w:r>
                  <w:r>
                    <w:rPr>
                      <w:rFonts w:ascii="Arial"/>
                      <w:b/>
                      <w:spacing w:val="1"/>
                      <w:position w:val="-8"/>
                      <w:sz w:val="18"/>
                    </w:rPr>
                    <w:t> </w:t>
                  </w:r>
                  <w:r>
                    <w:rPr>
                      <w:rFonts w:ascii="Arial"/>
                      <w:b/>
                      <w:position w:val="-8"/>
                      <w:sz w:val="18"/>
                    </w:rPr>
                    <w:t>II</w:t>
                  </w:r>
                </w:p>
                <w:p>
                  <w:pPr>
                    <w:spacing w:line="201" w:lineRule="exact" w:before="62"/>
                    <w:ind w:left="310" w:right="0" w:firstLine="0"/>
                    <w:jc w:val="left"/>
                    <w:rPr>
                      <w:rFonts w:ascii="Arial"/>
                      <w:sz w:val="18"/>
                    </w:rPr>
                  </w:pPr>
                  <w:r>
                    <w:rPr>
                      <w:rFonts w:ascii="Arial"/>
                      <w:sz w:val="18"/>
                    </w:rPr>
                    <w:t>Reserve Balances</w:t>
                  </w:r>
                </w:p>
                <w:p>
                  <w:pPr>
                    <w:spacing w:line="179" w:lineRule="exact" w:before="0"/>
                    <w:ind w:left="7354" w:right="0" w:firstLine="0"/>
                    <w:jc w:val="left"/>
                    <w:rPr>
                      <w:rFonts w:ascii="Arial"/>
                      <w:sz w:val="18"/>
                    </w:rPr>
                  </w:pPr>
                  <w:r>
                    <w:rPr>
                      <w:rFonts w:ascii="Arial"/>
                      <w:spacing w:val="-2"/>
                      <w:sz w:val="18"/>
                    </w:rPr>
                    <w:t>250</w:t>
                  </w:r>
                </w:p>
                <w:p>
                  <w:pPr>
                    <w:spacing w:line="185" w:lineRule="exact" w:before="0"/>
                    <w:ind w:left="310" w:right="0" w:firstLine="0"/>
                    <w:jc w:val="left"/>
                    <w:rPr>
                      <w:rFonts w:ascii="Arial"/>
                      <w:sz w:val="18"/>
                    </w:rPr>
                  </w:pPr>
                  <w:r>
                    <w:rPr>
                      <w:rFonts w:ascii="Arial"/>
                      <w:sz w:val="18"/>
                    </w:rPr>
                    <w:t>Foreign currency public securities issued</w:t>
                  </w:r>
                </w:p>
                <w:p>
                  <w:pPr>
                    <w:spacing w:before="152"/>
                    <w:ind w:left="310" w:right="0" w:firstLine="0"/>
                    <w:jc w:val="left"/>
                    <w:rPr>
                      <w:rFonts w:ascii="Arial"/>
                      <w:sz w:val="18"/>
                    </w:rPr>
                  </w:pPr>
                  <w:r>
                    <w:rPr>
                      <w:rFonts w:ascii="Arial"/>
                      <w:sz w:val="18"/>
                    </w:rPr>
                    <w:t>Cash ratio deposits</w:t>
                  </w:r>
                </w:p>
                <w:p>
                  <w:pPr>
                    <w:tabs>
                      <w:tab w:pos="7649" w:val="right" w:leader="none"/>
                    </w:tabs>
                    <w:spacing w:before="23"/>
                    <w:ind w:left="310" w:right="0" w:firstLine="0"/>
                    <w:jc w:val="left"/>
                    <w:rPr>
                      <w:rFonts w:ascii="Arial"/>
                      <w:sz w:val="18"/>
                    </w:rPr>
                  </w:pPr>
                  <w:r>
                    <w:rPr>
                      <w:rFonts w:ascii="Arial"/>
                      <w:spacing w:val="-4"/>
                      <w:sz w:val="18"/>
                    </w:rPr>
                    <w:t>Notes</w:t>
                  </w:r>
                  <w:r>
                    <w:rPr>
                      <w:rFonts w:ascii="Arial"/>
                      <w:spacing w:val="5"/>
                      <w:sz w:val="18"/>
                    </w:rPr>
                    <w:t> </w:t>
                  </w:r>
                  <w:r>
                    <w:rPr>
                      <w:rFonts w:ascii="Arial"/>
                      <w:spacing w:val="-4"/>
                      <w:sz w:val="18"/>
                    </w:rPr>
                    <w:t>in</w:t>
                  </w:r>
                  <w:r>
                    <w:rPr>
                      <w:rFonts w:ascii="Arial"/>
                      <w:spacing w:val="-3"/>
                      <w:sz w:val="18"/>
                    </w:rPr>
                    <w:t> </w:t>
                  </w:r>
                  <w:r>
                    <w:rPr>
                      <w:rFonts w:ascii="Arial"/>
                      <w:sz w:val="18"/>
                    </w:rPr>
                    <w:t>circulation</w:t>
                    <w:tab/>
                  </w:r>
                  <w:r>
                    <w:rPr>
                      <w:rFonts w:ascii="Arial"/>
                      <w:spacing w:val="-2"/>
                      <w:position w:val="13"/>
                      <w:sz w:val="18"/>
                    </w:rPr>
                    <w:t>200</w:t>
                  </w:r>
                </w:p>
                <w:p>
                  <w:pPr>
                    <w:pStyle w:val="BodyText"/>
                    <w:spacing w:before="3"/>
                    <w:rPr>
                      <w:rFonts w:ascii="Arial"/>
                      <w:sz w:val="37"/>
                    </w:rPr>
                  </w:pPr>
                </w:p>
                <w:p>
                  <w:pPr>
                    <w:spacing w:before="0"/>
                    <w:ind w:left="7354" w:right="0" w:firstLine="0"/>
                    <w:jc w:val="left"/>
                    <w:rPr>
                      <w:rFonts w:ascii="Arial"/>
                      <w:sz w:val="18"/>
                    </w:rPr>
                  </w:pPr>
                  <w:r>
                    <w:rPr>
                      <w:rFonts w:ascii="Arial"/>
                      <w:spacing w:val="-2"/>
                      <w:sz w:val="18"/>
                    </w:rPr>
                    <w:t>150</w:t>
                  </w:r>
                </w:p>
                <w:p>
                  <w:pPr>
                    <w:pStyle w:val="BodyText"/>
                    <w:rPr>
                      <w:rFonts w:ascii="Arial"/>
                      <w:sz w:val="20"/>
                    </w:rPr>
                  </w:pPr>
                </w:p>
                <w:p>
                  <w:pPr>
                    <w:pStyle w:val="BodyText"/>
                    <w:spacing w:before="4"/>
                    <w:rPr>
                      <w:rFonts w:ascii="Arial"/>
                      <w:sz w:val="27"/>
                    </w:rPr>
                  </w:pPr>
                </w:p>
                <w:p>
                  <w:pPr>
                    <w:spacing w:before="0"/>
                    <w:ind w:left="7354" w:right="0" w:firstLine="0"/>
                    <w:jc w:val="left"/>
                    <w:rPr>
                      <w:rFonts w:ascii="Arial"/>
                      <w:sz w:val="18"/>
                    </w:rPr>
                  </w:pPr>
                  <w:r>
                    <w:rPr>
                      <w:rFonts w:ascii="Arial"/>
                      <w:spacing w:val="-2"/>
                      <w:sz w:val="18"/>
                    </w:rPr>
                    <w:t>100</w:t>
                  </w:r>
                </w:p>
                <w:p>
                  <w:pPr>
                    <w:pStyle w:val="BodyText"/>
                    <w:rPr>
                      <w:rFonts w:ascii="Arial"/>
                      <w:sz w:val="20"/>
                    </w:rPr>
                  </w:pPr>
                </w:p>
                <w:p>
                  <w:pPr>
                    <w:pStyle w:val="BodyText"/>
                    <w:spacing w:before="8"/>
                    <w:rPr>
                      <w:rFonts w:ascii="Arial"/>
                      <w:sz w:val="28"/>
                    </w:rPr>
                  </w:pPr>
                </w:p>
                <w:p>
                  <w:pPr>
                    <w:spacing w:before="0"/>
                    <w:ind w:left="7354" w:right="0" w:firstLine="0"/>
                    <w:jc w:val="left"/>
                    <w:rPr>
                      <w:rFonts w:ascii="Arial"/>
                      <w:sz w:val="18"/>
                    </w:rPr>
                  </w:pPr>
                  <w:r>
                    <w:rPr>
                      <w:rFonts w:ascii="Arial"/>
                      <w:sz w:val="18"/>
                    </w:rPr>
                    <w:t>50</w:t>
                  </w:r>
                </w:p>
                <w:p>
                  <w:pPr>
                    <w:pStyle w:val="BodyText"/>
                    <w:rPr>
                      <w:rFonts w:ascii="Arial"/>
                      <w:sz w:val="20"/>
                    </w:rPr>
                  </w:pPr>
                </w:p>
                <w:p>
                  <w:pPr>
                    <w:pStyle w:val="BodyText"/>
                    <w:spacing w:before="4"/>
                    <w:rPr>
                      <w:rFonts w:ascii="Arial"/>
                      <w:sz w:val="27"/>
                    </w:rPr>
                  </w:pPr>
                </w:p>
                <w:p>
                  <w:pPr>
                    <w:spacing w:before="0"/>
                    <w:ind w:left="7354" w:right="0" w:firstLine="0"/>
                    <w:jc w:val="left"/>
                    <w:rPr>
                      <w:rFonts w:ascii="Arial"/>
                      <w:sz w:val="18"/>
                    </w:rPr>
                  </w:pPr>
                  <w:r>
                    <w:rPr>
                      <w:rFonts w:ascii="Arial"/>
                      <w:w w:val="100"/>
                      <w:sz w:val="18"/>
                    </w:rPr>
                    <w:t>0</w:t>
                  </w:r>
                </w:p>
                <w:p>
                  <w:pPr>
                    <w:spacing w:before="54"/>
                    <w:ind w:left="0" w:right="0" w:firstLine="0"/>
                    <w:jc w:val="left"/>
                    <w:rPr>
                      <w:rFonts w:ascii="Arial"/>
                      <w:sz w:val="18"/>
                    </w:rPr>
                  </w:pPr>
                  <w:r>
                    <w:rPr>
                      <w:rFonts w:ascii="Arial"/>
                      <w:sz w:val="18"/>
                    </w:rPr>
                    <w:t>Mar-07 Jun-07 Sep-07 Dec-07 Mar-08 Jun-08 Sep-08 Dec-08 Mar-09 Jun-09 Sep-09</w:t>
                  </w:r>
                </w:p>
              </w:txbxContent>
            </v:textbox>
            <w10:wrap type="none"/>
          </v:shape>
        </w:pict>
      </w:r>
      <w:r>
        <w:rPr>
          <w:rFonts w:ascii="Arial"/>
          <w:b/>
          <w:w w:val="95"/>
          <w:sz w:val="41"/>
        </w:rPr>
        <w:t>Liabilities</w:t>
      </w:r>
    </w:p>
    <w:p>
      <w:pPr>
        <w:pStyle w:val="BodyText"/>
        <w:rPr>
          <w:rFonts w:ascii="Arial"/>
          <w:b/>
          <w:sz w:val="20"/>
        </w:rPr>
      </w:pPr>
    </w:p>
    <w:p>
      <w:pPr>
        <w:pStyle w:val="BodyText"/>
        <w:spacing w:before="3"/>
        <w:rPr>
          <w:rFonts w:ascii="Arial"/>
          <w:b/>
          <w:sz w:val="17"/>
        </w:rPr>
      </w:pPr>
    </w:p>
    <w:p>
      <w:pPr>
        <w:spacing w:before="88"/>
        <w:ind w:left="1372" w:right="0" w:firstLine="0"/>
        <w:jc w:val="left"/>
        <w:rPr>
          <w:rFonts w:ascii="Arial"/>
          <w:b/>
          <w:sz w:val="43"/>
        </w:rPr>
      </w:pPr>
      <w:r>
        <w:rPr/>
        <w:pict>
          <v:shape style="position:absolute;margin-left:107.521004pt;margin-top:43.174339pt;width:372.15pt;height:281.9pt;mso-position-horizontal-relative:page;mso-position-vertical-relative:paragraph;z-index:-252481536" type="#_x0000_t202" filled="false" stroked="false">
            <v:textbox inset="0,0,0,0">
              <w:txbxContent>
                <w:p>
                  <w:pPr>
                    <w:spacing w:line="204" w:lineRule="exact" w:before="0"/>
                    <w:ind w:left="0" w:right="342" w:firstLine="0"/>
                    <w:jc w:val="right"/>
                    <w:rPr>
                      <w:rFonts w:ascii="Arial" w:hAnsi="Arial"/>
                      <w:sz w:val="18"/>
                    </w:rPr>
                  </w:pPr>
                  <w:r>
                    <w:rPr>
                      <w:rFonts w:ascii="Arial" w:hAnsi="Arial"/>
                      <w:sz w:val="18"/>
                    </w:rPr>
                    <w:t>£ billions</w:t>
                  </w:r>
                </w:p>
                <w:p>
                  <w:pPr>
                    <w:tabs>
                      <w:tab w:pos="4004" w:val="left" w:leader="none"/>
                      <w:tab w:pos="5005" w:val="left" w:leader="none"/>
                      <w:tab w:pos="7442" w:val="right" w:leader="none"/>
                    </w:tabs>
                    <w:spacing w:before="82"/>
                    <w:ind w:left="367" w:right="0" w:firstLine="0"/>
                    <w:jc w:val="left"/>
                    <w:rPr>
                      <w:rFonts w:ascii="Arial"/>
                      <w:sz w:val="18"/>
                    </w:rPr>
                  </w:pPr>
                  <w:r>
                    <w:rPr>
                      <w:rFonts w:ascii="Arial"/>
                      <w:spacing w:val="-4"/>
                      <w:sz w:val="18"/>
                    </w:rPr>
                    <w:t>Other</w:t>
                  </w:r>
                  <w:r>
                    <w:rPr>
                      <w:rFonts w:ascii="Arial"/>
                      <w:spacing w:val="14"/>
                      <w:sz w:val="18"/>
                    </w:rPr>
                    <w:t> </w:t>
                  </w:r>
                  <w:r>
                    <w:rPr>
                      <w:rFonts w:ascii="Arial"/>
                      <w:sz w:val="18"/>
                    </w:rPr>
                    <w:t>assets</w:t>
                    <w:tab/>
                  </w:r>
                  <w:r>
                    <w:rPr>
                      <w:rFonts w:ascii="Arial"/>
                      <w:b/>
                      <w:spacing w:val="6"/>
                      <w:position w:val="1"/>
                      <w:sz w:val="18"/>
                    </w:rPr>
                    <w:t>Lehman</w:t>
                    <w:tab/>
                  </w:r>
                  <w:r>
                    <w:rPr>
                      <w:rFonts w:ascii="Arial"/>
                      <w:b/>
                      <w:position w:val="1"/>
                      <w:sz w:val="18"/>
                    </w:rPr>
                    <w:t>APF</w:t>
                  </w:r>
                  <w:r>
                    <w:rPr>
                      <w:rFonts w:ascii="Arial"/>
                      <w:b/>
                      <w:spacing w:val="-10"/>
                      <w:position w:val="1"/>
                      <w:sz w:val="18"/>
                    </w:rPr>
                    <w:t> </w:t>
                  </w:r>
                  <w:r>
                    <w:rPr>
                      <w:rFonts w:ascii="Arial"/>
                      <w:b/>
                      <w:position w:val="1"/>
                      <w:sz w:val="18"/>
                    </w:rPr>
                    <w:t>Phase</w:t>
                  </w:r>
                  <w:r>
                    <w:rPr>
                      <w:rFonts w:ascii="Arial"/>
                      <w:b/>
                      <w:spacing w:val="15"/>
                      <w:position w:val="1"/>
                      <w:sz w:val="18"/>
                    </w:rPr>
                    <w:t> </w:t>
                  </w:r>
                  <w:r>
                    <w:rPr>
                      <w:rFonts w:ascii="Arial"/>
                      <w:b/>
                      <w:position w:val="1"/>
                      <w:sz w:val="18"/>
                    </w:rPr>
                    <w:t>II</w:t>
                    <w:tab/>
                  </w:r>
                  <w:r>
                    <w:rPr>
                      <w:rFonts w:ascii="Arial"/>
                      <w:position w:val="-4"/>
                      <w:sz w:val="18"/>
                    </w:rPr>
                    <w:t>300</w:t>
                  </w:r>
                </w:p>
                <w:p>
                  <w:pPr>
                    <w:spacing w:before="142"/>
                    <w:ind w:left="367" w:right="0" w:firstLine="0"/>
                    <w:jc w:val="left"/>
                    <w:rPr>
                      <w:rFonts w:ascii="Arial"/>
                      <w:sz w:val="18"/>
                    </w:rPr>
                  </w:pPr>
                  <w:r>
                    <w:rPr>
                      <w:rFonts w:ascii="Arial"/>
                      <w:sz w:val="18"/>
                    </w:rPr>
                    <w:t>Loan to APF</w:t>
                  </w:r>
                </w:p>
                <w:p>
                  <w:pPr>
                    <w:tabs>
                      <w:tab w:pos="7442" w:val="right" w:leader="none"/>
                    </w:tabs>
                    <w:spacing w:before="192"/>
                    <w:ind w:left="367" w:right="0" w:firstLine="0"/>
                    <w:jc w:val="left"/>
                    <w:rPr>
                      <w:rFonts w:ascii="Arial"/>
                      <w:sz w:val="18"/>
                    </w:rPr>
                  </w:pPr>
                  <w:r>
                    <w:rPr>
                      <w:rFonts w:ascii="Arial"/>
                      <w:sz w:val="18"/>
                    </w:rPr>
                    <w:t>Longer-term sterling</w:t>
                  </w:r>
                  <w:r>
                    <w:rPr>
                      <w:rFonts w:ascii="Arial"/>
                      <w:spacing w:val="-23"/>
                      <w:sz w:val="18"/>
                    </w:rPr>
                    <w:t> </w:t>
                  </w:r>
                  <w:r>
                    <w:rPr>
                      <w:rFonts w:ascii="Arial"/>
                      <w:spacing w:val="3"/>
                      <w:sz w:val="18"/>
                    </w:rPr>
                    <w:t>reverse</w:t>
                  </w:r>
                  <w:r>
                    <w:rPr>
                      <w:rFonts w:ascii="Arial"/>
                      <w:spacing w:val="-2"/>
                      <w:sz w:val="18"/>
                    </w:rPr>
                    <w:t> </w:t>
                  </w:r>
                  <w:r>
                    <w:rPr>
                      <w:rFonts w:ascii="Arial"/>
                      <w:sz w:val="18"/>
                    </w:rPr>
                    <w:t>repo</w:t>
                    <w:tab/>
                  </w:r>
                  <w:r>
                    <w:rPr>
                      <w:rFonts w:ascii="Arial"/>
                      <w:position w:val="-4"/>
                      <w:sz w:val="18"/>
                    </w:rPr>
                    <w:t>250</w:t>
                  </w:r>
                </w:p>
                <w:p>
                  <w:pPr>
                    <w:spacing w:before="141"/>
                    <w:ind w:left="367" w:right="0" w:firstLine="0"/>
                    <w:jc w:val="left"/>
                    <w:rPr>
                      <w:rFonts w:ascii="Arial"/>
                      <w:sz w:val="18"/>
                    </w:rPr>
                  </w:pPr>
                  <w:r>
                    <w:rPr>
                      <w:rFonts w:ascii="Arial"/>
                      <w:sz w:val="18"/>
                    </w:rPr>
                    <w:t>Short-term open market operations, lending</w:t>
                  </w:r>
                </w:p>
                <w:p>
                  <w:pPr>
                    <w:tabs>
                      <w:tab w:pos="7442" w:val="right" w:leader="none"/>
                    </w:tabs>
                    <w:spacing w:before="191"/>
                    <w:ind w:left="367" w:right="0" w:firstLine="0"/>
                    <w:jc w:val="left"/>
                    <w:rPr>
                      <w:rFonts w:ascii="Arial"/>
                      <w:sz w:val="18"/>
                    </w:rPr>
                  </w:pPr>
                  <w:r>
                    <w:rPr>
                      <w:rFonts w:ascii="Arial"/>
                      <w:sz w:val="18"/>
                    </w:rPr>
                    <w:t>Ways and </w:t>
                  </w:r>
                  <w:r>
                    <w:rPr>
                      <w:rFonts w:ascii="Arial"/>
                      <w:spacing w:val="-6"/>
                      <w:sz w:val="18"/>
                    </w:rPr>
                    <w:t>Means </w:t>
                  </w:r>
                  <w:r>
                    <w:rPr>
                      <w:rFonts w:ascii="Arial"/>
                      <w:sz w:val="18"/>
                    </w:rPr>
                    <w:t>advances to</w:t>
                  </w:r>
                  <w:r>
                    <w:rPr>
                      <w:rFonts w:ascii="Arial"/>
                      <w:spacing w:val="-12"/>
                      <w:sz w:val="18"/>
                    </w:rPr>
                    <w:t> </w:t>
                  </w:r>
                  <w:r>
                    <w:rPr>
                      <w:rFonts w:ascii="Arial"/>
                      <w:spacing w:val="-8"/>
                      <w:sz w:val="18"/>
                    </w:rPr>
                    <w:t>HM</w:t>
                  </w:r>
                  <w:r>
                    <w:rPr>
                      <w:rFonts w:ascii="Arial"/>
                      <w:spacing w:val="-19"/>
                      <w:sz w:val="18"/>
                    </w:rPr>
                    <w:t> </w:t>
                  </w:r>
                  <w:r>
                    <w:rPr>
                      <w:rFonts w:ascii="Arial"/>
                      <w:spacing w:val="-4"/>
                      <w:sz w:val="18"/>
                    </w:rPr>
                    <w:t>Government</w:t>
                    <w:tab/>
                  </w:r>
                  <w:r>
                    <w:rPr>
                      <w:rFonts w:ascii="Arial"/>
                      <w:position w:val="-6"/>
                      <w:sz w:val="18"/>
                    </w:rPr>
                    <w:t>200</w:t>
                  </w:r>
                </w:p>
                <w:p>
                  <w:pPr>
                    <w:spacing w:line="268" w:lineRule="auto" w:before="123"/>
                    <w:ind w:left="367" w:right="2373" w:firstLine="0"/>
                    <w:jc w:val="left"/>
                    <w:rPr>
                      <w:rFonts w:ascii="Arial"/>
                      <w:sz w:val="18"/>
                    </w:rPr>
                  </w:pPr>
                  <w:r>
                    <w:rPr>
                      <w:rFonts w:ascii="Arial"/>
                      <w:sz w:val="18"/>
                    </w:rPr>
                    <w:t>Bonds and other securities acquired via market transactions</w:t>
                  </w:r>
                </w:p>
                <w:p>
                  <w:pPr>
                    <w:spacing w:before="1"/>
                    <w:ind w:left="7139" w:right="0" w:firstLine="0"/>
                    <w:jc w:val="left"/>
                    <w:rPr>
                      <w:rFonts w:ascii="Arial"/>
                      <w:sz w:val="18"/>
                    </w:rPr>
                  </w:pPr>
                  <w:r>
                    <w:rPr>
                      <w:rFonts w:ascii="Arial"/>
                      <w:spacing w:val="-2"/>
                      <w:sz w:val="18"/>
                    </w:rPr>
                    <w:t>150</w:t>
                  </w:r>
                </w:p>
                <w:p>
                  <w:pPr>
                    <w:pStyle w:val="BodyText"/>
                    <w:rPr>
                      <w:rFonts w:ascii="Arial"/>
                      <w:sz w:val="20"/>
                    </w:rPr>
                  </w:pPr>
                </w:p>
                <w:p>
                  <w:pPr>
                    <w:pStyle w:val="BodyText"/>
                    <w:rPr>
                      <w:rFonts w:ascii="Arial"/>
                      <w:sz w:val="20"/>
                    </w:rPr>
                  </w:pPr>
                </w:p>
                <w:p>
                  <w:pPr>
                    <w:spacing w:before="131"/>
                    <w:ind w:left="7139" w:right="0" w:firstLine="0"/>
                    <w:jc w:val="left"/>
                    <w:rPr>
                      <w:rFonts w:ascii="Arial"/>
                      <w:sz w:val="18"/>
                    </w:rPr>
                  </w:pPr>
                  <w:r>
                    <w:rPr>
                      <w:rFonts w:ascii="Arial"/>
                      <w:spacing w:val="-2"/>
                      <w:sz w:val="18"/>
                    </w:rPr>
                    <w:t>100</w:t>
                  </w:r>
                </w:p>
                <w:p>
                  <w:pPr>
                    <w:pStyle w:val="BodyText"/>
                    <w:rPr>
                      <w:rFonts w:ascii="Arial"/>
                      <w:sz w:val="20"/>
                    </w:rPr>
                  </w:pPr>
                </w:p>
                <w:p>
                  <w:pPr>
                    <w:pStyle w:val="BodyText"/>
                    <w:rPr>
                      <w:rFonts w:ascii="Arial"/>
                      <w:sz w:val="20"/>
                    </w:rPr>
                  </w:pPr>
                </w:p>
                <w:p>
                  <w:pPr>
                    <w:spacing w:before="146"/>
                    <w:ind w:left="7139" w:right="0" w:firstLine="0"/>
                    <w:jc w:val="left"/>
                    <w:rPr>
                      <w:rFonts w:ascii="Arial"/>
                      <w:sz w:val="18"/>
                    </w:rPr>
                  </w:pPr>
                  <w:r>
                    <w:rPr>
                      <w:rFonts w:ascii="Arial"/>
                      <w:sz w:val="18"/>
                    </w:rPr>
                    <w:t>50</w:t>
                  </w:r>
                </w:p>
                <w:p>
                  <w:pPr>
                    <w:pStyle w:val="BodyText"/>
                    <w:rPr>
                      <w:rFonts w:ascii="Arial"/>
                      <w:sz w:val="20"/>
                    </w:rPr>
                  </w:pPr>
                </w:p>
                <w:p>
                  <w:pPr>
                    <w:pStyle w:val="BodyText"/>
                    <w:rPr>
                      <w:rFonts w:ascii="Arial"/>
                      <w:sz w:val="20"/>
                    </w:rPr>
                  </w:pPr>
                </w:p>
                <w:p>
                  <w:pPr>
                    <w:spacing w:before="132"/>
                    <w:ind w:left="7139" w:right="0" w:firstLine="0"/>
                    <w:jc w:val="left"/>
                    <w:rPr>
                      <w:rFonts w:ascii="Arial"/>
                      <w:sz w:val="18"/>
                    </w:rPr>
                  </w:pPr>
                  <w:r>
                    <w:rPr>
                      <w:rFonts w:ascii="Arial"/>
                      <w:w w:val="101"/>
                      <w:sz w:val="18"/>
                    </w:rPr>
                    <w:t>0</w:t>
                  </w:r>
                </w:p>
                <w:p>
                  <w:pPr>
                    <w:spacing w:before="59"/>
                    <w:ind w:left="0" w:right="0" w:firstLine="0"/>
                    <w:jc w:val="left"/>
                    <w:rPr>
                      <w:rFonts w:ascii="Arial"/>
                      <w:sz w:val="18"/>
                    </w:rPr>
                  </w:pPr>
                  <w:r>
                    <w:rPr>
                      <w:rFonts w:ascii="Arial"/>
                      <w:sz w:val="18"/>
                    </w:rPr>
                    <w:t>Mar-07 Jun-07 Sep-07 Dec-07 Mar-08 Jun-08 Sep-08 Dec-08 Mar-09 Jun-09 Sep-09</w:t>
                  </w:r>
                </w:p>
              </w:txbxContent>
            </v:textbox>
            <w10:wrap type="none"/>
          </v:shape>
        </w:pict>
      </w:r>
      <w:r>
        <w:rPr>
          <w:rFonts w:ascii="Arial"/>
          <w:b/>
          <w:sz w:val="43"/>
        </w:rPr>
        <w:t>Assets</w:t>
      </w:r>
    </w:p>
    <w:p>
      <w:pPr>
        <w:pStyle w:val="BodyText"/>
        <w:spacing w:before="9"/>
        <w:rPr>
          <w:rFonts w:ascii="Arial"/>
          <w:b/>
          <w:sz w:val="19"/>
        </w:rPr>
      </w:pPr>
      <w:r>
        <w:rPr/>
        <w:pict>
          <v:group style="position:absolute;margin-left:105pt;margin-top:13.343906pt;width:375.65pt;height:288.25pt;mso-position-horizontal-relative:page;mso-position-vertical-relative:paragraph;z-index:-251625472;mso-wrap-distance-left:0;mso-wrap-distance-right:0" coordorigin="2100,267" coordsize="7513,5765">
            <v:shape style="position:absolute;left:2475;top:1421;width:6674;height:4154" type="#_x0000_t75" stroked="false">
              <v:imagedata r:id="rId9" o:title=""/>
            </v:shape>
            <v:rect style="position:absolute;left:2350;top:1446;width:100;height:100" filled="false" stroked="true" strokeweight=".832001pt" strokecolor="#000000">
              <v:stroke dashstyle="solid"/>
            </v:rect>
            <v:rect style="position:absolute;left:2350;top:1844;width:100;height:100" filled="false" stroked="true" strokeweight=".832001pt" strokecolor="#000000">
              <v:stroke dashstyle="solid"/>
            </v:rect>
            <v:rect style="position:absolute;left:2350;top:2243;width:100;height:100" filled="false" stroked="true" strokeweight=".832001pt" strokecolor="#000000">
              <v:stroke dashstyle="solid"/>
            </v:rect>
            <v:rect style="position:absolute;left:2350;top:2642;width:100;height:100" filled="false" stroked="true" strokeweight=".832001pt" strokecolor="#000000">
              <v:stroke dashstyle="solid"/>
            </v:rect>
            <v:rect style="position:absolute;left:2350;top:648;width:100;height:100" filled="false" stroked="true" strokeweight=".832001pt" strokecolor="#000000">
              <v:stroke dashstyle="solid"/>
            </v:rect>
            <v:rect style="position:absolute;left:2350;top:1046;width:100;height:101" filled="false" stroked="true" strokeweight=".832021pt" strokecolor="#000000">
              <v:stroke dashstyle="solid"/>
            </v:rect>
            <v:rect style="position:absolute;left:2100;top:266;width:7508;height:5765" filled="true" fillcolor="#ffffff" stroked="false">
              <v:fill type="solid"/>
            </v:rect>
            <v:shape style="position:absolute;left:2475;top:1421;width:6674;height:4154" type="#_x0000_t75" stroked="false">
              <v:imagedata r:id="rId9" o:title=""/>
            </v:shape>
            <v:line style="position:absolute" from="9140,748" to="9140,5566" stroked="true" strokeweight=".06pt" strokecolor="#000000">
              <v:stroke dashstyle="solid"/>
            </v:line>
            <v:line style="position:absolute" from="9140,5566" to="9190,5566" stroked="true" strokeweight=".06pt" strokecolor="#000000">
              <v:stroke dashstyle="solid"/>
            </v:line>
            <v:line style="position:absolute" from="9140,4769" to="9190,4769" stroked="true" strokeweight=".06pt" strokecolor="#000000">
              <v:stroke dashstyle="solid"/>
            </v:line>
            <v:line style="position:absolute" from="9140,3954" to="9190,3954" stroked="true" strokeweight=".06pt" strokecolor="#000000">
              <v:stroke dashstyle="solid"/>
            </v:line>
            <v:line style="position:absolute" from="9140,3158" to="9190,3158" stroked="true" strokeweight=".06pt" strokecolor="#000000">
              <v:stroke dashstyle="solid"/>
            </v:line>
            <v:line style="position:absolute" from="9140,2360" to="9190,2360" stroked="true" strokeweight=".06pt" strokecolor="#000000">
              <v:stroke dashstyle="solid"/>
            </v:line>
            <v:line style="position:absolute" from="9140,1546" to="9190,1546" stroked="true" strokeweight=".06pt" strokecolor="#000000">
              <v:stroke dashstyle="solid"/>
            </v:line>
            <v:line style="position:absolute" from="9140,748" to="9190,748" stroked="true" strokeweight=".06pt" strokecolor="#000000">
              <v:stroke dashstyle="solid"/>
            </v:line>
            <v:line style="position:absolute" from="2434,5566" to="9140,5566" stroked="true" strokeweight=".06pt" strokecolor="#000000">
              <v:stroke dashstyle="solid"/>
            </v:line>
            <v:line style="position:absolute" from="2434,5566" to="2434,5517" stroked="true" strokeweight=".06pt" strokecolor="#000000">
              <v:stroke dashstyle="solid"/>
            </v:line>
            <v:line style="position:absolute" from="3084,5566" to="3084,5517" stroked="true" strokeweight=".06pt" strokecolor="#000000">
              <v:stroke dashstyle="solid"/>
            </v:line>
            <v:line style="position:absolute" from="3734,5566" to="3734,5517" stroked="true" strokeweight=".06pt" strokecolor="#000000">
              <v:stroke dashstyle="solid"/>
            </v:line>
            <v:line style="position:absolute" from="4369,5566" to="4369,5517" stroked="true" strokeweight=".06pt" strokecolor="#000000">
              <v:stroke dashstyle="solid"/>
            </v:line>
            <v:line style="position:absolute" from="5020,5566" to="5020,5517" stroked="true" strokeweight=".06pt" strokecolor="#000000">
              <v:stroke dashstyle="solid"/>
            </v:line>
            <v:line style="position:absolute" from="5670,5566" to="5670,5517" stroked="true" strokeweight=".06pt" strokecolor="#000000">
              <v:stroke dashstyle="solid"/>
            </v:line>
            <v:line style="position:absolute" from="6304,5566" to="6304,5517" stroked="true" strokeweight=".06pt" strokecolor="#000000">
              <v:stroke dashstyle="solid"/>
            </v:line>
            <v:line style="position:absolute" from="6955,5566" to="6955,5517" stroked="true" strokeweight=".06pt" strokecolor="#000000">
              <v:stroke dashstyle="solid"/>
            </v:line>
            <v:line style="position:absolute" from="7589,5566" to="7589,5517" stroked="true" strokeweight=".06pt" strokecolor="#000000">
              <v:stroke dashstyle="solid"/>
            </v:line>
            <v:line style="position:absolute" from="8239,5566" to="8239,5517" stroked="true" strokeweight=".06pt" strokecolor="#000000">
              <v:stroke dashstyle="solid"/>
            </v:line>
            <v:line style="position:absolute" from="8890,5566" to="8890,5517" stroked="true" strokeweight=".06pt" strokecolor="#000000">
              <v:stroke dashstyle="solid"/>
            </v:line>
            <v:rect style="position:absolute;left:2283;top:565;width:4054;height:2459" filled="true" fillcolor="#ffffff" stroked="false">
              <v:fill type="solid"/>
            </v:rect>
            <v:rect style="position:absolute;left:2350;top:648;width:100;height:100" filled="true" fillcolor="#ff8080" stroked="false">
              <v:fill type="solid"/>
            </v:rect>
            <v:rect style="position:absolute;left:2350;top:648;width:100;height:100" filled="false" stroked="true" strokeweight=".832001pt" strokecolor="#000000">
              <v:stroke dashstyle="solid"/>
            </v:rect>
            <v:rect style="position:absolute;left:2350;top:1046;width:100;height:101" filled="true" fillcolor="#339a33" stroked="false">
              <v:fill type="solid"/>
            </v:rect>
            <v:rect style="position:absolute;left:2350;top:1046;width:100;height:101" filled="false" stroked="true" strokeweight=".832021pt" strokecolor="#000000">
              <v:stroke dashstyle="solid"/>
            </v:rect>
            <v:rect style="position:absolute;left:2350;top:1446;width:100;height:100" filled="true" fillcolor="#a0e0e0" stroked="false">
              <v:fill type="solid"/>
            </v:rect>
            <v:rect style="position:absolute;left:2350;top:1446;width:100;height:100" filled="false" stroked="true" strokeweight=".832001pt" strokecolor="#000000">
              <v:stroke dashstyle="solid"/>
            </v:rect>
            <v:rect style="position:absolute;left:2350;top:1844;width:100;height:100" filled="true" fillcolor="#ffffc0" stroked="false">
              <v:fill type="solid"/>
            </v:rect>
            <v:rect style="position:absolute;left:2350;top:1844;width:100;height:100" filled="false" stroked="true" strokeweight=".832001pt" strokecolor="#000000">
              <v:stroke dashstyle="solid"/>
            </v:rect>
            <v:rect style="position:absolute;left:2350;top:2243;width:100;height:100" filled="true" fillcolor="#9a3365" stroked="false">
              <v:fill type="solid"/>
            </v:rect>
            <v:rect style="position:absolute;left:2350;top:2243;width:100;height:100" filled="false" stroked="true" strokeweight=".832001pt" strokecolor="#000000">
              <v:stroke dashstyle="solid"/>
            </v:rect>
            <v:rect style="position:absolute;left:2350;top:2642;width:100;height:100" filled="true" fillcolor="#8080ff" stroked="false">
              <v:fill type="solid"/>
            </v:rect>
            <v:rect style="position:absolute;left:2350;top:2642;width:100;height:100" filled="false" stroked="true" strokeweight=".832001pt" strokecolor="#000000">
              <v:stroke dashstyle="solid"/>
            </v:rect>
            <v:line style="position:absolute" from="6479,5558" to="6479,923" stroked="true" strokeweight=".834pt" strokecolor="#010101">
              <v:stroke dashstyle="solid"/>
            </v:line>
            <v:line style="position:absolute" from="7679,5558" to="7679,824" stroked="true" strokeweight=".834pt" strokecolor="#010101">
              <v:stroke dashstyle="solid"/>
            </v:line>
            <v:shape style="position:absolute;left:8574;top:281;width:695;height:205" type="#_x0000_t202" filled="false" stroked="false">
              <v:textbox inset="0,0,0,0">
                <w:txbxContent>
                  <w:p>
                    <w:pPr>
                      <w:spacing w:line="204" w:lineRule="exact" w:before="0"/>
                      <w:ind w:left="0" w:right="0" w:firstLine="0"/>
                      <w:jc w:val="left"/>
                      <w:rPr>
                        <w:rFonts w:ascii="Arial" w:hAnsi="Arial"/>
                        <w:sz w:val="18"/>
                      </w:rPr>
                    </w:pPr>
                    <w:r>
                      <w:rPr>
                        <w:rFonts w:ascii="Arial" w:hAnsi="Arial"/>
                        <w:sz w:val="18"/>
                      </w:rPr>
                      <w:t>£ </w:t>
                    </w:r>
                    <w:r>
                      <w:rPr>
                        <w:rFonts w:ascii="Arial" w:hAnsi="Arial"/>
                        <w:spacing w:val="-6"/>
                        <w:sz w:val="18"/>
                      </w:rPr>
                      <w:t>billions</w:t>
                    </w:r>
                  </w:p>
                </w:txbxContent>
              </v:textbox>
              <w10:wrap type="none"/>
            </v:shape>
            <v:shape style="position:absolute;left:2517;top:580;width:1064;height:205" type="#_x0000_t202" filled="false" stroked="false">
              <v:textbox inset="0,0,0,0">
                <w:txbxContent>
                  <w:p>
                    <w:pPr>
                      <w:spacing w:line="204" w:lineRule="exact" w:before="0"/>
                      <w:ind w:left="0" w:right="0" w:firstLine="0"/>
                      <w:jc w:val="left"/>
                      <w:rPr>
                        <w:rFonts w:ascii="Arial"/>
                        <w:sz w:val="18"/>
                      </w:rPr>
                    </w:pPr>
                    <w:r>
                      <w:rPr>
                        <w:rFonts w:ascii="Arial"/>
                        <w:sz w:val="18"/>
                      </w:rPr>
                      <w:t>Other assets</w:t>
                    </w:r>
                  </w:p>
                </w:txbxContent>
              </v:textbox>
              <w10:wrap type="none"/>
            </v:shape>
            <v:shape style="position:absolute;left:6154;top:569;width:2140;height:205" type="#_x0000_t202" filled="false" stroked="false">
              <v:textbox inset="0,0,0,0">
                <w:txbxContent>
                  <w:p>
                    <w:pPr>
                      <w:tabs>
                        <w:tab w:pos="1000" w:val="left" w:leader="none"/>
                      </w:tabs>
                      <w:spacing w:line="204" w:lineRule="exact" w:before="0"/>
                      <w:ind w:left="0" w:right="0" w:firstLine="0"/>
                      <w:jc w:val="left"/>
                      <w:rPr>
                        <w:rFonts w:ascii="Arial"/>
                        <w:b/>
                        <w:sz w:val="18"/>
                      </w:rPr>
                    </w:pPr>
                    <w:r>
                      <w:rPr>
                        <w:rFonts w:ascii="Arial"/>
                        <w:b/>
                        <w:spacing w:val="6"/>
                        <w:sz w:val="18"/>
                      </w:rPr>
                      <w:t>Lehman</w:t>
                      <w:tab/>
                    </w:r>
                    <w:r>
                      <w:rPr>
                        <w:rFonts w:ascii="Arial"/>
                        <w:b/>
                        <w:sz w:val="18"/>
                      </w:rPr>
                      <w:t>APF Phase</w:t>
                    </w:r>
                    <w:r>
                      <w:rPr>
                        <w:rFonts w:ascii="Arial"/>
                        <w:b/>
                        <w:spacing w:val="21"/>
                        <w:sz w:val="18"/>
                      </w:rPr>
                      <w:t> </w:t>
                    </w:r>
                    <w:r>
                      <w:rPr>
                        <w:rFonts w:ascii="Arial"/>
                        <w:b/>
                        <w:sz w:val="18"/>
                      </w:rPr>
                      <w:t>II</w:t>
                    </w:r>
                  </w:p>
                </w:txbxContent>
              </v:textbox>
              <w10:wrap type="none"/>
            </v:shape>
            <v:shape style="position:absolute;left:9290;top:630;width:323;height:205" type="#_x0000_t202" filled="false" stroked="false">
              <v:textbox inset="0,0,0,0">
                <w:txbxContent>
                  <w:p>
                    <w:pPr>
                      <w:spacing w:line="204" w:lineRule="exact" w:before="0"/>
                      <w:ind w:left="0" w:right="0" w:firstLine="0"/>
                      <w:jc w:val="left"/>
                      <w:rPr>
                        <w:rFonts w:ascii="Arial"/>
                        <w:sz w:val="18"/>
                      </w:rPr>
                    </w:pPr>
                    <w:r>
                      <w:rPr>
                        <w:rFonts w:ascii="Arial"/>
                        <w:sz w:val="18"/>
                      </w:rPr>
                      <w:t>300</w:t>
                    </w:r>
                  </w:p>
                </w:txbxContent>
              </v:textbox>
              <w10:wrap type="none"/>
            </v:shape>
            <v:shape style="position:absolute;left:2517;top:979;width:2741;height:603" type="#_x0000_t202" filled="false" stroked="false">
              <v:textbox inset="0,0,0,0">
                <w:txbxContent>
                  <w:p>
                    <w:pPr>
                      <w:spacing w:line="204" w:lineRule="exact" w:before="0"/>
                      <w:ind w:left="0" w:right="0" w:firstLine="0"/>
                      <w:jc w:val="left"/>
                      <w:rPr>
                        <w:rFonts w:ascii="Arial"/>
                        <w:sz w:val="18"/>
                      </w:rPr>
                    </w:pPr>
                    <w:r>
                      <w:rPr>
                        <w:rFonts w:ascii="Arial"/>
                        <w:sz w:val="18"/>
                      </w:rPr>
                      <w:t>Loan to APF</w:t>
                    </w:r>
                  </w:p>
                  <w:p>
                    <w:pPr>
                      <w:spacing w:line="240" w:lineRule="auto" w:before="7"/>
                      <w:rPr>
                        <w:rFonts w:ascii="Arial"/>
                        <w:sz w:val="16"/>
                      </w:rPr>
                    </w:pPr>
                  </w:p>
                  <w:p>
                    <w:pPr>
                      <w:spacing w:before="0"/>
                      <w:ind w:left="0" w:right="0" w:firstLine="0"/>
                      <w:jc w:val="left"/>
                      <w:rPr>
                        <w:rFonts w:ascii="Arial"/>
                        <w:sz w:val="18"/>
                      </w:rPr>
                    </w:pPr>
                    <w:r>
                      <w:rPr>
                        <w:rFonts w:ascii="Arial"/>
                        <w:sz w:val="18"/>
                      </w:rPr>
                      <w:t>Longer-term sterling reverse repo</w:t>
                    </w:r>
                  </w:p>
                </w:txbxContent>
              </v:textbox>
              <w10:wrap type="none"/>
            </v:shape>
            <v:shape style="position:absolute;left:9290;top:1427;width:323;height:205" type="#_x0000_t202" filled="false" stroked="false">
              <v:textbox inset="0,0,0,0">
                <w:txbxContent>
                  <w:p>
                    <w:pPr>
                      <w:spacing w:line="204" w:lineRule="exact" w:before="0"/>
                      <w:ind w:left="0" w:right="0" w:firstLine="0"/>
                      <w:jc w:val="left"/>
                      <w:rPr>
                        <w:rFonts w:ascii="Arial"/>
                        <w:sz w:val="18"/>
                      </w:rPr>
                    </w:pPr>
                    <w:r>
                      <w:rPr>
                        <w:rFonts w:ascii="Arial"/>
                        <w:sz w:val="18"/>
                      </w:rPr>
                      <w:t>250</w:t>
                    </w:r>
                  </w:p>
                </w:txbxContent>
              </v:textbox>
              <w10:wrap type="none"/>
            </v:shape>
            <v:shape style="position:absolute;left:2517;top:1776;width:3806;height:603" type="#_x0000_t202" filled="false" stroked="false">
              <v:textbox inset="0,0,0,0">
                <w:txbxContent>
                  <w:p>
                    <w:pPr>
                      <w:spacing w:line="204" w:lineRule="exact" w:before="0"/>
                      <w:ind w:left="0" w:right="0" w:firstLine="0"/>
                      <w:jc w:val="left"/>
                      <w:rPr>
                        <w:rFonts w:ascii="Arial"/>
                        <w:sz w:val="18"/>
                      </w:rPr>
                    </w:pPr>
                    <w:r>
                      <w:rPr>
                        <w:rFonts w:ascii="Arial"/>
                        <w:sz w:val="18"/>
                      </w:rPr>
                      <w:t>Short-term open market operations, lending</w:t>
                    </w:r>
                  </w:p>
                  <w:p>
                    <w:pPr>
                      <w:spacing w:line="240" w:lineRule="auto" w:before="7"/>
                      <w:rPr>
                        <w:rFonts w:ascii="Arial"/>
                        <w:sz w:val="16"/>
                      </w:rPr>
                    </w:pPr>
                  </w:p>
                  <w:p>
                    <w:pPr>
                      <w:spacing w:before="0"/>
                      <w:ind w:left="0" w:right="0" w:firstLine="0"/>
                      <w:jc w:val="left"/>
                      <w:rPr>
                        <w:rFonts w:ascii="Arial"/>
                        <w:sz w:val="18"/>
                      </w:rPr>
                    </w:pPr>
                    <w:r>
                      <w:rPr>
                        <w:rFonts w:ascii="Arial"/>
                        <w:sz w:val="18"/>
                      </w:rPr>
                      <w:t>Ways and Means advances to HM Government</w:t>
                    </w:r>
                  </w:p>
                </w:txbxContent>
              </v:textbox>
              <w10:wrap type="none"/>
            </v:shape>
            <v:shape style="position:absolute;left:9290;top:2242;width:323;height:205" type="#_x0000_t202" filled="false" stroked="false">
              <v:textbox inset="0,0,0,0">
                <w:txbxContent>
                  <w:p>
                    <w:pPr>
                      <w:spacing w:line="204" w:lineRule="exact" w:before="0"/>
                      <w:ind w:left="0" w:right="0" w:firstLine="0"/>
                      <w:jc w:val="left"/>
                      <w:rPr>
                        <w:rFonts w:ascii="Arial"/>
                        <w:sz w:val="18"/>
                      </w:rPr>
                    </w:pPr>
                    <w:r>
                      <w:rPr>
                        <w:rFonts w:ascii="Arial"/>
                        <w:sz w:val="18"/>
                      </w:rPr>
                      <w:t>200</w:t>
                    </w:r>
                  </w:p>
                </w:txbxContent>
              </v:textbox>
              <w10:wrap type="none"/>
            </v:shape>
            <v:shape style="position:absolute;left:2517;top:2574;width:3805;height:437" type="#_x0000_t202" filled="false" stroked="false">
              <v:textbox inset="0,0,0,0">
                <w:txbxContent>
                  <w:p>
                    <w:pPr>
                      <w:spacing w:line="268" w:lineRule="auto" w:before="0"/>
                      <w:ind w:left="0" w:right="0" w:firstLine="0"/>
                      <w:jc w:val="left"/>
                      <w:rPr>
                        <w:rFonts w:ascii="Arial"/>
                        <w:sz w:val="18"/>
                      </w:rPr>
                    </w:pPr>
                    <w:r>
                      <w:rPr>
                        <w:rFonts w:ascii="Arial"/>
                        <w:sz w:val="18"/>
                      </w:rPr>
                      <w:t>Bonds and other securities acquired via market transactions</w:t>
                    </w:r>
                  </w:p>
                </w:txbxContent>
              </v:textbox>
              <w10:wrap type="none"/>
            </v:shape>
            <v:shape style="position:absolute;left:9290;top:3039;width:323;height:205" type="#_x0000_t202" filled="false" stroked="false">
              <v:textbox inset="0,0,0,0">
                <w:txbxContent>
                  <w:p>
                    <w:pPr>
                      <w:spacing w:line="204" w:lineRule="exact" w:before="0"/>
                      <w:ind w:left="0" w:right="0" w:firstLine="0"/>
                      <w:jc w:val="left"/>
                      <w:rPr>
                        <w:rFonts w:ascii="Arial"/>
                        <w:sz w:val="18"/>
                      </w:rPr>
                    </w:pPr>
                    <w:r>
                      <w:rPr>
                        <w:rFonts w:ascii="Arial"/>
                        <w:sz w:val="18"/>
                      </w:rPr>
                      <w:t>150</w:t>
                    </w:r>
                  </w:p>
                </w:txbxContent>
              </v:textbox>
              <w10:wrap type="none"/>
            </v:shape>
            <v:shape style="position:absolute;left:9290;top:3837;width:323;height:205" type="#_x0000_t202" filled="false" stroked="false">
              <v:textbox inset="0,0,0,0">
                <w:txbxContent>
                  <w:p>
                    <w:pPr>
                      <w:spacing w:line="204" w:lineRule="exact" w:before="0"/>
                      <w:ind w:left="0" w:right="0" w:firstLine="0"/>
                      <w:jc w:val="left"/>
                      <w:rPr>
                        <w:rFonts w:ascii="Arial"/>
                        <w:sz w:val="18"/>
                      </w:rPr>
                    </w:pPr>
                    <w:r>
                      <w:rPr>
                        <w:rFonts w:ascii="Arial"/>
                        <w:sz w:val="18"/>
                      </w:rPr>
                      <w:t>100</w:t>
                    </w:r>
                  </w:p>
                </w:txbxContent>
              </v:textbox>
              <w10:wrap type="none"/>
            </v:shape>
            <v:shape style="position:absolute;left:9290;top:4650;width:222;height:205" type="#_x0000_t202" filled="false" stroked="false">
              <v:textbox inset="0,0,0,0">
                <w:txbxContent>
                  <w:p>
                    <w:pPr>
                      <w:spacing w:line="204" w:lineRule="exact" w:before="0"/>
                      <w:ind w:left="0" w:right="0" w:firstLine="0"/>
                      <w:jc w:val="left"/>
                      <w:rPr>
                        <w:rFonts w:ascii="Arial"/>
                        <w:sz w:val="18"/>
                      </w:rPr>
                    </w:pPr>
                    <w:r>
                      <w:rPr>
                        <w:rFonts w:ascii="Arial"/>
                        <w:sz w:val="18"/>
                      </w:rPr>
                      <w:t>50</w:t>
                    </w:r>
                  </w:p>
                </w:txbxContent>
              </v:textbox>
              <w10:wrap type="none"/>
            </v:shape>
            <v:shape style="position:absolute;left:9290;top:5448;width:123;height:205" type="#_x0000_t202" filled="false" stroked="false">
              <v:textbox inset="0,0,0,0">
                <w:txbxContent>
                  <w:p>
                    <w:pPr>
                      <w:spacing w:line="204" w:lineRule="exact" w:before="0"/>
                      <w:ind w:left="0" w:right="0" w:firstLine="0"/>
                      <w:jc w:val="left"/>
                      <w:rPr>
                        <w:rFonts w:ascii="Arial"/>
                        <w:sz w:val="18"/>
                      </w:rPr>
                    </w:pPr>
                    <w:r>
                      <w:rPr>
                        <w:rFonts w:ascii="Arial"/>
                        <w:w w:val="101"/>
                        <w:sz w:val="18"/>
                      </w:rPr>
                      <w:t>0</w:t>
                    </w:r>
                  </w:p>
                </w:txbxContent>
              </v:textbox>
              <w10:wrap type="none"/>
            </v:shape>
            <v:shape style="position:absolute;left:2150;top:5715;width:7061;height:205" type="#_x0000_t202" filled="false" stroked="false">
              <v:textbox inset="0,0,0,0">
                <w:txbxContent>
                  <w:p>
                    <w:pPr>
                      <w:spacing w:line="204" w:lineRule="exact" w:before="0"/>
                      <w:ind w:left="0" w:right="0" w:firstLine="0"/>
                      <w:jc w:val="left"/>
                      <w:rPr>
                        <w:rFonts w:ascii="Arial"/>
                        <w:sz w:val="18"/>
                      </w:rPr>
                    </w:pPr>
                    <w:r>
                      <w:rPr>
                        <w:rFonts w:ascii="Arial"/>
                        <w:sz w:val="18"/>
                      </w:rPr>
                      <w:t>Mar-07 Jun-07 Sep-07 Dec-07 Mar-08 Jun-08 Sep-08 Dec-08 Mar-09 Jun-09 Sep-09</w:t>
                    </w:r>
                  </w:p>
                </w:txbxContent>
              </v:textbox>
              <w10:wrap type="none"/>
            </v:shape>
            <w10:wrap type="topAndBottom"/>
          </v:group>
        </w:pict>
      </w:r>
    </w:p>
    <w:p>
      <w:pPr>
        <w:spacing w:after="0"/>
        <w:rPr>
          <w:rFonts w:ascii="Arial"/>
          <w:sz w:val="19"/>
        </w:rPr>
        <w:sectPr>
          <w:pgSz w:w="11910" w:h="16840"/>
          <w:pgMar w:header="0" w:footer="779" w:top="1380" w:bottom="960" w:left="780" w:right="0"/>
        </w:sectPr>
      </w:pPr>
    </w:p>
    <w:p>
      <w:pPr>
        <w:pStyle w:val="Heading1"/>
      </w:pPr>
      <w:r>
        <w:rPr/>
        <w:t>Chart 2 – Gilt yields</w:t>
      </w:r>
    </w:p>
    <w:p>
      <w:pPr>
        <w:pStyle w:val="BodyText"/>
        <w:rPr>
          <w:sz w:val="20"/>
        </w:rPr>
      </w:pPr>
    </w:p>
    <w:p>
      <w:pPr>
        <w:pStyle w:val="BodyText"/>
        <w:rPr>
          <w:sz w:val="20"/>
        </w:rPr>
      </w:pPr>
    </w:p>
    <w:p>
      <w:pPr>
        <w:spacing w:before="221"/>
        <w:ind w:left="0" w:right="1366" w:firstLine="0"/>
        <w:jc w:val="right"/>
        <w:rPr>
          <w:sz w:val="26"/>
        </w:rPr>
      </w:pPr>
      <w:r>
        <w:rPr/>
        <w:pict>
          <v:group style="position:absolute;margin-left:119.07pt;margin-top:-.635557pt;width:395.1pt;height:237.25pt;mso-position-horizontal-relative:page;mso-position-vertical-relative:paragraph;z-index:251702272" coordorigin="2381,-13" coordsize="7902,4745">
            <v:shape style="position:absolute;left:2382;top:368;width:7901;height:4364" coordorigin="2382,369" coordsize="7901,4364" path="m10202,369l10202,4652m10202,4652l10283,4652m10202,3945l10283,3945m10202,3218l10283,3218m10202,2511l10283,2511m10202,1803l10283,1803m10202,1076l10283,1076m10202,369l10283,369m2382,4652l10202,4652m2382,4732l2382,4652m4861,4732l4861,4652m7340,4732l7340,4652m9880,4732l9880,4652e" filled="false" stroked="true" strokeweight=".06pt" strokecolor="#000000">
              <v:path arrowok="t"/>
              <v:stroke dashstyle="solid"/>
            </v:shape>
            <v:shape style="position:absolute;left:2401;top:1116;width:7801;height:2424" type="#_x0000_t75" stroked="false">
              <v:imagedata r:id="rId10" o:title=""/>
            </v:shape>
            <v:shape style="position:absolute;left:3510;top:370;width:605;height:4282" coordorigin="3510,370" coordsize="605,4282" path="m3510,370l3510,4652m4115,370l4115,4652e" filled="false" stroked="true" strokeweight="1.007951pt" strokecolor="#000000">
              <v:path arrowok="t"/>
              <v:stroke dashstyle="solid"/>
            </v:shape>
            <v:line style="position:absolute" from="5849,370" to="5849,4652" stroked="true" strokeweight="1.007951pt" strokecolor="#000000">
              <v:stroke dashstyle="solid"/>
            </v:line>
            <v:line style="position:absolute" from="8348,370" to="8348,4652" stroked="true" strokeweight="1.007951pt" strokecolor="#000000">
              <v:stroke dashstyle="solid"/>
            </v:line>
            <v:shape style="position:absolute;left:2764;top:-13;width:740;height:635" type="#_x0000_t202" filled="false" stroked="false">
              <v:textbox inset="0,0,0,0">
                <w:txbxContent>
                  <w:p>
                    <w:pPr>
                      <w:spacing w:line="290" w:lineRule="exact" w:before="0"/>
                      <w:ind w:left="0" w:right="0" w:firstLine="0"/>
                      <w:jc w:val="left"/>
                      <w:rPr>
                        <w:sz w:val="26"/>
                      </w:rPr>
                    </w:pPr>
                    <w:r>
                      <w:rPr>
                        <w:sz w:val="26"/>
                      </w:rPr>
                      <w:t>Feb IR</w:t>
                    </w:r>
                  </w:p>
                  <w:p>
                    <w:pPr>
                      <w:spacing w:before="44"/>
                      <w:ind w:left="0" w:right="0" w:firstLine="0"/>
                      <w:jc w:val="left"/>
                      <w:rPr>
                        <w:sz w:val="26"/>
                      </w:rPr>
                    </w:pPr>
                    <w:r>
                      <w:rPr>
                        <w:sz w:val="26"/>
                      </w:rPr>
                      <w:t>Pub.</w:t>
                    </w:r>
                  </w:p>
                </w:txbxContent>
              </v:textbox>
              <w10:wrap type="none"/>
            </v:shape>
            <v:shape style="position:absolute;left:4256;top:-13;width:717;height:635" type="#_x0000_t202" filled="false" stroked="false">
              <v:textbox inset="0,0,0,0">
                <w:txbxContent>
                  <w:p>
                    <w:pPr>
                      <w:spacing w:line="290" w:lineRule="exact" w:before="0"/>
                      <w:ind w:left="0" w:right="0" w:firstLine="0"/>
                      <w:jc w:val="left"/>
                      <w:rPr>
                        <w:sz w:val="26"/>
                      </w:rPr>
                    </w:pPr>
                    <w:r>
                      <w:rPr>
                        <w:sz w:val="26"/>
                      </w:rPr>
                      <w:t>March</w:t>
                    </w:r>
                  </w:p>
                  <w:p>
                    <w:pPr>
                      <w:spacing w:before="44"/>
                      <w:ind w:left="0" w:right="0" w:firstLine="0"/>
                      <w:jc w:val="left"/>
                      <w:rPr>
                        <w:sz w:val="26"/>
                      </w:rPr>
                    </w:pPr>
                    <w:r>
                      <w:rPr>
                        <w:sz w:val="26"/>
                      </w:rPr>
                      <w:t>MPC</w:t>
                    </w:r>
                  </w:p>
                </w:txbxContent>
              </v:textbox>
              <w10:wrap type="none"/>
            </v:shape>
            <v:shape style="position:absolute;left:6031;top:-13;width:578;height:635" type="#_x0000_t202" filled="false" stroked="false">
              <v:textbox inset="0,0,0,0">
                <w:txbxContent>
                  <w:p>
                    <w:pPr>
                      <w:spacing w:line="290" w:lineRule="exact" w:before="0"/>
                      <w:ind w:left="0" w:right="0" w:firstLine="0"/>
                      <w:jc w:val="left"/>
                      <w:rPr>
                        <w:sz w:val="26"/>
                      </w:rPr>
                    </w:pPr>
                    <w:r>
                      <w:rPr>
                        <w:sz w:val="26"/>
                      </w:rPr>
                      <w:t>May</w:t>
                    </w:r>
                  </w:p>
                  <w:p>
                    <w:pPr>
                      <w:spacing w:before="44"/>
                      <w:ind w:left="0" w:right="0" w:firstLine="0"/>
                      <w:jc w:val="left"/>
                      <w:rPr>
                        <w:sz w:val="26"/>
                      </w:rPr>
                    </w:pPr>
                    <w:r>
                      <w:rPr>
                        <w:sz w:val="26"/>
                      </w:rPr>
                      <w:t>MPC</w:t>
                    </w:r>
                  </w:p>
                </w:txbxContent>
              </v:textbox>
              <w10:wrap type="none"/>
            </v:shape>
            <v:shape style="position:absolute;left:7562;top:-13;width:840;height:635" type="#_x0000_t202" filled="false" stroked="false">
              <v:textbox inset="0,0,0,0">
                <w:txbxContent>
                  <w:p>
                    <w:pPr>
                      <w:spacing w:line="290" w:lineRule="exact" w:before="0"/>
                      <w:ind w:left="0" w:right="0" w:firstLine="0"/>
                      <w:jc w:val="left"/>
                      <w:rPr>
                        <w:sz w:val="26"/>
                      </w:rPr>
                    </w:pPr>
                    <w:r>
                      <w:rPr>
                        <w:sz w:val="26"/>
                      </w:rPr>
                      <w:t>August</w:t>
                    </w:r>
                  </w:p>
                  <w:p>
                    <w:pPr>
                      <w:spacing w:before="44"/>
                      <w:ind w:left="0" w:right="0" w:firstLine="0"/>
                      <w:jc w:val="left"/>
                      <w:rPr>
                        <w:sz w:val="26"/>
                      </w:rPr>
                    </w:pPr>
                    <w:r>
                      <w:rPr>
                        <w:sz w:val="26"/>
                      </w:rPr>
                      <w:t>MPC</w:t>
                    </w:r>
                  </w:p>
                </w:txbxContent>
              </v:textbox>
              <w10:wrap type="none"/>
            </v:shape>
            <v:shape style="position:absolute;left:9255;top:-13;width:879;height:291" type="#_x0000_t202" filled="false" stroked="false">
              <v:textbox inset="0,0,0,0">
                <w:txbxContent>
                  <w:p>
                    <w:pPr>
                      <w:spacing w:line="290" w:lineRule="exact" w:before="0"/>
                      <w:ind w:left="0" w:right="0" w:firstLine="0"/>
                      <w:jc w:val="left"/>
                      <w:rPr>
                        <w:sz w:val="26"/>
                      </w:rPr>
                    </w:pPr>
                    <w:r>
                      <w:rPr>
                        <w:sz w:val="26"/>
                      </w:rPr>
                      <w:t>per cent</w:t>
                    </w:r>
                  </w:p>
                </w:txbxContent>
              </v:textbox>
              <w10:wrap type="none"/>
            </v:shape>
            <v:shape style="position:absolute;left:4579;top:1037;width:813;height:291" type="#_x0000_t202" filled="false" stroked="false">
              <v:textbox inset="0,0,0,0">
                <w:txbxContent>
                  <w:p>
                    <w:pPr>
                      <w:spacing w:line="290" w:lineRule="exact" w:before="0"/>
                      <w:ind w:left="0" w:right="0" w:firstLine="0"/>
                      <w:jc w:val="left"/>
                      <w:rPr>
                        <w:sz w:val="26"/>
                      </w:rPr>
                    </w:pPr>
                    <w:r>
                      <w:rPr>
                        <w:color w:val="00FFFF"/>
                        <w:sz w:val="26"/>
                      </w:rPr>
                      <w:t>20-year</w:t>
                    </w:r>
                  </w:p>
                </w:txbxContent>
              </v:textbox>
              <w10:wrap type="none"/>
            </v:shape>
            <v:shape style="position:absolute;left:6010;top:1501;width:818;height:959" type="#_x0000_t202" filled="false" stroked="false">
              <v:textbox inset="0,0,0,0">
                <w:txbxContent>
                  <w:p>
                    <w:pPr>
                      <w:spacing w:line="290" w:lineRule="exact" w:before="0"/>
                      <w:ind w:left="0" w:right="0" w:firstLine="0"/>
                      <w:jc w:val="left"/>
                      <w:rPr>
                        <w:sz w:val="26"/>
                      </w:rPr>
                    </w:pPr>
                    <w:r>
                      <w:rPr>
                        <w:color w:val="008000"/>
                        <w:sz w:val="26"/>
                      </w:rPr>
                      <w:t>10-year</w:t>
                    </w:r>
                  </w:p>
                  <w:p>
                    <w:pPr>
                      <w:spacing w:line="240" w:lineRule="auto" w:before="0"/>
                      <w:rPr>
                        <w:sz w:val="32"/>
                      </w:rPr>
                    </w:pPr>
                  </w:p>
                  <w:p>
                    <w:pPr>
                      <w:spacing w:before="0"/>
                      <w:ind w:left="20" w:right="0" w:firstLine="0"/>
                      <w:jc w:val="left"/>
                      <w:rPr>
                        <w:sz w:val="26"/>
                      </w:rPr>
                    </w:pPr>
                    <w:r>
                      <w:rPr>
                        <w:color w:val="FF01FF"/>
                        <w:sz w:val="26"/>
                      </w:rPr>
                      <w:t>5-year</w:t>
                    </w:r>
                  </w:p>
                </w:txbxContent>
              </v:textbox>
              <w10:wrap type="none"/>
            </v:shape>
            <v:shape style="position:absolute;left:6393;top:3401;width:697;height:291" type="#_x0000_t202" filled="false" stroked="false">
              <v:textbox inset="0,0,0,0">
                <w:txbxContent>
                  <w:p>
                    <w:pPr>
                      <w:spacing w:line="290" w:lineRule="exact" w:before="0"/>
                      <w:ind w:left="0" w:right="0" w:firstLine="0"/>
                      <w:jc w:val="left"/>
                      <w:rPr>
                        <w:sz w:val="26"/>
                      </w:rPr>
                    </w:pPr>
                    <w:r>
                      <w:rPr>
                        <w:color w:val="0F0080"/>
                        <w:sz w:val="26"/>
                      </w:rPr>
                      <w:t>3-year</w:t>
                    </w:r>
                  </w:p>
                </w:txbxContent>
              </v:textbox>
              <w10:wrap type="none"/>
            </v:shape>
            <w10:wrap type="none"/>
          </v:group>
        </w:pict>
      </w:r>
      <w:r>
        <w:rPr>
          <w:w w:val="100"/>
          <w:sz w:val="26"/>
        </w:rPr>
        <w:t>6</w:t>
      </w:r>
    </w:p>
    <w:p>
      <w:pPr>
        <w:pStyle w:val="BodyText"/>
        <w:spacing w:before="5"/>
        <w:rPr>
          <w:sz w:val="35"/>
        </w:rPr>
      </w:pPr>
    </w:p>
    <w:p>
      <w:pPr>
        <w:spacing w:before="1"/>
        <w:ind w:left="0" w:right="1366" w:firstLine="0"/>
        <w:jc w:val="right"/>
        <w:rPr>
          <w:sz w:val="26"/>
        </w:rPr>
      </w:pPr>
      <w:r>
        <w:rPr>
          <w:w w:val="100"/>
          <w:sz w:val="26"/>
        </w:rPr>
        <w:t>5</w:t>
      </w:r>
    </w:p>
    <w:p>
      <w:pPr>
        <w:pStyle w:val="BodyText"/>
        <w:spacing w:before="2"/>
        <w:rPr>
          <w:sz w:val="37"/>
        </w:rPr>
      </w:pPr>
    </w:p>
    <w:p>
      <w:pPr>
        <w:spacing w:before="0"/>
        <w:ind w:left="0" w:right="1366" w:firstLine="0"/>
        <w:jc w:val="right"/>
        <w:rPr>
          <w:sz w:val="26"/>
        </w:rPr>
      </w:pPr>
      <w:r>
        <w:rPr>
          <w:w w:val="100"/>
          <w:sz w:val="26"/>
        </w:rPr>
        <w:t>4</w:t>
      </w:r>
    </w:p>
    <w:p>
      <w:pPr>
        <w:pStyle w:val="BodyText"/>
        <w:spacing w:before="6"/>
        <w:rPr>
          <w:sz w:val="27"/>
        </w:rPr>
      </w:pPr>
    </w:p>
    <w:p>
      <w:pPr>
        <w:spacing w:before="92"/>
        <w:ind w:left="0" w:right="1366" w:firstLine="0"/>
        <w:jc w:val="right"/>
        <w:rPr>
          <w:sz w:val="26"/>
        </w:rPr>
      </w:pPr>
      <w:r>
        <w:rPr>
          <w:w w:val="100"/>
          <w:sz w:val="26"/>
        </w:rPr>
        <w:t>3</w:t>
      </w:r>
    </w:p>
    <w:p>
      <w:pPr>
        <w:pStyle w:val="BodyText"/>
        <w:spacing w:before="7"/>
        <w:rPr>
          <w:sz w:val="27"/>
        </w:rPr>
      </w:pPr>
    </w:p>
    <w:p>
      <w:pPr>
        <w:spacing w:before="91"/>
        <w:ind w:left="0" w:right="1366" w:firstLine="0"/>
        <w:jc w:val="right"/>
        <w:rPr>
          <w:sz w:val="26"/>
        </w:rPr>
      </w:pPr>
      <w:r>
        <w:rPr>
          <w:w w:val="100"/>
          <w:sz w:val="26"/>
        </w:rPr>
        <w:t>2</w:t>
      </w:r>
    </w:p>
    <w:p>
      <w:pPr>
        <w:pStyle w:val="BodyText"/>
        <w:spacing w:before="4"/>
        <w:rPr>
          <w:sz w:val="29"/>
        </w:rPr>
      </w:pPr>
    </w:p>
    <w:p>
      <w:pPr>
        <w:spacing w:before="91"/>
        <w:ind w:left="0" w:right="1366" w:firstLine="0"/>
        <w:jc w:val="right"/>
        <w:rPr>
          <w:sz w:val="26"/>
        </w:rPr>
      </w:pPr>
      <w:r>
        <w:rPr>
          <w:w w:val="100"/>
          <w:sz w:val="26"/>
        </w:rPr>
        <w:t>1</w:t>
      </w:r>
    </w:p>
    <w:p>
      <w:pPr>
        <w:pStyle w:val="BodyText"/>
        <w:spacing w:before="6"/>
        <w:rPr>
          <w:sz w:val="27"/>
        </w:rPr>
      </w:pPr>
    </w:p>
    <w:p>
      <w:pPr>
        <w:spacing w:before="91"/>
        <w:ind w:left="0" w:right="1366" w:firstLine="0"/>
        <w:jc w:val="right"/>
        <w:rPr>
          <w:sz w:val="26"/>
        </w:rPr>
      </w:pPr>
      <w:r>
        <w:rPr>
          <w:w w:val="100"/>
          <w:sz w:val="26"/>
        </w:rPr>
        <w:t>0</w:t>
      </w:r>
    </w:p>
    <w:p>
      <w:pPr>
        <w:tabs>
          <w:tab w:pos="3879" w:val="left" w:leader="none"/>
          <w:tab w:pos="6440" w:val="left" w:leader="none"/>
          <w:tab w:pos="8919" w:val="left" w:leader="none"/>
        </w:tabs>
        <w:spacing w:line="177" w:lineRule="auto" w:before="148"/>
        <w:ind w:left="1239" w:right="1827" w:firstLine="201"/>
        <w:jc w:val="left"/>
        <w:rPr>
          <w:sz w:val="26"/>
        </w:rPr>
      </w:pPr>
      <w:r>
        <w:rPr>
          <w:sz w:val="26"/>
        </w:rPr>
        <w:t>Jan</w:t>
        <w:tab/>
      </w:r>
      <w:r>
        <w:rPr>
          <w:spacing w:val="7"/>
          <w:sz w:val="26"/>
        </w:rPr>
        <w:t>Apr</w:t>
        <w:tab/>
      </w:r>
      <w:r>
        <w:rPr>
          <w:spacing w:val="2"/>
          <w:sz w:val="26"/>
        </w:rPr>
        <w:t>Jul</w:t>
        <w:tab/>
      </w:r>
      <w:r>
        <w:rPr>
          <w:spacing w:val="-7"/>
          <w:sz w:val="26"/>
        </w:rPr>
        <w:t>Oct </w:t>
      </w:r>
      <w:r>
        <w:rPr>
          <w:spacing w:val="-11"/>
          <w:sz w:val="26"/>
        </w:rPr>
        <w:t>2009</w:t>
      </w:r>
    </w:p>
    <w:p>
      <w:pPr>
        <w:pStyle w:val="BodyText"/>
        <w:rPr>
          <w:sz w:val="20"/>
        </w:rPr>
      </w:pPr>
    </w:p>
    <w:p>
      <w:pPr>
        <w:spacing w:before="263"/>
        <w:ind w:left="1017" w:right="0" w:firstLine="0"/>
        <w:jc w:val="left"/>
        <w:rPr>
          <w:sz w:val="32"/>
        </w:rPr>
      </w:pPr>
      <w:r>
        <w:rPr>
          <w:sz w:val="32"/>
        </w:rPr>
        <w:t>Chart 3 – Gilt-OIS spreads </w:t>
      </w:r>
      <w:r>
        <w:rPr>
          <w:sz w:val="32"/>
          <w:vertAlign w:val="superscript"/>
        </w:rPr>
        <w:t>a,b</w:t>
      </w:r>
    </w:p>
    <w:p>
      <w:pPr>
        <w:pStyle w:val="BodyText"/>
        <w:spacing w:before="7"/>
        <w:rPr>
          <w:sz w:val="28"/>
        </w:rPr>
      </w:pPr>
    </w:p>
    <w:p>
      <w:pPr>
        <w:spacing w:before="90"/>
        <w:ind w:left="0" w:right="2644" w:firstLine="0"/>
        <w:jc w:val="right"/>
        <w:rPr>
          <w:sz w:val="23"/>
        </w:rPr>
      </w:pPr>
      <w:r>
        <w:rPr>
          <w:sz w:val="23"/>
        </w:rPr>
        <w:t>basis points</w:t>
      </w:r>
    </w:p>
    <w:p>
      <w:pPr>
        <w:spacing w:before="17"/>
        <w:ind w:left="0" w:right="2557" w:firstLine="0"/>
        <w:jc w:val="right"/>
        <w:rPr>
          <w:sz w:val="23"/>
        </w:rPr>
      </w:pPr>
      <w:r>
        <w:rPr/>
        <w:pict>
          <v:group style="position:absolute;margin-left:115.340111pt;margin-top:7.415233pt;width:336.05pt;height:183.3pt;mso-position-horizontal-relative:page;mso-position-vertical-relative:paragraph;z-index:251707392" coordorigin="2307,148" coordsize="6721,3666">
            <v:shape style="position:absolute;left:2307;top:148;width:6720;height:3665" coordorigin="2308,149" coordsize="6720,3665" path="m8957,149l8957,3814m8957,3814l9028,3814m8957,3197l9028,3197m8957,2598l9028,2598m8957,1981l9028,1981m8957,1365l9028,1365m8957,766l9028,766m8957,149l9028,149m2308,3814l8957,3814m2308,3814l2308,3743m5052,3814l5052,3743m7796,3814l7796,3743e" filled="false" stroked="true" strokeweight=".06pt" strokecolor="#000000">
              <v:path arrowok="t"/>
              <v:stroke dashstyle="solid"/>
            </v:shape>
            <v:line style="position:absolute" from="2342,1347" to="2342,1770" stroked="true" strokeweight="3.559111pt" strokecolor="#000080">
              <v:stroke dashstyle="solid"/>
            </v:line>
            <v:line style="position:absolute" from="2369,1735" to="2369,2157" stroked="true" strokeweight="2.597879pt" strokecolor="#000080">
              <v:stroke dashstyle="solid"/>
            </v:line>
            <v:shape style="position:absolute;left:2379;top:13089;width:370;height:441" coordorigin="2379,13090" coordsize="370,441" path="m2377,2140l2466,1894m2466,1894l2501,2087m2501,2087l2536,2087m2536,2087l2554,2176m2554,2176l2588,2176m2588,2176l2677,2034m2677,2034l2712,1963m2712,1963l2747,1735e" filled="false" stroked="true" strokeweight="1.76pt" strokecolor="#000080">
              <v:path arrowok="t"/>
              <v:stroke dashstyle="solid"/>
            </v:shape>
            <v:line style="position:absolute" from="2756,1718" to="2756,1946" stroked="true" strokeweight="2.658848pt" strokecolor="#000080">
              <v:stroke dashstyle="solid"/>
            </v:line>
            <v:shape style="position:absolute;left:2767;top:13301;width:423;height:264" coordorigin="2767,13302" coordsize="423,264" path="m2765,1929l2800,1841m2800,1841l2887,1805m2887,1805l2923,1858m2923,1858l2940,1911m2940,1911l2976,1805m2976,1805l3011,1699m3011,1699l3098,1911m3098,1911l3134,1858m3134,1858l3151,1963m3151,1963l3187,1699e" filled="false" stroked="true" strokeweight="1.76pt" strokecolor="#000080">
              <v:path arrowok="t"/>
              <v:stroke dashstyle="solid"/>
            </v:shape>
            <v:line style="position:absolute" from="3205,1682" to="3205,2086" stroked="true" strokeweight="3.499161pt" strokecolor="#000080">
              <v:stroke dashstyle="solid"/>
            </v:line>
            <v:line style="position:absolute" from="3222,2069" to="3310,1929" stroked="true" strokeweight="1.759367pt" strokecolor="#000080">
              <v:stroke dashstyle="solid"/>
            </v:line>
            <v:line style="position:absolute" from="3319,1753" to="3319,1946" stroked="true" strokeweight="2.65886pt" strokecolor="#000080">
              <v:stroke dashstyle="solid"/>
            </v:line>
            <v:shape style="position:absolute;left:3330;top:12967;width:669;height:528" coordorigin="3330,12967" coordsize="669,528" path="m3328,1770l3362,2034m3362,2034l3398,2105m3398,2105l3539,2105m3539,2105l3574,2034m3574,2034l3610,2105m3610,2105l3626,2087m3626,2087l3732,2298m3732,2298l3750,2176m3750,2176l3785,2034m3785,2034l3820,2140m3820,2140l3838,2052m3838,2052l3925,2016m3925,2016l3961,2105m3961,2105l3996,1963e" filled="false" stroked="true" strokeweight="1.76pt" strokecolor="#000080">
              <v:path arrowok="t"/>
              <v:stroke dashstyle="solid"/>
            </v:shape>
            <v:line style="position:absolute" from="4005,1735" to="4005,1981" stroked="true" strokeweight="2.657845pt" strokecolor="#000080">
              <v:stroke dashstyle="solid"/>
            </v:line>
            <v:shape style="position:absolute;left:4017;top:13231;width:194;height:282" coordorigin="4017,13231" coordsize="194,282" path="m4014,1752l4049,1876m4049,1876l4172,2034m4172,2034l4207,2016e" filled="false" stroked="true" strokeweight="1.76pt" strokecolor="#000080">
              <v:path arrowok="t"/>
              <v:stroke dashstyle="solid"/>
            </v:shape>
            <v:line style="position:absolute" from="4216,1999" to="4216,2334" stroked="true" strokeweight="2.658834pt" strokecolor="#000080">
              <v:stroke dashstyle="solid"/>
            </v:line>
            <v:shape style="position:absolute;left:4228;top:12667;width:845;height:475" coordorigin="4229,12668" coordsize="845,475" path="m4225,2316l4260,2281m4260,2281l4348,2475m4348,2475l4384,2351m4384,2351l4418,2140m4418,2140l4436,2245m4436,2245l4471,2123m4471,2123l4559,2369m4559,2369l4594,2298m4594,2298l4612,2192m4612,2192l4646,2404m4646,2404l4682,2192m4682,2192l4805,2493m4805,2493l4823,2369m4823,2369l4858,2440m4858,2440l4894,2351m4894,2351l4981,2422m4981,2422l4999,2422m4999,2422l5034,2527m5034,2527l5069,2598e" filled="false" stroked="true" strokeweight="1.76pt" strokecolor="#000080">
              <v:path arrowok="t"/>
              <v:stroke dashstyle="solid"/>
            </v:shape>
            <v:line style="position:absolute" from="5078,2581" to="5078,2792" stroked="true" strokeweight="2.658853pt" strokecolor="#000080">
              <v:stroke dashstyle="solid"/>
            </v:line>
            <v:shape style="position:absolute;left:5090;top:12351;width:194;height:299" coordorigin="5091,12351" coordsize="194,299" path="m5087,2774l5192,2880m5192,2880l5210,2915m5210,2915l5245,2845m5245,2845l5280,2616e" filled="false" stroked="true" strokeweight="1.76pt" strokecolor="#000080">
              <v:path arrowok="t"/>
              <v:stroke dashstyle="solid"/>
            </v:shape>
            <v:line style="position:absolute" from="5289,2599" to="5289,2792" stroked="true" strokeweight="2.65886pt" strokecolor="#000080">
              <v:stroke dashstyle="solid"/>
            </v:line>
            <v:shape style="position:absolute;left:5302;top:11822;width:387;height:706" coordorigin="5302,11822" coordsize="387,706" path="m5298,2774l5386,2827m5386,2827l5420,2739m5420,2739l5456,2862m5456,2862l5491,3162m5491,3162l5509,3144m5509,3144l5597,3180m5597,3180l5632,3426m5632,3426l5668,3444m5668,3444l5684,3355e" filled="false" stroked="true" strokeweight="1.76pt" strokecolor="#000080">
              <v:path arrowok="t"/>
              <v:stroke dashstyle="solid"/>
            </v:shape>
            <v:line style="position:absolute" from="5702,3003" to="5702,3373" stroked="true" strokeweight="3.55812pt" strokecolor="#000080">
              <v:stroke dashstyle="solid"/>
            </v:line>
            <v:shape style="position:absolute;left:5725;top:12156;width:159;height:300" coordorigin="5725,12157" coordsize="159,300" path="m5720,3020l5808,3109m5808,3109l5843,2915m5843,2915l5879,2809e" filled="false" stroked="true" strokeweight="1.76pt" strokecolor="#000080">
              <v:path arrowok="t"/>
              <v:stroke dashstyle="solid"/>
            </v:shape>
            <v:line style="position:absolute" from="5887,2651" to="5887,2827" stroked="true" strokeweight="2.597914pt" strokecolor="#000080">
              <v:stroke dashstyle="solid"/>
            </v:line>
            <v:shape style="position:absolute;left:5900;top:12438;width:846;height:370" coordorigin="5900,12439" coordsize="846,370" path="m5896,2669l5932,2686m5932,2686l6019,2827m6019,2827l6054,2704m6054,2704l6072,2722m6072,2722l6107,2563m6107,2563l6143,2458m6143,2458l6265,2545m6265,2545l6283,2669m6283,2669l6318,2475m6318,2475l6353,2580m6353,2580l6442,2651m6442,2651l6458,2527m6458,2527l6494,2633m6494,2633l6529,2598m6529,2598l6564,2616m6564,2616l6653,2704m6653,2704l6670,2633m6670,2633l6706,2580m6706,2580l6740,2669e" filled="false" stroked="true" strokeweight="1.76pt" strokecolor="#000080">
              <v:path arrowok="t"/>
              <v:stroke dashstyle="solid"/>
            </v:shape>
            <v:line style="position:absolute" from="6749,2651" to="6749,2968" stroked="true" strokeweight="2.658835pt" strokecolor="#000080">
              <v:stroke dashstyle="solid"/>
            </v:line>
            <v:shape style="position:absolute;left:6763;top:11646;width:757;height:670" coordorigin="6764,11646" coordsize="757,670" path="m6758,2951l6846,3039m6846,3039l6881,3197m6881,3197l6917,3126m6917,3126l6952,3426m6952,3426l6970,3408m6970,3408l7057,3250m7057,3250l7092,3126m7092,3126l7128,3109m7128,3109l7145,3197m7145,3197l7180,3268m7180,3268l7268,3373m7268,3373l7303,3320m7303,3320l7338,3532m7338,3532l7356,3479m7356,3479l7391,3497m7391,3497l7480,3444m7480,3444l7514,3621e" filled="false" stroked="true" strokeweight="1.76pt" strokecolor="#000080">
              <v:path arrowok="t"/>
              <v:stroke dashstyle="solid"/>
            </v:shape>
            <v:line style="position:absolute" from="7523,3427" to="7523,3638" stroked="true" strokeweight="2.657854pt" strokecolor="#000080">
              <v:stroke dashstyle="solid"/>
            </v:line>
            <v:shape style="position:absolute;left:7538;top:11822;width:1092;height:424" coordorigin="7539,11822" coordsize="1092,424" path="m7532,3444l7567,3338m7567,3338l7602,3268m7602,3268l7726,3286m7726,3286l7744,3355m7744,3355l7778,3144m7778,3144l7813,3144m7813,3144l7902,3039m7902,3039l7937,3020m7937,3020l7955,3020m7955,3020l7990,3109m7990,3109l8024,3091m8024,3091l8112,3197m8112,3197l8130,3180m8130,3180l8165,3144m8165,3144l8201,3126m8201,3126l8218,3197m8218,3197l8323,3268m8323,3268l8341,3286m8341,3286l8376,3391m8376,3391l8412,3338m8412,3338l8429,3408m8429,3408l8518,3391m8518,3391l8552,3355m8552,3355l8587,3250m8587,3250l8623,3286e" filled="false" stroked="true" strokeweight="1.76pt" strokecolor="#000080">
              <v:path arrowok="t"/>
              <v:stroke dashstyle="solid"/>
            </v:shape>
            <v:line style="position:absolute" from="8632,3268" to="8632,3303" stroked="true" strokeweight=".840312pt" strokecolor="#000080">
              <v:stroke dashstyle="solid"/>
            </v:line>
            <v:shape style="position:absolute;left:8647;top:11858;width:212;height:123" coordorigin="8647,11858" coordsize="212,123" path="m8640,3286l8729,3355m8729,3355l8764,3408m8764,3408l8798,3355m8798,3355l8816,3355m8816,3355l8851,3320e" filled="false" stroked="true" strokeweight="1.76pt" strokecolor="#000080">
              <v:path arrowok="t"/>
              <v:stroke dashstyle="solid"/>
            </v:shape>
            <v:line style="position:absolute" from="2324,1364" to="2360,1312" stroked="true" strokeweight="1.759474pt" strokecolor="#ff00ff">
              <v:stroke dashstyle="solid"/>
            </v:line>
            <v:line style="position:absolute" from="2369,1030" to="2369,1329" stroked="true" strokeweight="2.597885pt" strokecolor="#ff00ff">
              <v:stroke dashstyle="solid"/>
            </v:line>
            <v:line style="position:absolute" from="2377,1048" to="2466,1259" stroked="true" strokeweight="1.758993pt" strokecolor="#ff00ff">
              <v:stroke dashstyle="solid"/>
            </v:line>
            <v:line style="position:absolute" from="2483,836" to="2483,1276" stroked="true" strokeweight="3.498157pt" strokecolor="#ff00ff">
              <v:stroke dashstyle="solid"/>
            </v:line>
            <v:line style="position:absolute" from="2501,853" to="2536,1030" stroked="true" strokeweight="1.758668pt" strokecolor="#ff00ff">
              <v:stroke dashstyle="solid"/>
            </v:line>
            <v:line style="position:absolute" from="2545,801" to="2545,1047" stroked="true" strokeweight="2.658844pt" strokecolor="#ff00ff">
              <v:stroke dashstyle="solid"/>
            </v:line>
            <v:shape style="position:absolute;left:2555;top:13407;width:1057;height:1144" coordorigin="2556,13407" coordsize="1057,1144" path="m2554,818l2588,853m2588,853l2677,818m2677,818l2712,713m2712,713l2747,1858m2747,1858l2765,1171m2765,1171l2800,1277m2800,1277l2887,1171m2887,1171l2923,1206m2923,1206l2940,1083m2940,1083l2976,1083m2976,1083l3011,1012m3011,1012l3098,1135m3098,1135l3134,1294m3134,1294l3151,1206m3151,1206l3187,1135m3187,1135l3222,1048m3222,1048l3310,1048m3310,1048l3328,1153m3328,1153l3362,1224m3362,1224l3398,1101m3398,1101l3433,1135m3433,1135l3521,1206m3521,1206l3539,1206m3539,1206l3574,1259m3574,1259l3610,1066e" filled="false" stroked="true" strokeweight="1.76pt" strokecolor="#ff00ff">
              <v:path arrowok="t"/>
              <v:stroke dashstyle="solid"/>
            </v:shape>
            <v:line style="position:absolute" from="3618,1048" to="3618,1242" stroked="true" strokeweight="2.597905pt" strokecolor="#ff00ff">
              <v:stroke dashstyle="solid"/>
            </v:line>
            <v:shape style="position:absolute;left:3629;top:13934;width:370;height:424" coordorigin="3629,13935" coordsize="370,424" path="m3626,1224l3732,1277m3732,1277l3750,1224m3750,1224l3785,1206m3785,1206l3820,1259m3820,1259l3838,1118m3838,1118l3925,1330m3925,1330l3961,1030m3961,1030l3996,906e" filled="false" stroked="true" strokeweight="1.76pt" strokecolor="#ff00ff">
              <v:path arrowok="t"/>
              <v:stroke dashstyle="solid"/>
            </v:shape>
            <v:line style="position:absolute" from="4005,889" to="4005,1224" stroked="true" strokeweight="2.657834pt" strokecolor="#ff00ff">
              <v:stroke dashstyle="solid"/>
            </v:line>
            <v:shape style="position:absolute;left:4017;top:13934;width:194;height:212" coordorigin="4017,13935" coordsize="194,212" path="m4014,1206l4049,1330m4049,1330l4136,1259m4136,1259l4172,1277m4172,1277l4207,1118e" filled="false" stroked="true" strokeweight="1.76pt" strokecolor="#ff00ff">
              <v:path arrowok="t"/>
              <v:stroke dashstyle="solid"/>
            </v:shape>
            <v:line style="position:absolute" from="4216,801" to="4216,1136" stroked="true" strokeweight="2.658834pt" strokecolor="#ff00ff">
              <v:stroke dashstyle="solid"/>
            </v:line>
            <v:line style="position:absolute" from="4243,801" to="4243,1258" stroked="true" strokeweight="3.498156pt" strokecolor="#ff00ff">
              <v:stroke dashstyle="solid"/>
            </v:line>
            <v:shape style="position:absolute;left:4242;top:871;width:598;height:476" type="#_x0000_t75" stroked="false">
              <v:imagedata r:id="rId11" o:title=""/>
            </v:shape>
            <v:line style="position:absolute" from="4823,889" to="4858,1628" stroked="true" strokeweight="1.758567pt" strokecolor="#ff00ff">
              <v:stroke dashstyle="solid"/>
            </v:line>
            <v:shape style="position:absolute;left:4840;top:1276;width:598;height:512" type="#_x0000_t75" stroked="false">
              <v:imagedata r:id="rId12" o:title=""/>
            </v:shape>
            <v:line style="position:absolute" from="5438,959" to="5438,1382" stroked="true" strokeweight="3.558112pt" strokecolor="#ff00ff">
              <v:stroke dashstyle="solid"/>
            </v:line>
            <v:line style="position:absolute" from="5474,959" to="5474,1329" stroked="true" strokeweight="3.499166pt" strokecolor="#ff00ff">
              <v:stroke dashstyle="solid"/>
            </v:line>
            <v:shape style="position:absolute;left:5495;top:13847;width:177;height:106" coordorigin="5496,13847" coordsize="177,106" path="m5491,1312l5509,1364m5509,1364l5597,1364m5597,1364l5632,1417m5632,1417l5668,1312e" filled="false" stroked="true" strokeweight="1.76pt" strokecolor="#ff00ff">
              <v:path arrowok="t"/>
              <v:stroke dashstyle="solid"/>
            </v:shape>
            <v:line style="position:absolute" from="5676,1294" to="5676,1540" stroked="true" strokeweight="2.598891pt" strokecolor="#ff00ff">
              <v:stroke dashstyle="solid"/>
            </v:line>
            <v:shape style="position:absolute;left:5689;top:13741;width:370;height:299" coordorigin="5689,13742" coordsize="370,299" path="m5684,1523l5720,1224m5720,1224l5808,1312m5808,1312l5843,1330m5843,1330l5879,1488m5879,1488l5896,1364m5896,1364l6019,1401m6019,1401l6054,1330e" filled="false" stroked="true" strokeweight="1.76pt" strokecolor="#ff00ff">
              <v:path arrowok="t"/>
              <v:stroke dashstyle="solid"/>
            </v:shape>
            <v:line style="position:absolute" from="6063,1312" to="6063,1576" stroked="true" strokeweight="2.657842pt" strokecolor="#ff00ff">
              <v:stroke dashstyle="solid"/>
            </v:line>
            <v:shape style="position:absolute;left:6076;top:13600;width:370;height:318" coordorigin="6077,13600" coordsize="370,318" path="m6072,1559l6107,1364m6107,1364l6143,1435m6143,1435l6230,1347m6230,1347l6265,1488m6265,1488l6283,1488m6283,1488l6318,1453m6318,1453l6353,1559m6353,1559l6442,1665e" filled="false" stroked="true" strokeweight="1.76pt" strokecolor="#ff00ff">
              <v:path arrowok="t"/>
              <v:stroke dashstyle="solid"/>
            </v:shape>
            <v:line style="position:absolute" from="6450,1418" to="6450,1682" stroked="true" strokeweight="2.597889pt" strokecolor="#ff00ff">
              <v:stroke dashstyle="solid"/>
            </v:line>
            <v:shape style="position:absolute;left:6463;top:13723;width:195;height:106" coordorigin="6464,13724" coordsize="195,106" path="m6458,1435l6494,1506m6494,1506l6529,1523m6529,1523l6564,1541m6564,1541l6653,1470e" filled="false" stroked="true" strokeweight="1.76pt" strokecolor="#ff00ff">
              <v:path arrowok="t"/>
              <v:stroke dashstyle="solid"/>
            </v:shape>
            <v:line style="position:absolute" from="6661,1189" to="6661,1488" stroked="true" strokeweight="2.598884pt" strokecolor="#ff00ff">
              <v:stroke dashstyle="solid"/>
            </v:line>
            <v:line style="position:absolute" from="6670,1206" to="6706,1330" stroked="true" strokeweight="1.758785pt" strokecolor="#ff00ff">
              <v:stroke dashstyle="solid"/>
            </v:line>
            <v:line style="position:absolute" from="6723,1312" to="6723,1682" stroked="true" strokeweight="3.499166pt" strokecolor="#ff00ff">
              <v:stroke dashstyle="solid"/>
            </v:line>
            <v:line style="position:absolute" from="6749,1436" to="6749,1682" stroked="true" strokeweight="2.658844pt" strokecolor="#ff00ff">
              <v:stroke dashstyle="solid"/>
            </v:line>
            <v:shape style="position:absolute;left:6763;top:13723;width:194;height:300" coordorigin="6764,13724" coordsize="194,300" path="m6758,1453l6846,1453m6846,1453l6881,1506m6881,1506l6917,1241m6917,1241l6952,1541e" filled="false" stroked="true" strokeweight="1.76pt" strokecolor="#ff00ff">
              <v:path arrowok="t"/>
              <v:stroke dashstyle="solid"/>
            </v:shape>
            <v:line style="position:absolute" from="6961,1523" to="6961,1717" stroked="true" strokeweight="2.65886pt" strokecolor="#ff00ff">
              <v:stroke dashstyle="solid"/>
            </v:line>
            <v:shape style="position:absolute;left:6975;top:13565;width:968;height:511" coordorigin="6975,13566" coordsize="968,511" path="m6970,1699l7057,1559m7057,1559l7092,1647m7092,1647l7128,1435m7128,1435l7145,1401m7145,1401l7180,1188m7180,1188l7268,1347m7268,1347l7303,1435m7303,1435l7338,1506m7338,1506l7356,1453m7356,1453l7391,1330m7391,1330l7480,1364m7480,1364l7514,1435m7514,1435l7532,1417m7532,1417l7567,1364m7567,1364l7602,1347m7602,1347l7691,1364m7691,1364l7726,1470m7726,1470l7744,1364m7744,1364l7778,1259m7778,1259l7813,1312m7813,1312l7937,1206e" filled="false" stroked="true" strokeweight="1.76pt" strokecolor="#ff00ff">
              <v:path arrowok="t"/>
              <v:stroke dashstyle="solid"/>
            </v:shape>
            <v:line style="position:absolute" from="7946,1189" to="7946,1435" stroked="true" strokeweight="2.658844pt" strokecolor="#ff00ff">
              <v:stroke dashstyle="solid"/>
            </v:line>
            <v:shape style="position:absolute;left:7961;top:13847;width:158;height:282" coordorigin="7961,13847" coordsize="158,282" path="m7955,1417l7990,1382m7990,1382l8024,1135m8024,1135l8112,1241e" filled="false" stroked="true" strokeweight="1.76pt" strokecolor="#ff00ff">
              <v:path arrowok="t"/>
              <v:stroke dashstyle="solid"/>
            </v:shape>
            <v:line style="position:absolute" from="8121,1223" to="8121,1453" stroked="true" strokeweight="2.658848pt" strokecolor="#ff00ff">
              <v:stroke dashstyle="solid"/>
            </v:line>
            <v:shape style="position:absolute;left:8136;top:13600;width:247;height:406" coordorigin="8137,13600" coordsize="247,406" path="m8130,1435l8165,1277m8165,1277l8201,1382m8201,1382l8218,1259m8218,1259l8323,1401m8323,1401l8341,1417m8341,1417l8376,1665e" filled="false" stroked="true" strokeweight="1.76pt" strokecolor="#ff00ff">
              <v:path arrowok="t"/>
              <v:stroke dashstyle="solid"/>
            </v:shape>
            <v:line style="position:absolute" from="8394,1312" to="8394,1682" stroked="true" strokeweight="3.55812pt" strokecolor="#ff00ff">
              <v:stroke dashstyle="solid"/>
            </v:line>
            <v:shape style="position:absolute;left:8418;top:13811;width:440;height:124" coordorigin="8419,13811" coordsize="440,124" path="m8412,1330l8429,1382m8429,1382l8518,1401m8518,1401l8552,1364m8552,1364l8587,1364,8623,1364m8623,1364l8640,1347m8640,1347l8729,1453m8729,1453l8764,1401m8764,1401l8798,1435m8798,1435l8816,1382m8816,1382l8851,1435e" filled="false" stroked="true" strokeweight="1.76pt" strokecolor="#ff00ff">
              <v:path arrowok="t"/>
              <v:stroke dashstyle="solid"/>
            </v:shape>
            <v:line style="position:absolute" from="2324,1364" to="2360,1294" stroked="true" strokeweight="1.759152pt" strokecolor="#008000">
              <v:stroke dashstyle="solid"/>
            </v:line>
            <v:shape style="position:absolute;left:2362;top:13900;width:387;height:423" coordorigin="2362,13900" coordsize="387,423" path="m2360,1294l2377,1364m2377,1364l2466,1171m2466,1171l2501,1066m2501,1066l2536,1118m2536,1118l2554,1171m2554,1171l2588,1188m2588,1188l2677,1030m2677,1030l2712,942m2712,942l2747,942e" filled="false" stroked="true" strokeweight="1.76pt" strokecolor="#008000">
              <v:path arrowok="t"/>
              <v:stroke dashstyle="solid"/>
            </v:shape>
            <v:line style="position:absolute" from="2756,925" to="2756,1118" stroked="true" strokeweight="2.65886pt" strokecolor="#008000">
              <v:stroke dashstyle="solid"/>
            </v:line>
            <v:shape style="position:absolute;left:2767;top:13671;width:1831;height:528" coordorigin="2767,13671" coordsize="1831,528" path="m2765,1101l2800,1171m2800,1171l2887,1241m2887,1241l2923,1118m2923,1118l2940,1188m2940,1188l2976,1153m2976,1153l3011,1382m3011,1382l3098,1224m3098,1224l3134,1294m3134,1294l3151,1241m3151,1241l3187,1330m3187,1330l3222,1470m3222,1470l3310,1417m3310,1417l3328,1364m3328,1364l3362,1435m3362,1435l3398,1435m3398,1435l3433,1417m3433,1417l3539,1435m3539,1435l3574,1594m3574,1594l3610,1488m3610,1488l3626,1453m3626,1453l3732,1523m3732,1523l3750,1559m3750,1559l3785,1417m3785,1417l3820,1417,3838,1417m3838,1417l3925,1453m3925,1453l3961,1435m3961,1435l3996,1347m3996,1347l4014,1330m4014,1330l4136,1417m4136,1417l4172,1401m4172,1401l4207,1277m4207,1277l4225,1241m4225,1241l4260,1347m4260,1347l4348,1206m4348,1206l4384,1118m4384,1118l4418,1224m4418,1224l4436,1294m4436,1294l4471,1277m4471,1277l4559,1188m4559,1188l4594,1066e" filled="false" stroked="true" strokeweight="1.76pt" strokecolor="#008000">
              <v:path arrowok="t"/>
              <v:stroke dashstyle="solid"/>
            </v:shape>
            <v:line style="position:absolute" from="4603,1048" to="4603,1242" stroked="true" strokeweight="2.65886pt" strokecolor="#008000">
              <v:stroke dashstyle="solid"/>
            </v:line>
            <v:shape style="position:absolute;left:4615;top:13318;width:1832;height:846" coordorigin="4615,13319" coordsize="1832,846" path="m4612,1224l4646,1364m4646,1364l4682,1312m4682,1312l4770,1171m4770,1171l4805,1206m4805,1206l4823,1101m4823,1101l4858,1241m4858,1241l4894,1241m4894,1241l4981,1312m4981,1312l4999,1241m4999,1241l5034,1294m5034,1294l5069,1330m5069,1330l5087,1330m5087,1330l5192,1347m5192,1347l5210,1347m5210,1347l5245,1382m5245,1382l5280,1401m5280,1401l5298,1401m5298,1401l5386,1453m5386,1453l5420,1488m5420,1488l5456,1594m5456,1594l5491,1628m5491,1628l5509,1612m5509,1612l5597,1647m5597,1647l5632,1717m5632,1717l5668,1699m5668,1699l5684,1805m5684,1805l5720,1894m5720,1894l5808,1858m5808,1858l5843,1805m5843,1805l5879,1823m5879,1823l5896,1858m5896,1858l5932,1841m5932,1841l6019,1876m6019,1876l6054,1788m6054,1788l6072,1841m6072,1841l6107,1841m6107,1841l6143,1946m6143,1946l6230,1929m6230,1929l6265,1876m6265,1876l6283,1876m6283,1876l6318,1805m6318,1805l6353,1788m6353,1788l6442,1752e" filled="false" stroked="true" strokeweight="1.76pt" strokecolor="#008000">
              <v:path arrowok="t"/>
              <v:stroke dashstyle="solid"/>
            </v:shape>
            <v:line style="position:absolute" from="6450,1734" to="6450,1770" stroked="true" strokeweight=".839313pt" strokecolor="#008000">
              <v:stroke dashstyle="solid"/>
            </v:line>
            <v:shape style="position:absolute;left:6463;top:13265;width:1956;height:247" coordorigin="6464,13266" coordsize="1956,247" path="m6458,1752l6494,1823m6494,1823l6529,1823,6564,1823m6564,1823l6653,1858m6653,1858l6670,1841m6670,1841l6706,1841m6706,1841l6740,1858m6740,1858l6758,1911m6758,1911l6846,1946m6846,1946l6881,1981m6881,1981l6917,1929m6917,1929l6952,1894m6952,1894l6970,1823m6970,1823l7057,1788m7057,1788l7092,1858m7092,1858l7128,1823m7128,1823l7145,1858m7145,1858l7180,1894m7180,1894l7268,1981m7268,1981l7303,1963m7303,1963l7338,1999m7338,1999l7356,1963m7356,1963l7391,1946m7391,1946l7480,1876m7480,1876l7514,1911m7514,1911l7532,1911m7532,1911l7567,1894m7567,1894l7602,1894m7602,1894l7691,1823m7691,1823l7726,1770m7726,1770l7744,1805m7744,1805l7778,1823m7778,1823l7813,1858m7813,1858l7902,1841m7902,1841l7937,1788m7937,1788l7955,1858m7955,1858l7990,1911m7990,1911l8024,1894m8024,1894l8112,1911m8112,1911l8130,1876m8130,1876l8165,1858m8165,1858l8201,1858m8201,1858l8218,1894m8218,1894l8323,1876m8323,1876l8341,1858m8341,1858l8376,1805m8376,1805l8412,1858e" filled="false" stroked="true" strokeweight="1.76pt" strokecolor="#008000">
              <v:path arrowok="t"/>
              <v:stroke dashstyle="solid"/>
            </v:shape>
            <v:line style="position:absolute" from="8420,1840" to="8420,1875" stroked="true" strokeweight=".840312pt" strokecolor="#008000">
              <v:stroke dashstyle="solid"/>
            </v:line>
            <v:shape style="position:absolute;left:8435;top:13354;width:511;height:159" coordorigin="8436,13355" coordsize="511,159" path="m8429,1858l8518,1823m8518,1823l8552,1841m8552,1841l8587,1805m8587,1805l8623,1752m8623,1752l8640,1841m8640,1841l8729,1858m8729,1858l8764,1858m8764,1858l8798,1894m8798,1894l8816,1911m8816,1911l8851,1823m8851,1823l8939,1805e" filled="false" stroked="true" strokeweight="1.76pt" strokecolor="#008000">
              <v:path arrowok="t"/>
              <v:stroke dashstyle="solid"/>
            </v:shape>
            <v:line style="position:absolute" from="2316,1364" to="8860,1364" stroked="true" strokeweight=".88072pt" strokecolor="#000000">
              <v:stroke dashstyle="solid"/>
            </v:line>
            <v:line style="position:absolute" from="8851,1364" to="8939,1364" stroked="true" strokeweight=".88072pt" strokecolor="#000000">
              <v:stroke dashstyle="solid"/>
            </v:line>
            <v:shape style="position:absolute;left:3292;top:362;width:299;height:254" type="#_x0000_t202" filled="false" stroked="false">
              <v:textbox inset="0,0,0,0">
                <w:txbxContent>
                  <w:p>
                    <w:pPr>
                      <w:spacing w:line="254" w:lineRule="exact" w:before="0"/>
                      <w:ind w:left="0" w:right="0" w:firstLine="0"/>
                      <w:jc w:val="left"/>
                      <w:rPr>
                        <w:sz w:val="23"/>
                      </w:rPr>
                    </w:pPr>
                    <w:r>
                      <w:rPr>
                        <w:color w:val="FF01FF"/>
                        <w:sz w:val="23"/>
                      </w:rPr>
                      <w:t>US</w:t>
                    </w:r>
                  </w:p>
                </w:txbxContent>
              </v:textbox>
              <w10:wrap type="none"/>
            </v:shape>
            <v:shape style="position:absolute;left:5492;top:2018;width:966;height:254" type="#_x0000_t202" filled="false" stroked="false">
              <v:textbox inset="0,0,0,0">
                <w:txbxContent>
                  <w:p>
                    <w:pPr>
                      <w:spacing w:line="254" w:lineRule="exact" w:before="0"/>
                      <w:ind w:left="0" w:right="0" w:firstLine="0"/>
                      <w:jc w:val="left"/>
                      <w:rPr>
                        <w:sz w:val="23"/>
                      </w:rPr>
                    </w:pPr>
                    <w:r>
                      <w:rPr>
                        <w:color w:val="008000"/>
                        <w:sz w:val="23"/>
                      </w:rPr>
                      <w:t>Euro Area</w:t>
                    </w:r>
                  </w:p>
                </w:txbxContent>
              </v:textbox>
              <w10:wrap type="none"/>
            </v:shape>
            <v:shape style="position:absolute;left:3152;top:2881;width:337;height:254" type="#_x0000_t202" filled="false" stroked="false">
              <v:textbox inset="0,0,0,0">
                <w:txbxContent>
                  <w:p>
                    <w:pPr>
                      <w:spacing w:line="254" w:lineRule="exact" w:before="0"/>
                      <w:ind w:left="0" w:right="0" w:firstLine="0"/>
                      <w:jc w:val="left"/>
                      <w:rPr>
                        <w:sz w:val="23"/>
                      </w:rPr>
                    </w:pPr>
                    <w:r>
                      <w:rPr>
                        <w:color w:val="0F0080"/>
                        <w:sz w:val="23"/>
                      </w:rPr>
                      <w:t>UK</w:t>
                    </w:r>
                  </w:p>
                </w:txbxContent>
              </v:textbox>
              <w10:wrap type="none"/>
            </v:shape>
            <v:shape style="position:absolute;left:8851;top:3075;width:108;height:254" type="#_x0000_t202" filled="false" stroked="false">
              <v:textbox inset="0,0,0,0">
                <w:txbxContent>
                  <w:p>
                    <w:pPr>
                      <w:spacing w:line="254" w:lineRule="exact" w:before="0"/>
                      <w:ind w:left="0" w:right="0" w:firstLine="0"/>
                      <w:jc w:val="left"/>
                      <w:rPr>
                        <w:sz w:val="23"/>
                      </w:rPr>
                    </w:pPr>
                    <w:r>
                      <w:rPr>
                        <w:w w:val="99"/>
                        <w:sz w:val="23"/>
                        <w:u w:val="thick" w:color="000080"/>
                      </w:rPr>
                      <w:t> </w:t>
                    </w:r>
                    <w:r>
                      <w:rPr>
                        <w:spacing w:val="-28"/>
                        <w:sz w:val="23"/>
                        <w:u w:val="thick" w:color="000080"/>
                      </w:rPr>
                      <w:t> </w:t>
                    </w:r>
                  </w:p>
                </w:txbxContent>
              </v:textbox>
              <w10:wrap type="none"/>
            </v:shape>
            <w10:wrap type="none"/>
          </v:group>
        </w:pict>
      </w:r>
      <w:r>
        <w:rPr>
          <w:spacing w:val="-9"/>
          <w:w w:val="95"/>
          <w:sz w:val="23"/>
        </w:rPr>
        <w:t>40</w:t>
      </w:r>
    </w:p>
    <w:p>
      <w:pPr>
        <w:pStyle w:val="BodyText"/>
        <w:spacing w:before="10"/>
        <w:rPr>
          <w:sz w:val="22"/>
        </w:rPr>
      </w:pPr>
    </w:p>
    <w:p>
      <w:pPr>
        <w:spacing w:before="90"/>
        <w:ind w:left="0" w:right="2557" w:firstLine="0"/>
        <w:jc w:val="right"/>
        <w:rPr>
          <w:sz w:val="23"/>
        </w:rPr>
      </w:pPr>
      <w:r>
        <w:rPr>
          <w:spacing w:val="-9"/>
          <w:w w:val="95"/>
          <w:sz w:val="23"/>
        </w:rPr>
        <w:t>20</w:t>
      </w:r>
    </w:p>
    <w:p>
      <w:pPr>
        <w:pStyle w:val="BodyText"/>
        <w:spacing w:before="3"/>
        <w:rPr>
          <w:sz w:val="21"/>
        </w:rPr>
      </w:pPr>
    </w:p>
    <w:p>
      <w:pPr>
        <w:spacing w:before="90"/>
        <w:ind w:left="8353" w:right="0" w:firstLine="0"/>
        <w:jc w:val="left"/>
        <w:rPr>
          <w:sz w:val="23"/>
        </w:rPr>
      </w:pPr>
      <w:r>
        <w:rPr>
          <w:w w:val="99"/>
          <w:sz w:val="23"/>
        </w:rPr>
        <w:t>0</w:t>
      </w:r>
    </w:p>
    <w:p>
      <w:pPr>
        <w:pStyle w:val="BodyText"/>
        <w:spacing w:before="7"/>
        <w:rPr>
          <w:sz w:val="30"/>
        </w:rPr>
      </w:pPr>
    </w:p>
    <w:p>
      <w:pPr>
        <w:spacing w:before="0"/>
        <w:ind w:left="8353" w:right="0" w:firstLine="0"/>
        <w:jc w:val="left"/>
        <w:rPr>
          <w:sz w:val="23"/>
        </w:rPr>
      </w:pPr>
      <w:r>
        <w:rPr>
          <w:spacing w:val="-5"/>
          <w:sz w:val="23"/>
        </w:rPr>
        <w:t>-20</w:t>
      </w:r>
    </w:p>
    <w:p>
      <w:pPr>
        <w:pStyle w:val="BodyText"/>
        <w:spacing w:before="7"/>
        <w:rPr>
          <w:sz w:val="30"/>
        </w:rPr>
      </w:pPr>
    </w:p>
    <w:p>
      <w:pPr>
        <w:spacing w:before="0"/>
        <w:ind w:left="8353" w:right="0" w:firstLine="0"/>
        <w:jc w:val="left"/>
        <w:rPr>
          <w:sz w:val="23"/>
        </w:rPr>
      </w:pPr>
      <w:r>
        <w:rPr>
          <w:spacing w:val="-5"/>
          <w:sz w:val="23"/>
        </w:rPr>
        <w:t>-40</w:t>
      </w:r>
    </w:p>
    <w:p>
      <w:pPr>
        <w:pStyle w:val="BodyText"/>
        <w:spacing w:before="3"/>
        <w:rPr>
          <w:sz w:val="21"/>
        </w:rPr>
      </w:pPr>
    </w:p>
    <w:p>
      <w:pPr>
        <w:spacing w:before="90"/>
        <w:ind w:left="0" w:right="2478" w:firstLine="0"/>
        <w:jc w:val="right"/>
        <w:rPr>
          <w:sz w:val="23"/>
        </w:rPr>
      </w:pPr>
      <w:r>
        <w:rPr>
          <w:spacing w:val="-6"/>
          <w:sz w:val="23"/>
        </w:rPr>
        <w:t>-60</w:t>
      </w:r>
    </w:p>
    <w:p>
      <w:pPr>
        <w:pStyle w:val="BodyText"/>
        <w:spacing w:before="10"/>
        <w:rPr>
          <w:sz w:val="22"/>
        </w:rPr>
      </w:pPr>
    </w:p>
    <w:p>
      <w:pPr>
        <w:spacing w:before="89"/>
        <w:ind w:left="0" w:right="2478" w:firstLine="0"/>
        <w:jc w:val="right"/>
        <w:rPr>
          <w:sz w:val="23"/>
        </w:rPr>
      </w:pPr>
      <w:r>
        <w:rPr>
          <w:spacing w:val="-6"/>
          <w:sz w:val="23"/>
        </w:rPr>
        <w:t>-80</w:t>
      </w:r>
    </w:p>
    <w:p>
      <w:pPr>
        <w:tabs>
          <w:tab w:pos="4131" w:val="left" w:leader="none"/>
          <w:tab w:pos="6857" w:val="left" w:leader="none"/>
        </w:tabs>
        <w:spacing w:line="208" w:lineRule="auto" w:before="99"/>
        <w:ind w:left="1246" w:right="3920" w:firstLine="105"/>
        <w:jc w:val="left"/>
        <w:rPr>
          <w:sz w:val="23"/>
        </w:rPr>
      </w:pPr>
      <w:r>
        <w:rPr>
          <w:spacing w:val="3"/>
          <w:sz w:val="23"/>
        </w:rPr>
        <w:t>Mar</w:t>
        <w:tab/>
      </w:r>
      <w:r>
        <w:rPr>
          <w:spacing w:val="2"/>
          <w:sz w:val="23"/>
        </w:rPr>
        <w:t>Jun</w:t>
        <w:tab/>
      </w:r>
      <w:r>
        <w:rPr>
          <w:spacing w:val="-6"/>
          <w:sz w:val="23"/>
        </w:rPr>
        <w:t>Sep </w:t>
      </w:r>
      <w:r>
        <w:rPr>
          <w:spacing w:val="-7"/>
          <w:sz w:val="23"/>
        </w:rPr>
        <w:t>2009</w:t>
      </w:r>
    </w:p>
    <w:p>
      <w:pPr>
        <w:pStyle w:val="BodyText"/>
        <w:spacing w:before="9"/>
        <w:rPr>
          <w:sz w:val="28"/>
        </w:rPr>
      </w:pPr>
    </w:p>
    <w:p>
      <w:pPr>
        <w:pStyle w:val="ListParagraph"/>
        <w:numPr>
          <w:ilvl w:val="0"/>
          <w:numId w:val="1"/>
        </w:numPr>
        <w:tabs>
          <w:tab w:pos="1581" w:val="left" w:leader="none"/>
        </w:tabs>
        <w:spacing w:line="230" w:lineRule="exact" w:before="92" w:after="0"/>
        <w:ind w:left="1580" w:right="0" w:hanging="206"/>
        <w:jc w:val="left"/>
        <w:rPr>
          <w:sz w:val="20"/>
        </w:rPr>
      </w:pPr>
      <w:r>
        <w:rPr>
          <w:sz w:val="20"/>
        </w:rPr>
        <w:t>Changes in Gilt-OIS spread since 4 March</w:t>
      </w:r>
      <w:r>
        <w:rPr>
          <w:spacing w:val="-4"/>
          <w:sz w:val="20"/>
        </w:rPr>
        <w:t> </w:t>
      </w:r>
      <w:r>
        <w:rPr>
          <w:sz w:val="20"/>
        </w:rPr>
        <w:t>2009</w:t>
      </w:r>
    </w:p>
    <w:p>
      <w:pPr>
        <w:pStyle w:val="ListParagraph"/>
        <w:numPr>
          <w:ilvl w:val="0"/>
          <w:numId w:val="1"/>
        </w:numPr>
        <w:tabs>
          <w:tab w:pos="1593" w:val="left" w:leader="none"/>
        </w:tabs>
        <w:spacing w:line="230" w:lineRule="exact" w:before="0" w:after="0"/>
        <w:ind w:left="1592" w:right="0" w:hanging="218"/>
        <w:jc w:val="left"/>
        <w:rPr>
          <w:sz w:val="20"/>
        </w:rPr>
      </w:pPr>
      <w:r>
        <w:rPr>
          <w:sz w:val="20"/>
        </w:rPr>
        <w:t>5 year</w:t>
      </w:r>
      <w:r>
        <w:rPr>
          <w:spacing w:val="-1"/>
          <w:sz w:val="20"/>
        </w:rPr>
        <w:t> </w:t>
      </w:r>
      <w:r>
        <w:rPr>
          <w:sz w:val="20"/>
        </w:rPr>
        <w:t>maturity</w:t>
      </w:r>
    </w:p>
    <w:p>
      <w:pPr>
        <w:spacing w:after="0" w:line="230" w:lineRule="exact"/>
        <w:jc w:val="left"/>
        <w:rPr>
          <w:sz w:val="20"/>
        </w:rPr>
        <w:sectPr>
          <w:pgSz w:w="11910" w:h="16840"/>
          <w:pgMar w:header="0" w:footer="779" w:top="1380" w:bottom="960" w:left="780" w:right="0"/>
        </w:sectPr>
      </w:pPr>
    </w:p>
    <w:p>
      <w:pPr>
        <w:pStyle w:val="Heading1"/>
        <w:spacing w:before="119"/>
        <w:ind w:left="1360" w:right="1793"/>
        <w:jc w:val="center"/>
      </w:pPr>
      <w:r>
        <w:rPr/>
        <w:t>Chart 4 – Sterling investment grade corporate bond spreads </w:t>
      </w:r>
      <w:r>
        <w:rPr>
          <w:vertAlign w:val="superscript"/>
        </w:rPr>
        <w:t>a,b</w:t>
      </w:r>
    </w:p>
    <w:p>
      <w:pPr>
        <w:pStyle w:val="Heading2"/>
        <w:spacing w:before="134"/>
        <w:ind w:right="2726"/>
      </w:pPr>
      <w:r>
        <w:rPr>
          <w:spacing w:val="-3"/>
        </w:rPr>
        <w:t>Basis</w:t>
      </w:r>
      <w:r>
        <w:rPr>
          <w:spacing w:val="24"/>
        </w:rPr>
        <w:t> </w:t>
      </w:r>
      <w:r>
        <w:rPr>
          <w:spacing w:val="8"/>
        </w:rPr>
        <w:t>points</w:t>
      </w:r>
    </w:p>
    <w:p>
      <w:pPr>
        <w:spacing w:before="127"/>
        <w:ind w:left="0" w:right="2709" w:firstLine="0"/>
        <w:jc w:val="right"/>
        <w:rPr>
          <w:sz w:val="25"/>
        </w:rPr>
      </w:pPr>
      <w:r>
        <w:rPr/>
        <w:pict>
          <v:group style="position:absolute;margin-left:108.345001pt;margin-top:13.521833pt;width:324.7pt;height:237.95pt;mso-position-horizontal-relative:page;mso-position-vertical-relative:paragraph;z-index:251712512" coordorigin="2167,270" coordsize="6494,4759">
            <v:shape style="position:absolute;left:2166;top:270;width:6494;height:4759" type="#_x0000_t75" stroked="false">
              <v:imagedata r:id="rId13" o:title=""/>
            </v:shape>
            <v:shape style="position:absolute;left:6026;top:272;width:702;height:629" type="#_x0000_t202" filled="false" stroked="false">
              <v:textbox inset="0,0,0,0">
                <w:txbxContent>
                  <w:p>
                    <w:pPr>
                      <w:spacing w:line="280" w:lineRule="exact" w:before="0"/>
                      <w:ind w:left="0" w:right="0" w:firstLine="0"/>
                      <w:jc w:val="left"/>
                      <w:rPr>
                        <w:sz w:val="25"/>
                      </w:rPr>
                    </w:pPr>
                    <w:r>
                      <w:rPr>
                        <w:sz w:val="25"/>
                      </w:rPr>
                      <w:t>March</w:t>
                    </w:r>
                  </w:p>
                  <w:p>
                    <w:pPr>
                      <w:spacing w:before="59"/>
                      <w:ind w:left="0" w:right="0" w:firstLine="0"/>
                      <w:jc w:val="left"/>
                      <w:rPr>
                        <w:sz w:val="25"/>
                      </w:rPr>
                    </w:pPr>
                    <w:r>
                      <w:rPr>
                        <w:sz w:val="25"/>
                      </w:rPr>
                      <w:t>MPC</w:t>
                    </w:r>
                  </w:p>
                </w:txbxContent>
              </v:textbox>
              <w10:wrap type="none"/>
            </v:shape>
            <v:shape style="position:absolute;left:4986;top:1107;width:781;height:282" type="#_x0000_t202" filled="false" stroked="false">
              <v:textbox inset="0,0,0,0">
                <w:txbxContent>
                  <w:p>
                    <w:pPr>
                      <w:spacing w:line="280" w:lineRule="exact" w:before="0"/>
                      <w:ind w:left="0" w:right="0" w:firstLine="0"/>
                      <w:jc w:val="left"/>
                      <w:rPr>
                        <w:b/>
                        <w:sz w:val="25"/>
                      </w:rPr>
                    </w:pPr>
                    <w:r>
                      <w:rPr>
                        <w:b/>
                        <w:color w:val="FF00FF"/>
                        <w:sz w:val="25"/>
                      </w:rPr>
                      <w:t>Dollar</w:t>
                    </w:r>
                  </w:p>
                </w:txbxContent>
              </v:textbox>
              <w10:wrap type="none"/>
            </v:shape>
            <v:shape style="position:absolute;left:4084;top:2170;width:1024;height:282" type="#_x0000_t202" filled="false" stroked="false">
              <v:textbox inset="0,0,0,0">
                <w:txbxContent>
                  <w:p>
                    <w:pPr>
                      <w:spacing w:line="280" w:lineRule="exact" w:before="0"/>
                      <w:ind w:left="0" w:right="0" w:firstLine="0"/>
                      <w:jc w:val="left"/>
                      <w:rPr>
                        <w:b/>
                        <w:sz w:val="25"/>
                      </w:rPr>
                    </w:pPr>
                    <w:r>
                      <w:rPr>
                        <w:b/>
                        <w:color w:val="000080"/>
                        <w:sz w:val="25"/>
                      </w:rPr>
                      <w:t>Sterling</w:t>
                    </w:r>
                  </w:p>
                </w:txbxContent>
              </v:textbox>
              <w10:wrap type="none"/>
            </v:shape>
            <v:shape style="position:absolute;left:5934;top:3047;width:564;height:282" type="#_x0000_t202" filled="false" stroked="false">
              <v:textbox inset="0,0,0,0">
                <w:txbxContent>
                  <w:p>
                    <w:pPr>
                      <w:spacing w:line="280" w:lineRule="exact" w:before="0"/>
                      <w:ind w:left="0" w:right="0" w:firstLine="0"/>
                      <w:jc w:val="left"/>
                      <w:rPr>
                        <w:b/>
                        <w:sz w:val="25"/>
                      </w:rPr>
                    </w:pPr>
                    <w:r>
                      <w:rPr>
                        <w:b/>
                        <w:color w:val="008000"/>
                        <w:sz w:val="25"/>
                      </w:rPr>
                      <w:t>Euro</w:t>
                    </w:r>
                  </w:p>
                </w:txbxContent>
              </v:textbox>
              <w10:wrap type="none"/>
            </v:shape>
            <w10:wrap type="none"/>
          </v:group>
        </w:pict>
      </w:r>
      <w:r>
        <w:rPr>
          <w:spacing w:val="10"/>
          <w:sz w:val="25"/>
        </w:rPr>
        <w:t>800</w:t>
      </w:r>
    </w:p>
    <w:p>
      <w:pPr>
        <w:pStyle w:val="BodyText"/>
        <w:spacing w:before="2"/>
        <w:rPr>
          <w:sz w:val="27"/>
        </w:rPr>
      </w:pPr>
    </w:p>
    <w:p>
      <w:pPr>
        <w:spacing w:before="0"/>
        <w:ind w:left="0" w:right="2709" w:firstLine="0"/>
        <w:jc w:val="right"/>
        <w:rPr>
          <w:sz w:val="25"/>
        </w:rPr>
      </w:pPr>
      <w:r>
        <w:rPr>
          <w:spacing w:val="10"/>
          <w:sz w:val="25"/>
        </w:rPr>
        <w:t>700</w:t>
      </w:r>
    </w:p>
    <w:p>
      <w:pPr>
        <w:pStyle w:val="BodyText"/>
        <w:spacing w:before="3"/>
        <w:rPr>
          <w:sz w:val="17"/>
        </w:rPr>
      </w:pPr>
    </w:p>
    <w:p>
      <w:pPr>
        <w:spacing w:before="93"/>
        <w:ind w:left="0" w:right="2709" w:firstLine="0"/>
        <w:jc w:val="right"/>
        <w:rPr>
          <w:sz w:val="25"/>
        </w:rPr>
      </w:pPr>
      <w:r>
        <w:rPr>
          <w:spacing w:val="10"/>
          <w:sz w:val="25"/>
        </w:rPr>
        <w:t>600</w:t>
      </w:r>
    </w:p>
    <w:p>
      <w:pPr>
        <w:pStyle w:val="BodyText"/>
        <w:spacing w:before="1"/>
        <w:rPr>
          <w:sz w:val="19"/>
        </w:rPr>
      </w:pPr>
    </w:p>
    <w:p>
      <w:pPr>
        <w:spacing w:before="93"/>
        <w:ind w:left="0" w:right="2709" w:firstLine="0"/>
        <w:jc w:val="right"/>
        <w:rPr>
          <w:sz w:val="25"/>
        </w:rPr>
      </w:pPr>
      <w:r>
        <w:rPr>
          <w:spacing w:val="10"/>
          <w:sz w:val="25"/>
        </w:rPr>
        <w:t>500</w:t>
      </w:r>
    </w:p>
    <w:p>
      <w:pPr>
        <w:pStyle w:val="BodyText"/>
        <w:spacing w:before="1"/>
        <w:rPr>
          <w:sz w:val="19"/>
        </w:rPr>
      </w:pPr>
    </w:p>
    <w:p>
      <w:pPr>
        <w:spacing w:before="93"/>
        <w:ind w:left="0" w:right="2709" w:firstLine="0"/>
        <w:jc w:val="right"/>
        <w:rPr>
          <w:sz w:val="25"/>
        </w:rPr>
      </w:pPr>
      <w:r>
        <w:rPr>
          <w:spacing w:val="10"/>
          <w:sz w:val="25"/>
        </w:rPr>
        <w:t>400</w:t>
      </w:r>
    </w:p>
    <w:p>
      <w:pPr>
        <w:pStyle w:val="BodyText"/>
        <w:spacing w:before="2"/>
        <w:rPr>
          <w:sz w:val="25"/>
        </w:rPr>
      </w:pPr>
    </w:p>
    <w:p>
      <w:pPr>
        <w:spacing w:before="0"/>
        <w:ind w:left="0" w:right="2709" w:firstLine="0"/>
        <w:jc w:val="right"/>
        <w:rPr>
          <w:sz w:val="25"/>
        </w:rPr>
      </w:pPr>
      <w:r>
        <w:rPr>
          <w:spacing w:val="10"/>
          <w:sz w:val="25"/>
        </w:rPr>
        <w:t>300</w:t>
      </w:r>
    </w:p>
    <w:p>
      <w:pPr>
        <w:pStyle w:val="BodyText"/>
        <w:spacing w:before="2"/>
        <w:rPr>
          <w:sz w:val="19"/>
        </w:rPr>
      </w:pPr>
    </w:p>
    <w:p>
      <w:pPr>
        <w:spacing w:before="94"/>
        <w:ind w:left="0" w:right="2709" w:firstLine="0"/>
        <w:jc w:val="right"/>
        <w:rPr>
          <w:sz w:val="25"/>
        </w:rPr>
      </w:pPr>
      <w:r>
        <w:rPr>
          <w:spacing w:val="10"/>
          <w:sz w:val="25"/>
        </w:rPr>
        <w:t>200</w:t>
      </w:r>
    </w:p>
    <w:p>
      <w:pPr>
        <w:pStyle w:val="BodyText"/>
        <w:spacing w:before="1"/>
        <w:rPr>
          <w:sz w:val="17"/>
        </w:rPr>
      </w:pPr>
    </w:p>
    <w:p>
      <w:pPr>
        <w:spacing w:before="93"/>
        <w:ind w:left="0" w:right="2709" w:firstLine="0"/>
        <w:jc w:val="right"/>
        <w:rPr>
          <w:sz w:val="25"/>
        </w:rPr>
      </w:pPr>
      <w:r>
        <w:rPr>
          <w:spacing w:val="10"/>
          <w:sz w:val="25"/>
        </w:rPr>
        <w:t>100</w:t>
      </w:r>
    </w:p>
    <w:p>
      <w:pPr>
        <w:pStyle w:val="BodyText"/>
        <w:spacing w:before="1"/>
        <w:rPr>
          <w:sz w:val="19"/>
        </w:rPr>
      </w:pPr>
    </w:p>
    <w:p>
      <w:pPr>
        <w:spacing w:after="0"/>
        <w:rPr>
          <w:sz w:val="19"/>
        </w:rPr>
        <w:sectPr>
          <w:pgSz w:w="11910" w:h="16840"/>
          <w:pgMar w:header="0" w:footer="779" w:top="1320" w:bottom="960" w:left="780" w:right="0"/>
        </w:sectPr>
      </w:pPr>
    </w:p>
    <w:p>
      <w:pPr>
        <w:tabs>
          <w:tab w:pos="1918" w:val="left" w:leader="none"/>
          <w:tab w:pos="2612" w:val="left" w:leader="none"/>
          <w:tab w:pos="2681" w:val="left" w:leader="none"/>
          <w:tab w:pos="3374" w:val="left" w:leader="none"/>
          <w:tab w:pos="4113" w:val="left" w:leader="none"/>
          <w:tab w:pos="4829" w:val="left" w:leader="none"/>
          <w:tab w:pos="5615" w:val="left" w:leader="none"/>
          <w:tab w:pos="5893" w:val="right" w:leader="none"/>
        </w:tabs>
        <w:spacing w:line="230" w:lineRule="auto" w:before="472"/>
        <w:ind w:left="1202" w:right="0" w:firstLine="0"/>
        <w:jc w:val="left"/>
        <w:rPr>
          <w:sz w:val="25"/>
        </w:rPr>
      </w:pPr>
      <w:r>
        <w:rPr>
          <w:spacing w:val="-4"/>
          <w:sz w:val="25"/>
        </w:rPr>
        <w:t>Aug</w:t>
        <w:tab/>
      </w:r>
      <w:r>
        <w:rPr>
          <w:spacing w:val="4"/>
          <w:sz w:val="25"/>
        </w:rPr>
        <w:t>Nov</w:t>
        <w:tab/>
        <w:tab/>
      </w:r>
      <w:r>
        <w:rPr>
          <w:sz w:val="25"/>
        </w:rPr>
        <w:t>Feb</w:t>
        <w:tab/>
      </w:r>
      <w:r>
        <w:rPr>
          <w:spacing w:val="2"/>
          <w:sz w:val="25"/>
        </w:rPr>
        <w:t>May</w:t>
        <w:tab/>
      </w:r>
      <w:r>
        <w:rPr>
          <w:spacing w:val="-4"/>
          <w:sz w:val="25"/>
        </w:rPr>
        <w:t>Aug</w:t>
        <w:tab/>
      </w:r>
      <w:r>
        <w:rPr>
          <w:spacing w:val="4"/>
          <w:sz w:val="25"/>
        </w:rPr>
        <w:t>Nov</w:t>
        <w:tab/>
      </w:r>
      <w:r>
        <w:rPr>
          <w:spacing w:val="-7"/>
          <w:sz w:val="25"/>
        </w:rPr>
        <w:t>Feb </w:t>
      </w:r>
      <w:r>
        <w:rPr>
          <w:spacing w:val="8"/>
          <w:sz w:val="25"/>
        </w:rPr>
        <w:t>2007</w:t>
        <w:tab/>
        <w:tab/>
      </w:r>
      <w:r>
        <w:rPr>
          <w:spacing w:val="11"/>
          <w:sz w:val="25"/>
        </w:rPr>
        <w:t>08</w:t>
        <w:tab/>
        <w:tab/>
        <w:tab/>
        <w:tab/>
        <w:tab/>
        <w:t>09</w:t>
      </w:r>
    </w:p>
    <w:p>
      <w:pPr>
        <w:spacing w:before="93"/>
        <w:ind w:left="1944" w:right="2983" w:firstLine="0"/>
        <w:jc w:val="center"/>
        <w:rPr>
          <w:sz w:val="25"/>
        </w:rPr>
      </w:pPr>
      <w:r>
        <w:rPr/>
        <w:br w:type="column"/>
      </w:r>
      <w:r>
        <w:rPr>
          <w:sz w:val="25"/>
        </w:rPr>
        <w:t>0</w:t>
      </w:r>
    </w:p>
    <w:p>
      <w:pPr>
        <w:pStyle w:val="Heading2"/>
        <w:tabs>
          <w:tab w:pos="988" w:val="left" w:leader="none"/>
        </w:tabs>
        <w:spacing w:before="82"/>
        <w:ind w:left="225" w:right="0"/>
        <w:jc w:val="left"/>
      </w:pPr>
      <w:r>
        <w:rPr>
          <w:spacing w:val="2"/>
        </w:rPr>
        <w:t>May</w:t>
        <w:tab/>
      </w:r>
      <w:r>
        <w:rPr>
          <w:spacing w:val="-4"/>
        </w:rPr>
        <w:t>Aug</w:t>
      </w:r>
    </w:p>
    <w:p>
      <w:pPr>
        <w:spacing w:after="0"/>
        <w:jc w:val="left"/>
        <w:sectPr>
          <w:type w:val="continuous"/>
          <w:pgSz w:w="11910" w:h="16840"/>
          <w:pgMar w:top="1180" w:bottom="280" w:left="780" w:right="0"/>
          <w:cols w:num="2" w:equalWidth="0">
            <w:col w:w="5998" w:space="40"/>
            <w:col w:w="5092"/>
          </w:cols>
        </w:sectPr>
      </w:pPr>
    </w:p>
    <w:p>
      <w:pPr>
        <w:pStyle w:val="BodyText"/>
        <w:rPr>
          <w:sz w:val="22"/>
        </w:rPr>
      </w:pPr>
    </w:p>
    <w:p>
      <w:pPr>
        <w:pStyle w:val="ListParagraph"/>
        <w:numPr>
          <w:ilvl w:val="0"/>
          <w:numId w:val="2"/>
        </w:numPr>
        <w:tabs>
          <w:tab w:pos="1224" w:val="left" w:leader="none"/>
        </w:tabs>
        <w:spacing w:line="230" w:lineRule="exact" w:before="165" w:after="0"/>
        <w:ind w:left="1223" w:right="0" w:hanging="207"/>
        <w:jc w:val="left"/>
        <w:rPr>
          <w:sz w:val="20"/>
        </w:rPr>
      </w:pPr>
      <w:r>
        <w:rPr>
          <w:sz w:val="20"/>
        </w:rPr>
        <w:t>Option adjusted spread over government</w:t>
      </w:r>
      <w:r>
        <w:rPr>
          <w:spacing w:val="-4"/>
          <w:sz w:val="20"/>
        </w:rPr>
        <w:t> </w:t>
      </w:r>
      <w:r>
        <w:rPr>
          <w:sz w:val="20"/>
        </w:rPr>
        <w:t>rates</w:t>
      </w:r>
    </w:p>
    <w:p>
      <w:pPr>
        <w:pStyle w:val="ListParagraph"/>
        <w:numPr>
          <w:ilvl w:val="0"/>
          <w:numId w:val="2"/>
        </w:numPr>
        <w:tabs>
          <w:tab w:pos="1235" w:val="left" w:leader="none"/>
        </w:tabs>
        <w:spacing w:line="230" w:lineRule="exact" w:before="0" w:after="0"/>
        <w:ind w:left="1234" w:right="0" w:hanging="218"/>
        <w:jc w:val="left"/>
        <w:rPr>
          <w:sz w:val="20"/>
        </w:rPr>
      </w:pPr>
      <w:r>
        <w:rPr>
          <w:sz w:val="20"/>
        </w:rPr>
        <w:t>Rated BBB3 or</w:t>
      </w:r>
      <w:r>
        <w:rPr>
          <w:spacing w:val="-3"/>
          <w:sz w:val="20"/>
        </w:rPr>
        <w:t> </w:t>
      </w:r>
      <w:r>
        <w:rPr>
          <w:sz w:val="20"/>
        </w:rPr>
        <w:t>higher</w:t>
      </w:r>
    </w:p>
    <w:p>
      <w:pPr>
        <w:pStyle w:val="BodyText"/>
        <w:spacing w:before="2"/>
        <w:rPr>
          <w:sz w:val="32"/>
        </w:rPr>
      </w:pPr>
    </w:p>
    <w:p>
      <w:pPr>
        <w:pStyle w:val="Heading1"/>
        <w:spacing w:before="0"/>
      </w:pPr>
      <w:r>
        <w:rPr/>
        <w:t>Chart 5 – UK equity prices</w:t>
      </w:r>
    </w:p>
    <w:p>
      <w:pPr>
        <w:pStyle w:val="BodyText"/>
        <w:rPr>
          <w:sz w:val="20"/>
        </w:rPr>
      </w:pPr>
    </w:p>
    <w:p>
      <w:pPr>
        <w:pStyle w:val="BodyText"/>
        <w:spacing w:before="5"/>
        <w:rPr>
          <w:sz w:val="23"/>
        </w:rPr>
      </w:pPr>
    </w:p>
    <w:p>
      <w:pPr>
        <w:spacing w:before="93"/>
        <w:ind w:left="0" w:right="3006" w:firstLine="0"/>
        <w:jc w:val="right"/>
        <w:rPr>
          <w:sz w:val="18"/>
        </w:rPr>
      </w:pPr>
      <w:r>
        <w:rPr/>
        <w:pict>
          <v:group style="position:absolute;margin-left:113.610001pt;margin-top:10.681706pt;width:307.350pt;height:173.55pt;mso-position-horizontal-relative:page;mso-position-vertical-relative:paragraph;z-index:251714560" coordorigin="2272,214" coordsize="6147,3471">
            <v:shape style="position:absolute;left:2272;top:213;width:6147;height:3471" type="#_x0000_t75" stroked="false">
              <v:imagedata r:id="rId14" o:title=""/>
            </v:shape>
            <v:shape style="position:absolute;left:3552;top:415;width:1491;height:236" type="#_x0000_t202" filled="false" stroked="false">
              <v:textbox inset="0,0,0,0">
                <w:txbxContent>
                  <w:p>
                    <w:pPr>
                      <w:spacing w:line="235" w:lineRule="exact" w:before="0"/>
                      <w:ind w:left="0" w:right="0" w:firstLine="0"/>
                      <w:jc w:val="left"/>
                      <w:rPr>
                        <w:b/>
                        <w:sz w:val="21"/>
                      </w:rPr>
                    </w:pPr>
                    <w:r>
                      <w:rPr>
                        <w:b/>
                        <w:color w:val="000080"/>
                        <w:spacing w:val="-4"/>
                        <w:sz w:val="21"/>
                      </w:rPr>
                      <w:t>FTSE </w:t>
                    </w:r>
                    <w:r>
                      <w:rPr>
                        <w:b/>
                        <w:color w:val="000080"/>
                        <w:sz w:val="21"/>
                      </w:rPr>
                      <w:t>All -Share</w:t>
                    </w:r>
                  </w:p>
                </w:txbxContent>
              </v:textbox>
              <w10:wrap type="none"/>
            </v:shape>
            <w10:wrap type="none"/>
          </v:group>
        </w:pict>
      </w:r>
      <w:r>
        <w:rPr>
          <w:spacing w:val="7"/>
          <w:sz w:val="18"/>
        </w:rPr>
        <w:t>4000</w:t>
      </w:r>
    </w:p>
    <w:p>
      <w:pPr>
        <w:pStyle w:val="BodyText"/>
        <w:spacing w:before="6"/>
        <w:rPr>
          <w:sz w:val="20"/>
        </w:rPr>
      </w:pPr>
    </w:p>
    <w:p>
      <w:pPr>
        <w:spacing w:before="0"/>
        <w:ind w:left="0" w:right="3006" w:firstLine="0"/>
        <w:jc w:val="right"/>
        <w:rPr>
          <w:sz w:val="18"/>
        </w:rPr>
      </w:pPr>
      <w:r>
        <w:rPr>
          <w:spacing w:val="7"/>
          <w:sz w:val="18"/>
        </w:rPr>
        <w:t>3500</w:t>
      </w:r>
    </w:p>
    <w:p>
      <w:pPr>
        <w:pStyle w:val="BodyText"/>
        <w:spacing w:before="10"/>
        <w:rPr>
          <w:sz w:val="10"/>
        </w:rPr>
      </w:pPr>
    </w:p>
    <w:p>
      <w:pPr>
        <w:spacing w:before="93"/>
        <w:ind w:left="0" w:right="3006" w:firstLine="0"/>
        <w:jc w:val="right"/>
        <w:rPr>
          <w:sz w:val="18"/>
        </w:rPr>
      </w:pPr>
      <w:r>
        <w:rPr>
          <w:spacing w:val="7"/>
          <w:sz w:val="18"/>
        </w:rPr>
        <w:t>3000</w:t>
      </w:r>
    </w:p>
    <w:p>
      <w:pPr>
        <w:pStyle w:val="BodyText"/>
        <w:spacing w:before="4"/>
        <w:rPr>
          <w:sz w:val="12"/>
        </w:rPr>
      </w:pPr>
    </w:p>
    <w:p>
      <w:pPr>
        <w:spacing w:before="92"/>
        <w:ind w:left="0" w:right="3006" w:firstLine="0"/>
        <w:jc w:val="right"/>
        <w:rPr>
          <w:sz w:val="18"/>
        </w:rPr>
      </w:pPr>
      <w:r>
        <w:rPr>
          <w:spacing w:val="7"/>
          <w:sz w:val="18"/>
        </w:rPr>
        <w:t>2500</w:t>
      </w:r>
    </w:p>
    <w:p>
      <w:pPr>
        <w:pStyle w:val="BodyText"/>
        <w:rPr>
          <w:sz w:val="11"/>
        </w:rPr>
      </w:pPr>
    </w:p>
    <w:p>
      <w:pPr>
        <w:spacing w:before="93"/>
        <w:ind w:left="0" w:right="3006" w:firstLine="0"/>
        <w:jc w:val="right"/>
        <w:rPr>
          <w:sz w:val="18"/>
        </w:rPr>
      </w:pPr>
      <w:r>
        <w:rPr>
          <w:spacing w:val="7"/>
          <w:sz w:val="18"/>
        </w:rPr>
        <w:t>2000</w:t>
      </w:r>
    </w:p>
    <w:p>
      <w:pPr>
        <w:pStyle w:val="BodyText"/>
        <w:spacing w:before="4"/>
        <w:rPr>
          <w:sz w:val="12"/>
        </w:rPr>
      </w:pPr>
    </w:p>
    <w:p>
      <w:pPr>
        <w:spacing w:before="92"/>
        <w:ind w:left="0" w:right="3006" w:firstLine="0"/>
        <w:jc w:val="right"/>
        <w:rPr>
          <w:sz w:val="18"/>
        </w:rPr>
      </w:pPr>
      <w:r>
        <w:rPr>
          <w:spacing w:val="7"/>
          <w:sz w:val="18"/>
        </w:rPr>
        <w:t>1500</w:t>
      </w:r>
    </w:p>
    <w:p>
      <w:pPr>
        <w:pStyle w:val="BodyText"/>
        <w:spacing w:before="11"/>
        <w:rPr>
          <w:sz w:val="10"/>
        </w:rPr>
      </w:pPr>
    </w:p>
    <w:p>
      <w:pPr>
        <w:spacing w:before="92"/>
        <w:ind w:left="0" w:right="3006" w:firstLine="0"/>
        <w:jc w:val="right"/>
        <w:rPr>
          <w:sz w:val="18"/>
        </w:rPr>
      </w:pPr>
      <w:r>
        <w:rPr>
          <w:spacing w:val="7"/>
          <w:sz w:val="18"/>
        </w:rPr>
        <w:t>1000</w:t>
      </w:r>
    </w:p>
    <w:p>
      <w:pPr>
        <w:pStyle w:val="BodyText"/>
        <w:spacing w:before="4"/>
        <w:rPr>
          <w:sz w:val="12"/>
        </w:rPr>
      </w:pPr>
    </w:p>
    <w:p>
      <w:pPr>
        <w:spacing w:before="93"/>
        <w:ind w:left="0" w:right="3105" w:firstLine="0"/>
        <w:jc w:val="right"/>
        <w:rPr>
          <w:sz w:val="18"/>
        </w:rPr>
      </w:pPr>
      <w:r>
        <w:rPr>
          <w:sz w:val="18"/>
        </w:rPr>
        <w:t>500</w:t>
      </w:r>
    </w:p>
    <w:p>
      <w:pPr>
        <w:pStyle w:val="BodyText"/>
        <w:rPr>
          <w:sz w:val="11"/>
        </w:rPr>
      </w:pPr>
    </w:p>
    <w:p>
      <w:pPr>
        <w:spacing w:before="92"/>
        <w:ind w:left="7722" w:right="0" w:firstLine="0"/>
        <w:jc w:val="left"/>
        <w:rPr>
          <w:sz w:val="18"/>
        </w:rPr>
      </w:pPr>
      <w:r>
        <w:rPr>
          <w:w w:val="100"/>
          <w:sz w:val="18"/>
        </w:rPr>
        <w:t>0</w:t>
      </w:r>
    </w:p>
    <w:p>
      <w:pPr>
        <w:spacing w:before="55"/>
        <w:ind w:left="1295" w:right="0" w:firstLine="0"/>
        <w:jc w:val="left"/>
        <w:rPr>
          <w:sz w:val="18"/>
        </w:rPr>
      </w:pPr>
      <w:r>
        <w:rPr>
          <w:sz w:val="18"/>
        </w:rPr>
        <w:t>1997 1998 1999 2000 2001 2002 2003 2004 2005 2006 2007 2008 2009</w:t>
      </w:r>
    </w:p>
    <w:p>
      <w:pPr>
        <w:spacing w:after="0"/>
        <w:jc w:val="left"/>
        <w:rPr>
          <w:sz w:val="18"/>
        </w:rPr>
        <w:sectPr>
          <w:type w:val="continuous"/>
          <w:pgSz w:w="11910" w:h="16840"/>
          <w:pgMar w:top="1180" w:bottom="280" w:left="780" w:right="0"/>
        </w:sectPr>
      </w:pPr>
    </w:p>
    <w:p>
      <w:pPr>
        <w:pStyle w:val="Heading1"/>
      </w:pPr>
      <w:r>
        <w:rPr/>
        <w:t>Chart 6 – UK PNFC’s Cumulative equity and debt issuance</w:t>
      </w:r>
    </w:p>
    <w:p>
      <w:pPr>
        <w:pStyle w:val="BodyText"/>
        <w:rPr>
          <w:sz w:val="20"/>
        </w:rPr>
      </w:pPr>
    </w:p>
    <w:p>
      <w:pPr>
        <w:pStyle w:val="BodyText"/>
        <w:rPr>
          <w:sz w:val="20"/>
        </w:rPr>
      </w:pPr>
    </w:p>
    <w:p>
      <w:pPr>
        <w:pStyle w:val="BodyText"/>
        <w:rPr>
          <w:sz w:val="20"/>
        </w:rPr>
      </w:pPr>
    </w:p>
    <w:p>
      <w:pPr>
        <w:pStyle w:val="BodyText"/>
        <w:spacing w:before="10"/>
        <w:rPr>
          <w:sz w:val="16"/>
        </w:rPr>
      </w:pPr>
    </w:p>
    <w:p>
      <w:pPr>
        <w:spacing w:before="95"/>
        <w:ind w:left="5049" w:right="1793" w:firstLine="0"/>
        <w:jc w:val="center"/>
        <w:rPr>
          <w:rFonts w:ascii="Arial"/>
          <w:sz w:val="17"/>
        </w:rPr>
      </w:pPr>
      <w:r>
        <w:rPr/>
        <w:pict>
          <v:group style="position:absolute;margin-left:107.43pt;margin-top:9.573034pt;width:282.6pt;height:199.85pt;mso-position-horizontal-relative:page;mso-position-vertical-relative:paragraph;z-index:251716608" coordorigin="2149,191" coordsize="5652,3997">
            <v:shape style="position:absolute;left:2148;top:191;width:5652;height:3997" type="#_x0000_t75" stroked="false">
              <v:imagedata r:id="rId15" o:title=""/>
            </v:shape>
            <v:shape style="position:absolute;left:2832;top:451;width:1442;height:588" type="#_x0000_t202" filled="false" stroked="false">
              <v:textbox inset="0,0,0,0">
                <w:txbxContent>
                  <w:p>
                    <w:pPr>
                      <w:spacing w:line="190" w:lineRule="exact" w:before="0"/>
                      <w:ind w:left="0" w:right="0" w:firstLine="0"/>
                      <w:jc w:val="left"/>
                      <w:rPr>
                        <w:rFonts w:ascii="Arial"/>
                        <w:sz w:val="17"/>
                      </w:rPr>
                    </w:pPr>
                    <w:r>
                      <w:rPr>
                        <w:rFonts w:ascii="Arial"/>
                        <w:spacing w:val="-4"/>
                        <w:sz w:val="17"/>
                      </w:rPr>
                      <w:t>average 2003-2008</w:t>
                    </w:r>
                  </w:p>
                  <w:p>
                    <w:pPr>
                      <w:spacing w:line="240" w:lineRule="auto" w:before="6"/>
                      <w:rPr>
                        <w:rFonts w:ascii="Arial"/>
                        <w:sz w:val="17"/>
                      </w:rPr>
                    </w:pPr>
                  </w:p>
                  <w:p>
                    <w:pPr>
                      <w:spacing w:before="0"/>
                      <w:ind w:left="0" w:right="0" w:firstLine="0"/>
                      <w:jc w:val="left"/>
                      <w:rPr>
                        <w:rFonts w:ascii="Arial"/>
                        <w:sz w:val="17"/>
                      </w:rPr>
                    </w:pPr>
                    <w:r>
                      <w:rPr>
                        <w:rFonts w:ascii="Arial"/>
                        <w:sz w:val="17"/>
                      </w:rPr>
                      <w:t>2009</w:t>
                    </w:r>
                  </w:p>
                </w:txbxContent>
              </v:textbox>
              <w10:wrap type="none"/>
            </v:shape>
            <w10:wrap type="none"/>
          </v:group>
        </w:pict>
      </w:r>
      <w:r>
        <w:rPr>
          <w:rFonts w:ascii="Arial"/>
          <w:spacing w:val="-5"/>
          <w:sz w:val="17"/>
        </w:rPr>
        <w:t>70</w:t>
      </w:r>
    </w:p>
    <w:p>
      <w:pPr>
        <w:pStyle w:val="BodyText"/>
        <w:spacing w:before="2"/>
        <w:rPr>
          <w:rFonts w:ascii="Arial"/>
        </w:rPr>
      </w:pPr>
    </w:p>
    <w:p>
      <w:pPr>
        <w:spacing w:before="94"/>
        <w:ind w:left="5049" w:right="1793" w:firstLine="0"/>
        <w:jc w:val="center"/>
        <w:rPr>
          <w:rFonts w:ascii="Arial"/>
          <w:sz w:val="17"/>
        </w:rPr>
      </w:pPr>
      <w:r>
        <w:rPr>
          <w:rFonts w:ascii="Arial"/>
          <w:spacing w:val="-5"/>
          <w:sz w:val="17"/>
        </w:rPr>
        <w:t>60</w:t>
      </w:r>
    </w:p>
    <w:p>
      <w:pPr>
        <w:pStyle w:val="BodyText"/>
        <w:spacing w:before="1"/>
        <w:rPr>
          <w:rFonts w:ascii="Arial"/>
          <w:sz w:val="23"/>
        </w:rPr>
      </w:pPr>
    </w:p>
    <w:p>
      <w:pPr>
        <w:spacing w:before="95"/>
        <w:ind w:left="5049" w:right="1793" w:firstLine="0"/>
        <w:jc w:val="center"/>
        <w:rPr>
          <w:rFonts w:ascii="Arial"/>
          <w:sz w:val="17"/>
        </w:rPr>
      </w:pPr>
      <w:r>
        <w:rPr>
          <w:rFonts w:ascii="Arial"/>
          <w:spacing w:val="-5"/>
          <w:sz w:val="17"/>
        </w:rPr>
        <w:t>50</w:t>
      </w:r>
    </w:p>
    <w:p>
      <w:pPr>
        <w:pStyle w:val="BodyText"/>
        <w:spacing w:before="1"/>
        <w:rPr>
          <w:rFonts w:ascii="Arial"/>
        </w:rPr>
      </w:pPr>
    </w:p>
    <w:p>
      <w:pPr>
        <w:spacing w:before="95"/>
        <w:ind w:left="5049" w:right="1793" w:firstLine="0"/>
        <w:jc w:val="center"/>
        <w:rPr>
          <w:rFonts w:ascii="Arial"/>
          <w:sz w:val="17"/>
        </w:rPr>
      </w:pPr>
      <w:r>
        <w:rPr/>
        <w:pict>
          <v:shape style="position:absolute;margin-left:405.112946pt;margin-top:12.503138pt;width:11.55pt;height:22pt;mso-position-horizontal-relative:page;mso-position-vertical-relative:paragraph;z-index:251719680" type="#_x0000_t202" filled="false" stroked="false">
            <v:textbox inset="0,0,0,0" style="layout-flow:vertical;mso-layout-flow-alt:bottom-to-top">
              <w:txbxContent>
                <w:p>
                  <w:pPr>
                    <w:spacing w:before="14"/>
                    <w:ind w:left="20" w:right="0" w:firstLine="0"/>
                    <w:jc w:val="left"/>
                    <w:rPr>
                      <w:rFonts w:ascii="Arial" w:hAnsi="Arial"/>
                      <w:sz w:val="17"/>
                    </w:rPr>
                  </w:pPr>
                  <w:r>
                    <w:rPr>
                      <w:rFonts w:ascii="Arial" w:hAnsi="Arial"/>
                      <w:sz w:val="17"/>
                    </w:rPr>
                    <w:t>£ bns</w:t>
                  </w:r>
                </w:p>
              </w:txbxContent>
            </v:textbox>
            <w10:wrap type="none"/>
          </v:shape>
        </w:pict>
      </w:r>
      <w:r>
        <w:rPr>
          <w:rFonts w:ascii="Arial"/>
          <w:spacing w:val="-5"/>
          <w:sz w:val="17"/>
        </w:rPr>
        <w:t>40</w:t>
      </w:r>
    </w:p>
    <w:p>
      <w:pPr>
        <w:pStyle w:val="BodyText"/>
        <w:spacing w:before="2"/>
        <w:rPr>
          <w:rFonts w:ascii="Arial"/>
          <w:sz w:val="23"/>
        </w:rPr>
      </w:pPr>
    </w:p>
    <w:p>
      <w:pPr>
        <w:spacing w:before="95"/>
        <w:ind w:left="5049" w:right="1793" w:firstLine="0"/>
        <w:jc w:val="center"/>
        <w:rPr>
          <w:rFonts w:ascii="Arial"/>
          <w:sz w:val="17"/>
        </w:rPr>
      </w:pPr>
      <w:r>
        <w:rPr>
          <w:rFonts w:ascii="Arial"/>
          <w:spacing w:val="-5"/>
          <w:sz w:val="17"/>
        </w:rPr>
        <w:t>30</w:t>
      </w:r>
    </w:p>
    <w:p>
      <w:pPr>
        <w:pStyle w:val="BodyText"/>
        <w:spacing w:before="1"/>
        <w:rPr>
          <w:rFonts w:ascii="Arial"/>
        </w:rPr>
      </w:pPr>
    </w:p>
    <w:p>
      <w:pPr>
        <w:spacing w:before="95"/>
        <w:ind w:left="5049" w:right="1793" w:firstLine="0"/>
        <w:jc w:val="center"/>
        <w:rPr>
          <w:rFonts w:ascii="Arial"/>
          <w:sz w:val="17"/>
        </w:rPr>
      </w:pPr>
      <w:r>
        <w:rPr>
          <w:rFonts w:ascii="Arial"/>
          <w:spacing w:val="-5"/>
          <w:sz w:val="17"/>
        </w:rPr>
        <w:t>20</w:t>
      </w:r>
    </w:p>
    <w:p>
      <w:pPr>
        <w:pStyle w:val="BodyText"/>
        <w:spacing w:before="1"/>
        <w:rPr>
          <w:rFonts w:ascii="Arial"/>
          <w:sz w:val="23"/>
        </w:rPr>
      </w:pPr>
    </w:p>
    <w:p>
      <w:pPr>
        <w:spacing w:before="95"/>
        <w:ind w:left="5049" w:right="1793" w:firstLine="0"/>
        <w:jc w:val="center"/>
        <w:rPr>
          <w:rFonts w:ascii="Arial"/>
          <w:sz w:val="17"/>
        </w:rPr>
      </w:pPr>
      <w:r>
        <w:rPr>
          <w:rFonts w:ascii="Arial"/>
          <w:spacing w:val="-5"/>
          <w:sz w:val="17"/>
        </w:rPr>
        <w:t>10</w:t>
      </w:r>
    </w:p>
    <w:p>
      <w:pPr>
        <w:pStyle w:val="BodyText"/>
        <w:spacing w:before="1"/>
        <w:rPr>
          <w:rFonts w:ascii="Arial"/>
        </w:rPr>
      </w:pPr>
    </w:p>
    <w:p>
      <w:pPr>
        <w:spacing w:before="95"/>
        <w:ind w:left="3171" w:right="0" w:firstLine="0"/>
        <w:jc w:val="center"/>
        <w:rPr>
          <w:rFonts w:ascii="Arial"/>
          <w:sz w:val="17"/>
        </w:rPr>
      </w:pPr>
      <w:r>
        <w:rPr>
          <w:rFonts w:ascii="Arial"/>
          <w:w w:val="100"/>
          <w:sz w:val="17"/>
        </w:rPr>
        <w:t>0</w:t>
      </w:r>
    </w:p>
    <w:p>
      <w:pPr>
        <w:tabs>
          <w:tab w:pos="1937" w:val="left" w:leader="none"/>
          <w:tab w:pos="2882" w:val="left" w:leader="none"/>
          <w:tab w:pos="4302" w:val="left" w:leader="none"/>
          <w:tab w:pos="4734" w:val="left" w:leader="none"/>
        </w:tabs>
        <w:spacing w:before="54"/>
        <w:ind w:left="1461" w:right="0" w:firstLine="0"/>
        <w:jc w:val="left"/>
        <w:rPr>
          <w:rFonts w:ascii="Arial"/>
          <w:sz w:val="17"/>
        </w:rPr>
      </w:pPr>
      <w:r>
        <w:rPr>
          <w:rFonts w:ascii="Arial"/>
          <w:spacing w:val="-4"/>
          <w:sz w:val="17"/>
        </w:rPr>
        <w:t>Jan</w:t>
        <w:tab/>
      </w:r>
      <w:r>
        <w:rPr>
          <w:rFonts w:ascii="Arial"/>
          <w:sz w:val="17"/>
        </w:rPr>
        <w:t>Feb  </w:t>
      </w:r>
      <w:r>
        <w:rPr>
          <w:rFonts w:ascii="Arial"/>
          <w:spacing w:val="34"/>
          <w:sz w:val="17"/>
        </w:rPr>
        <w:t> </w:t>
      </w:r>
      <w:r>
        <w:rPr>
          <w:rFonts w:ascii="Arial"/>
          <w:spacing w:val="-8"/>
          <w:sz w:val="17"/>
        </w:rPr>
        <w:t>Mar</w:t>
        <w:tab/>
      </w:r>
      <w:r>
        <w:rPr>
          <w:rFonts w:ascii="Arial"/>
          <w:spacing w:val="-6"/>
          <w:sz w:val="17"/>
        </w:rPr>
        <w:t>Apr   </w:t>
      </w:r>
      <w:r>
        <w:rPr>
          <w:rFonts w:ascii="Arial"/>
          <w:spacing w:val="24"/>
          <w:sz w:val="17"/>
        </w:rPr>
        <w:t> </w:t>
      </w:r>
      <w:r>
        <w:rPr>
          <w:rFonts w:ascii="Arial"/>
          <w:spacing w:val="-8"/>
          <w:sz w:val="17"/>
        </w:rPr>
        <w:t>May   </w:t>
      </w:r>
      <w:r>
        <w:rPr>
          <w:rFonts w:ascii="Arial"/>
          <w:spacing w:val="26"/>
          <w:sz w:val="17"/>
        </w:rPr>
        <w:t> </w:t>
      </w:r>
      <w:r>
        <w:rPr>
          <w:rFonts w:ascii="Arial"/>
          <w:spacing w:val="-4"/>
          <w:sz w:val="17"/>
        </w:rPr>
        <w:t>Jun</w:t>
        <w:tab/>
        <w:t>Jul</w:t>
        <w:tab/>
      </w:r>
      <w:r>
        <w:rPr>
          <w:rFonts w:ascii="Arial"/>
          <w:spacing w:val="-6"/>
          <w:sz w:val="17"/>
        </w:rPr>
        <w:t>Aug </w:t>
      </w:r>
      <w:r>
        <w:rPr>
          <w:rFonts w:ascii="Arial"/>
          <w:sz w:val="17"/>
        </w:rPr>
        <w:t>Sep </w:t>
      </w:r>
      <w:r>
        <w:rPr>
          <w:rFonts w:ascii="Arial"/>
          <w:spacing w:val="2"/>
          <w:sz w:val="17"/>
        </w:rPr>
        <w:t>Oct </w:t>
      </w:r>
      <w:r>
        <w:rPr>
          <w:rFonts w:ascii="Arial"/>
          <w:spacing w:val="-5"/>
          <w:sz w:val="17"/>
        </w:rPr>
        <w:t>Nov</w:t>
      </w:r>
      <w:r>
        <w:rPr>
          <w:rFonts w:ascii="Arial"/>
          <w:spacing w:val="17"/>
          <w:sz w:val="17"/>
        </w:rPr>
        <w:t> </w:t>
      </w:r>
      <w:r>
        <w:rPr>
          <w:rFonts w:ascii="Arial"/>
          <w:sz w:val="17"/>
        </w:rPr>
        <w:t>Dec</w:t>
      </w:r>
    </w:p>
    <w:p>
      <w:pPr>
        <w:pStyle w:val="BodyText"/>
        <w:rPr>
          <w:rFonts w:ascii="Arial"/>
          <w:sz w:val="20"/>
        </w:rPr>
      </w:pPr>
    </w:p>
    <w:p>
      <w:pPr>
        <w:pStyle w:val="BodyText"/>
        <w:rPr>
          <w:rFonts w:ascii="Arial"/>
          <w:sz w:val="20"/>
        </w:rPr>
      </w:pPr>
    </w:p>
    <w:p>
      <w:pPr>
        <w:pStyle w:val="Heading1"/>
        <w:spacing w:before="223"/>
      </w:pPr>
      <w:r>
        <w:rPr/>
        <w:t>Chart 7 – International 3-month LIBOR-OIS spreads</w:t>
      </w:r>
    </w:p>
    <w:p>
      <w:pPr>
        <w:pStyle w:val="BodyText"/>
        <w:rPr>
          <w:sz w:val="20"/>
        </w:rPr>
      </w:pPr>
    </w:p>
    <w:p>
      <w:pPr>
        <w:pStyle w:val="BodyText"/>
        <w:rPr>
          <w:sz w:val="20"/>
        </w:rPr>
      </w:pPr>
    </w:p>
    <w:p>
      <w:pPr>
        <w:pStyle w:val="BodyText"/>
        <w:spacing w:before="232"/>
        <w:ind w:right="3260"/>
        <w:jc w:val="right"/>
      </w:pPr>
      <w:r>
        <w:rPr>
          <w:spacing w:val="-3"/>
        </w:rPr>
        <w:t>Basis</w:t>
      </w:r>
      <w:r>
        <w:rPr>
          <w:spacing w:val="11"/>
        </w:rPr>
        <w:t> </w:t>
      </w:r>
      <w:r>
        <w:rPr>
          <w:spacing w:val="8"/>
        </w:rPr>
        <w:t>points</w:t>
      </w:r>
    </w:p>
    <w:p>
      <w:pPr>
        <w:pStyle w:val="BodyText"/>
        <w:spacing w:before="163"/>
        <w:ind w:right="3222"/>
        <w:jc w:val="right"/>
      </w:pPr>
      <w:r>
        <w:rPr/>
        <w:pict>
          <v:group style="position:absolute;margin-left:108.5215pt;margin-top:16.142527pt;width:300.150pt;height:210.95pt;mso-position-horizontal-relative:page;mso-position-vertical-relative:paragraph;z-index:251718656" coordorigin="2170,323" coordsize="6003,4219">
            <v:shape style="position:absolute;left:2170;top:322;width:6003;height:4219" type="#_x0000_t75" stroked="false">
              <v:imagedata r:id="rId16" o:title=""/>
            </v:shape>
            <v:shape style="position:absolute;left:3380;top:764;width:937;height:949" type="#_x0000_t202" filled="false" stroked="false">
              <v:textbox inset="0,0,0,0">
                <w:txbxContent>
                  <w:p>
                    <w:pPr>
                      <w:spacing w:line="267" w:lineRule="exact" w:before="0"/>
                      <w:ind w:left="0" w:right="0" w:firstLine="0"/>
                      <w:jc w:val="left"/>
                      <w:rPr>
                        <w:sz w:val="24"/>
                      </w:rPr>
                    </w:pPr>
                    <w:r>
                      <w:rPr>
                        <w:sz w:val="24"/>
                      </w:rPr>
                      <w:t>Sterling</w:t>
                    </w:r>
                  </w:p>
                  <w:p>
                    <w:pPr>
                      <w:spacing w:line="330" w:lineRule="atLeast" w:before="21"/>
                      <w:ind w:left="0" w:right="-10" w:firstLine="0"/>
                      <w:jc w:val="left"/>
                      <w:rPr>
                        <w:sz w:val="24"/>
                      </w:rPr>
                    </w:pPr>
                    <w:r>
                      <w:rPr>
                        <w:sz w:val="24"/>
                      </w:rPr>
                      <w:t>US dollar Euro</w:t>
                    </w:r>
                  </w:p>
                </w:txbxContent>
              </v:textbox>
              <w10:wrap type="none"/>
            </v:shape>
            <w10:wrap type="none"/>
          </v:group>
        </w:pict>
      </w:r>
      <w:r>
        <w:rPr>
          <w:spacing w:val="11"/>
        </w:rPr>
        <w:t>400</w:t>
      </w:r>
    </w:p>
    <w:p>
      <w:pPr>
        <w:pStyle w:val="BodyText"/>
        <w:spacing w:before="9"/>
        <w:rPr>
          <w:sz w:val="21"/>
        </w:rPr>
      </w:pPr>
    </w:p>
    <w:p>
      <w:pPr>
        <w:pStyle w:val="BodyText"/>
        <w:spacing w:before="1"/>
        <w:ind w:right="3222"/>
        <w:jc w:val="right"/>
      </w:pPr>
      <w:r>
        <w:rPr>
          <w:spacing w:val="11"/>
        </w:rPr>
        <w:t>350</w:t>
      </w:r>
    </w:p>
    <w:p>
      <w:pPr>
        <w:pStyle w:val="BodyText"/>
        <w:spacing w:before="229"/>
        <w:ind w:right="3222"/>
        <w:jc w:val="right"/>
      </w:pPr>
      <w:r>
        <w:rPr>
          <w:spacing w:val="11"/>
        </w:rPr>
        <w:t>300</w:t>
      </w:r>
    </w:p>
    <w:p>
      <w:pPr>
        <w:pStyle w:val="BodyText"/>
        <w:spacing w:before="9"/>
        <w:rPr>
          <w:sz w:val="21"/>
        </w:rPr>
      </w:pPr>
    </w:p>
    <w:p>
      <w:pPr>
        <w:pStyle w:val="BodyText"/>
        <w:ind w:right="3222"/>
        <w:jc w:val="right"/>
      </w:pPr>
      <w:r>
        <w:rPr>
          <w:spacing w:val="11"/>
        </w:rPr>
        <w:t>250</w:t>
      </w:r>
    </w:p>
    <w:p>
      <w:pPr>
        <w:pStyle w:val="BodyText"/>
        <w:spacing w:before="10"/>
        <w:rPr>
          <w:sz w:val="21"/>
        </w:rPr>
      </w:pPr>
    </w:p>
    <w:p>
      <w:pPr>
        <w:pStyle w:val="BodyText"/>
        <w:spacing w:before="1"/>
        <w:ind w:right="3222"/>
        <w:jc w:val="right"/>
      </w:pPr>
      <w:r>
        <w:rPr>
          <w:spacing w:val="11"/>
        </w:rPr>
        <w:t>200</w:t>
      </w:r>
    </w:p>
    <w:p>
      <w:pPr>
        <w:pStyle w:val="BodyText"/>
        <w:spacing w:before="229"/>
        <w:ind w:right="3222"/>
        <w:jc w:val="right"/>
      </w:pPr>
      <w:r>
        <w:rPr>
          <w:spacing w:val="11"/>
        </w:rPr>
        <w:t>150</w:t>
      </w:r>
    </w:p>
    <w:p>
      <w:pPr>
        <w:pStyle w:val="BodyText"/>
        <w:spacing w:before="9"/>
        <w:rPr>
          <w:sz w:val="21"/>
        </w:rPr>
      </w:pPr>
    </w:p>
    <w:p>
      <w:pPr>
        <w:pStyle w:val="BodyText"/>
        <w:ind w:right="3222"/>
        <w:jc w:val="right"/>
      </w:pPr>
      <w:r>
        <w:rPr>
          <w:spacing w:val="11"/>
        </w:rPr>
        <w:t>100</w:t>
      </w:r>
    </w:p>
    <w:p>
      <w:pPr>
        <w:pStyle w:val="BodyText"/>
        <w:spacing w:before="229"/>
        <w:ind w:left="7503"/>
      </w:pPr>
      <w:r>
        <w:rPr/>
        <w:t>50</w:t>
      </w:r>
    </w:p>
    <w:p>
      <w:pPr>
        <w:pStyle w:val="BodyText"/>
        <w:spacing w:before="11"/>
        <w:rPr>
          <w:sz w:val="21"/>
        </w:rPr>
      </w:pPr>
    </w:p>
    <w:p>
      <w:pPr>
        <w:pStyle w:val="BodyText"/>
        <w:ind w:left="7503"/>
      </w:pPr>
      <w:r>
        <w:rPr>
          <w:w w:val="100"/>
        </w:rPr>
        <w:t>0</w:t>
      </w:r>
    </w:p>
    <w:p>
      <w:pPr>
        <w:pStyle w:val="BodyText"/>
        <w:spacing w:line="228" w:lineRule="exact" w:before="10"/>
        <w:ind w:left="1259"/>
      </w:pPr>
      <w:r>
        <w:rPr/>
        <w:t>Jan </w:t>
      </w:r>
      <w:r>
        <w:rPr>
          <w:spacing w:val="4"/>
        </w:rPr>
        <w:t>Apr </w:t>
      </w:r>
      <w:r>
        <w:rPr>
          <w:spacing w:val="-7"/>
        </w:rPr>
        <w:t>Jul </w:t>
      </w:r>
      <w:r>
        <w:rPr/>
        <w:t>Oct Jan </w:t>
      </w:r>
      <w:r>
        <w:rPr>
          <w:spacing w:val="3"/>
        </w:rPr>
        <w:t>Apr </w:t>
      </w:r>
      <w:r>
        <w:rPr>
          <w:spacing w:val="-6"/>
        </w:rPr>
        <w:t>Jul </w:t>
      </w:r>
      <w:r>
        <w:rPr/>
        <w:t>Oct Jan </w:t>
      </w:r>
      <w:r>
        <w:rPr>
          <w:spacing w:val="4"/>
        </w:rPr>
        <w:t>Apr </w:t>
      </w:r>
      <w:r>
        <w:rPr>
          <w:spacing w:val="-7"/>
        </w:rPr>
        <w:t>Jul </w:t>
      </w:r>
      <w:r>
        <w:rPr/>
        <w:t>Oct Jan</w:t>
      </w:r>
      <w:r>
        <w:rPr>
          <w:spacing w:val="52"/>
        </w:rPr>
        <w:t> </w:t>
      </w:r>
      <w:r>
        <w:rPr>
          <w:spacing w:val="3"/>
        </w:rPr>
        <w:t>Apr</w:t>
      </w:r>
    </w:p>
    <w:p>
      <w:pPr>
        <w:pStyle w:val="BodyText"/>
        <w:tabs>
          <w:tab w:pos="3017" w:val="left" w:leader="none"/>
          <w:tab w:pos="4777" w:val="left" w:leader="none"/>
          <w:tab w:pos="6470" w:val="left" w:leader="none"/>
        </w:tabs>
        <w:spacing w:line="333" w:lineRule="exact"/>
        <w:ind w:left="1193"/>
      </w:pPr>
      <w:r>
        <w:rPr>
          <w:spacing w:val="7"/>
          <w:position w:val="7"/>
        </w:rPr>
        <w:t>2007</w:t>
        <w:tab/>
      </w:r>
      <w:r>
        <w:rPr>
          <w:spacing w:val="5"/>
        </w:rPr>
        <w:t>08</w:t>
        <w:tab/>
        <w:t>09</w:t>
        <w:tab/>
      </w:r>
      <w:r>
        <w:rPr>
          <w:spacing w:val="11"/>
        </w:rPr>
        <w:t>10</w:t>
      </w:r>
    </w:p>
    <w:p>
      <w:pPr>
        <w:spacing w:after="0" w:line="333" w:lineRule="exact"/>
        <w:sectPr>
          <w:pgSz w:w="11910" w:h="16840"/>
          <w:pgMar w:header="0" w:footer="779" w:top="1380" w:bottom="960" w:left="780" w:right="0"/>
        </w:sectPr>
      </w:pPr>
    </w:p>
    <w:p>
      <w:pPr>
        <w:pStyle w:val="Heading1"/>
      </w:pPr>
      <w:r>
        <w:rPr/>
        <w:t>Chart 8 – Nominal GDP and broad money growth</w:t>
      </w:r>
    </w:p>
    <w:p>
      <w:pPr>
        <w:pStyle w:val="BodyText"/>
        <w:spacing w:before="7"/>
        <w:rPr>
          <w:sz w:val="28"/>
        </w:rPr>
      </w:pPr>
    </w:p>
    <w:p>
      <w:pPr>
        <w:spacing w:before="98"/>
        <w:ind w:left="0" w:right="1829" w:firstLine="0"/>
        <w:jc w:val="right"/>
        <w:rPr>
          <w:sz w:val="19"/>
        </w:rPr>
      </w:pPr>
      <w:r>
        <w:rPr>
          <w:w w:val="105"/>
          <w:sz w:val="19"/>
        </w:rPr>
        <w:t>percentage changes oya</w:t>
      </w:r>
    </w:p>
    <w:p>
      <w:pPr>
        <w:spacing w:before="103"/>
        <w:ind w:left="0" w:right="1773" w:firstLine="0"/>
        <w:jc w:val="right"/>
        <w:rPr>
          <w:sz w:val="19"/>
        </w:rPr>
      </w:pPr>
      <w:r>
        <w:rPr/>
        <w:pict>
          <v:group style="position:absolute;margin-left:116.610001pt;margin-top:11.468965pt;width:373.75pt;height:210.1pt;mso-position-horizontal-relative:page;mso-position-vertical-relative:paragraph;z-index:251722752" coordorigin="2332,229" coordsize="7475,4202">
            <v:shape style="position:absolute;left:2332;top:229;width:7474;height:4202" coordorigin="2333,230" coordsize="7474,4202" path="m9752,230l9752,4377m9752,4377l9806,4377m9752,3680l9806,3680m9752,3001l9806,3001m9752,2304l9806,2304m9752,1606l9806,1606m9752,927l9806,927m9752,230l9806,230m2333,4377l9752,4377m2333,4431l2333,4377m2995,4431l2995,4377m3638,4431l3638,4377m4300,4431l4300,4377m4961,4431l4961,4377m5605,4431l5605,4377m6266,4431l6266,4377m6928,4431l6928,4377m7571,4431l7571,4377m8233,4431l8233,4377m8894,4431l8894,4377m9538,4431l9538,4377e" filled="false" stroked="true" strokeweight=".06pt" strokecolor="#000000">
              <v:path arrowok="t"/>
              <v:stroke dashstyle="solid"/>
            </v:shape>
            <v:shape style="position:absolute;left:2386;top:480;width:7312;height:2127" coordorigin="2387,481" coordsize="7312,2127" path="m2387,945l2477,963m2477,963l2548,856m2548,856l2638,678m2638,678l2708,660m2708,660l2798,678m2798,678l2887,481m2887,481l2959,624m2959,624l3048,624m3048,624l3120,534m3120,534l3209,678m3209,678l3299,499m3299,499l3370,552m3370,552l3460,642m3460,642l3532,999m3532,999l3620,1321m3620,1321l3692,1696m3692,1696l3781,1964m3781,1964l3871,2089m3871,2089l3942,2179m3942,2179l4032,2215m4032,2215l4103,2304m4103,2304l4193,2340m4193,2340l4282,2518m4282,2518l4354,2554m4354,2554l4442,2607m4442,2607l4514,2572m4514,2572l4603,2394m4603,2394l4693,2250m4693,2250l4764,2268m4764,2268l4854,2322m4854,2322l4926,2340m4926,2340l5015,2268m5015,2268l5105,2071m5105,2071l5176,1839m5176,1839l5266,1642m5266,1642l5336,1660m5336,1660l5426,1642m5426,1642l5515,1588m5515,1588l5587,1660m5587,1660l5676,1446m5676,1446l5748,1357m5748,1357l5837,1392m5837,1392l5927,1339m5927,1339l5998,1624m5998,1624l6088,1624,6158,1624m6158,1624l6248,1767m6248,1767l6337,1928m6337,1928l6409,2197m6409,2197l6499,2607m6499,2607l6570,2464m6570,2464l6660,2268m6660,2268l6731,2107m6731,2107l6821,1839m6821,1839l6910,1893m6910,1893l6982,1928m6982,1928l7070,1982m7070,1982l7142,1910m7142,1910l7231,2107m7231,2107l7321,2215m7321,2215l7392,2233m7392,2233l7482,2197m7482,2197l7553,2054m7553,2054l7643,2071m7643,2071l7732,2000m7732,2000l7804,2179m7804,2179l7894,2089m7894,2089l7964,2089m7964,2089l8054,2179m8054,2179l8143,2054m8143,2054l8215,2036m8215,2036l8304,1803m8304,1803l8376,1696m8376,1696l8465,1678m8465,1678l8555,1642m8555,1642l8626,1660m8626,1660l8716,1570m8716,1570l8786,1392m8786,1392l8876,1624m8876,1624l8965,1570m8965,1570l9037,1536m9037,1536l9126,1588m9126,1588l9198,1536m9198,1536l9288,1857m9288,1857l9377,2071m9377,2071l9449,2394m9449,2394l9538,2500m9538,2500l9610,2446m9610,2446l9698,2536e" filled="false" stroked="true" strokeweight="1.787pt" strokecolor="#33339a">
              <v:path arrowok="t"/>
              <v:stroke dashstyle="solid"/>
            </v:shape>
            <v:shape style="position:absolute;left:2708;top:1320;width:6990;height:2288" coordorigin="2708,1321" coordsize="6990,2288" path="m2708,1339l2798,1410m2798,1410l2887,1500m2887,1500l2959,1321m2959,1321l3048,1482m3048,1482l3120,1570m3120,1570l3209,1696m3209,1696l3299,1821m3299,1821l3370,1785m3370,1785l3460,1606m3460,1606l3532,1749m3532,1749l3620,2089m3620,2089l3692,2143m3692,2143l3781,2376m3781,2376l3871,2464m3871,2464l3942,2233m3942,2233l4032,2322m4032,2322l4103,2410m4103,2410l4193,2536m4193,2536l4282,2536m4282,2536l4354,2428m4354,2428l4442,2410m4442,2410l4514,2143m4514,2143l4603,2143m4603,2143l4693,2233m4693,2233l4764,2161m4764,2161l4854,2215m4854,2215l4926,2089m4926,2089l5015,2161m5015,2161l5105,2161m5105,2161l5176,2143m5176,2143l5266,2304m5266,2304l5336,2161m5336,2161l5426,2018m5426,2018l5515,2036m5515,2036l5587,2107m5587,2107l5676,2161m5676,2161l5748,2250m5748,2250l5837,2107m5837,2107l5927,2036m5927,2036l5998,2089m5998,2089l6088,2143m6088,2143l6158,2233m6158,2233l6248,2250m6248,2250l6337,2268m6337,2268l6409,2197m6409,2197l6499,2197m6499,2197l6570,2215m6570,2215l6660,2161m6660,2161l6731,2215m6731,2215l6821,2340m6821,2340l6910,2410m6910,2410l6982,2268m6982,2268l7070,2376m7070,2376l7142,2428m7142,2428l7231,2340m7231,2340l7321,2394m7321,2394l7392,2286m7392,2286l7482,2179m7482,2179l7553,2215m7553,2215l7643,2250m7643,2250l7732,2179m7732,2179l7804,2161m7804,2161l7894,2107m7894,2107l7964,2197m7964,2197l8054,2215m8054,2215l8143,2268m8143,2268l8215,2215m8215,2215l8304,2304m8304,2304l8376,2340m8376,2340l8465,2482m8465,2482l8555,2500m8555,2500l8626,2215m8626,2215l8716,2358m8716,2358l8786,2107m8786,2107l8876,2125m8876,2125l8965,2233m8965,2233l9037,2143m9037,2143l9126,2250m9126,2250l9198,2322m9198,2322l9288,2233m9288,2233l9377,2394m9377,2394l9449,2589m9449,2589l9538,2804m9538,2804l9610,3537m9610,3537l9698,3608e" filled="false" stroked="true" strokeweight="1.787pt" strokecolor="#ff00ff">
              <v:path arrowok="t"/>
              <v:stroke dashstyle="solid"/>
            </v:shape>
            <v:line style="position:absolute" from="2378,3001" to="9619,3001" stroked="true" strokeweight=".894pt" strokecolor="#000000">
              <v:stroke dashstyle="solid"/>
            </v:line>
            <v:line style="position:absolute" from="9610,3001" to="9698,3001" stroked="true" strokeweight=".894pt" strokecolor="#000000">
              <v:stroke dashstyle="solid"/>
            </v:line>
            <v:rect style="position:absolute;left:9698;top:2991;width:72;height:18" filled="true" fillcolor="#000000" stroked="false">
              <v:fill type="solid"/>
            </v:rect>
            <v:line style="position:absolute" from="9698,2536" to="9716,2500" stroked="true" strokeweight="1.787pt" strokecolor="#0f0080">
              <v:stroke dashstyle="solid"/>
            </v:line>
            <v:line style="position:absolute" from="9716,2500" to="9752,2500" stroked="true" strokeweight="1.787pt" strokecolor="#0f0080">
              <v:stroke dashstyle="solid"/>
            </v:line>
            <v:shape style="position:absolute;left:4693;top:767;width:1939;height:218" type="#_x0000_t202" filled="false" stroked="false">
              <v:textbox inset="0,0,0,0">
                <w:txbxContent>
                  <w:p>
                    <w:pPr>
                      <w:spacing w:line="216" w:lineRule="exact" w:before="0"/>
                      <w:ind w:left="0" w:right="0" w:firstLine="0"/>
                      <w:jc w:val="left"/>
                      <w:rPr>
                        <w:sz w:val="19"/>
                      </w:rPr>
                    </w:pPr>
                    <w:r>
                      <w:rPr>
                        <w:color w:val="33339A"/>
                        <w:w w:val="105"/>
                        <w:sz w:val="19"/>
                      </w:rPr>
                      <w:t>M4-Intermediate OFCs</w:t>
                    </w:r>
                  </w:p>
                </w:txbxContent>
              </v:textbox>
              <w10:wrap type="none"/>
            </v:shape>
            <v:shape style="position:absolute;left:7393;top:2500;width:397;height:218" type="#_x0000_t202" filled="false" stroked="false">
              <v:textbox inset="0,0,0,0">
                <w:txbxContent>
                  <w:p>
                    <w:pPr>
                      <w:spacing w:line="216" w:lineRule="exact" w:before="0"/>
                      <w:ind w:left="0" w:right="0" w:firstLine="0"/>
                      <w:jc w:val="left"/>
                      <w:rPr>
                        <w:sz w:val="19"/>
                      </w:rPr>
                    </w:pPr>
                    <w:r>
                      <w:rPr>
                        <w:color w:val="FF00FF"/>
                        <w:spacing w:val="-6"/>
                        <w:w w:val="105"/>
                        <w:sz w:val="19"/>
                      </w:rPr>
                      <w:t>GDP</w:t>
                    </w:r>
                  </w:p>
                </w:txbxContent>
              </v:textbox>
              <w10:wrap type="none"/>
            </v:shape>
            <w10:wrap type="none"/>
          </v:group>
        </w:pict>
      </w:r>
      <w:r>
        <w:rPr>
          <w:spacing w:val="8"/>
          <w:sz w:val="19"/>
        </w:rPr>
        <w:t>20</w:t>
      </w:r>
    </w:p>
    <w:p>
      <w:pPr>
        <w:pStyle w:val="BodyText"/>
        <w:rPr>
          <w:sz w:val="20"/>
        </w:rPr>
      </w:pPr>
    </w:p>
    <w:p>
      <w:pPr>
        <w:pStyle w:val="BodyText"/>
        <w:spacing w:before="8"/>
        <w:rPr>
          <w:sz w:val="21"/>
        </w:rPr>
      </w:pPr>
    </w:p>
    <w:p>
      <w:pPr>
        <w:spacing w:before="0"/>
        <w:ind w:left="0" w:right="1773" w:firstLine="0"/>
        <w:jc w:val="right"/>
        <w:rPr>
          <w:sz w:val="19"/>
        </w:rPr>
      </w:pPr>
      <w:r>
        <w:rPr>
          <w:spacing w:val="8"/>
          <w:sz w:val="19"/>
        </w:rPr>
        <w:t>15</w:t>
      </w:r>
    </w:p>
    <w:p>
      <w:pPr>
        <w:pStyle w:val="BodyText"/>
        <w:rPr>
          <w:sz w:val="20"/>
        </w:rPr>
      </w:pPr>
    </w:p>
    <w:p>
      <w:pPr>
        <w:pStyle w:val="BodyText"/>
        <w:rPr>
          <w:sz w:val="20"/>
        </w:rPr>
      </w:pPr>
    </w:p>
    <w:p>
      <w:pPr>
        <w:spacing w:before="1"/>
        <w:ind w:left="0" w:right="1773" w:firstLine="0"/>
        <w:jc w:val="right"/>
        <w:rPr>
          <w:sz w:val="19"/>
        </w:rPr>
      </w:pPr>
      <w:r>
        <w:rPr>
          <w:spacing w:val="8"/>
          <w:sz w:val="19"/>
        </w:rPr>
        <w:t>10</w:t>
      </w:r>
    </w:p>
    <w:p>
      <w:pPr>
        <w:pStyle w:val="BodyText"/>
        <w:rPr>
          <w:sz w:val="20"/>
        </w:rPr>
      </w:pPr>
    </w:p>
    <w:p>
      <w:pPr>
        <w:pStyle w:val="BodyText"/>
        <w:spacing w:before="7"/>
        <w:rPr>
          <w:sz w:val="21"/>
        </w:rPr>
      </w:pPr>
    </w:p>
    <w:p>
      <w:pPr>
        <w:spacing w:before="0"/>
        <w:ind w:left="0" w:right="1890" w:firstLine="0"/>
        <w:jc w:val="right"/>
        <w:rPr>
          <w:sz w:val="19"/>
        </w:rPr>
      </w:pPr>
      <w:r>
        <w:rPr>
          <w:w w:val="103"/>
          <w:sz w:val="19"/>
        </w:rPr>
        <w:t>5</w:t>
      </w:r>
    </w:p>
    <w:p>
      <w:pPr>
        <w:pStyle w:val="BodyText"/>
        <w:rPr>
          <w:sz w:val="20"/>
        </w:rPr>
      </w:pPr>
    </w:p>
    <w:p>
      <w:pPr>
        <w:pStyle w:val="BodyText"/>
        <w:spacing w:before="7"/>
        <w:rPr>
          <w:sz w:val="21"/>
        </w:rPr>
      </w:pPr>
    </w:p>
    <w:p>
      <w:pPr>
        <w:spacing w:before="0"/>
        <w:ind w:left="0" w:right="1890" w:firstLine="0"/>
        <w:jc w:val="right"/>
        <w:rPr>
          <w:sz w:val="19"/>
        </w:rPr>
      </w:pPr>
      <w:r>
        <w:rPr>
          <w:w w:val="103"/>
          <w:sz w:val="19"/>
        </w:rPr>
        <w:t>0</w:t>
      </w:r>
    </w:p>
    <w:p>
      <w:pPr>
        <w:pStyle w:val="BodyText"/>
        <w:rPr>
          <w:sz w:val="20"/>
        </w:rPr>
      </w:pPr>
    </w:p>
    <w:p>
      <w:pPr>
        <w:pStyle w:val="BodyText"/>
        <w:spacing w:before="1"/>
        <w:rPr>
          <w:sz w:val="20"/>
        </w:rPr>
      </w:pPr>
    </w:p>
    <w:p>
      <w:pPr>
        <w:spacing w:before="0"/>
        <w:ind w:left="0" w:right="1812" w:firstLine="0"/>
        <w:jc w:val="right"/>
        <w:rPr>
          <w:sz w:val="19"/>
        </w:rPr>
      </w:pPr>
      <w:r>
        <w:rPr>
          <w:spacing w:val="5"/>
          <w:sz w:val="19"/>
        </w:rPr>
        <w:t>-5</w:t>
      </w:r>
    </w:p>
    <w:p>
      <w:pPr>
        <w:pStyle w:val="BodyText"/>
        <w:rPr>
          <w:sz w:val="20"/>
        </w:rPr>
      </w:pPr>
    </w:p>
    <w:p>
      <w:pPr>
        <w:pStyle w:val="BodyText"/>
        <w:spacing w:before="7"/>
        <w:rPr>
          <w:sz w:val="21"/>
        </w:rPr>
      </w:pPr>
    </w:p>
    <w:p>
      <w:pPr>
        <w:spacing w:before="0"/>
        <w:ind w:left="9133" w:right="0" w:firstLine="0"/>
        <w:jc w:val="left"/>
        <w:rPr>
          <w:sz w:val="19"/>
        </w:rPr>
      </w:pPr>
      <w:r>
        <w:rPr>
          <w:spacing w:val="4"/>
          <w:w w:val="105"/>
          <w:sz w:val="19"/>
        </w:rPr>
        <w:t>-10</w:t>
      </w:r>
    </w:p>
    <w:p>
      <w:pPr>
        <w:tabs>
          <w:tab w:pos="2000" w:val="left" w:leader="none"/>
          <w:tab w:pos="2644" w:val="left" w:leader="none"/>
          <w:tab w:pos="3305" w:val="left" w:leader="none"/>
          <w:tab w:pos="3967" w:val="left" w:leader="none"/>
          <w:tab w:pos="4610" w:val="left" w:leader="none"/>
          <w:tab w:pos="5272" w:val="left" w:leader="none"/>
          <w:tab w:pos="5933" w:val="left" w:leader="none"/>
          <w:tab w:pos="6577" w:val="left" w:leader="none"/>
          <w:tab w:pos="7238" w:val="left" w:leader="none"/>
          <w:tab w:pos="7900" w:val="left" w:leader="none"/>
          <w:tab w:pos="8543" w:val="left" w:leader="none"/>
        </w:tabs>
        <w:spacing w:before="68"/>
        <w:ind w:left="1339" w:right="0" w:firstLine="0"/>
        <w:jc w:val="left"/>
        <w:rPr>
          <w:sz w:val="19"/>
        </w:rPr>
      </w:pPr>
      <w:r>
        <w:rPr>
          <w:spacing w:val="6"/>
          <w:w w:val="105"/>
          <w:sz w:val="19"/>
        </w:rPr>
        <w:t>1987</w:t>
        <w:tab/>
        <w:t>1989</w:t>
        <w:tab/>
        <w:t>1991</w:t>
        <w:tab/>
        <w:t>1993</w:t>
        <w:tab/>
        <w:t>1995</w:t>
        <w:tab/>
        <w:t>1997</w:t>
        <w:tab/>
        <w:t>1999</w:t>
        <w:tab/>
        <w:t>2001</w:t>
        <w:tab/>
        <w:t>2003</w:t>
        <w:tab/>
        <w:t>2005</w:t>
        <w:tab/>
        <w:t>2007</w:t>
        <w:tab/>
        <w:t>2009</w:t>
      </w:r>
    </w:p>
    <w:sectPr>
      <w:pgSz w:w="11910" w:h="16840"/>
      <w:pgMar w:header="0" w:footer="779" w:top="1380" w:bottom="960" w:left="7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92.066345pt;width:18pt;height:15.3pt;mso-position-horizontal-relative:page;mso-position-vertical-relative:page;z-index:-2525163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223" w:hanging="206"/>
        <w:jc w:val="left"/>
      </w:pPr>
      <w:rPr>
        <w:rFonts w:hint="default" w:ascii="Times New Roman" w:hAnsi="Times New Roman" w:eastAsia="Times New Roman" w:cs="Times New Roman"/>
        <w:w w:val="100"/>
        <w:sz w:val="20"/>
        <w:szCs w:val="20"/>
      </w:rPr>
    </w:lvl>
    <w:lvl w:ilvl="1">
      <w:start w:val="0"/>
      <w:numFmt w:val="bullet"/>
      <w:lvlText w:val="•"/>
      <w:lvlJc w:val="left"/>
      <w:pPr>
        <w:ind w:left="2210" w:hanging="206"/>
      </w:pPr>
      <w:rPr>
        <w:rFonts w:hint="default"/>
      </w:rPr>
    </w:lvl>
    <w:lvl w:ilvl="2">
      <w:start w:val="0"/>
      <w:numFmt w:val="bullet"/>
      <w:lvlText w:val="•"/>
      <w:lvlJc w:val="left"/>
      <w:pPr>
        <w:ind w:left="3200" w:hanging="206"/>
      </w:pPr>
      <w:rPr>
        <w:rFonts w:hint="default"/>
      </w:rPr>
    </w:lvl>
    <w:lvl w:ilvl="3">
      <w:start w:val="0"/>
      <w:numFmt w:val="bullet"/>
      <w:lvlText w:val="•"/>
      <w:lvlJc w:val="left"/>
      <w:pPr>
        <w:ind w:left="4191" w:hanging="206"/>
      </w:pPr>
      <w:rPr>
        <w:rFonts w:hint="default"/>
      </w:rPr>
    </w:lvl>
    <w:lvl w:ilvl="4">
      <w:start w:val="0"/>
      <w:numFmt w:val="bullet"/>
      <w:lvlText w:val="•"/>
      <w:lvlJc w:val="left"/>
      <w:pPr>
        <w:ind w:left="5181" w:hanging="206"/>
      </w:pPr>
      <w:rPr>
        <w:rFonts w:hint="default"/>
      </w:rPr>
    </w:lvl>
    <w:lvl w:ilvl="5">
      <w:start w:val="0"/>
      <w:numFmt w:val="bullet"/>
      <w:lvlText w:val="•"/>
      <w:lvlJc w:val="left"/>
      <w:pPr>
        <w:ind w:left="6172" w:hanging="206"/>
      </w:pPr>
      <w:rPr>
        <w:rFonts w:hint="default"/>
      </w:rPr>
    </w:lvl>
    <w:lvl w:ilvl="6">
      <w:start w:val="0"/>
      <w:numFmt w:val="bullet"/>
      <w:lvlText w:val="•"/>
      <w:lvlJc w:val="left"/>
      <w:pPr>
        <w:ind w:left="7162" w:hanging="206"/>
      </w:pPr>
      <w:rPr>
        <w:rFonts w:hint="default"/>
      </w:rPr>
    </w:lvl>
    <w:lvl w:ilvl="7">
      <w:start w:val="0"/>
      <w:numFmt w:val="bullet"/>
      <w:lvlText w:val="•"/>
      <w:lvlJc w:val="left"/>
      <w:pPr>
        <w:ind w:left="8153" w:hanging="206"/>
      </w:pPr>
      <w:rPr>
        <w:rFonts w:hint="default"/>
      </w:rPr>
    </w:lvl>
    <w:lvl w:ilvl="8">
      <w:start w:val="0"/>
      <w:numFmt w:val="bullet"/>
      <w:lvlText w:val="•"/>
      <w:lvlJc w:val="left"/>
      <w:pPr>
        <w:ind w:left="9143" w:hanging="206"/>
      </w:pPr>
      <w:rPr>
        <w:rFonts w:hint="default"/>
      </w:rPr>
    </w:lvl>
  </w:abstractNum>
  <w:abstractNum w:abstractNumId="0">
    <w:multiLevelType w:val="hybridMultilevel"/>
    <w:lvl w:ilvl="0">
      <w:start w:val="1"/>
      <w:numFmt w:val="lowerLetter"/>
      <w:lvlText w:val="%1)"/>
      <w:lvlJc w:val="left"/>
      <w:pPr>
        <w:ind w:left="1580" w:hanging="206"/>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2534" w:hanging="206"/>
      </w:pPr>
      <w:rPr>
        <w:rFonts w:hint="default"/>
      </w:rPr>
    </w:lvl>
    <w:lvl w:ilvl="2">
      <w:start w:val="0"/>
      <w:numFmt w:val="bullet"/>
      <w:lvlText w:val="•"/>
      <w:lvlJc w:val="left"/>
      <w:pPr>
        <w:ind w:left="3488" w:hanging="206"/>
      </w:pPr>
      <w:rPr>
        <w:rFonts w:hint="default"/>
      </w:rPr>
    </w:lvl>
    <w:lvl w:ilvl="3">
      <w:start w:val="0"/>
      <w:numFmt w:val="bullet"/>
      <w:lvlText w:val="•"/>
      <w:lvlJc w:val="left"/>
      <w:pPr>
        <w:ind w:left="4443" w:hanging="206"/>
      </w:pPr>
      <w:rPr>
        <w:rFonts w:hint="default"/>
      </w:rPr>
    </w:lvl>
    <w:lvl w:ilvl="4">
      <w:start w:val="0"/>
      <w:numFmt w:val="bullet"/>
      <w:lvlText w:val="•"/>
      <w:lvlJc w:val="left"/>
      <w:pPr>
        <w:ind w:left="5397" w:hanging="206"/>
      </w:pPr>
      <w:rPr>
        <w:rFonts w:hint="default"/>
      </w:rPr>
    </w:lvl>
    <w:lvl w:ilvl="5">
      <w:start w:val="0"/>
      <w:numFmt w:val="bullet"/>
      <w:lvlText w:val="•"/>
      <w:lvlJc w:val="left"/>
      <w:pPr>
        <w:ind w:left="6352" w:hanging="206"/>
      </w:pPr>
      <w:rPr>
        <w:rFonts w:hint="default"/>
      </w:rPr>
    </w:lvl>
    <w:lvl w:ilvl="6">
      <w:start w:val="0"/>
      <w:numFmt w:val="bullet"/>
      <w:lvlText w:val="•"/>
      <w:lvlJc w:val="left"/>
      <w:pPr>
        <w:ind w:left="7306" w:hanging="206"/>
      </w:pPr>
      <w:rPr>
        <w:rFonts w:hint="default"/>
      </w:rPr>
    </w:lvl>
    <w:lvl w:ilvl="7">
      <w:start w:val="0"/>
      <w:numFmt w:val="bullet"/>
      <w:lvlText w:val="•"/>
      <w:lvlJc w:val="left"/>
      <w:pPr>
        <w:ind w:left="8261" w:hanging="206"/>
      </w:pPr>
      <w:rPr>
        <w:rFonts w:hint="default"/>
      </w:rPr>
    </w:lvl>
    <w:lvl w:ilvl="8">
      <w:start w:val="0"/>
      <w:numFmt w:val="bullet"/>
      <w:lvlText w:val="•"/>
      <w:lvlJc w:val="left"/>
      <w:pPr>
        <w:ind w:left="9215" w:hanging="20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59"/>
      <w:ind w:left="1017"/>
      <w:outlineLvl w:val="1"/>
    </w:pPr>
    <w:rPr>
      <w:rFonts w:ascii="Times New Roman" w:hAnsi="Times New Roman" w:eastAsia="Times New Roman" w:cs="Times New Roman"/>
      <w:sz w:val="32"/>
      <w:szCs w:val="32"/>
    </w:rPr>
  </w:style>
  <w:style w:styleId="Heading2" w:type="paragraph">
    <w:name w:val="Heading 2"/>
    <w:basedOn w:val="Normal"/>
    <w:uiPriority w:val="1"/>
    <w:qFormat/>
    <w:pPr>
      <w:spacing w:before="93"/>
      <w:ind w:right="2709"/>
      <w:jc w:val="right"/>
      <w:outlineLvl w:val="2"/>
    </w:pPr>
    <w:rPr>
      <w:rFonts w:ascii="Times New Roman" w:hAnsi="Times New Roman" w:eastAsia="Times New Roman" w:cs="Times New Roman"/>
      <w:sz w:val="25"/>
      <w:szCs w:val="25"/>
    </w:rPr>
  </w:style>
  <w:style w:styleId="ListParagraph" w:type="paragraph">
    <w:name w:val="List Paragraph"/>
    <w:basedOn w:val="Normal"/>
    <w:uiPriority w:val="1"/>
    <w:qFormat/>
    <w:pPr>
      <w:spacing w:line="230" w:lineRule="exact"/>
      <w:ind w:left="1223" w:hanging="21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Quantitative Easing: An Interim Report - Speech by Charles Bean to the London Society of Chartered Accountants - 13 October 2009</dc:subject>
  <dc:title>Quantitative Easing: An Interim Report - Speech by Charles Bean to the London Society of Chartered Accountants - 13 October 2009</dc:title>
  <dcterms:created xsi:type="dcterms:W3CDTF">2020-06-02T18:15:19Z</dcterms:created>
  <dcterms:modified xsi:type="dcterms:W3CDTF">2020-06-02T18:15:19Z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2009-10-15T00:00:00Z</vt:filetime>
  </property>
  <property fmtid="{D5CDD505-2E9C-101B-9397-08002B2CF9AE}" pid="3" name="Creator">
    <vt:lpwstr>PScript5.dll Version 5.2</vt:lpwstr>
  </property>
  <property fmtid="{D5CDD505-2E9C-101B-9397-08002B2CF9AE}" pid="4" name="LastSaved">
    <vt:filetime>2020-06-02T00:00:00Z</vt:filetime>
  </property>
</Properties>
</file>