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5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39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532" w:right="0" w:firstLine="0"/>
        <w:jc w:val="left"/>
        <w:rPr>
          <w:rFonts w:ascii="Arial"/>
          <w:b/>
          <w:sz w:val="32"/>
        </w:rPr>
      </w:pPr>
      <w:r>
        <w:rPr>
          <w:rFonts w:ascii="Arial"/>
          <w:b/>
          <w:color w:val="6A719F"/>
          <w:sz w:val="32"/>
        </w:rPr>
        <w:t>Rebuilding Confidence in the Financial System</w:t>
      </w:r>
    </w:p>
    <w:p>
      <w:pPr>
        <w:pStyle w:val="BodyText"/>
        <w:spacing w:before="281"/>
        <w:ind w:left="532"/>
        <w:rPr>
          <w:rFonts w:ascii="Arial"/>
        </w:rPr>
      </w:pPr>
      <w:r>
        <w:rPr>
          <w:rFonts w:ascii="Arial"/>
        </w:rPr>
        <w:t>Speech given by</w:t>
      </w:r>
    </w:p>
    <w:p>
      <w:pPr>
        <w:pStyle w:val="BodyText"/>
        <w:spacing w:before="137"/>
        <w:ind w:left="53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532" w:right="4882"/>
        <w:rPr>
          <w:rFonts w:ascii="Arial" w:hAnsi="Arial"/>
        </w:rPr>
      </w:pPr>
      <w:r>
        <w:rPr>
          <w:rFonts w:ascii="Arial" w:hAnsi="Arial"/>
        </w:rPr>
        <w:t>At the BBA’s 12</w:t>
      </w:r>
      <w:r>
        <w:rPr>
          <w:rFonts w:ascii="Arial" w:hAnsi="Arial"/>
          <w:vertAlign w:val="superscript"/>
        </w:rPr>
        <w:t>th</w:t>
      </w:r>
      <w:r>
        <w:rPr>
          <w:rFonts w:ascii="Arial" w:hAnsi="Arial"/>
          <w:vertAlign w:val="baseline"/>
        </w:rPr>
        <w:t> Annual Supervision Conference 28 October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3"/>
        </w:rPr>
      </w:pPr>
      <w:r>
        <w:rPr/>
        <w:pict>
          <v:group style="position:absolute;margin-left:38.880001pt;margin-top:9.769053pt;width:517.4500pt;height:.25pt;mso-position-horizontal-relative:page;mso-position-vertical-relative:paragraph;z-index:-251657216;mso-wrap-distance-left:0;mso-wrap-distance-right:0" coordorigin="778,195" coordsize="10349,5">
            <v:line style="position:absolute" from="778,198" to="10418,198" stroked="true" strokeweight=".24pt" strokecolor="#000000">
              <v:stroke dashstyle="solid"/>
            </v:line>
            <v:rect style="position:absolute;left:10418;top:195;width:5;height:5" filled="true" fillcolor="#000000" stroked="false">
              <v:fill type="solid"/>
            </v:rect>
            <v:line style="position:absolute" from="10423,198" to="11126,198" stroked="true" strokeweight=".24pt" strokecolor="#000000">
              <v:stroke dashstyle="solid"/>
            </v:line>
            <w10:wrap type="topAndBottom"/>
          </v:group>
        </w:pict>
      </w:r>
    </w:p>
    <w:p>
      <w:pPr>
        <w:spacing w:line="9" w:lineRule="exact" w:before="0"/>
        <w:ind w:left="0" w:right="74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5"/>
        <w:rPr>
          <w:rFonts w:ascii="Arial"/>
          <w:sz w:val="2"/>
        </w:rPr>
      </w:pPr>
    </w:p>
    <w:p>
      <w:pPr>
        <w:spacing w:before="0"/>
        <w:ind w:left="28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600" w:right="622"/>
        </w:sectPr>
      </w:pPr>
    </w:p>
    <w:p>
      <w:pPr>
        <w:pStyle w:val="BodyText"/>
        <w:spacing w:line="312" w:lineRule="auto" w:before="76"/>
        <w:ind w:left="1200" w:right="1278"/>
      </w:pPr>
      <w:r>
        <w:rPr/>
        <w:t>We are publishing today our bi-annual Financial Stability Report, and so I want to start my presentation by looking at the wider context of the debate on supervision, on which this conference is focusing.</w:t>
      </w:r>
    </w:p>
    <w:p>
      <w:pPr>
        <w:pStyle w:val="BodyText"/>
        <w:spacing w:before="3"/>
        <w:rPr>
          <w:sz w:val="31"/>
        </w:rPr>
      </w:pPr>
    </w:p>
    <w:p>
      <w:pPr>
        <w:pStyle w:val="BodyText"/>
        <w:spacing w:line="312" w:lineRule="auto"/>
        <w:ind w:left="1200" w:right="1592"/>
      </w:pPr>
      <w:r>
        <w:rPr/>
        <w:t>The word unprecedented is used too frequently. But the instability in financial markets over the last year – culminating in the seizure of money markets in recent weeks (Chart 1) – has been the most severe in living memory.</w:t>
      </w:r>
    </w:p>
    <w:p>
      <w:pPr>
        <w:pStyle w:val="BodyText"/>
        <w:spacing w:before="2"/>
        <w:rPr>
          <w:sz w:val="31"/>
        </w:rPr>
      </w:pPr>
    </w:p>
    <w:p>
      <w:pPr>
        <w:pStyle w:val="BodyText"/>
        <w:spacing w:line="312" w:lineRule="auto"/>
        <w:ind w:left="1200" w:right="1311"/>
      </w:pPr>
      <w:r>
        <w:rPr/>
        <w:t>It did not come out of the blue. The price of risk especially in credit markets had fallen to unsustainable levels by summer 2007 and many banks and other institutions had become reliant on sustained liquidity in new markets which had never had been tested by a downturn. In the July 2006 FSR, for example the Bank warned of “UK banks’ increasing dependence on wholesale funding” and, in April 2007, we noted that: “if UK banks were unable to securitise existing assets, new lending would need to be financed through other wholesale sources, which may be difficult or costly to access during times of stress.” So it proved.</w:t>
      </w:r>
    </w:p>
    <w:p>
      <w:pPr>
        <w:pStyle w:val="BodyText"/>
        <w:spacing w:before="3"/>
        <w:rPr>
          <w:sz w:val="31"/>
        </w:rPr>
      </w:pPr>
    </w:p>
    <w:p>
      <w:pPr>
        <w:pStyle w:val="BodyText"/>
        <w:spacing w:line="312" w:lineRule="auto"/>
        <w:ind w:left="1200" w:right="1224"/>
      </w:pPr>
      <w:r>
        <w:rPr/>
        <w:t>But the Bank was not alone in pointing to the vulnerabilities in the financial system </w:t>
      </w:r>
      <w:r>
        <w:rPr>
          <w:spacing w:val="-6"/>
        </w:rPr>
        <w:t>in </w:t>
      </w:r>
      <w:r>
        <w:rPr/>
        <w:t>2006 and 2007. Other commentators and authorities gave similar warnings. And many market participants were also expecting a correction at some point; but they generally felt they were well placed to handle it. In fact the severity and breadth of the downswing has surprised markets, commentators, and policymakers</w:t>
      </w:r>
      <w:r>
        <w:rPr>
          <w:spacing w:val="-2"/>
        </w:rPr>
        <w:t> </w:t>
      </w:r>
      <w:r>
        <w:rPr/>
        <w:t>alike.</w:t>
      </w:r>
    </w:p>
    <w:p>
      <w:pPr>
        <w:pStyle w:val="BodyText"/>
        <w:spacing w:before="1"/>
        <w:rPr>
          <w:sz w:val="31"/>
        </w:rPr>
      </w:pPr>
    </w:p>
    <w:p>
      <w:pPr>
        <w:pStyle w:val="BodyText"/>
        <w:spacing w:line="312" w:lineRule="auto"/>
        <w:ind w:left="1200" w:right="1378"/>
      </w:pPr>
      <w:r>
        <w:rPr/>
        <w:t>In the light of subsequent developments, a number of commentators have concluded that the problem was simply a lack of attention and short memories. I don’t think it was quite as simple as that. I am with Mark Twain who said "History doesn't repeat itself, but it does rhyme." While the current crisis has some similarities to previous downswings – in the early 90s or of the 70s for example - there are some significant differences too.</w:t>
      </w:r>
    </w:p>
    <w:p>
      <w:pPr>
        <w:pStyle w:val="BodyText"/>
        <w:spacing w:before="2"/>
        <w:rPr>
          <w:sz w:val="31"/>
        </w:rPr>
      </w:pPr>
    </w:p>
    <w:p>
      <w:pPr>
        <w:pStyle w:val="BodyText"/>
        <w:spacing w:line="312" w:lineRule="auto" w:before="1"/>
        <w:ind w:left="1200" w:right="1452"/>
      </w:pPr>
      <w:r>
        <w:rPr/>
        <w:t>For example the last three recessions in the UK (in the 70s, 80s and early 90s) were preceded by sharp rises in consumption and activity and earnings to well above sustainable rates. As Chart 2 shows that was not true of the last few years when consumption, output and earnings all seemed unusually stable.</w:t>
      </w:r>
    </w:p>
    <w:p>
      <w:pPr>
        <w:pStyle w:val="BodyText"/>
        <w:spacing w:before="2"/>
        <w:rPr>
          <w:sz w:val="31"/>
        </w:rPr>
      </w:pPr>
    </w:p>
    <w:p>
      <w:pPr>
        <w:pStyle w:val="BodyText"/>
        <w:spacing w:line="312" w:lineRule="auto"/>
        <w:ind w:left="1200" w:right="1244"/>
      </w:pPr>
      <w:r>
        <w:rPr/>
        <w:t>Again in previous recessions, stress in the banking sector has tended to follow on from defaults and losses on domestic loans as interest rates rise and the economy slows down. But this time the downturn started in the banking sector - last summer when losses in the US property market not only led to losses in UK banks trading and</w:t>
      </w:r>
    </w:p>
    <w:p>
      <w:pPr>
        <w:spacing w:after="0" w:line="312" w:lineRule="auto"/>
        <w:sectPr>
          <w:footerReference w:type="default" r:id="rId7"/>
          <w:pgSz w:w="11910" w:h="16840"/>
          <w:pgMar w:footer="697" w:header="0" w:top="1360" w:bottom="880" w:left="600" w:right="620"/>
          <w:pgNumType w:start="2"/>
        </w:sectPr>
      </w:pPr>
    </w:p>
    <w:p>
      <w:pPr>
        <w:pStyle w:val="BodyText"/>
        <w:spacing w:line="312" w:lineRule="auto" w:before="76"/>
        <w:ind w:left="1199" w:right="1278"/>
      </w:pPr>
      <w:r>
        <w:rPr/>
        <w:t>treasury books but closed important sources of finance to them. The downturn in the housing market and then the wider economy followed. Domestic default rates, while beginning to rise, are still low by historical standards, despite the fact that we are more than a year into the crisis.</w:t>
      </w:r>
    </w:p>
    <w:p>
      <w:pPr>
        <w:pStyle w:val="BodyText"/>
        <w:spacing w:before="3"/>
        <w:rPr>
          <w:sz w:val="31"/>
        </w:rPr>
      </w:pPr>
    </w:p>
    <w:p>
      <w:pPr>
        <w:pStyle w:val="BodyText"/>
        <w:spacing w:line="312" w:lineRule="auto"/>
        <w:ind w:left="1200" w:right="1358"/>
      </w:pPr>
      <w:r>
        <w:rPr/>
        <w:t>Those differences reflect the most important distinguishing feature of this downturn, namely its roots in global imbalances not just in trade but in the financial system.</w:t>
      </w:r>
    </w:p>
    <w:p>
      <w:pPr>
        <w:pStyle w:val="BodyText"/>
        <w:spacing w:before="2"/>
        <w:rPr>
          <w:sz w:val="31"/>
        </w:rPr>
      </w:pPr>
    </w:p>
    <w:p>
      <w:pPr>
        <w:pStyle w:val="BodyText"/>
        <w:spacing w:line="312" w:lineRule="auto"/>
        <w:ind w:left="1200" w:right="1278"/>
      </w:pPr>
      <w:r>
        <w:rPr/>
        <w:t>The growth and savings in emerging economies led to an extraordinary flow of funds back to the developed world and to the US in particular. That in turn kept interest rates low, allowing the rapid growth of credit and fuelling a sharp rise in asset prices and an increasingly risky search for yield – for example in sub prime housing in the US.</w:t>
      </w:r>
    </w:p>
    <w:p>
      <w:pPr>
        <w:pStyle w:val="BodyText"/>
        <w:spacing w:before="3"/>
        <w:rPr>
          <w:sz w:val="31"/>
        </w:rPr>
      </w:pPr>
    </w:p>
    <w:p>
      <w:pPr>
        <w:pStyle w:val="BodyText"/>
        <w:spacing w:line="312" w:lineRule="auto"/>
        <w:ind w:left="1200" w:right="1225"/>
      </w:pPr>
      <w:r>
        <w:rPr/>
        <w:t>The impact in the UK was different but no less marked. Here too the low cost of credit fuelled a spectacular expansion of bank balance sheets (Chart 3) and with it a growth in leverage (Chart 4). And, as Chart 5 shows, while savings rates fell in the UK, limiting the growth of retail deposits, banks financed that lending by tapping wholesale markets. The gap between customer lending and deposits moved from zero at the turn of the century to over £700 billion in 2008</w:t>
      </w:r>
      <w:r>
        <w:rPr>
          <w:spacing w:val="-13"/>
        </w:rPr>
        <w:t> </w:t>
      </w:r>
      <w:r>
        <w:rPr/>
        <w:t>H1.</w:t>
      </w:r>
    </w:p>
    <w:p>
      <w:pPr>
        <w:pStyle w:val="BodyText"/>
        <w:spacing w:before="1"/>
        <w:rPr>
          <w:sz w:val="31"/>
        </w:rPr>
      </w:pPr>
    </w:p>
    <w:p>
      <w:pPr>
        <w:pStyle w:val="BodyText"/>
        <w:spacing w:line="312" w:lineRule="auto"/>
        <w:ind w:left="1200" w:right="1311"/>
      </w:pPr>
      <w:r>
        <w:rPr/>
        <w:t>Much of that funding was ultimately sourced overseas. In particular, the United States acted as an intermediary, attracting capital inflows from the rest of the world and exporting these funds to other countries. Road shows to investors in the US and Europe ceased to be the preserve of the international giants and became common among smaller players whose whole asset base was in the UK.</w:t>
      </w:r>
    </w:p>
    <w:p>
      <w:pPr>
        <w:pStyle w:val="BodyText"/>
        <w:spacing w:before="2"/>
        <w:rPr>
          <w:sz w:val="31"/>
        </w:rPr>
      </w:pPr>
    </w:p>
    <w:p>
      <w:pPr>
        <w:pStyle w:val="BodyText"/>
        <w:spacing w:line="312" w:lineRule="auto" w:before="1"/>
        <w:ind w:left="1200" w:right="1272"/>
      </w:pPr>
      <w:r>
        <w:rPr/>
        <w:t>As the difficulties in the financial system have persisted and worsened, it has become clear that these developments have created real structural weaknesses in the banking sector. In particular:</w:t>
      </w:r>
    </w:p>
    <w:p>
      <w:pPr>
        <w:pStyle w:val="BodyText"/>
        <w:spacing w:before="3"/>
        <w:rPr>
          <w:sz w:val="31"/>
        </w:rPr>
      </w:pPr>
    </w:p>
    <w:p>
      <w:pPr>
        <w:pStyle w:val="ListParagraph"/>
        <w:numPr>
          <w:ilvl w:val="0"/>
          <w:numId w:val="1"/>
        </w:numPr>
        <w:tabs>
          <w:tab w:pos="1919" w:val="left" w:leader="none"/>
          <w:tab w:pos="1920" w:val="left" w:leader="none"/>
        </w:tabs>
        <w:spacing w:line="307" w:lineRule="auto" w:before="0" w:after="0"/>
        <w:ind w:left="1200" w:right="1510" w:firstLine="0"/>
        <w:jc w:val="left"/>
        <w:rPr>
          <w:sz w:val="24"/>
        </w:rPr>
      </w:pPr>
      <w:r>
        <w:rPr>
          <w:sz w:val="24"/>
        </w:rPr>
        <w:t>inflated aggregate balance sheets, whose expansion had outpaced growth in the real</w:t>
      </w:r>
      <w:r>
        <w:rPr>
          <w:spacing w:val="-1"/>
          <w:sz w:val="24"/>
        </w:rPr>
        <w:t> </w:t>
      </w:r>
      <w:r>
        <w:rPr>
          <w:sz w:val="24"/>
        </w:rPr>
        <w:t>economy;</w:t>
      </w:r>
    </w:p>
    <w:p>
      <w:pPr>
        <w:pStyle w:val="ListParagraph"/>
        <w:numPr>
          <w:ilvl w:val="0"/>
          <w:numId w:val="1"/>
        </w:numPr>
        <w:tabs>
          <w:tab w:pos="1919" w:val="left" w:leader="none"/>
          <w:tab w:pos="1920" w:val="left" w:leader="none"/>
        </w:tabs>
        <w:spacing w:line="304" w:lineRule="auto" w:before="6" w:after="0"/>
        <w:ind w:left="1199" w:right="1184" w:firstLine="0"/>
        <w:jc w:val="left"/>
        <w:rPr>
          <w:sz w:val="24"/>
        </w:rPr>
      </w:pPr>
      <w:r>
        <w:rPr>
          <w:sz w:val="24"/>
        </w:rPr>
        <w:t>expansion into assets whose underlying value, credit quality and liquidity were uncertain;</w:t>
      </w:r>
    </w:p>
    <w:p>
      <w:pPr>
        <w:pStyle w:val="ListParagraph"/>
        <w:numPr>
          <w:ilvl w:val="0"/>
          <w:numId w:val="1"/>
        </w:numPr>
        <w:tabs>
          <w:tab w:pos="1919" w:val="left" w:leader="none"/>
          <w:tab w:pos="1920" w:val="left" w:leader="none"/>
        </w:tabs>
        <w:spacing w:line="304" w:lineRule="auto" w:before="10" w:after="0"/>
        <w:ind w:left="1199" w:right="1850" w:firstLine="0"/>
        <w:jc w:val="left"/>
        <w:rPr>
          <w:sz w:val="24"/>
        </w:rPr>
      </w:pPr>
      <w:r>
        <w:rPr>
          <w:sz w:val="24"/>
        </w:rPr>
        <w:t>liability structures which were overly reliant on sustained availability of wholesale funding whose maturity was often</w:t>
      </w:r>
      <w:r>
        <w:rPr>
          <w:spacing w:val="-1"/>
          <w:sz w:val="24"/>
        </w:rPr>
        <w:t> </w:t>
      </w:r>
      <w:r>
        <w:rPr>
          <w:sz w:val="24"/>
        </w:rPr>
        <w:t>short;</w:t>
      </w:r>
    </w:p>
    <w:p>
      <w:pPr>
        <w:spacing w:after="0" w:line="304" w:lineRule="auto"/>
        <w:jc w:val="left"/>
        <w:rPr>
          <w:sz w:val="24"/>
        </w:rPr>
        <w:sectPr>
          <w:pgSz w:w="11910" w:h="16840"/>
          <w:pgMar w:header="0" w:footer="697" w:top="1360" w:bottom="960" w:left="600" w:right="620"/>
        </w:sectPr>
      </w:pPr>
    </w:p>
    <w:p>
      <w:pPr>
        <w:pStyle w:val="ListParagraph"/>
        <w:numPr>
          <w:ilvl w:val="0"/>
          <w:numId w:val="1"/>
        </w:numPr>
        <w:tabs>
          <w:tab w:pos="1919" w:val="left" w:leader="none"/>
          <w:tab w:pos="1920" w:val="left" w:leader="none"/>
        </w:tabs>
        <w:spacing w:line="304" w:lineRule="auto" w:before="77" w:after="0"/>
        <w:ind w:left="1199" w:right="1677" w:firstLine="0"/>
        <w:jc w:val="left"/>
        <w:rPr>
          <w:sz w:val="24"/>
        </w:rPr>
      </w:pPr>
      <w:r>
        <w:rPr>
          <w:sz w:val="24"/>
        </w:rPr>
        <w:t>capital and liquidity buffers which became too low , given these asset and liability risks;</w:t>
      </w:r>
      <w:r>
        <w:rPr>
          <w:spacing w:val="-1"/>
          <w:sz w:val="24"/>
        </w:rPr>
        <w:t> </w:t>
      </w:r>
      <w:r>
        <w:rPr>
          <w:sz w:val="24"/>
        </w:rPr>
        <w:t>and</w:t>
      </w:r>
    </w:p>
    <w:p>
      <w:pPr>
        <w:pStyle w:val="ListParagraph"/>
        <w:numPr>
          <w:ilvl w:val="0"/>
          <w:numId w:val="1"/>
        </w:numPr>
        <w:tabs>
          <w:tab w:pos="1919" w:val="left" w:leader="none"/>
          <w:tab w:pos="1920" w:val="left" w:leader="none"/>
        </w:tabs>
        <w:spacing w:line="307" w:lineRule="auto" w:before="11" w:after="0"/>
        <w:ind w:left="1199" w:right="1689" w:firstLine="0"/>
        <w:jc w:val="left"/>
        <w:rPr>
          <w:sz w:val="24"/>
        </w:rPr>
      </w:pPr>
      <w:r>
        <w:rPr>
          <w:sz w:val="24"/>
        </w:rPr>
        <w:t>underappreciated, but potent interconnections between firms in the global financial</w:t>
      </w:r>
      <w:r>
        <w:rPr>
          <w:spacing w:val="-2"/>
          <w:sz w:val="24"/>
        </w:rPr>
        <w:t> </w:t>
      </w:r>
      <w:r>
        <w:rPr>
          <w:sz w:val="24"/>
        </w:rPr>
        <w:t>system.</w:t>
      </w:r>
    </w:p>
    <w:p>
      <w:pPr>
        <w:pStyle w:val="BodyText"/>
        <w:spacing w:before="9"/>
        <w:rPr>
          <w:sz w:val="31"/>
        </w:rPr>
      </w:pPr>
    </w:p>
    <w:p>
      <w:pPr>
        <w:pStyle w:val="Heading1"/>
      </w:pPr>
      <w:r>
        <w:rPr/>
        <w:t>Policy response</w:t>
      </w:r>
    </w:p>
    <w:p>
      <w:pPr>
        <w:pStyle w:val="BodyText"/>
        <w:spacing w:before="2"/>
        <w:rPr>
          <w:b/>
          <w:sz w:val="38"/>
        </w:rPr>
      </w:pPr>
    </w:p>
    <w:p>
      <w:pPr>
        <w:pStyle w:val="BodyText"/>
        <w:spacing w:line="312" w:lineRule="auto"/>
        <w:ind w:left="1199" w:right="1210" w:firstLine="60"/>
      </w:pPr>
      <w:r>
        <w:rPr/>
        <w:t>For most of the last year, the Bank has adopted a twin track approach, as part of the Tripartite partnership with the FSA and the Treasury. The first track has been to provide liquidity to the market in order to give most banks time to make the necessary adjustments – including by raising capital. That has involved an increasing range of measures including long term repos on a wide range of collateral and the introduction of the Special Liquidity Scheme which allows banks to swap illiquid assets for Treasury Bills for periods of up to three years. The recent dollar swaps and further extensions of the SLS and eligible collateral are further steps in that direction. And we recently announced a more permanent structure of money market operations including the introduction of a discount window.</w:t>
      </w:r>
    </w:p>
    <w:p>
      <w:pPr>
        <w:pStyle w:val="BodyText"/>
        <w:spacing w:before="1"/>
        <w:rPr>
          <w:sz w:val="31"/>
        </w:rPr>
      </w:pPr>
    </w:p>
    <w:p>
      <w:pPr>
        <w:pStyle w:val="BodyText"/>
        <w:spacing w:line="312" w:lineRule="auto"/>
        <w:ind w:left="1199" w:right="1253"/>
      </w:pPr>
      <w:r>
        <w:rPr/>
        <w:t>The second track has been to work closely with the FSA and Treasury to limit the repercussions from the failure of banks which do not have an independent future whether through arranging mergers or managing closure. Northern Rock was the first in line and led to a lot of criticism of the tripartite. I think we have learned a great deal over the year and have shown more skill and speed with subsequent cases including Bradford and Bingley recently.</w:t>
      </w:r>
    </w:p>
    <w:p>
      <w:pPr>
        <w:pStyle w:val="BodyText"/>
        <w:spacing w:before="3"/>
        <w:rPr>
          <w:sz w:val="31"/>
        </w:rPr>
      </w:pPr>
    </w:p>
    <w:p>
      <w:pPr>
        <w:pStyle w:val="BodyText"/>
        <w:spacing w:line="312" w:lineRule="auto"/>
        <w:ind w:left="1199" w:right="1200"/>
      </w:pPr>
      <w:r>
        <w:rPr/>
        <w:t>But in the last 6 weeks it became clear that this case by case approach was not enough either at home or internationally. Despite the provision of additional liquidity to the system, market conditions got worse over the summer as worries grew about the downturn in the broader economy and its consequences for bank losses.</w:t>
      </w:r>
    </w:p>
    <w:p>
      <w:pPr>
        <w:pStyle w:val="BodyText"/>
        <w:spacing w:before="2"/>
        <w:rPr>
          <w:sz w:val="31"/>
        </w:rPr>
      </w:pPr>
    </w:p>
    <w:p>
      <w:pPr>
        <w:pStyle w:val="BodyText"/>
        <w:spacing w:line="312" w:lineRule="auto"/>
        <w:ind w:left="1199" w:right="1487"/>
      </w:pPr>
      <w:r>
        <w:rPr/>
        <w:t>Once again the triggers for a further downward lurch came in the US. First Fannie Mae and Freddie Mac were taken into conservatorship and then, the following weekend, Lehman Brothers proved unable to find a buyer and filed for bankruptcy. That shook markets which had expected it to be saved by the State, if necessary, as had been the case with Bear Stearns earlier in the year.</w:t>
      </w:r>
    </w:p>
    <w:p>
      <w:pPr>
        <w:pStyle w:val="BodyText"/>
        <w:spacing w:before="3"/>
        <w:rPr>
          <w:sz w:val="31"/>
        </w:rPr>
      </w:pPr>
    </w:p>
    <w:p>
      <w:pPr>
        <w:pStyle w:val="BodyText"/>
        <w:spacing w:line="312" w:lineRule="auto"/>
        <w:ind w:left="1199" w:right="1239"/>
      </w:pPr>
      <w:r>
        <w:rPr/>
        <w:t>Within a day, AIG had to be rescued following rumours about the size of its losses on CDS contracts and pressures grew on the remaining securities dealers. Later in the</w:t>
      </w:r>
    </w:p>
    <w:p>
      <w:pPr>
        <w:spacing w:after="0" w:line="312" w:lineRule="auto"/>
        <w:sectPr>
          <w:pgSz w:w="11910" w:h="16840"/>
          <w:pgMar w:header="0" w:footer="697" w:top="1360" w:bottom="960" w:left="600" w:right="620"/>
        </w:sectPr>
      </w:pPr>
    </w:p>
    <w:p>
      <w:pPr>
        <w:pStyle w:val="BodyText"/>
        <w:spacing w:line="312" w:lineRule="auto" w:before="76"/>
        <w:ind w:left="1199" w:right="1332"/>
      </w:pPr>
      <w:r>
        <w:rPr/>
        <w:t>week, Secretary Paulson announced his initial $700 billion plan to purchase assets to support the banking sector. It didn’t entirely still the doubts.</w:t>
      </w:r>
    </w:p>
    <w:p>
      <w:pPr>
        <w:pStyle w:val="BodyText"/>
        <w:spacing w:before="3"/>
        <w:rPr>
          <w:sz w:val="31"/>
        </w:rPr>
      </w:pPr>
    </w:p>
    <w:p>
      <w:pPr>
        <w:pStyle w:val="BodyText"/>
        <w:spacing w:line="312" w:lineRule="auto"/>
        <w:ind w:left="1199" w:right="1244"/>
      </w:pPr>
      <w:r>
        <w:rPr/>
        <w:t>The pressures were also felt in Europe. At the end of September Dexia, Fortis and Hypo Real Estate all had to receive emergency capital injections, mostly government supplied. In the UK the authorities facilitated a rapid consolidation in the mortgage sector with Abbey Santander buying Alliance and Leicester, some mergers in the building society sector, and the proposed merger of LTSB and HBOS. Finally, in late September the Tripartite authorities intervened to resolve growing difficulties in Bradford and Bingley by transferring the deposits and branch network to Abbey Santander and taking the remaining assets and liabilities into public ownership for orderly wind down.</w:t>
      </w:r>
    </w:p>
    <w:p>
      <w:pPr>
        <w:pStyle w:val="BodyText"/>
        <w:spacing w:before="2"/>
        <w:rPr>
          <w:sz w:val="31"/>
        </w:rPr>
      </w:pPr>
    </w:p>
    <w:p>
      <w:pPr>
        <w:pStyle w:val="BodyText"/>
        <w:spacing w:line="312" w:lineRule="auto"/>
        <w:ind w:left="1199" w:right="1300"/>
      </w:pPr>
      <w:r>
        <w:rPr/>
        <w:t>But the loss of confidence went wider than a subset of vulnerable banks. Our report estimates the total US and European marked to market losses on credit assets at nearly $2.8 trillion. While these will not all fall on banks and may exaggerate the losses to those who can hold debt to maturity, investors and counterparties became worried about the extent of the likely losses on banking and trading books in a wider range of institutions and in their ability to continue to finance their businesses. The focus of their concerns shifted from future profitability to future survival. CDS premia rose to unprecedented levels (Chart 6), bank equity prices fell sharply and the money markets seized up. Interbank lending spreads widened dramatically (Chart 7) and lending became almost entirely concentrated in the overnight market. The shortening of interbank maturities generated a dangerous ‘snowball’ effect as maturing term funding had to be rolled overnight.</w:t>
      </w:r>
    </w:p>
    <w:p>
      <w:pPr>
        <w:pStyle w:val="BodyText"/>
        <w:spacing w:before="2"/>
        <w:rPr>
          <w:sz w:val="31"/>
        </w:rPr>
      </w:pPr>
    </w:p>
    <w:p>
      <w:pPr>
        <w:pStyle w:val="BodyText"/>
        <w:spacing w:line="312" w:lineRule="auto"/>
        <w:ind w:left="1199" w:right="1232"/>
      </w:pPr>
      <w:r>
        <w:rPr/>
        <w:t>It was to tackle that wider loss of confidence that the UK authorities announced on 8</w:t>
      </w:r>
      <w:r>
        <w:rPr>
          <w:vertAlign w:val="superscript"/>
        </w:rPr>
        <w:t>th</w:t>
      </w:r>
      <w:r>
        <w:rPr>
          <w:vertAlign w:val="baseline"/>
        </w:rPr>
        <w:t> of October its comprehensive package of support for recapitalisation, guaranteed funding and enhanced liquidity.  It was designed to remove solvency fears by ensuring that banks had more than sufficient capital to survive a severe economic downturn and thus to enable them to continue to lend on normal criteria to good credits.</w:t>
      </w:r>
    </w:p>
    <w:p>
      <w:pPr>
        <w:pStyle w:val="BodyText"/>
        <w:spacing w:before="2"/>
        <w:rPr>
          <w:sz w:val="31"/>
        </w:rPr>
      </w:pPr>
    </w:p>
    <w:p>
      <w:pPr>
        <w:pStyle w:val="BodyText"/>
        <w:spacing w:line="312" w:lineRule="auto"/>
        <w:ind w:left="1199" w:right="1306"/>
      </w:pPr>
      <w:r>
        <w:rPr/>
        <w:t>The new capital and the government guaranteed borrowing and liquidity support was designed to ensure and be seen to ensure that banks would be able to sustain their businesses through a downturn. With the banking system fully solvent, guarantees could be extended without exposing taxpayer to unacceptable risks. In a remarkable show of international consensus, a similar approach was quickly adopted by many other countries both in the US and EU and more widely.</w:t>
      </w:r>
    </w:p>
    <w:p>
      <w:pPr>
        <w:spacing w:after="0" w:line="312" w:lineRule="auto"/>
        <w:sectPr>
          <w:pgSz w:w="11910" w:h="16840"/>
          <w:pgMar w:header="0" w:footer="697" w:top="1360" w:bottom="960" w:left="600" w:right="620"/>
        </w:sectPr>
      </w:pPr>
    </w:p>
    <w:p>
      <w:pPr>
        <w:pStyle w:val="BodyText"/>
        <w:spacing w:before="4"/>
        <w:rPr>
          <w:sz w:val="9"/>
        </w:rPr>
      </w:pPr>
    </w:p>
    <w:p>
      <w:pPr>
        <w:pStyle w:val="Heading1"/>
        <w:spacing w:before="90"/>
      </w:pPr>
      <w:r>
        <w:rPr/>
        <w:t>Looking ahead</w:t>
      </w:r>
    </w:p>
    <w:p>
      <w:pPr>
        <w:pStyle w:val="BodyText"/>
        <w:spacing w:before="2"/>
        <w:rPr>
          <w:b/>
          <w:sz w:val="38"/>
        </w:rPr>
      </w:pPr>
    </w:p>
    <w:p>
      <w:pPr>
        <w:pStyle w:val="BodyText"/>
        <w:spacing w:line="312" w:lineRule="auto"/>
        <w:ind w:left="1199" w:right="1235"/>
      </w:pPr>
      <w:r>
        <w:rPr/>
        <w:t>The early signs suggest that the package is underpinning the banking system both directly and as a demonstration of the authorities’ determination to do whatever is needed to re-establish confidence. In particular CDS premia for banks have fallen markedly (Chart 6) since the package was announced. And progress on guarantees, while gradual, has also been encouraging, with a number of banks issuing bonds even without the use of the guarantee. Libor spreads have also edged down and are now expected to fall a bit further and faster than before the package (Chart 8).  Many banks continue to face a period of deleveraging and rebalancing to reduce their dependence on Central Bank finance and on short term wholesale funding. However a stronger capital and financing position will make it possible for them to do that over a period of some years, which will diminish the squeeze on lending in the short</w:t>
      </w:r>
      <w:r>
        <w:rPr>
          <w:spacing w:val="-9"/>
        </w:rPr>
        <w:t> </w:t>
      </w:r>
      <w:r>
        <w:rPr/>
        <w:t>run.</w:t>
      </w:r>
    </w:p>
    <w:p>
      <w:pPr>
        <w:pStyle w:val="BodyText"/>
        <w:spacing w:before="3"/>
        <w:rPr>
          <w:sz w:val="31"/>
        </w:rPr>
      </w:pPr>
    </w:p>
    <w:p>
      <w:pPr>
        <w:pStyle w:val="BodyText"/>
        <w:spacing w:line="312" w:lineRule="auto"/>
        <w:ind w:left="1199" w:right="1285"/>
      </w:pPr>
      <w:r>
        <w:rPr/>
        <w:t>More widely, of course, the financial system remains under acute strain. The falls in equity markets, corporate bond prices and the prices for leveraged loans is hitting both long term institutional investors and leveraged investors, including hedge funds. Some are being forced to sell into a falling market in response to margin calls and redemptions.</w:t>
      </w:r>
    </w:p>
    <w:p>
      <w:pPr>
        <w:pStyle w:val="BodyText"/>
        <w:spacing w:before="1"/>
        <w:rPr>
          <w:sz w:val="31"/>
        </w:rPr>
      </w:pPr>
    </w:p>
    <w:p>
      <w:pPr>
        <w:pStyle w:val="BodyText"/>
        <w:spacing w:line="312" w:lineRule="auto"/>
        <w:ind w:left="1199" w:right="1278"/>
      </w:pPr>
      <w:r>
        <w:rPr/>
        <w:t>And there are growing signs of stress in many emerging market economies. We have already seen a banking sector and currency crisis in Iceland and in the past few days the IMF has also announced loan packages for the Ukraine and Hungary.</w:t>
      </w:r>
    </w:p>
    <w:p>
      <w:pPr>
        <w:pStyle w:val="BodyText"/>
        <w:spacing w:before="3"/>
        <w:rPr>
          <w:sz w:val="31"/>
        </w:rPr>
      </w:pPr>
    </w:p>
    <w:p>
      <w:pPr>
        <w:pStyle w:val="BodyText"/>
        <w:spacing w:line="312" w:lineRule="auto"/>
        <w:ind w:left="1199" w:right="1343"/>
        <w:jc w:val="both"/>
      </w:pPr>
      <w:r>
        <w:rPr/>
        <w:t>In short, the package of measures introduced in the UK and elsewhere has improved the prospects significantly, especially for banks but it is too soon to declare the crisis over. Authorities worldwide need to remain vigilant and to be ready to step in again if necessary.</w:t>
      </w:r>
    </w:p>
    <w:p>
      <w:pPr>
        <w:pStyle w:val="BodyText"/>
        <w:spacing w:before="4"/>
        <w:rPr>
          <w:sz w:val="31"/>
        </w:rPr>
      </w:pPr>
    </w:p>
    <w:p>
      <w:pPr>
        <w:pStyle w:val="Heading1"/>
        <w:jc w:val="both"/>
      </w:pPr>
      <w:r>
        <w:rPr/>
        <w:t>The medium term agenda</w:t>
      </w:r>
    </w:p>
    <w:p>
      <w:pPr>
        <w:pStyle w:val="BodyText"/>
        <w:spacing w:before="2"/>
        <w:rPr>
          <w:b/>
          <w:sz w:val="38"/>
        </w:rPr>
      </w:pPr>
    </w:p>
    <w:p>
      <w:pPr>
        <w:pStyle w:val="BodyText"/>
        <w:spacing w:line="312" w:lineRule="auto"/>
        <w:ind w:left="1199" w:right="1409"/>
        <w:jc w:val="both"/>
      </w:pPr>
      <w:r>
        <w:rPr/>
        <w:t>We all have lessons to learn from the turmoil of the last fifteen months. I would like to pick out three in particular, two of which are international and one UK specific:</w:t>
      </w:r>
    </w:p>
    <w:p>
      <w:pPr>
        <w:pStyle w:val="BodyText"/>
        <w:spacing w:before="3"/>
        <w:rPr>
          <w:sz w:val="31"/>
        </w:rPr>
      </w:pPr>
    </w:p>
    <w:p>
      <w:pPr>
        <w:pStyle w:val="ListParagraph"/>
        <w:numPr>
          <w:ilvl w:val="0"/>
          <w:numId w:val="1"/>
        </w:numPr>
        <w:tabs>
          <w:tab w:pos="1919" w:val="left" w:leader="none"/>
          <w:tab w:pos="1920" w:val="left" w:leader="none"/>
        </w:tabs>
        <w:spacing w:line="304" w:lineRule="auto" w:before="0" w:after="0"/>
        <w:ind w:left="1199" w:right="1178" w:firstLine="0"/>
        <w:jc w:val="left"/>
        <w:rPr>
          <w:sz w:val="24"/>
        </w:rPr>
      </w:pPr>
      <w:r>
        <w:rPr>
          <w:sz w:val="24"/>
        </w:rPr>
        <w:t>the need to develop new “macro prudential” policies to bridge the gap between monetary policy and the regulation of particular institutions and</w:t>
      </w:r>
      <w:r>
        <w:rPr>
          <w:spacing w:val="-12"/>
          <w:sz w:val="24"/>
        </w:rPr>
        <w:t> </w:t>
      </w:r>
      <w:r>
        <w:rPr>
          <w:sz w:val="24"/>
        </w:rPr>
        <w:t>markets;</w:t>
      </w:r>
    </w:p>
    <w:p>
      <w:pPr>
        <w:pStyle w:val="ListParagraph"/>
        <w:numPr>
          <w:ilvl w:val="0"/>
          <w:numId w:val="1"/>
        </w:numPr>
        <w:tabs>
          <w:tab w:pos="1919" w:val="left" w:leader="none"/>
          <w:tab w:pos="1920" w:val="left" w:leader="none"/>
        </w:tabs>
        <w:spacing w:line="307" w:lineRule="auto" w:before="11" w:after="0"/>
        <w:ind w:left="1199" w:right="1532" w:firstLine="0"/>
        <w:jc w:val="left"/>
        <w:rPr>
          <w:sz w:val="24"/>
        </w:rPr>
      </w:pPr>
      <w:r>
        <w:rPr>
          <w:sz w:val="24"/>
        </w:rPr>
        <w:t>the need to establish a more effective regime in the UK for handling failing banks; and</w:t>
      </w:r>
    </w:p>
    <w:p>
      <w:pPr>
        <w:spacing w:after="0" w:line="307" w:lineRule="auto"/>
        <w:jc w:val="left"/>
        <w:rPr>
          <w:sz w:val="24"/>
        </w:rPr>
        <w:sectPr>
          <w:pgSz w:w="11910" w:h="16840"/>
          <w:pgMar w:header="0" w:footer="697" w:top="1600" w:bottom="960" w:left="600" w:right="620"/>
        </w:sectPr>
      </w:pPr>
    </w:p>
    <w:p>
      <w:pPr>
        <w:pStyle w:val="ListParagraph"/>
        <w:numPr>
          <w:ilvl w:val="0"/>
          <w:numId w:val="1"/>
        </w:numPr>
        <w:tabs>
          <w:tab w:pos="1919" w:val="left" w:leader="none"/>
          <w:tab w:pos="1920" w:val="left" w:leader="none"/>
        </w:tabs>
        <w:spacing w:line="240" w:lineRule="auto" w:before="77" w:after="0"/>
        <w:ind w:left="1920" w:right="0" w:hanging="721"/>
        <w:jc w:val="left"/>
        <w:rPr>
          <w:sz w:val="24"/>
        </w:rPr>
      </w:pPr>
      <w:r>
        <w:rPr>
          <w:sz w:val="24"/>
        </w:rPr>
        <w:t>the need to improve the handling of cross border crises and bank</w:t>
      </w:r>
      <w:r>
        <w:rPr>
          <w:spacing w:val="-13"/>
          <w:sz w:val="24"/>
        </w:rPr>
        <w:t> </w:t>
      </w:r>
      <w:r>
        <w:rPr>
          <w:sz w:val="24"/>
        </w:rPr>
        <w:t>failures.</w:t>
      </w:r>
    </w:p>
    <w:p>
      <w:pPr>
        <w:pStyle w:val="BodyText"/>
        <w:spacing w:before="3"/>
        <w:rPr>
          <w:sz w:val="38"/>
        </w:rPr>
      </w:pPr>
    </w:p>
    <w:p>
      <w:pPr>
        <w:pStyle w:val="BodyText"/>
        <w:spacing w:line="312" w:lineRule="auto"/>
        <w:ind w:left="1200" w:right="1532"/>
      </w:pPr>
      <w:r>
        <w:rPr/>
        <w:t>Central Banks have always paid close attention to asset prices and credit growth in deciding monetary policy but they are setting interest rates for the whole economy and there is no guarantee that the rate or the rapid changes in rates that could be needed to dampen asset price growth will be appropriate more widely.</w:t>
      </w:r>
    </w:p>
    <w:p>
      <w:pPr>
        <w:pStyle w:val="BodyText"/>
        <w:spacing w:before="2"/>
        <w:rPr>
          <w:sz w:val="31"/>
        </w:rPr>
      </w:pPr>
    </w:p>
    <w:p>
      <w:pPr>
        <w:pStyle w:val="BodyText"/>
        <w:spacing w:line="312" w:lineRule="auto"/>
        <w:ind w:left="1200" w:right="1271"/>
      </w:pPr>
      <w:r>
        <w:rPr/>
        <w:t>On the other side, regulation and supervision are focused on the resilience and conduct of individual institutions: their management, risks controls, capital and liquidity and so on. What we have found in the last few years is that the sum of what makes sense at the level of individual institutions does not necessarily add up to what is needed for the system as a whole.</w:t>
      </w:r>
    </w:p>
    <w:p>
      <w:pPr>
        <w:pStyle w:val="BodyText"/>
        <w:spacing w:before="3"/>
        <w:rPr>
          <w:sz w:val="31"/>
        </w:rPr>
      </w:pPr>
    </w:p>
    <w:p>
      <w:pPr>
        <w:pStyle w:val="BodyText"/>
        <w:spacing w:line="312" w:lineRule="auto"/>
        <w:ind w:left="1200" w:right="1266"/>
      </w:pPr>
      <w:r>
        <w:rPr/>
        <w:t>We need to develop what are called “macro prudential” policies to bridge that gap. In particular we need to establish stronger restraints on the build up of risks in the financial system over the cycle with the dangers they bring to the wider</w:t>
      </w:r>
      <w:r>
        <w:rPr>
          <w:spacing w:val="-17"/>
        </w:rPr>
        <w:t> </w:t>
      </w:r>
      <w:r>
        <w:rPr/>
        <w:t>economy.</w:t>
      </w:r>
    </w:p>
    <w:p>
      <w:pPr>
        <w:pStyle w:val="BodyText"/>
        <w:spacing w:line="312" w:lineRule="auto"/>
        <w:ind w:left="1200" w:right="1278"/>
      </w:pPr>
      <w:r>
        <w:rPr/>
        <w:t>That means not just increasing capital and liquidity requirements for individual institutions but relating them to the cyclical pressures in the system more</w:t>
      </w:r>
      <w:r>
        <w:rPr>
          <w:spacing w:val="-14"/>
        </w:rPr>
        <w:t> </w:t>
      </w:r>
      <w:r>
        <w:rPr/>
        <w:t>broadly.</w:t>
      </w:r>
    </w:p>
    <w:p>
      <w:pPr>
        <w:pStyle w:val="BodyText"/>
        <w:spacing w:before="2"/>
        <w:rPr>
          <w:sz w:val="31"/>
        </w:rPr>
      </w:pPr>
    </w:p>
    <w:p>
      <w:pPr>
        <w:pStyle w:val="BodyText"/>
        <w:spacing w:line="312" w:lineRule="auto"/>
        <w:ind w:left="1200" w:right="1235"/>
      </w:pPr>
      <w:r>
        <w:rPr/>
        <w:t>One way of doing that has been developed in Spain. It is called “dynamic provisioning”. Chart 9 illustrates how it works. It requires banks to build up a general loss reserve during good times, based on past experience of likely losses on new lending. The effect is to build up reserves when loans are originated which can then be drawn down when the economy begins to deteriorate and actual losses are incurred. That would lessen the need to raise capital in downturns. And as draw downs on these general provisions would be automatic, the market should not view this as negatively as reductions in regulatory capital</w:t>
      </w:r>
      <w:r>
        <w:rPr>
          <w:spacing w:val="-2"/>
        </w:rPr>
        <w:t> </w:t>
      </w:r>
      <w:r>
        <w:rPr/>
        <w:t>ratios.</w:t>
      </w:r>
    </w:p>
    <w:p>
      <w:pPr>
        <w:pStyle w:val="BodyText"/>
        <w:rPr>
          <w:sz w:val="26"/>
        </w:rPr>
      </w:pPr>
    </w:p>
    <w:p>
      <w:pPr>
        <w:pStyle w:val="BodyText"/>
        <w:spacing w:before="5"/>
        <w:rPr>
          <w:sz w:val="36"/>
        </w:rPr>
      </w:pPr>
    </w:p>
    <w:p>
      <w:pPr>
        <w:pStyle w:val="BodyText"/>
        <w:spacing w:line="312" w:lineRule="auto"/>
        <w:ind w:left="1200" w:right="1278"/>
      </w:pPr>
      <w:r>
        <w:rPr/>
        <w:t>The second lesson comes directly from our experience with Northern Rock where even after the bank had become totally dependent on the State, there was no legal framework for resolving its future quickly and effectively. No regulatory regime can prevent all bank failures. So it is important, for financial stability, that any such failures are orderly. That is the role of the Special Resolution Regime, a key component of the Banking Bill.</w:t>
      </w:r>
    </w:p>
    <w:p>
      <w:pPr>
        <w:pStyle w:val="BodyText"/>
        <w:spacing w:before="1"/>
        <w:rPr>
          <w:sz w:val="31"/>
        </w:rPr>
      </w:pPr>
    </w:p>
    <w:p>
      <w:pPr>
        <w:pStyle w:val="BodyText"/>
        <w:spacing w:line="312" w:lineRule="auto"/>
        <w:ind w:left="1200" w:right="1851"/>
      </w:pPr>
      <w:r>
        <w:rPr/>
        <w:t>The SRR gives four tools to the three Tripartite Authorities to cope with failing institutions:</w:t>
      </w:r>
    </w:p>
    <w:p>
      <w:pPr>
        <w:spacing w:after="0" w:line="312" w:lineRule="auto"/>
        <w:sectPr>
          <w:pgSz w:w="11910" w:h="16840"/>
          <w:pgMar w:header="0" w:footer="697" w:top="1360" w:bottom="960" w:left="600" w:right="620"/>
        </w:sectPr>
      </w:pPr>
    </w:p>
    <w:p>
      <w:pPr>
        <w:pStyle w:val="ListParagraph"/>
        <w:numPr>
          <w:ilvl w:val="0"/>
          <w:numId w:val="1"/>
        </w:numPr>
        <w:tabs>
          <w:tab w:pos="1919" w:val="left" w:leader="none"/>
          <w:tab w:pos="1920" w:val="left" w:leader="none"/>
        </w:tabs>
        <w:spacing w:line="309" w:lineRule="auto" w:before="77" w:after="0"/>
        <w:ind w:left="1199" w:right="1603" w:firstLine="0"/>
        <w:jc w:val="left"/>
        <w:rPr>
          <w:sz w:val="24"/>
        </w:rPr>
      </w:pPr>
      <w:r>
        <w:rPr>
          <w:sz w:val="24"/>
        </w:rPr>
        <w:t>First, the transfer of all or part of a bank’s business to a private sector purchaser; something we have already seen used in the resolution of Bradford and Bingley and Kaupthing under the Special Provisions</w:t>
      </w:r>
      <w:r>
        <w:rPr>
          <w:spacing w:val="-6"/>
          <w:sz w:val="24"/>
        </w:rPr>
        <w:t> </w:t>
      </w:r>
      <w:r>
        <w:rPr>
          <w:sz w:val="24"/>
        </w:rPr>
        <w:t>Act.</w:t>
      </w:r>
    </w:p>
    <w:p>
      <w:pPr>
        <w:pStyle w:val="ListParagraph"/>
        <w:numPr>
          <w:ilvl w:val="0"/>
          <w:numId w:val="1"/>
        </w:numPr>
        <w:tabs>
          <w:tab w:pos="1919" w:val="left" w:leader="none"/>
          <w:tab w:pos="1920" w:val="left" w:leader="none"/>
        </w:tabs>
        <w:spacing w:line="309" w:lineRule="auto" w:before="2" w:after="0"/>
        <w:ind w:left="1199" w:right="1376" w:firstLine="0"/>
        <w:jc w:val="left"/>
        <w:rPr>
          <w:sz w:val="24"/>
        </w:rPr>
      </w:pPr>
      <w:r>
        <w:rPr>
          <w:sz w:val="24"/>
        </w:rPr>
        <w:t>Second, the transfer of the viable part of a bank’s business to a temporary bridge bank owned by the Bank of England. This would allow continuity of banking services for its customers whilst enabling due diligence by potential private sector purchasers and providing for the orderly wind down of the rump.</w:t>
      </w:r>
    </w:p>
    <w:p>
      <w:pPr>
        <w:pStyle w:val="ListParagraph"/>
        <w:numPr>
          <w:ilvl w:val="0"/>
          <w:numId w:val="1"/>
        </w:numPr>
        <w:tabs>
          <w:tab w:pos="1919" w:val="left" w:leader="none"/>
          <w:tab w:pos="1920" w:val="left" w:leader="none"/>
        </w:tabs>
        <w:spacing w:line="309" w:lineRule="auto" w:before="6" w:after="0"/>
        <w:ind w:left="1199" w:right="1176" w:firstLine="0"/>
        <w:jc w:val="left"/>
        <w:rPr>
          <w:sz w:val="24"/>
        </w:rPr>
      </w:pPr>
      <w:r>
        <w:rPr>
          <w:sz w:val="24"/>
        </w:rPr>
        <w:t>Third, temporary public ownership which would give the treasury the power to transfer the shares of a failing bank to a nominee of the Treasury. This power would be used in cases where significant amounts of public sector funds are required to stabilise the failing bank or where long term restructuring of the bank is</w:t>
      </w:r>
      <w:r>
        <w:rPr>
          <w:spacing w:val="-11"/>
          <w:sz w:val="24"/>
        </w:rPr>
        <w:t> </w:t>
      </w:r>
      <w:r>
        <w:rPr>
          <w:sz w:val="24"/>
        </w:rPr>
        <w:t>necessary.</w:t>
      </w:r>
    </w:p>
    <w:p>
      <w:pPr>
        <w:pStyle w:val="ListParagraph"/>
        <w:numPr>
          <w:ilvl w:val="0"/>
          <w:numId w:val="1"/>
        </w:numPr>
        <w:tabs>
          <w:tab w:pos="1920" w:val="left" w:leader="none"/>
        </w:tabs>
        <w:spacing w:line="309" w:lineRule="auto" w:before="5" w:after="0"/>
        <w:ind w:left="1199" w:right="1288" w:firstLine="0"/>
        <w:jc w:val="both"/>
        <w:rPr>
          <w:sz w:val="24"/>
        </w:rPr>
      </w:pPr>
      <w:r>
        <w:rPr>
          <w:sz w:val="24"/>
        </w:rPr>
        <w:t>Fourth bank insolvency procedures - a last resort. This would look much like a standard company insolvency but with the important difference that the liquidator’s primary objective would be to assist the FSCS in protecting</w:t>
      </w:r>
      <w:r>
        <w:rPr>
          <w:spacing w:val="-5"/>
          <w:sz w:val="24"/>
        </w:rPr>
        <w:t> </w:t>
      </w:r>
      <w:r>
        <w:rPr>
          <w:sz w:val="24"/>
        </w:rPr>
        <w:t>depositors.</w:t>
      </w:r>
    </w:p>
    <w:p>
      <w:pPr>
        <w:pStyle w:val="BodyText"/>
        <w:spacing w:before="3"/>
        <w:rPr>
          <w:sz w:val="31"/>
        </w:rPr>
      </w:pPr>
    </w:p>
    <w:p>
      <w:pPr>
        <w:pStyle w:val="BodyText"/>
        <w:spacing w:line="312" w:lineRule="auto"/>
        <w:ind w:left="1199" w:right="1233"/>
      </w:pPr>
      <w:r>
        <w:rPr/>
        <w:t>I can understand why there has been some nervousness among banks and investors about this regime and particularly about the powers to split failing banks into “good” and “bad” parts. But equally I think they can see that when a bank is failing it is in everyone’s interests to resolve the situation quickly and cleanly. I hope that they will be reassured by the extensive safeguards we are now proposing, including the guarantee that no creditor will be made worse off in such a split than they would have been in a conventional insolvency and protection of netting and</w:t>
      </w:r>
      <w:r>
        <w:rPr>
          <w:spacing w:val="-6"/>
        </w:rPr>
        <w:t> </w:t>
      </w:r>
      <w:r>
        <w:rPr/>
        <w:t>set-off.</w:t>
      </w:r>
    </w:p>
    <w:p>
      <w:pPr>
        <w:pStyle w:val="BodyText"/>
        <w:spacing w:before="2"/>
        <w:rPr>
          <w:sz w:val="31"/>
        </w:rPr>
      </w:pPr>
    </w:p>
    <w:p>
      <w:pPr>
        <w:pStyle w:val="BodyText"/>
        <w:spacing w:line="312" w:lineRule="auto" w:before="1"/>
        <w:ind w:left="1199" w:right="1203"/>
      </w:pPr>
      <w:r>
        <w:rPr/>
        <w:t>Finally, the financial turmoil has also revealed the need for better international crisis management. The experience of Lehmans has shown once again the problems that arise in the insolvency of a large international bank with operations in many countries. We also saw in late September and early October the danger emerging, of the banking equivalent of the old beggar thy neighbour policy on currency depreciation, as individual countries began to guarantee their own banks’ debt.  On the other side, recent events have also demonstrated how effective international action can be: the coordinated interest rate cuts on the 8</w:t>
      </w:r>
      <w:r>
        <w:rPr>
          <w:vertAlign w:val="superscript"/>
        </w:rPr>
        <w:t>th</w:t>
      </w:r>
      <w:r>
        <w:rPr>
          <w:vertAlign w:val="baseline"/>
        </w:rPr>
        <w:t> of October; the provision of dollar liquidity by central banks and the adoption of national measures to support banks at international meetings during the weekend of 11/12</w:t>
      </w:r>
      <w:r>
        <w:rPr>
          <w:spacing w:val="-2"/>
          <w:vertAlign w:val="baseline"/>
        </w:rPr>
        <w:t> </w:t>
      </w:r>
      <w:r>
        <w:rPr>
          <w:vertAlign w:val="baseline"/>
        </w:rPr>
        <w:t>October.</w:t>
      </w:r>
    </w:p>
    <w:p>
      <w:pPr>
        <w:pStyle w:val="BodyText"/>
        <w:spacing w:before="2"/>
        <w:rPr>
          <w:sz w:val="31"/>
        </w:rPr>
      </w:pPr>
    </w:p>
    <w:p>
      <w:pPr>
        <w:pStyle w:val="BodyText"/>
        <w:spacing w:line="312" w:lineRule="auto"/>
        <w:ind w:left="1199" w:right="1292"/>
      </w:pPr>
      <w:r>
        <w:rPr/>
        <w:t>International groups such as the Financial Stability Forum (FSF) have already started to take action. It has begun to develop a practical checklist of issues and principles that should guide the management of a distressed cross-border institution.</w:t>
      </w:r>
    </w:p>
    <w:p>
      <w:pPr>
        <w:spacing w:after="0" w:line="312" w:lineRule="auto"/>
        <w:sectPr>
          <w:pgSz w:w="11910" w:h="16840"/>
          <w:pgMar w:header="0" w:footer="697" w:top="1360" w:bottom="960" w:left="600" w:right="620"/>
        </w:sectPr>
      </w:pPr>
    </w:p>
    <w:p>
      <w:pPr>
        <w:pStyle w:val="BodyText"/>
        <w:spacing w:line="312" w:lineRule="auto" w:before="76"/>
        <w:ind w:left="1199" w:right="1537"/>
        <w:jc w:val="both"/>
      </w:pPr>
      <w:r>
        <w:rPr/>
        <w:t>Having started with Mark Twain I want to finish with another quote this time from from Santayana:</w:t>
      </w:r>
    </w:p>
    <w:p>
      <w:pPr>
        <w:pStyle w:val="BodyText"/>
        <w:spacing w:before="3"/>
        <w:rPr>
          <w:sz w:val="31"/>
        </w:rPr>
      </w:pPr>
    </w:p>
    <w:p>
      <w:pPr>
        <w:pStyle w:val="BodyText"/>
        <w:spacing w:line="312" w:lineRule="auto"/>
        <w:ind w:left="1739" w:right="2386"/>
      </w:pPr>
      <w:r>
        <w:rPr/>
        <w:t>‘A man’s memory may …become the art of continually varying and misrepresenting his past, according to his interests in the present.’</w:t>
      </w:r>
      <w:r>
        <w:rPr>
          <w:vertAlign w:val="superscript"/>
        </w:rPr>
        <w:t>1</w:t>
      </w:r>
    </w:p>
    <w:p>
      <w:pPr>
        <w:pStyle w:val="BodyText"/>
        <w:spacing w:before="2"/>
        <w:rPr>
          <w:sz w:val="31"/>
        </w:rPr>
      </w:pPr>
    </w:p>
    <w:p>
      <w:pPr>
        <w:pStyle w:val="BodyText"/>
        <w:spacing w:line="312" w:lineRule="auto"/>
        <w:ind w:left="1199" w:right="1642"/>
        <w:jc w:val="both"/>
      </w:pPr>
      <w:r>
        <w:rPr/>
        <w:t>One lesson from recent events is the need for rigour, balance and transparency in policy making and risk assessment. I hope that the Bank can play a part in that in future as it has in the past.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r>
        <w:rPr/>
        <w:pict>
          <v:shape style="position:absolute;margin-left:90pt;margin-top:13.596655pt;width:144pt;height:.1pt;mso-position-horizontal-relative:page;mso-position-vertical-relative:paragraph;z-index:-251656192;mso-wrap-distance-left:0;mso-wrap-distance-right:0" coordorigin="1800,272" coordsize="2880,0" path="m1800,272l4680,272e" filled="false" stroked="true" strokeweight=".600010pt" strokecolor="#000000">
            <v:path arrowok="t"/>
            <v:stroke dashstyle="solid"/>
            <w10:wrap type="topAndBottom"/>
          </v:shape>
        </w:pict>
      </w:r>
    </w:p>
    <w:p>
      <w:pPr>
        <w:spacing w:before="49"/>
        <w:ind w:left="1200" w:right="0" w:firstLine="0"/>
        <w:jc w:val="left"/>
        <w:rPr>
          <w:sz w:val="20"/>
        </w:rPr>
      </w:pPr>
      <w:r>
        <w:rPr>
          <w:position w:val="9"/>
          <w:sz w:val="13"/>
        </w:rPr>
        <w:t>1 </w:t>
      </w:r>
      <w:r>
        <w:rPr>
          <w:sz w:val="20"/>
        </w:rPr>
        <w:t>“Reasons and places”, George Santayana.</w:t>
      </w:r>
    </w:p>
    <w:p>
      <w:pPr>
        <w:spacing w:after="0"/>
        <w:jc w:val="left"/>
        <w:rPr>
          <w:sz w:val="20"/>
        </w:rPr>
        <w:sectPr>
          <w:pgSz w:w="11910" w:h="16840"/>
          <w:pgMar w:header="0" w:footer="697" w:top="1360" w:bottom="960" w:left="600" w:right="62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0"/>
        <w:gridCol w:w="688"/>
        <w:gridCol w:w="510"/>
        <w:gridCol w:w="557"/>
        <w:gridCol w:w="362"/>
        <w:gridCol w:w="3100"/>
      </w:tblGrid>
      <w:tr>
        <w:trPr>
          <w:trHeight w:val="551" w:hRule="atLeas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1: Financial market liquidity</w:t>
            </w:r>
          </w:p>
        </w:tc>
        <w:tc>
          <w:tcPr>
            <w:tcW w:w="52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before="2"/>
              <w:ind w:left="107" w:right="232"/>
              <w:rPr>
                <w:b/>
                <w:sz w:val="24"/>
              </w:rPr>
            </w:pPr>
            <w:r>
              <w:rPr>
                <w:b/>
                <w:sz w:val="24"/>
              </w:rPr>
              <w:t>Chart 2: Household consumption growth: what happened to the boom?</w:t>
            </w:r>
          </w:p>
        </w:tc>
      </w:tr>
      <w:tr>
        <w:trPr>
          <w:trHeight w:val="271" w:hRule="atLeast"/>
        </w:trPr>
        <w:tc>
          <w:tcPr>
            <w:tcW w:w="522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568"/>
              <w:jc w:val="right"/>
              <w:rPr>
                <w:sz w:val="20"/>
              </w:rPr>
            </w:pPr>
            <w:r>
              <w:rPr>
                <w:sz w:val="20"/>
              </w:rPr>
              <w:t>Liquidity index</w:t>
            </w:r>
          </w:p>
          <w:p>
            <w:pPr>
              <w:pStyle w:val="TableParagraph"/>
              <w:spacing w:line="219" w:lineRule="exact"/>
              <w:ind w:right="492"/>
              <w:jc w:val="right"/>
              <w:rPr>
                <w:sz w:val="20"/>
              </w:rPr>
            </w:pPr>
            <w:r>
              <w:rPr>
                <w:spacing w:val="-1"/>
                <w:sz w:val="20"/>
              </w:rPr>
              <w:t>1.0</w:t>
            </w:r>
          </w:p>
          <w:p>
            <w:pPr>
              <w:pStyle w:val="TableParagraph"/>
              <w:spacing w:before="7"/>
              <w:rPr>
                <w:sz w:val="21"/>
              </w:rPr>
            </w:pPr>
          </w:p>
          <w:p>
            <w:pPr>
              <w:pStyle w:val="TableParagraph"/>
              <w:ind w:left="4465"/>
              <w:rPr>
                <w:sz w:val="20"/>
              </w:rPr>
            </w:pPr>
            <w:r>
              <w:rPr>
                <w:sz w:val="20"/>
              </w:rPr>
              <w:t>0.5</w:t>
            </w:r>
          </w:p>
          <w:p>
            <w:pPr>
              <w:pStyle w:val="TableParagraph"/>
              <w:spacing w:line="184" w:lineRule="auto" w:before="96"/>
              <w:ind w:left="4465" w:right="400" w:firstLine="212"/>
              <w:rPr>
                <w:sz w:val="20"/>
              </w:rPr>
            </w:pPr>
            <w:r>
              <w:rPr>
                <w:sz w:val="20"/>
              </w:rPr>
              <w:t>+ 0.0</w:t>
            </w:r>
          </w:p>
          <w:p>
            <w:pPr>
              <w:pStyle w:val="TableParagraph"/>
              <w:spacing w:line="219" w:lineRule="exact" w:before="48"/>
              <w:ind w:right="467"/>
              <w:jc w:val="right"/>
              <w:rPr>
                <w:sz w:val="20"/>
              </w:rPr>
            </w:pPr>
            <w:r>
              <w:rPr>
                <w:w w:val="100"/>
                <w:sz w:val="20"/>
              </w:rPr>
              <w:t>-</w:t>
            </w:r>
          </w:p>
          <w:p>
            <w:pPr>
              <w:pStyle w:val="TableParagraph"/>
              <w:spacing w:line="219" w:lineRule="exact"/>
              <w:ind w:right="492"/>
              <w:jc w:val="right"/>
              <w:rPr>
                <w:sz w:val="20"/>
              </w:rPr>
            </w:pPr>
            <w:r>
              <w:rPr>
                <w:spacing w:val="-1"/>
                <w:sz w:val="20"/>
              </w:rPr>
              <w:t>0.5</w:t>
            </w:r>
          </w:p>
          <w:p>
            <w:pPr>
              <w:pStyle w:val="TableParagraph"/>
              <w:spacing w:before="2"/>
              <w:rPr>
                <w:sz w:val="20"/>
              </w:rPr>
            </w:pPr>
          </w:p>
          <w:p>
            <w:pPr>
              <w:pStyle w:val="TableParagraph"/>
              <w:ind w:left="4465"/>
              <w:rPr>
                <w:sz w:val="20"/>
              </w:rPr>
            </w:pPr>
            <w:r>
              <w:rPr>
                <w:sz w:val="20"/>
              </w:rPr>
              <w:t>1.0</w:t>
            </w:r>
          </w:p>
          <w:p>
            <w:pPr>
              <w:pStyle w:val="TableParagraph"/>
              <w:spacing w:before="5"/>
              <w:rPr>
                <w:sz w:val="21"/>
              </w:rPr>
            </w:pPr>
          </w:p>
          <w:p>
            <w:pPr>
              <w:pStyle w:val="TableParagraph"/>
              <w:ind w:left="4465"/>
              <w:rPr>
                <w:sz w:val="20"/>
              </w:rPr>
            </w:pPr>
            <w:r>
              <w:rPr>
                <w:sz w:val="20"/>
              </w:rPr>
              <w:t>1.5</w:t>
            </w:r>
          </w:p>
          <w:p>
            <w:pPr>
              <w:pStyle w:val="TableParagraph"/>
              <w:rPr>
                <w:sz w:val="20"/>
              </w:rPr>
            </w:pPr>
          </w:p>
          <w:p>
            <w:pPr>
              <w:pStyle w:val="TableParagraph"/>
              <w:ind w:left="4465"/>
              <w:rPr>
                <w:sz w:val="20"/>
              </w:rPr>
            </w:pPr>
            <w:r>
              <w:rPr>
                <w:sz w:val="20"/>
              </w:rPr>
              <w:t>2.0</w:t>
            </w:r>
          </w:p>
          <w:p>
            <w:pPr>
              <w:pStyle w:val="TableParagraph"/>
              <w:spacing w:before="7"/>
              <w:rPr>
                <w:sz w:val="21"/>
              </w:rPr>
            </w:pPr>
          </w:p>
          <w:p>
            <w:pPr>
              <w:pStyle w:val="TableParagraph"/>
              <w:ind w:left="4465"/>
              <w:rPr>
                <w:sz w:val="20"/>
              </w:rPr>
            </w:pPr>
            <w:r>
              <w:rPr>
                <w:sz w:val="20"/>
              </w:rPr>
              <w:t>2.5</w:t>
            </w:r>
          </w:p>
          <w:p>
            <w:pPr>
              <w:pStyle w:val="TableParagraph"/>
              <w:tabs>
                <w:tab w:pos="585" w:val="left" w:leader="none"/>
                <w:tab w:pos="1082" w:val="left" w:leader="none"/>
                <w:tab w:pos="1558" w:val="left" w:leader="none"/>
                <w:tab w:pos="2037" w:val="left" w:leader="none"/>
                <w:tab w:pos="2532" w:val="left" w:leader="none"/>
                <w:tab w:pos="3011" w:val="left" w:leader="none"/>
                <w:tab w:pos="3507" w:val="left" w:leader="none"/>
                <w:tab w:pos="3986" w:val="left" w:leader="none"/>
              </w:tabs>
              <w:spacing w:before="52"/>
              <w:ind w:left="107"/>
              <w:rPr>
                <w:sz w:val="20"/>
              </w:rPr>
            </w:pPr>
            <w:r>
              <w:rPr>
                <w:sz w:val="20"/>
              </w:rPr>
              <w:t>92</w:t>
              <w:tab/>
              <w:t>94</w:t>
              <w:tab/>
              <w:t>96</w:t>
              <w:tab/>
              <w:t>98</w:t>
              <w:tab/>
              <w:t>00</w:t>
              <w:tab/>
              <w:t>02</w:t>
              <w:tab/>
              <w:t>04</w:t>
              <w:tab/>
              <w:t>06</w:t>
              <w:tab/>
              <w:t>08</w:t>
            </w:r>
          </w:p>
          <w:p>
            <w:pPr>
              <w:pStyle w:val="TableParagraph"/>
              <w:spacing w:before="4"/>
              <w:ind w:left="107" w:right="128"/>
              <w:rPr>
                <w:sz w:val="16"/>
              </w:rPr>
            </w:pPr>
            <w:r>
              <w:rPr>
                <w:sz w:val="16"/>
              </w:rPr>
              <w:t>Sources: Bank of England. Bloomberg, Chicago Board Options Exchange, Debt Management Office, London Stock Exchange, Merrill Lynch, Thomson</w:t>
            </w:r>
          </w:p>
          <w:p>
            <w:pPr>
              <w:pStyle w:val="TableParagraph"/>
              <w:spacing w:line="168" w:lineRule="exact" w:before="1"/>
              <w:ind w:left="107"/>
              <w:rPr>
                <w:sz w:val="16"/>
              </w:rPr>
            </w:pPr>
            <w:r>
              <w:rPr>
                <w:sz w:val="16"/>
              </w:rPr>
              <w:t>Datastream and Bank calculations</w:t>
            </w:r>
          </w:p>
        </w:tc>
        <w:tc>
          <w:tcPr>
            <w:tcW w:w="688" w:type="dxa"/>
            <w:tcBorders>
              <w:top w:val="single" w:sz="4" w:space="0" w:color="000000"/>
              <w:left w:val="single" w:sz="4" w:space="0" w:color="000000"/>
            </w:tcBorders>
          </w:tcPr>
          <w:p>
            <w:pPr>
              <w:pStyle w:val="TableParagraph"/>
              <w:rPr>
                <w:sz w:val="18"/>
              </w:rPr>
            </w:pPr>
          </w:p>
        </w:tc>
        <w:tc>
          <w:tcPr>
            <w:tcW w:w="510" w:type="dxa"/>
            <w:tcBorders>
              <w:top w:val="single" w:sz="4" w:space="0" w:color="000000"/>
            </w:tcBorders>
          </w:tcPr>
          <w:p>
            <w:pPr>
              <w:pStyle w:val="TableParagraph"/>
              <w:rPr>
                <w:sz w:val="18"/>
              </w:rPr>
            </w:pPr>
          </w:p>
        </w:tc>
        <w:tc>
          <w:tcPr>
            <w:tcW w:w="557" w:type="dxa"/>
            <w:tcBorders>
              <w:top w:val="single" w:sz="4" w:space="0" w:color="000000"/>
            </w:tcBorders>
          </w:tcPr>
          <w:p>
            <w:pPr>
              <w:pStyle w:val="TableParagraph"/>
              <w:rPr>
                <w:sz w:val="18"/>
              </w:rPr>
            </w:pPr>
          </w:p>
        </w:tc>
        <w:tc>
          <w:tcPr>
            <w:tcW w:w="362" w:type="dxa"/>
            <w:tcBorders>
              <w:top w:val="single" w:sz="4" w:space="0" w:color="000000"/>
            </w:tcBorders>
          </w:tcPr>
          <w:p>
            <w:pPr>
              <w:pStyle w:val="TableParagraph"/>
              <w:rPr>
                <w:sz w:val="18"/>
              </w:rPr>
            </w:pPr>
          </w:p>
        </w:tc>
        <w:tc>
          <w:tcPr>
            <w:tcW w:w="3100" w:type="dxa"/>
            <w:tcBorders>
              <w:top w:val="single" w:sz="4" w:space="0" w:color="000000"/>
              <w:right w:val="single" w:sz="4" w:space="0" w:color="000000"/>
            </w:tcBorders>
          </w:tcPr>
          <w:p>
            <w:pPr>
              <w:pStyle w:val="TableParagraph"/>
              <w:spacing w:before="57"/>
              <w:ind w:right="260"/>
              <w:jc w:val="right"/>
              <w:rPr>
                <w:sz w:val="15"/>
              </w:rPr>
            </w:pPr>
            <w:r>
              <w:rPr>
                <w:w w:val="105"/>
                <w:sz w:val="15"/>
              </w:rPr>
              <w:t>Percentage changes on a year earlier</w:t>
            </w:r>
          </w:p>
        </w:tc>
      </w:tr>
      <w:tr>
        <w:trPr>
          <w:trHeight w:val="305"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rPr>
                <w:sz w:val="18"/>
              </w:rPr>
            </w:pPr>
          </w:p>
        </w:tc>
        <w:tc>
          <w:tcPr>
            <w:tcW w:w="362" w:type="dxa"/>
          </w:tcPr>
          <w:p>
            <w:pPr>
              <w:pStyle w:val="TableParagraph"/>
              <w:rPr>
                <w:sz w:val="18"/>
              </w:rPr>
            </w:pPr>
          </w:p>
        </w:tc>
        <w:tc>
          <w:tcPr>
            <w:tcW w:w="3100" w:type="dxa"/>
            <w:tcBorders>
              <w:right w:val="single" w:sz="4" w:space="0" w:color="000000"/>
            </w:tcBorders>
          </w:tcPr>
          <w:p>
            <w:pPr>
              <w:pStyle w:val="TableParagraph"/>
              <w:spacing w:before="38"/>
              <w:ind w:right="251"/>
              <w:jc w:val="right"/>
              <w:rPr>
                <w:sz w:val="15"/>
              </w:rPr>
            </w:pPr>
            <w:r>
              <w:rPr>
                <w:sz w:val="15"/>
              </w:rPr>
              <w:t>10</w:t>
            </w:r>
          </w:p>
        </w:tc>
      </w:tr>
      <w:tr>
        <w:trPr>
          <w:trHeight w:val="280"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spacing w:line="169" w:lineRule="exact" w:before="91"/>
              <w:ind w:right="98"/>
              <w:jc w:val="center"/>
              <w:rPr>
                <w:sz w:val="15"/>
              </w:rPr>
            </w:pPr>
            <w:r>
              <w:rPr>
                <w:w w:val="102"/>
                <w:sz w:val="15"/>
                <w:u w:val="thick" w:color="FF9A00"/>
              </w:rPr>
              <w:t> </w:t>
            </w:r>
            <w:r>
              <w:rPr>
                <w:spacing w:val="3"/>
                <w:sz w:val="15"/>
                <w:u w:val="thick" w:color="FF9A00"/>
              </w:rPr>
              <w:t> </w:t>
            </w:r>
          </w:p>
        </w:tc>
        <w:tc>
          <w:tcPr>
            <w:tcW w:w="362" w:type="dxa"/>
          </w:tcPr>
          <w:p>
            <w:pPr>
              <w:pStyle w:val="TableParagraph"/>
              <w:rPr>
                <w:sz w:val="18"/>
              </w:rPr>
            </w:pPr>
          </w:p>
        </w:tc>
        <w:tc>
          <w:tcPr>
            <w:tcW w:w="3100" w:type="dxa"/>
            <w:tcBorders>
              <w:right w:val="single" w:sz="4" w:space="0" w:color="000000"/>
            </w:tcBorders>
          </w:tcPr>
          <w:p>
            <w:pPr>
              <w:pStyle w:val="TableParagraph"/>
              <w:tabs>
                <w:tab w:pos="1525" w:val="right" w:leader="none"/>
              </w:tabs>
              <w:spacing w:line="168" w:lineRule="exact" w:before="92"/>
              <w:ind w:right="316"/>
              <w:jc w:val="right"/>
              <w:rPr>
                <w:sz w:val="15"/>
              </w:rPr>
            </w:pPr>
            <w:r>
              <w:rPr>
                <w:spacing w:val="-5"/>
                <w:w w:val="105"/>
                <w:position w:val="1"/>
                <w:sz w:val="15"/>
              </w:rPr>
              <w:t>1973</w:t>
            </w:r>
            <w:r>
              <w:rPr>
                <w:spacing w:val="-11"/>
                <w:w w:val="105"/>
                <w:position w:val="1"/>
                <w:sz w:val="15"/>
              </w:rPr>
              <w:t> </w:t>
            </w:r>
            <w:r>
              <w:rPr>
                <w:spacing w:val="-3"/>
                <w:w w:val="105"/>
                <w:position w:val="1"/>
                <w:sz w:val="15"/>
              </w:rPr>
              <w:t>Q3</w:t>
              <w:tab/>
            </w:r>
            <w:r>
              <w:rPr>
                <w:w w:val="105"/>
                <w:sz w:val="15"/>
              </w:rPr>
              <w:t>8</w:t>
            </w:r>
          </w:p>
        </w:tc>
      </w:tr>
      <w:tr>
        <w:trPr>
          <w:trHeight w:val="220"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4"/>
              </w:rPr>
            </w:pPr>
          </w:p>
        </w:tc>
        <w:tc>
          <w:tcPr>
            <w:tcW w:w="510" w:type="dxa"/>
          </w:tcPr>
          <w:p>
            <w:pPr>
              <w:pStyle w:val="TableParagraph"/>
              <w:rPr>
                <w:sz w:val="14"/>
              </w:rPr>
            </w:pPr>
          </w:p>
        </w:tc>
        <w:tc>
          <w:tcPr>
            <w:tcW w:w="557" w:type="dxa"/>
          </w:tcPr>
          <w:p>
            <w:pPr>
              <w:pStyle w:val="TableParagraph"/>
              <w:rPr>
                <w:sz w:val="14"/>
              </w:rPr>
            </w:pPr>
          </w:p>
        </w:tc>
        <w:tc>
          <w:tcPr>
            <w:tcW w:w="362" w:type="dxa"/>
          </w:tcPr>
          <w:p>
            <w:pPr>
              <w:pStyle w:val="TableParagraph"/>
              <w:rPr>
                <w:sz w:val="14"/>
              </w:rPr>
            </w:pPr>
          </w:p>
        </w:tc>
        <w:tc>
          <w:tcPr>
            <w:tcW w:w="3100" w:type="dxa"/>
            <w:tcBorders>
              <w:right w:val="single" w:sz="4" w:space="0" w:color="000000"/>
            </w:tcBorders>
          </w:tcPr>
          <w:p>
            <w:pPr>
              <w:pStyle w:val="TableParagraph"/>
              <w:tabs>
                <w:tab w:pos="285" w:val="left" w:leader="none"/>
                <w:tab w:pos="1847" w:val="right" w:leader="none"/>
              </w:tabs>
              <w:spacing w:line="40" w:lineRule="auto"/>
              <w:ind w:right="316"/>
              <w:jc w:val="right"/>
              <w:rPr>
                <w:sz w:val="15"/>
              </w:rPr>
            </w:pPr>
            <w:r>
              <w:rPr>
                <w:w w:val="100"/>
                <w:position w:val="-9"/>
                <w:sz w:val="20"/>
                <w:u w:val="thick" w:color="FF9A00"/>
              </w:rPr>
              <w:t> </w:t>
            </w:r>
            <w:r>
              <w:rPr>
                <w:position w:val="-9"/>
                <w:sz w:val="20"/>
                <w:u w:val="thick" w:color="FF9A00"/>
              </w:rPr>
              <w:tab/>
            </w:r>
            <w:r>
              <w:rPr>
                <w:spacing w:val="-14"/>
                <w:position w:val="-9"/>
                <w:sz w:val="20"/>
              </w:rPr>
              <w:t> </w:t>
            </w:r>
            <w:r>
              <w:rPr>
                <w:spacing w:val="-5"/>
                <w:w w:val="105"/>
                <w:sz w:val="15"/>
              </w:rPr>
              <w:t>1980</w:t>
            </w:r>
            <w:r>
              <w:rPr>
                <w:spacing w:val="-11"/>
                <w:w w:val="105"/>
                <w:sz w:val="15"/>
              </w:rPr>
              <w:t> </w:t>
            </w:r>
            <w:r>
              <w:rPr>
                <w:spacing w:val="-3"/>
                <w:w w:val="105"/>
                <w:sz w:val="15"/>
              </w:rPr>
              <w:t>Q1</w:t>
              <w:tab/>
            </w:r>
            <w:r>
              <w:rPr>
                <w:w w:val="105"/>
                <w:position w:val="-16"/>
                <w:sz w:val="15"/>
              </w:rPr>
              <w:t>6</w:t>
            </w:r>
          </w:p>
        </w:tc>
      </w:tr>
      <w:tr>
        <w:trPr>
          <w:trHeight w:val="215"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4"/>
              </w:rPr>
            </w:pPr>
          </w:p>
        </w:tc>
        <w:tc>
          <w:tcPr>
            <w:tcW w:w="510" w:type="dxa"/>
          </w:tcPr>
          <w:p>
            <w:pPr>
              <w:pStyle w:val="TableParagraph"/>
              <w:rPr>
                <w:sz w:val="14"/>
              </w:rPr>
            </w:pPr>
          </w:p>
        </w:tc>
        <w:tc>
          <w:tcPr>
            <w:tcW w:w="557" w:type="dxa"/>
          </w:tcPr>
          <w:p>
            <w:pPr>
              <w:pStyle w:val="TableParagraph"/>
              <w:rPr>
                <w:sz w:val="14"/>
              </w:rPr>
            </w:pPr>
          </w:p>
        </w:tc>
        <w:tc>
          <w:tcPr>
            <w:tcW w:w="362" w:type="dxa"/>
          </w:tcPr>
          <w:p>
            <w:pPr>
              <w:pStyle w:val="TableParagraph"/>
              <w:rPr>
                <w:sz w:val="14"/>
              </w:rPr>
            </w:pPr>
          </w:p>
        </w:tc>
        <w:tc>
          <w:tcPr>
            <w:tcW w:w="3100" w:type="dxa"/>
            <w:tcBorders>
              <w:right w:val="single" w:sz="4" w:space="0" w:color="000000"/>
            </w:tcBorders>
          </w:tcPr>
          <w:p>
            <w:pPr>
              <w:pStyle w:val="TableParagraph"/>
              <w:spacing w:before="20"/>
              <w:ind w:left="1211" w:right="1296"/>
              <w:jc w:val="center"/>
              <w:rPr>
                <w:sz w:val="15"/>
              </w:rPr>
            </w:pPr>
            <w:r>
              <w:rPr>
                <w:w w:val="105"/>
                <w:sz w:val="15"/>
              </w:rPr>
              <w:t>1990 Q3</w:t>
            </w:r>
          </w:p>
        </w:tc>
      </w:tr>
      <w:tr>
        <w:trPr>
          <w:trHeight w:val="346"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rPr>
                <w:sz w:val="18"/>
              </w:rPr>
            </w:pPr>
          </w:p>
        </w:tc>
        <w:tc>
          <w:tcPr>
            <w:tcW w:w="362" w:type="dxa"/>
          </w:tcPr>
          <w:p>
            <w:pPr>
              <w:pStyle w:val="TableParagraph"/>
              <w:rPr>
                <w:sz w:val="18"/>
              </w:rPr>
            </w:pPr>
          </w:p>
        </w:tc>
        <w:tc>
          <w:tcPr>
            <w:tcW w:w="3100" w:type="dxa"/>
            <w:tcBorders>
              <w:right w:val="single" w:sz="4" w:space="0" w:color="000000"/>
            </w:tcBorders>
          </w:tcPr>
          <w:p>
            <w:pPr>
              <w:pStyle w:val="TableParagraph"/>
              <w:tabs>
                <w:tab w:pos="1251" w:val="left" w:leader="none"/>
                <w:tab w:pos="2776" w:val="right" w:leader="none"/>
              </w:tabs>
              <w:spacing w:before="20"/>
              <w:ind w:left="39"/>
              <w:rPr>
                <w:sz w:val="15"/>
              </w:rPr>
            </w:pPr>
            <w:r>
              <w:rPr>
                <w:w w:val="102"/>
                <w:sz w:val="15"/>
                <w:u w:val="thick"/>
              </w:rPr>
              <w:t> </w:t>
            </w:r>
            <w:r>
              <w:rPr>
                <w:sz w:val="15"/>
                <w:u w:val="thick"/>
              </w:rPr>
              <w:t>  </w:t>
            </w:r>
            <w:r>
              <w:rPr>
                <w:spacing w:val="-9"/>
                <w:sz w:val="15"/>
                <w:u w:val="thick"/>
              </w:rPr>
              <w:t> </w:t>
            </w:r>
            <w:r>
              <w:rPr>
                <w:sz w:val="15"/>
              </w:rPr>
              <w:tab/>
            </w:r>
            <w:r>
              <w:rPr>
                <w:spacing w:val="-5"/>
                <w:w w:val="105"/>
                <w:sz w:val="15"/>
              </w:rPr>
              <w:t>2008</w:t>
            </w:r>
            <w:r>
              <w:rPr>
                <w:spacing w:val="-11"/>
                <w:w w:val="105"/>
                <w:sz w:val="15"/>
              </w:rPr>
              <w:t> </w:t>
            </w:r>
            <w:r>
              <w:rPr>
                <w:spacing w:val="-3"/>
                <w:w w:val="105"/>
                <w:sz w:val="15"/>
              </w:rPr>
              <w:t>Q3</w:t>
              <w:tab/>
            </w:r>
            <w:r>
              <w:rPr>
                <w:w w:val="105"/>
                <w:position w:val="-9"/>
                <w:sz w:val="15"/>
              </w:rPr>
              <w:t>4</w:t>
            </w:r>
          </w:p>
        </w:tc>
      </w:tr>
      <w:tr>
        <w:trPr>
          <w:trHeight w:val="423"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rPr>
                <w:sz w:val="18"/>
              </w:rPr>
            </w:pPr>
          </w:p>
        </w:tc>
        <w:tc>
          <w:tcPr>
            <w:tcW w:w="362" w:type="dxa"/>
          </w:tcPr>
          <w:p>
            <w:pPr>
              <w:pStyle w:val="TableParagraph"/>
              <w:rPr>
                <w:sz w:val="18"/>
              </w:rPr>
            </w:pPr>
          </w:p>
        </w:tc>
        <w:tc>
          <w:tcPr>
            <w:tcW w:w="3100" w:type="dxa"/>
            <w:tcBorders>
              <w:right w:val="single" w:sz="4" w:space="0" w:color="000000"/>
            </w:tcBorders>
          </w:tcPr>
          <w:p>
            <w:pPr>
              <w:pStyle w:val="TableParagraph"/>
              <w:spacing w:before="1"/>
              <w:rPr>
                <w:sz w:val="13"/>
              </w:rPr>
            </w:pPr>
          </w:p>
          <w:p>
            <w:pPr>
              <w:pStyle w:val="TableParagraph"/>
              <w:ind w:right="316"/>
              <w:jc w:val="right"/>
              <w:rPr>
                <w:sz w:val="15"/>
              </w:rPr>
            </w:pPr>
            <w:r>
              <w:rPr>
                <w:w w:val="102"/>
                <w:sz w:val="15"/>
              </w:rPr>
              <w:t>2</w:t>
            </w:r>
          </w:p>
        </w:tc>
      </w:tr>
      <w:tr>
        <w:trPr>
          <w:trHeight w:val="369"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rPr>
                <w:sz w:val="18"/>
              </w:rPr>
            </w:pPr>
          </w:p>
        </w:tc>
        <w:tc>
          <w:tcPr>
            <w:tcW w:w="362" w:type="dxa"/>
          </w:tcPr>
          <w:p>
            <w:pPr>
              <w:pStyle w:val="TableParagraph"/>
              <w:rPr>
                <w:sz w:val="18"/>
              </w:rPr>
            </w:pPr>
          </w:p>
        </w:tc>
        <w:tc>
          <w:tcPr>
            <w:tcW w:w="3100" w:type="dxa"/>
            <w:tcBorders>
              <w:right w:val="single" w:sz="4" w:space="0" w:color="000000"/>
            </w:tcBorders>
          </w:tcPr>
          <w:p>
            <w:pPr>
              <w:pStyle w:val="TableParagraph"/>
              <w:spacing w:before="97"/>
              <w:ind w:right="316"/>
              <w:jc w:val="right"/>
              <w:rPr>
                <w:sz w:val="15"/>
              </w:rPr>
            </w:pPr>
            <w:r>
              <w:rPr>
                <w:w w:val="102"/>
                <w:sz w:val="15"/>
              </w:rPr>
              <w:t>0</w:t>
            </w:r>
          </w:p>
        </w:tc>
      </w:tr>
      <w:tr>
        <w:trPr>
          <w:trHeight w:val="369"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rPr>
                <w:sz w:val="18"/>
              </w:rPr>
            </w:pPr>
          </w:p>
        </w:tc>
        <w:tc>
          <w:tcPr>
            <w:tcW w:w="362" w:type="dxa"/>
          </w:tcPr>
          <w:p>
            <w:pPr>
              <w:pStyle w:val="TableParagraph"/>
              <w:rPr>
                <w:sz w:val="18"/>
              </w:rPr>
            </w:pPr>
          </w:p>
        </w:tc>
        <w:tc>
          <w:tcPr>
            <w:tcW w:w="3100" w:type="dxa"/>
            <w:tcBorders>
              <w:right w:val="single" w:sz="4" w:space="0" w:color="000000"/>
            </w:tcBorders>
          </w:tcPr>
          <w:p>
            <w:pPr>
              <w:pStyle w:val="TableParagraph"/>
              <w:spacing w:before="96"/>
              <w:ind w:right="271"/>
              <w:jc w:val="right"/>
              <w:rPr>
                <w:sz w:val="15"/>
              </w:rPr>
            </w:pPr>
            <w:r>
              <w:rPr>
                <w:sz w:val="15"/>
              </w:rPr>
              <w:t>-2</w:t>
            </w:r>
          </w:p>
        </w:tc>
      </w:tr>
      <w:tr>
        <w:trPr>
          <w:trHeight w:val="369"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rPr>
                <w:sz w:val="18"/>
              </w:rPr>
            </w:pPr>
          </w:p>
        </w:tc>
        <w:tc>
          <w:tcPr>
            <w:tcW w:w="362" w:type="dxa"/>
          </w:tcPr>
          <w:p>
            <w:pPr>
              <w:pStyle w:val="TableParagraph"/>
              <w:rPr>
                <w:sz w:val="18"/>
              </w:rPr>
            </w:pPr>
          </w:p>
        </w:tc>
        <w:tc>
          <w:tcPr>
            <w:tcW w:w="3100" w:type="dxa"/>
            <w:tcBorders>
              <w:right w:val="single" w:sz="4" w:space="0" w:color="000000"/>
            </w:tcBorders>
          </w:tcPr>
          <w:p>
            <w:pPr>
              <w:pStyle w:val="TableParagraph"/>
              <w:spacing w:before="97"/>
              <w:ind w:right="271"/>
              <w:jc w:val="right"/>
              <w:rPr>
                <w:sz w:val="15"/>
              </w:rPr>
            </w:pPr>
            <w:r>
              <w:rPr>
                <w:sz w:val="15"/>
              </w:rPr>
              <w:t>-4</w:t>
            </w:r>
          </w:p>
        </w:tc>
      </w:tr>
      <w:tr>
        <w:trPr>
          <w:trHeight w:val="292"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rPr>
                <w:sz w:val="18"/>
              </w:rPr>
            </w:pPr>
          </w:p>
        </w:tc>
        <w:tc>
          <w:tcPr>
            <w:tcW w:w="510" w:type="dxa"/>
          </w:tcPr>
          <w:p>
            <w:pPr>
              <w:pStyle w:val="TableParagraph"/>
              <w:rPr>
                <w:sz w:val="18"/>
              </w:rPr>
            </w:pPr>
          </w:p>
        </w:tc>
        <w:tc>
          <w:tcPr>
            <w:tcW w:w="557" w:type="dxa"/>
          </w:tcPr>
          <w:p>
            <w:pPr>
              <w:pStyle w:val="TableParagraph"/>
              <w:rPr>
                <w:sz w:val="18"/>
              </w:rPr>
            </w:pPr>
          </w:p>
        </w:tc>
        <w:tc>
          <w:tcPr>
            <w:tcW w:w="362" w:type="dxa"/>
          </w:tcPr>
          <w:p>
            <w:pPr>
              <w:pStyle w:val="TableParagraph"/>
              <w:rPr>
                <w:sz w:val="18"/>
              </w:rPr>
            </w:pPr>
          </w:p>
        </w:tc>
        <w:tc>
          <w:tcPr>
            <w:tcW w:w="3100" w:type="dxa"/>
            <w:tcBorders>
              <w:right w:val="single" w:sz="4" w:space="0" w:color="000000"/>
            </w:tcBorders>
          </w:tcPr>
          <w:p>
            <w:pPr>
              <w:pStyle w:val="TableParagraph"/>
              <w:spacing w:before="96"/>
              <w:ind w:right="271"/>
              <w:jc w:val="right"/>
              <w:rPr>
                <w:sz w:val="15"/>
              </w:rPr>
            </w:pPr>
            <w:r>
              <w:rPr>
                <w:sz w:val="15"/>
              </w:rPr>
              <w:t>-6</w:t>
            </w:r>
          </w:p>
        </w:tc>
      </w:tr>
      <w:tr>
        <w:trPr>
          <w:trHeight w:val="233"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tcBorders>
          </w:tcPr>
          <w:p>
            <w:pPr>
              <w:pStyle w:val="TableParagraph"/>
              <w:spacing w:before="20"/>
              <w:ind w:left="322"/>
              <w:rPr>
                <w:sz w:val="15"/>
              </w:rPr>
            </w:pPr>
            <w:r>
              <w:rPr>
                <w:w w:val="105"/>
                <w:sz w:val="15"/>
              </w:rPr>
              <w:t>-16</w:t>
            </w:r>
          </w:p>
        </w:tc>
        <w:tc>
          <w:tcPr>
            <w:tcW w:w="510" w:type="dxa"/>
          </w:tcPr>
          <w:p>
            <w:pPr>
              <w:pStyle w:val="TableParagraph"/>
              <w:spacing w:before="20"/>
              <w:ind w:left="174"/>
              <w:rPr>
                <w:sz w:val="15"/>
              </w:rPr>
            </w:pPr>
            <w:r>
              <w:rPr>
                <w:w w:val="105"/>
                <w:sz w:val="15"/>
              </w:rPr>
              <w:t>-12</w:t>
            </w:r>
          </w:p>
        </w:tc>
        <w:tc>
          <w:tcPr>
            <w:tcW w:w="557" w:type="dxa"/>
          </w:tcPr>
          <w:p>
            <w:pPr>
              <w:pStyle w:val="TableParagraph"/>
              <w:spacing w:before="20"/>
              <w:ind w:left="134" w:right="98"/>
              <w:jc w:val="center"/>
              <w:rPr>
                <w:sz w:val="15"/>
              </w:rPr>
            </w:pPr>
            <w:r>
              <w:rPr>
                <w:w w:val="105"/>
                <w:sz w:val="15"/>
              </w:rPr>
              <w:t>-8</w:t>
            </w:r>
          </w:p>
        </w:tc>
        <w:tc>
          <w:tcPr>
            <w:tcW w:w="362" w:type="dxa"/>
          </w:tcPr>
          <w:p>
            <w:pPr>
              <w:pStyle w:val="TableParagraph"/>
              <w:spacing w:before="20"/>
              <w:ind w:left="211"/>
              <w:rPr>
                <w:sz w:val="15"/>
              </w:rPr>
            </w:pPr>
            <w:r>
              <w:rPr>
                <w:w w:val="105"/>
                <w:sz w:val="15"/>
              </w:rPr>
              <w:t>-4</w:t>
            </w:r>
          </w:p>
        </w:tc>
        <w:tc>
          <w:tcPr>
            <w:tcW w:w="3100" w:type="dxa"/>
            <w:tcBorders>
              <w:right w:val="single" w:sz="4" w:space="0" w:color="000000"/>
            </w:tcBorders>
          </w:tcPr>
          <w:p>
            <w:pPr>
              <w:pStyle w:val="TableParagraph"/>
              <w:tabs>
                <w:tab w:pos="941" w:val="left" w:leader="none"/>
                <w:tab w:pos="1476" w:val="left" w:leader="none"/>
                <w:tab w:pos="1974" w:val="left" w:leader="none"/>
                <w:tab w:pos="2510" w:val="left" w:leader="none"/>
              </w:tabs>
              <w:spacing w:before="20"/>
              <w:ind w:left="407"/>
              <w:rPr>
                <w:sz w:val="15"/>
              </w:rPr>
            </w:pPr>
            <w:r>
              <w:rPr>
                <w:w w:val="105"/>
                <w:sz w:val="15"/>
              </w:rPr>
              <w:t>0</w:t>
              <w:tab/>
              <w:t>4</w:t>
              <w:tab/>
              <w:t>8</w:t>
              <w:tab/>
            </w:r>
            <w:r>
              <w:rPr>
                <w:spacing w:val="-3"/>
                <w:w w:val="105"/>
                <w:sz w:val="15"/>
              </w:rPr>
              <w:t>12</w:t>
              <w:tab/>
            </w:r>
            <w:r>
              <w:rPr>
                <w:spacing w:val="-4"/>
                <w:w w:val="105"/>
                <w:sz w:val="15"/>
              </w:rPr>
              <w:t>16</w:t>
            </w:r>
          </w:p>
        </w:tc>
      </w:tr>
      <w:tr>
        <w:trPr>
          <w:trHeight w:val="752" w:hRule="atLeast"/>
        </w:trPr>
        <w:tc>
          <w:tcPr>
            <w:tcW w:w="5220"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left w:val="single" w:sz="4" w:space="0" w:color="000000"/>
              <w:bottom w:val="single" w:sz="4" w:space="0" w:color="000000"/>
            </w:tcBorders>
          </w:tcPr>
          <w:p>
            <w:pPr>
              <w:pStyle w:val="TableParagraph"/>
              <w:rPr>
                <w:sz w:val="18"/>
              </w:rPr>
            </w:pPr>
          </w:p>
        </w:tc>
        <w:tc>
          <w:tcPr>
            <w:tcW w:w="510" w:type="dxa"/>
            <w:tcBorders>
              <w:bottom w:val="single" w:sz="4" w:space="0" w:color="000000"/>
            </w:tcBorders>
          </w:tcPr>
          <w:p>
            <w:pPr>
              <w:pStyle w:val="TableParagraph"/>
              <w:rPr>
                <w:sz w:val="18"/>
              </w:rPr>
            </w:pPr>
          </w:p>
        </w:tc>
        <w:tc>
          <w:tcPr>
            <w:tcW w:w="557" w:type="dxa"/>
            <w:tcBorders>
              <w:bottom w:val="single" w:sz="4" w:space="0" w:color="000000"/>
            </w:tcBorders>
          </w:tcPr>
          <w:p>
            <w:pPr>
              <w:pStyle w:val="TableParagraph"/>
              <w:rPr>
                <w:sz w:val="18"/>
              </w:rPr>
            </w:pPr>
          </w:p>
        </w:tc>
        <w:tc>
          <w:tcPr>
            <w:tcW w:w="362" w:type="dxa"/>
            <w:tcBorders>
              <w:bottom w:val="single" w:sz="4" w:space="0" w:color="000000"/>
            </w:tcBorders>
          </w:tcPr>
          <w:p>
            <w:pPr>
              <w:pStyle w:val="TableParagraph"/>
              <w:rPr>
                <w:sz w:val="18"/>
              </w:rPr>
            </w:pPr>
          </w:p>
        </w:tc>
        <w:tc>
          <w:tcPr>
            <w:tcW w:w="3100" w:type="dxa"/>
            <w:tcBorders>
              <w:bottom w:val="single" w:sz="4" w:space="0" w:color="000000"/>
              <w:right w:val="single" w:sz="4" w:space="0" w:color="000000"/>
            </w:tcBorders>
          </w:tcPr>
          <w:p>
            <w:pPr>
              <w:pStyle w:val="TableParagraph"/>
              <w:spacing w:before="38"/>
              <w:ind w:left="123"/>
              <w:rPr>
                <w:sz w:val="15"/>
              </w:rPr>
            </w:pPr>
            <w:r>
              <w:rPr>
                <w:w w:val="105"/>
                <w:sz w:val="15"/>
              </w:rPr>
              <w:t>Quarters</w:t>
            </w:r>
          </w:p>
        </w:tc>
      </w:tr>
      <w:tr>
        <w:trPr>
          <w:trHeight w:val="551" w:hRule="atLeas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before="2"/>
              <w:ind w:left="107" w:right="354"/>
              <w:rPr>
                <w:b/>
                <w:sz w:val="24"/>
              </w:rPr>
            </w:pPr>
            <w:r>
              <w:rPr>
                <w:b/>
                <w:sz w:val="24"/>
              </w:rPr>
              <w:t>Chart 3: Bank lending to households and non- financial companies in the UK</w:t>
            </w:r>
          </w:p>
        </w:tc>
        <w:tc>
          <w:tcPr>
            <w:tcW w:w="52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4: Major UK banks’ leverage ratio</w:t>
            </w:r>
          </w:p>
        </w:tc>
      </w:tr>
      <w:tr>
        <w:trPr>
          <w:trHeight w:val="4979" w:hRule="atLeast"/>
        </w:trPr>
        <w:tc>
          <w:tcPr>
            <w:tcW w:w="5220"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line="194" w:lineRule="exact" w:before="170"/>
              <w:ind w:right="636"/>
              <w:jc w:val="right"/>
              <w:rPr>
                <w:sz w:val="18"/>
              </w:rPr>
            </w:pPr>
            <w:r>
              <w:rPr>
                <w:w w:val="105"/>
                <w:sz w:val="18"/>
              </w:rPr>
              <w:t>Percentage of GDP</w:t>
            </w:r>
          </w:p>
          <w:p>
            <w:pPr>
              <w:pStyle w:val="TableParagraph"/>
              <w:spacing w:line="194" w:lineRule="exact"/>
              <w:ind w:right="565"/>
              <w:jc w:val="right"/>
              <w:rPr>
                <w:sz w:val="18"/>
              </w:rPr>
            </w:pPr>
            <w:r>
              <w:rPr>
                <w:sz w:val="18"/>
              </w:rPr>
              <w:t>100</w:t>
            </w:r>
          </w:p>
          <w:p>
            <w:pPr>
              <w:pStyle w:val="TableParagraph"/>
              <w:spacing w:before="105"/>
              <w:ind w:left="4364"/>
              <w:rPr>
                <w:sz w:val="18"/>
              </w:rPr>
            </w:pPr>
            <w:r>
              <w:rPr>
                <w:w w:val="105"/>
                <w:sz w:val="18"/>
              </w:rPr>
              <w:t>90</w:t>
            </w:r>
          </w:p>
          <w:p>
            <w:pPr>
              <w:pStyle w:val="TableParagraph"/>
              <w:spacing w:line="202" w:lineRule="exact" w:before="108"/>
              <w:ind w:right="656"/>
              <w:jc w:val="right"/>
              <w:rPr>
                <w:sz w:val="18"/>
              </w:rPr>
            </w:pPr>
            <w:r>
              <w:rPr>
                <w:sz w:val="18"/>
              </w:rPr>
              <w:t>80</w:t>
            </w:r>
          </w:p>
          <w:p>
            <w:pPr>
              <w:pStyle w:val="TableParagraph"/>
              <w:tabs>
                <w:tab w:pos="4551" w:val="right" w:leader="none"/>
              </w:tabs>
              <w:spacing w:line="230" w:lineRule="auto"/>
              <w:ind w:left="2148"/>
              <w:rPr>
                <w:sz w:val="18"/>
              </w:rPr>
            </w:pPr>
            <w:r>
              <w:rPr>
                <w:w w:val="105"/>
                <w:sz w:val="18"/>
              </w:rPr>
              <w:t>Households</w:t>
              <w:tab/>
            </w:r>
            <w:r>
              <w:rPr>
                <w:w w:val="105"/>
                <w:position w:val="-12"/>
                <w:sz w:val="18"/>
              </w:rPr>
              <w:t>70</w:t>
            </w:r>
          </w:p>
          <w:p>
            <w:pPr>
              <w:pStyle w:val="TableParagraph"/>
              <w:spacing w:before="109"/>
              <w:ind w:left="4364"/>
              <w:rPr>
                <w:sz w:val="18"/>
              </w:rPr>
            </w:pPr>
            <w:r>
              <w:rPr>
                <w:w w:val="105"/>
                <w:sz w:val="18"/>
              </w:rPr>
              <w:t>60</w:t>
            </w:r>
          </w:p>
          <w:p>
            <w:pPr>
              <w:pStyle w:val="TableParagraph"/>
              <w:spacing w:before="105"/>
              <w:ind w:left="4364"/>
              <w:rPr>
                <w:sz w:val="18"/>
              </w:rPr>
            </w:pPr>
            <w:r>
              <w:rPr>
                <w:w w:val="105"/>
                <w:sz w:val="18"/>
              </w:rPr>
              <w:t>50</w:t>
            </w:r>
          </w:p>
          <w:p>
            <w:pPr>
              <w:pStyle w:val="TableParagraph"/>
              <w:spacing w:before="106"/>
              <w:ind w:left="4364"/>
              <w:rPr>
                <w:sz w:val="18"/>
              </w:rPr>
            </w:pPr>
            <w:r>
              <w:rPr>
                <w:w w:val="105"/>
                <w:sz w:val="18"/>
              </w:rPr>
              <w:t>40</w:t>
            </w:r>
          </w:p>
          <w:p>
            <w:pPr>
              <w:pStyle w:val="TableParagraph"/>
              <w:spacing w:before="107"/>
              <w:ind w:left="4364"/>
              <w:rPr>
                <w:sz w:val="18"/>
              </w:rPr>
            </w:pPr>
            <w:r>
              <w:rPr>
                <w:w w:val="105"/>
                <w:sz w:val="18"/>
              </w:rPr>
              <w:t>30</w:t>
            </w:r>
          </w:p>
          <w:p>
            <w:pPr>
              <w:pStyle w:val="TableParagraph"/>
              <w:spacing w:before="120"/>
              <w:ind w:left="4364"/>
              <w:rPr>
                <w:sz w:val="18"/>
              </w:rPr>
            </w:pPr>
            <w:r>
              <w:rPr>
                <w:w w:val="105"/>
                <w:sz w:val="18"/>
              </w:rPr>
              <w:t>20</w:t>
            </w:r>
          </w:p>
          <w:p>
            <w:pPr>
              <w:pStyle w:val="TableParagraph"/>
              <w:tabs>
                <w:tab w:pos="4364" w:val="left" w:leader="none"/>
              </w:tabs>
              <w:spacing w:before="107"/>
              <w:ind w:left="1882"/>
              <w:rPr>
                <w:sz w:val="18"/>
              </w:rPr>
            </w:pPr>
            <w:r>
              <w:rPr>
                <w:w w:val="105"/>
                <w:sz w:val="18"/>
              </w:rPr>
              <w:t>Non-financial</w:t>
            </w:r>
            <w:r>
              <w:rPr>
                <w:spacing w:val="-14"/>
                <w:w w:val="105"/>
                <w:sz w:val="18"/>
              </w:rPr>
              <w:t> </w:t>
            </w:r>
            <w:r>
              <w:rPr>
                <w:w w:val="105"/>
                <w:sz w:val="18"/>
              </w:rPr>
              <w:t>companies</w:t>
              <w:tab/>
            </w:r>
            <w:r>
              <w:rPr>
                <w:w w:val="105"/>
                <w:position w:val="5"/>
                <w:sz w:val="18"/>
              </w:rPr>
              <w:t>10</w:t>
            </w:r>
          </w:p>
          <w:p>
            <w:pPr>
              <w:pStyle w:val="TableParagraph"/>
              <w:spacing w:before="54"/>
              <w:ind w:left="4364"/>
              <w:rPr>
                <w:sz w:val="18"/>
              </w:rPr>
            </w:pPr>
            <w:r>
              <w:rPr>
                <w:w w:val="103"/>
                <w:sz w:val="18"/>
              </w:rPr>
              <w:t>0</w:t>
            </w:r>
          </w:p>
          <w:p>
            <w:pPr>
              <w:pStyle w:val="TableParagraph"/>
              <w:tabs>
                <w:tab w:pos="644" w:val="left" w:leader="none"/>
                <w:tab w:pos="1056" w:val="left" w:leader="none"/>
                <w:tab w:pos="1455" w:val="left" w:leader="none"/>
                <w:tab w:pos="1868" w:val="left" w:leader="none"/>
                <w:tab w:pos="2264" w:val="left" w:leader="none"/>
                <w:tab w:pos="2660" w:val="left" w:leader="none"/>
                <w:tab w:pos="3074" w:val="left" w:leader="none"/>
                <w:tab w:pos="3470" w:val="left" w:leader="none"/>
                <w:tab w:pos="3884" w:val="left" w:leader="none"/>
              </w:tabs>
              <w:spacing w:before="57"/>
              <w:ind w:left="245"/>
              <w:rPr>
                <w:sz w:val="18"/>
              </w:rPr>
            </w:pPr>
            <w:r>
              <w:rPr>
                <w:w w:val="105"/>
                <w:sz w:val="18"/>
              </w:rPr>
              <w:t>70</w:t>
              <w:tab/>
              <w:t>74</w:t>
              <w:tab/>
              <w:t>78</w:t>
              <w:tab/>
              <w:t>82</w:t>
              <w:tab/>
              <w:t>86</w:t>
              <w:tab/>
              <w:t>90</w:t>
              <w:tab/>
              <w:t>94</w:t>
              <w:tab/>
              <w:t>98</w:t>
              <w:tab/>
              <w:t>02</w:t>
              <w:tab/>
              <w:t>06</w:t>
            </w:r>
          </w:p>
          <w:p>
            <w:pPr>
              <w:pStyle w:val="TableParagraph"/>
              <w:spacing w:before="9"/>
              <w:rPr>
                <w:sz w:val="28"/>
              </w:rPr>
            </w:pPr>
          </w:p>
          <w:p>
            <w:pPr>
              <w:pStyle w:val="TableParagraph"/>
              <w:spacing w:line="273" w:lineRule="auto"/>
              <w:ind w:left="164" w:right="400"/>
              <w:rPr>
                <w:rFonts w:ascii="Arial"/>
                <w:sz w:val="15"/>
              </w:rPr>
            </w:pPr>
            <w:r>
              <w:rPr>
                <w:rFonts w:ascii="Arial"/>
                <w:sz w:val="15"/>
              </w:rPr>
              <w:t>Sources: Bank of England, Thomson Datastream and Bank calculations.</w:t>
            </w:r>
          </w:p>
        </w:tc>
        <w:tc>
          <w:tcPr>
            <w:tcW w:w="5217" w:type="dxa"/>
            <w:gridSpan w:val="5"/>
            <w:tcBorders>
              <w:top w:val="single" w:sz="4" w:space="0" w:color="000000"/>
              <w:left w:val="single" w:sz="4" w:space="0" w:color="000000"/>
              <w:bottom w:val="single" w:sz="4" w:space="0" w:color="000000"/>
              <w:right w:val="single" w:sz="4" w:space="0" w:color="000000"/>
            </w:tcBorders>
          </w:tcPr>
          <w:p>
            <w:pPr>
              <w:pStyle w:val="TableParagraph"/>
              <w:ind w:left="107"/>
              <w:rPr>
                <w:sz w:val="20"/>
              </w:rPr>
            </w:pPr>
            <w:r>
              <w:rPr>
                <w:sz w:val="20"/>
              </w:rPr>
              <w:drawing>
                <wp:inline distT="0" distB="0" distL="0" distR="0">
                  <wp:extent cx="3160648" cy="289617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160648" cy="2896171"/>
                          </a:xfrm>
                          <a:prstGeom prst="rect">
                            <a:avLst/>
                          </a:prstGeom>
                        </pic:spPr>
                      </pic:pic>
                    </a:graphicData>
                  </a:graphic>
                </wp:inline>
              </w:drawing>
            </w:r>
            <w:r>
              <w:rPr>
                <w:sz w:val="20"/>
              </w:rPr>
            </w:r>
          </w:p>
          <w:p>
            <w:pPr>
              <w:pStyle w:val="TableParagraph"/>
              <w:spacing w:before="11"/>
              <w:rPr>
                <w:sz w:val="19"/>
              </w:rPr>
            </w:pPr>
          </w:p>
          <w:p>
            <w:pPr>
              <w:pStyle w:val="TableParagraph"/>
              <w:spacing w:line="169" w:lineRule="exact"/>
              <w:ind w:left="107"/>
              <w:rPr>
                <w:sz w:val="16"/>
              </w:rPr>
            </w:pPr>
            <w:r>
              <w:rPr>
                <w:sz w:val="16"/>
              </w:rPr>
              <w:t>Sources: Published accounts and Bank calculations</w:t>
            </w:r>
          </w:p>
        </w:tc>
      </w:tr>
    </w:tbl>
    <w:p>
      <w:pPr>
        <w:rPr>
          <w:sz w:val="2"/>
          <w:szCs w:val="2"/>
        </w:rPr>
      </w:pPr>
      <w:r>
        <w:rPr/>
        <w:pict>
          <v:shape style="position:absolute;margin-left:48.299625pt;margin-top:378.149109pt;width:219.9pt;height:190.5pt;mso-position-horizontal-relative:page;mso-position-vertical-relative:page;z-index:-252453888" type="#_x0000_t202" filled="false" stroked="false">
            <v:textbox inset="0,0,0,0">
              <w:txbxContent>
                <w:p>
                  <w:pPr>
                    <w:spacing w:line="191" w:lineRule="exact" w:before="0"/>
                    <w:ind w:left="0" w:right="69" w:firstLine="0"/>
                    <w:jc w:val="right"/>
                    <w:rPr>
                      <w:sz w:val="18"/>
                    </w:rPr>
                  </w:pPr>
                  <w:r>
                    <w:rPr>
                      <w:w w:val="105"/>
                      <w:sz w:val="18"/>
                    </w:rPr>
                    <w:t>Percentage of GDP</w:t>
                  </w:r>
                </w:p>
                <w:p>
                  <w:pPr>
                    <w:spacing w:line="194" w:lineRule="exact" w:before="0"/>
                    <w:ind w:left="0" w:right="0" w:firstLine="0"/>
                    <w:jc w:val="right"/>
                    <w:rPr>
                      <w:sz w:val="18"/>
                    </w:rPr>
                  </w:pPr>
                  <w:r>
                    <w:rPr>
                      <w:sz w:val="18"/>
                    </w:rPr>
                    <w:t>100</w:t>
                  </w:r>
                </w:p>
                <w:p>
                  <w:pPr>
                    <w:spacing w:before="105"/>
                    <w:ind w:left="4118" w:right="0" w:firstLine="0"/>
                    <w:jc w:val="left"/>
                    <w:rPr>
                      <w:sz w:val="18"/>
                    </w:rPr>
                  </w:pPr>
                  <w:r>
                    <w:rPr>
                      <w:w w:val="105"/>
                      <w:sz w:val="18"/>
                    </w:rPr>
                    <w:t>90</w:t>
                  </w:r>
                </w:p>
                <w:p>
                  <w:pPr>
                    <w:spacing w:line="202" w:lineRule="exact" w:before="107"/>
                    <w:ind w:left="0" w:right="89" w:firstLine="0"/>
                    <w:jc w:val="right"/>
                    <w:rPr>
                      <w:sz w:val="18"/>
                    </w:rPr>
                  </w:pPr>
                  <w:r>
                    <w:rPr>
                      <w:sz w:val="18"/>
                    </w:rPr>
                    <w:t>80</w:t>
                  </w:r>
                </w:p>
                <w:p>
                  <w:pPr>
                    <w:tabs>
                      <w:tab w:pos="4305" w:val="right" w:leader="none"/>
                    </w:tabs>
                    <w:spacing w:line="230" w:lineRule="auto" w:before="0"/>
                    <w:ind w:left="1903" w:right="0" w:firstLine="0"/>
                    <w:jc w:val="left"/>
                    <w:rPr>
                      <w:sz w:val="18"/>
                    </w:rPr>
                  </w:pPr>
                  <w:r>
                    <w:rPr>
                      <w:w w:val="105"/>
                      <w:sz w:val="18"/>
                    </w:rPr>
                    <w:t>Households</w:t>
                    <w:tab/>
                  </w:r>
                  <w:r>
                    <w:rPr>
                      <w:w w:val="105"/>
                      <w:position w:val="-12"/>
                      <w:sz w:val="18"/>
                    </w:rPr>
                    <w:t>70</w:t>
                  </w:r>
                </w:p>
                <w:p>
                  <w:pPr>
                    <w:spacing w:before="109"/>
                    <w:ind w:left="4118" w:right="0" w:firstLine="0"/>
                    <w:jc w:val="left"/>
                    <w:rPr>
                      <w:sz w:val="18"/>
                    </w:rPr>
                  </w:pPr>
                  <w:r>
                    <w:rPr>
                      <w:w w:val="105"/>
                      <w:sz w:val="18"/>
                    </w:rPr>
                    <w:t>60</w:t>
                  </w:r>
                </w:p>
                <w:p>
                  <w:pPr>
                    <w:spacing w:before="105"/>
                    <w:ind w:left="4118" w:right="0" w:firstLine="0"/>
                    <w:jc w:val="left"/>
                    <w:rPr>
                      <w:sz w:val="18"/>
                    </w:rPr>
                  </w:pPr>
                  <w:r>
                    <w:rPr>
                      <w:w w:val="105"/>
                      <w:sz w:val="18"/>
                    </w:rPr>
                    <w:t>50</w:t>
                  </w:r>
                </w:p>
                <w:p>
                  <w:pPr>
                    <w:spacing w:before="107"/>
                    <w:ind w:left="4118" w:right="0" w:firstLine="0"/>
                    <w:jc w:val="left"/>
                    <w:rPr>
                      <w:sz w:val="18"/>
                    </w:rPr>
                  </w:pPr>
                  <w:r>
                    <w:rPr>
                      <w:w w:val="105"/>
                      <w:sz w:val="18"/>
                    </w:rPr>
                    <w:t>40</w:t>
                  </w:r>
                </w:p>
                <w:p>
                  <w:pPr>
                    <w:spacing w:before="106"/>
                    <w:ind w:left="4118" w:right="0" w:firstLine="0"/>
                    <w:jc w:val="left"/>
                    <w:rPr>
                      <w:sz w:val="18"/>
                    </w:rPr>
                  </w:pPr>
                  <w:r>
                    <w:rPr>
                      <w:w w:val="105"/>
                      <w:sz w:val="18"/>
                    </w:rPr>
                    <w:t>30</w:t>
                  </w:r>
                </w:p>
                <w:p>
                  <w:pPr>
                    <w:spacing w:before="121"/>
                    <w:ind w:left="4118" w:right="0" w:firstLine="0"/>
                    <w:jc w:val="left"/>
                    <w:rPr>
                      <w:sz w:val="18"/>
                    </w:rPr>
                  </w:pPr>
                  <w:r>
                    <w:rPr>
                      <w:w w:val="105"/>
                      <w:sz w:val="18"/>
                    </w:rPr>
                    <w:t>20</w:t>
                  </w:r>
                </w:p>
                <w:p>
                  <w:pPr>
                    <w:tabs>
                      <w:tab w:pos="4118" w:val="left" w:leader="none"/>
                    </w:tabs>
                    <w:spacing w:before="106"/>
                    <w:ind w:left="1636" w:right="0" w:firstLine="0"/>
                    <w:jc w:val="left"/>
                    <w:rPr>
                      <w:sz w:val="18"/>
                    </w:rPr>
                  </w:pPr>
                  <w:r>
                    <w:rPr>
                      <w:w w:val="105"/>
                      <w:sz w:val="18"/>
                    </w:rPr>
                    <w:t>Non-financial</w:t>
                  </w:r>
                  <w:r>
                    <w:rPr>
                      <w:spacing w:val="-14"/>
                      <w:w w:val="105"/>
                      <w:sz w:val="18"/>
                    </w:rPr>
                    <w:t> </w:t>
                  </w:r>
                  <w:r>
                    <w:rPr>
                      <w:w w:val="105"/>
                      <w:sz w:val="18"/>
                    </w:rPr>
                    <w:t>companies</w:t>
                    <w:tab/>
                  </w:r>
                  <w:r>
                    <w:rPr>
                      <w:w w:val="105"/>
                      <w:position w:val="5"/>
                      <w:sz w:val="18"/>
                    </w:rPr>
                    <w:t>10</w:t>
                  </w:r>
                </w:p>
                <w:p>
                  <w:pPr>
                    <w:spacing w:before="55"/>
                    <w:ind w:left="4118" w:right="0" w:firstLine="0"/>
                    <w:jc w:val="left"/>
                    <w:rPr>
                      <w:sz w:val="18"/>
                    </w:rPr>
                  </w:pPr>
                  <w:r>
                    <w:rPr>
                      <w:w w:val="103"/>
                      <w:sz w:val="18"/>
                    </w:rPr>
                    <w:t>0</w:t>
                  </w:r>
                </w:p>
                <w:p>
                  <w:pPr>
                    <w:tabs>
                      <w:tab w:pos="398" w:val="left" w:leader="none"/>
                      <w:tab w:pos="811" w:val="left" w:leader="none"/>
                      <w:tab w:pos="1209" w:val="left" w:leader="none"/>
                      <w:tab w:pos="1622" w:val="left" w:leader="none"/>
                      <w:tab w:pos="2018" w:val="left" w:leader="none"/>
                      <w:tab w:pos="2414" w:val="left" w:leader="none"/>
                      <w:tab w:pos="2828" w:val="left" w:leader="none"/>
                      <w:tab w:pos="3224" w:val="left" w:leader="none"/>
                      <w:tab w:pos="3638" w:val="left" w:leader="none"/>
                    </w:tabs>
                    <w:spacing w:before="57"/>
                    <w:ind w:left="0" w:right="0" w:firstLine="0"/>
                    <w:jc w:val="left"/>
                    <w:rPr>
                      <w:sz w:val="18"/>
                    </w:rPr>
                  </w:pPr>
                  <w:r>
                    <w:rPr>
                      <w:w w:val="105"/>
                      <w:sz w:val="18"/>
                    </w:rPr>
                    <w:t>70</w:t>
                    <w:tab/>
                    <w:t>74</w:t>
                    <w:tab/>
                    <w:t>78</w:t>
                    <w:tab/>
                    <w:t>82</w:t>
                    <w:tab/>
                    <w:t>86</w:t>
                    <w:tab/>
                    <w:t>90</w:t>
                    <w:tab/>
                    <w:t>94</w:t>
                    <w:tab/>
                    <w:t>98</w:t>
                    <w:tab/>
                    <w:t>02</w:t>
                    <w:tab/>
                    <w:t>06</w:t>
                  </w:r>
                </w:p>
              </w:txbxContent>
            </v:textbox>
            <w10:wrap type="none"/>
          </v:shape>
        </w:pict>
      </w:r>
      <w:r>
        <w:rPr/>
        <w:pict>
          <v:shape style="position:absolute;margin-left:44.220001pt;margin-top:585.434326pt;width:196.6pt;height:18.150pt;mso-position-horizontal-relative:page;mso-position-vertical-relative:page;z-index:-252452864" type="#_x0000_t202" filled="false" stroked="false">
            <v:textbox inset="0,0,0,0">
              <w:txbxContent>
                <w:p>
                  <w:pPr>
                    <w:spacing w:line="273" w:lineRule="auto" w:before="0"/>
                    <w:ind w:left="0" w:right="-9" w:firstLine="0"/>
                    <w:jc w:val="left"/>
                    <w:rPr>
                      <w:rFonts w:ascii="Arial"/>
                      <w:sz w:val="15"/>
                    </w:rPr>
                  </w:pPr>
                  <w:r>
                    <w:rPr>
                      <w:rFonts w:ascii="Arial"/>
                      <w:sz w:val="15"/>
                    </w:rPr>
                    <w:t>Sources: Bank of England, Thomson Datastream and</w:t>
                  </w:r>
                  <w:r>
                    <w:rPr>
                      <w:rFonts w:ascii="Arial"/>
                      <w:spacing w:val="-15"/>
                      <w:sz w:val="15"/>
                    </w:rPr>
                    <w:t> </w:t>
                  </w:r>
                  <w:r>
                    <w:rPr>
                      <w:rFonts w:ascii="Arial"/>
                      <w:sz w:val="15"/>
                    </w:rPr>
                    <w:t>Bank calculations.</w:t>
                  </w:r>
                </w:p>
              </w:txbxContent>
            </v:textbox>
            <w10:wrap type="none"/>
          </v:shape>
        </w:pict>
      </w:r>
      <w:r>
        <w:rPr/>
        <w:pict>
          <v:group style="position:absolute;margin-left:45.84pt;margin-top:376.679993pt;width:223.05pt;height:203.25pt;mso-position-horizontal-relative:page;mso-position-vertical-relative:page;z-index:-252451840" coordorigin="917,7534" coordsize="4461,4065">
            <v:shape style="position:absolute;left:1099;top:8222;width:3852;height:2223" coordorigin="1099,8222" coordsize="3852,2223" path="m1099,10445l1165,10445,1199,10429,1216,10429,1248,10412,1265,10412,1297,10396,1314,10379,1348,10363,1364,10346,1397,10346,1414,10330,1512,10330,1579,10363,1595,10379,1628,10396,1645,10396,1678,10330,1694,10346,1728,10330,1877,10330,1892,10314,1943,10314,1975,10297,1992,10297,2026,10280,2058,10280,2075,10199,2107,10214,2124,10214,2158,10199,2174,10199,2207,10182,2224,10148,2256,10133,2273,10084,2306,10067,2322,10033,2356,10001,2372,9967,2405,9935,2422,9902,2455,9869,2471,9852,2504,9820,2538,9803,2554,9770,2587,9737,2604,9704,2636,9688,2653,9655,2702,9606,2736,9557,2753,9523,2785,9491,2802,9457,2836,9442,2860,9398,2891,9369,2923,9331,2951,9260,2983,9244,3017,9210,3034,9194,3066,9161,3083,9128,3132,9079,3166,9079,3182,9062,3215,9046,3232,9030,3265,9013,3281,9013,3314,9030,3331,9013,3381,9014,3398,9022,3419,9030,3480,9030,3512,9046,3646,9046,3661,9062,3695,9046,3712,9062,3761,9062,3793,9079,3810,9062,3844,9062,3860,9128,3959,9128,3992,9112,4025,9112,4042,9095,4075,9079,4091,9062,4124,9046,4141,9030,4174,9013,4190,8964,4224,8947,4240,8915,4273,8881,4290,8849,4322,8815,4339,8783,4373,8749,4388,8700,4422,8700,4439,8651,4505,8585,4522,8536,4554,8503,4571,8503,4603,8470,4620,8437,4654,8420,4670,8453,4703,8420,4720,8388,4752,8354,4769,8338,4802,8322,4819,8305,4852,8288,4868,8273,4901,8239,4918,8222,4951,8222e" filled="false" stroked="true" strokeweight=".851pt" strokecolor="#3467ff">
              <v:path arrowok="t"/>
              <v:stroke dashstyle="solid"/>
            </v:shape>
            <v:shape style="position:absolute;left:1099;top:9870;width:3852;height:758" coordorigin="1099,9870" coordsize="3852,758" path="m1099,10578l1116,10561,1148,10561,1165,10578,1199,10578,1216,10595,1248,10595,1265,10578,1297,10544,1314,10529,1348,10529,1364,10512,1397,10495,1414,10480,1446,10446,1463,10397,1512,10348,1546,10331,1579,10348,1595,10380,1628,10480,1645,10529,1678,10544,1694,10578,1728,10561,1777,10561,1794,10578,1877,10578,1892,10595,1926,10595,1943,10610,1975,10610,1992,10595,2058,10595,2075,10610,2107,10610,2124,10595,2174,10595,2207,10610,2224,10627,2256,10610,2273,10578,2306,10561,2322,10544,2356,10529,2389,10555,2423,10562,2461,10561,2504,10561,2538,10544,2554,10544,2587,10529,2604,10512,2636,10512,2653,10529,2687,10529,2702,10512,2736,10529,2753,10495,2785,10463,2802,10480,2836,10480,2851,10463,2885,10446,2902,10414,2934,10397,2951,10363,2983,10348,3017,10331,3043,10281,3071,10242,3110,10219,3166,10216,3182,10199,3215,10199,3232,10232,3265,10232,3281,10248,3314,10265,3331,10265,3364,10282,3380,10282,3414,10314,3430,10314,3463,10331,3512,10380,3546,10397,3563,10414,3646,10414,3661,10397,3695,10380,3712,10380,3744,10363,3761,10363,3793,10348,3810,10363,3844,10363,3860,10298,3893,10314,4025,10314,4042,10331,4075,10331,4091,10314,4124,10298,4141,10282,4174,10248,4190,10265,4224,10248,4240,10248,4273,10232,4290,10248,4322,10248,4339,10265,4373,10248,4388,10232,4439,10232,4471,10248,4505,10232,4522,10248,4554,10248,4571,10232,4603,10232,4654,10182,4670,10100,4703,10084,4752,10034,4769,10001,4802,9985,4819,9952,4852,9936,4868,9919,4901,9902,4918,9886,4951,9870e" filled="false" stroked="true" strokeweight=".851pt" strokecolor="#993467">
              <v:path arrowok="t"/>
              <v:stroke dashstyle="solid"/>
            </v:shape>
            <v:rect style="position:absolute;left:916;top:7533;width:4461;height:4065" filled="true" fillcolor="#ffffff" stroked="false">
              <v:fill type="solid"/>
            </v:rect>
            <v:shape style="position:absolute;left:1066;top:7844;width:3934;height:3162" coordorigin="1067,7844" coordsize="3934,3162" path="m4951,7844l4952,11005m4951,11005l5000,11006m4951,10692l5000,10693m4951,10380l5000,10382m4951,10050l5000,10051m4951,9738l5000,9740m4951,9425l5000,9427m4951,9112l5000,9113m4951,8800l5000,8802m4951,8470l5000,8471m4951,8158l5000,8160m4951,7844l5000,7847m1067,11005l4951,11006m1166,11005l1168,10972m1265,11005l1266,10972m1364,11005l1366,10972m1579,11005l1580,10972m1678,11005l1679,10972m1777,11005l1778,10972m1975,11005l1976,10972e" filled="false" stroked="true" strokeweight=".074pt" strokecolor="#010101">
              <v:path arrowok="t"/>
              <v:stroke dashstyle="solid"/>
            </v:shape>
            <v:line style="position:absolute" from="2076,10971" to="2076,11006" stroked="true" strokeweight=".194pt" strokecolor="#010101">
              <v:stroke dashstyle="solid"/>
            </v:line>
            <v:shape style="position:absolute;left:2174;top:10971;width:200;height:34" coordorigin="2174,10972" coordsize="200,34" path="m2174,11005l2176,10972m2372,11005l2374,10972e" filled="false" stroked="true" strokeweight=".074pt" strokecolor="#010101">
              <v:path arrowok="t"/>
              <v:stroke dashstyle="solid"/>
            </v:shape>
            <v:line style="position:absolute" from="2472,10971" to="2472,11006" stroked="true" strokeweight=".194pt" strokecolor="#010101">
              <v:stroke dashstyle="solid"/>
            </v:line>
            <v:shape style="position:absolute;left:2587;top:10971;width:398;height:34" coordorigin="2587,10972" coordsize="398,34" path="m2587,11005l2588,10972m2785,11005l2786,10972m2885,11005l2886,10972m2983,11005l2984,10972e" filled="false" stroked="true" strokeweight=".074pt" strokecolor="#010101">
              <v:path arrowok="t"/>
              <v:stroke dashstyle="solid"/>
            </v:shape>
            <v:line style="position:absolute" from="3184,10971" to="3184,11006" stroked="true" strokeweight=".194pt" strokecolor="#010101">
              <v:stroke dashstyle="solid"/>
            </v:line>
            <v:line style="position:absolute" from="3282,11005" to="3283,10972" stroked="true" strokeweight=".074pt" strokecolor="#010101">
              <v:stroke dashstyle="solid"/>
            </v:line>
            <v:line style="position:absolute" from="3382,10971" to="3382,11006" stroked="true" strokeweight=".194pt" strokecolor="#010101">
              <v:stroke dashstyle="solid"/>
            </v:line>
            <v:shape style="position:absolute;left:3596;top:10971;width:795;height:34" coordorigin="3596,10972" coordsize="795,34" path="m3596,11005l3598,10972m3695,11005l3696,10972m3794,11005l3796,10972m3992,11005l3994,10972m4091,11005l4092,10972m4190,11005l4192,10972m4390,11005l4391,10972e" filled="false" stroked="true" strokeweight=".074pt" strokecolor="#010101">
              <v:path arrowok="t"/>
              <v:stroke dashstyle="solid"/>
            </v:shape>
            <v:line style="position:absolute" from="4505,10971" to="4505,11006" stroked="true" strokeweight=".194pt" strokecolor="#010101">
              <v:stroke dashstyle="solid"/>
            </v:line>
            <v:shape style="position:absolute;left:1066;top:10956;width:3837;height:50" coordorigin="1067,10956" coordsize="3837,50" path="m4604,11005l4606,10972m4802,11005l4804,10972m4902,11005l4903,10972m1067,11005l1068,10956m1463,11005l1464,10956m1876,11005l1877,10956m2273,11005l2275,10956m2687,11005l2688,10956m3083,11005l3084,10956m3480,11005l3481,10956m3893,11005l3894,10956m4290,11005l4292,10956m4704,11005l4705,10956e" filled="false" stroked="true" strokeweight=".074pt" strokecolor="#010101">
              <v:path arrowok="t"/>
              <v:stroke dashstyle="solid"/>
            </v:shape>
            <v:shape style="position:absolute;left:1099;top:8222;width:3852;height:2223" coordorigin="1099,8222" coordsize="3852,2223" path="m1099,10445l1165,10445,1199,10429,1216,10429,1248,10412,1265,10412,1297,10396,1314,10379,1348,10363,1364,10346,1397,10346,1414,10330,1512,10330,1579,10363,1595,10379,1628,10396,1645,10396,1678,10330,1694,10346,1728,10330,1877,10330,1892,10314,1943,10314,1975,10297,1992,10297,2026,10280,2058,10280,2075,10199,2107,10214,2124,10214,2158,10199,2174,10199,2207,10182,2224,10148,2256,10133,2273,10084,2306,10067,2322,10033,2356,10001,2372,9967,2405,9935,2422,9902,2455,9869,2471,9852,2504,9820,2538,9803,2554,9770,2587,9737,2604,9704,2636,9688,2653,9655,2702,9606,2736,9557,2753,9523,2785,9491,2802,9457,2836,9442,2860,9398,2891,9369,2923,9331,2951,9260,2983,9244,3017,9210,3034,9194,3066,9161,3083,9128,3132,9079,3166,9079,3182,9062,3215,9046,3232,9030,3265,9013,3281,9013,3314,9030,3331,9013,3381,9014,3398,9022,3419,9030,3480,9030,3512,9046,3646,9046,3661,9062,3695,9046,3712,9062,3761,9062,3793,9079,3810,9062,3844,9062,3860,9128,3959,9128,3992,9112,4025,9112,4042,9095,4075,9079,4091,9062,4124,9046,4141,9030,4174,9013,4190,8964,4224,8947,4240,8915,4273,8881,4290,8849,4322,8815,4339,8783,4373,8749,4388,8700,4422,8700,4439,8651,4505,8585,4522,8536,4554,8503,4571,8503,4603,8470,4620,8437,4654,8420,4670,8453,4703,8420,4720,8388,4752,8354,4769,8338,4802,8322,4819,8305,4852,8288,4868,8273,4901,8239,4918,8222,4951,8222e" filled="false" stroked="true" strokeweight=".851pt" strokecolor="#3467ff">
              <v:path arrowok="t"/>
              <v:stroke dashstyle="solid"/>
            </v:shape>
            <v:shape style="position:absolute;left:1099;top:9870;width:3852;height:758" coordorigin="1099,9870" coordsize="3852,758" path="m1099,10578l1116,10561,1148,10561,1165,10578,1199,10578,1216,10595,1248,10595,1265,10578,1297,10544,1314,10529,1348,10529,1364,10512,1397,10495,1414,10480,1446,10446,1463,10397,1512,10348,1546,10331,1579,10348,1595,10380,1628,10480,1645,10529,1678,10544,1694,10578,1728,10561,1777,10561,1794,10578,1877,10578,1892,10595,1926,10595,1943,10610,1975,10610,1992,10595,2058,10595,2075,10610,2107,10610,2124,10595,2174,10595,2207,10610,2224,10627,2256,10610,2273,10578,2306,10561,2322,10544,2356,10529,2389,10555,2423,10562,2461,10561,2504,10561,2538,10544,2554,10544,2587,10529,2604,10512,2636,10512,2653,10529,2687,10529,2702,10512,2736,10529,2753,10495,2785,10463,2802,10480,2836,10480,2851,10463,2885,10446,2902,10414,2934,10397,2951,10363,2983,10348,3017,10331,3043,10281,3071,10242,3110,10219,3166,10216,3182,10199,3215,10199,3232,10232,3265,10232,3281,10248,3314,10265,3331,10265,3364,10282,3380,10282,3414,10314,3430,10314,3463,10331,3512,10380,3546,10397,3563,10414,3646,10414,3661,10397,3695,10380,3712,10380,3744,10363,3761,10363,3793,10348,3810,10363,3844,10363,3860,10298,3893,10314,4025,10314,4042,10331,4075,10331,4091,10314,4124,10298,4141,10282,4174,10248,4190,10265,4224,10248,4240,10248,4273,10232,4290,10248,4322,10248,4339,10265,4373,10248,4388,10232,4439,10232,4471,10248,4505,10232,4522,10248,4554,10248,4571,10232,4603,10232,4654,10182,4670,10100,4703,10084,4752,10034,4769,10001,4802,9985,4819,9952,4852,9936,4868,9919,4901,9902,4918,9886,4951,9870e" filled="false" stroked="true" strokeweight=".851pt" strokecolor="#993467">
              <v:path arrowok="t"/>
              <v:stroke dashstyle="solid"/>
            </v:shape>
            <w10:wrap type="none"/>
          </v:group>
        </w:pict>
      </w:r>
      <w:r>
        <w:rPr/>
        <w:pict>
          <v:rect style="position:absolute;margin-left:41.400002pt;margin-top:583.619995pt;width:227.46pt;height:19.5pt;mso-position-horizontal-relative:page;mso-position-vertical-relative:page;z-index:-252450816" filled="true" fillcolor="#ffffff" stroked="false">
            <v:fill type="solid"/>
            <w10:wrap type="none"/>
          </v:rect>
        </w:pict>
      </w:r>
      <w:r>
        <w:rPr/>
        <w:pict>
          <v:group style="position:absolute;margin-left:45.9925pt;margin-top:117.389999pt;width:208.8pt;height:164.8pt;mso-position-horizontal-relative:page;mso-position-vertical-relative:page;z-index:-252449792" coordorigin="920,2348" coordsize="4176,3296">
            <v:shape style="position:absolute;left:933;top:2348;width:4162;height:3294" coordorigin="934,2348" coordsize="4162,3294" path="m5042,2348l5044,5641m5042,5641l5095,5642m5042,5161l5095,5162m5042,4702l5095,4704m5042,4223l5095,4225m5042,3764l5095,3764m5042,3287l5095,3289m5042,2826l5095,2827m5042,2348l5095,2351m934,5641l5042,5642m1182,5641l1184,5605m1660,5641l1661,5605m2138,5641l2140,5605m2634,5641l2635,5605m3113,5641l3114,5605m3590,5641l3592,5605m4086,5641l4088,5605m4564,5641l4566,5605m934,5641l936,5587m1411,5641l1412,5587m1908,5641l1910,5587m2384,5641l2387,5587m2864,5641l2866,5587m3360,5641l3361,5587m3838,5641l3840,5587m4316,5641l4319,5587m4812,5641l4814,5587e" filled="false" stroked="true" strokeweight=".06pt" strokecolor="#010101">
              <v:path arrowok="t"/>
              <v:stroke dashstyle="solid"/>
            </v:shape>
            <v:shape style="position:absolute;left:933;top:2419;width:4074;height:3062" coordorigin="934,2419" coordsize="4074,3062" path="m934,3233l934,3269,934,3233,934,3251,934,3233,952,3233,952,3206,952,3180,952,3154,952,3127,952,3162,952,3127,970,3109,970,3056,970,3073,970,3056,970,3162,988,3180,988,3233,988,3215,988,3233,988,3198,988,3356,988,3322,1004,3304,1004,3269,1004,3410,1004,3375,1004,3340,1004,3304,1004,3269,1004,3304,1004,3286,1004,3304,1004,3269,1022,3251,1022,3233,1022,3251,1022,3220,1022,3127,1022,3144,1022,3109,1022,3144,1040,3144,1040,3162,1040,3144,1040,3162,1040,3144,1040,3198,1040,3162,1040,3215,1040,3198,1058,3233,1058,3215,1058,3251,1058,3233,1058,3269,1058,3251,1058,3269,1058,3233,1075,3233,1075,3206,1075,3180,1075,3154,1075,3127,1075,3198,1075,3162,1075,3215,1093,3198,1093,3180,1093,3286,1093,3198,1093,3286,1093,3269,1093,3304,1111,3269,1111,3340,1111,3304,1111,3356,1111,3322,1129,3340,1129,3392,1129,3356,1129,3392,1129,3374,1129,3516,1129,3480,1129,3516,1129,3480,1146,3463,1146,3534,1146,3516,1146,3587,1146,3551,1146,3587,1146,3569,1164,3569,1164,3538,1164,3507,1164,3476,1164,3445,1164,3480,1164,3445,1164,3463,1164,3445,1182,3410,1182,3445,1182,3392,1182,3445,1182,3392,1200,3374,1200,3445,1200,3427,1200,3480,1200,3463,1200,3498,1200,3463,1200,3498,1200,3480,1217,3498,1217,3463,1217,3480,1217,3445,1217,3551,1217,3480,1217,3569,1235,3551,1235,3516,1235,3551,1235,3516,1235,3534,1235,3392,1253,3356,1253,3383,1253,3410,1253,3436,1253,3463,1253,3427,1253,3463,1253,3410,1253,3427,1253,3392,1271,3374,1271,3304,1271,3356,1271,3322,1271,3392,1271,3374,1288,3410,1288,3340,1288,3356,1306,3356,1306,3445,1306,3427,1306,3480,1306,3463,1306,3498,1324,3516,1324,3605,1324,3569,1324,3587,1324,3534,1324,3640,1324,3605,1324,3692,1324,3676,1342,3692,1342,3763,1342,3692,1342,3710,1342,3675,1342,3640,1342,3604,1342,3569,1342,3676,1358,3676,1358,3605,1358,3640,1358,3463,1358,3480,1358,3463,1376,3445,1376,3427,1376,3463,1376,3392,1376,3463,1376,3410,1376,3445,1376,3410,1394,3427,1394,3410,1394,3445,1394,3427,1394,3534,1394,3445,1412,3427,1412,3392,1412,3410,1412,3340,1412,3356,1412,3304,1412,3340,1412,3304,1430,3304,1430,3340,1430,3322,1430,3340,1430,3322,1430,3427,1430,3392,1447,3392,1447,3374,1447,3498,1447,3410,1447,3445,1465,3463,1465,3498,1465,3463,1465,3480,1465,3463,1465,3551,1465,3534,1465,3587,1483,3622,1483,3658,1483,3622,1483,3587,1483,3551,1483,3516,1483,3551,1483,3480,1483,3551,1483,3516,1483,3534,1501,3516,1501,3551,1501,3480,1501,3507,1501,3587,1501,3569,1501,3605,1501,3587,1518,3569,1518,3551,1518,3640,1518,3587,1518,3728,1518,3692,1518,3834,1518,3763,1518,3834,1536,3834,1536,3799,1536,3817,1536,3763,1536,3799,1536,3763,1536,3781,1536,3763,1536,3799,1536,3746,1536,3781,1536,3710,1554,3746,1554,3781,1554,3587,1554,3622,1554,3534,1554,3569,1572,3569,1572,3728,1572,3676,1572,3692,1572,3658,1572,3692,1572,3631,1572,3569,1572,3507,1572,3445,1589,3427,1589,3410,1589,3427,1589,3410,1589,3490,1589,3569,1589,3649,1589,3728,1589,3710,1589,3728,1589,3676,1589,3710,1589,3658,1607,3676,1607,3746,1607,3692,1607,3763,1607,3710,1607,3728,1625,3746,1625,3852,1625,3781,1625,3817,1625,3782,1625,3746,1625,3711,1625,3676,1643,3692,1643,3605,1643,3622,1643,3534,1643,3569,1643,3516,1643,3534,1643,3498,1660,3498,1660,3551,1660,3516,1660,3587,1660,3569,1660,3587,1660,3516,1660,3569,1678,3569,1678,3516,1678,3534,1678,3445,1696,3427,1696,3480,1696,3463,1696,3480,1696,3427,1696,3463,1696,3445,1696,3463,1696,3445,1696,3534,1714,3551,1714,3534,1714,3640,1714,3605,1714,3622,1714,3551,1714,3569,1730,3587,1730,3534,1730,3587,1730,3551,1730,3605,1730,3516,1730,3534,1730,3410,1748,3392,1748,3356,1748,3374,1748,3322,1748,3392,1748,3322,1748,3356,1748,3322,1748,3340,1748,3304,1766,3286,1766,3269,1766,3340,1766,3304,1766,3392,1766,3374,1766,3392,1766,3374,1766,3427,1766,3392,1784,3410,1784,3463,1784,3392,1784,3445,1784,3410,1784,3445,1784,3374,1784,3392,1784,3374,1801,3374,1801,3304,1801,3340,1801,3251,1801,3304,1819,3322,1819,3304,1819,3356,1819,3286,1819,3304,1819,3286,1819,3322,1819,3251,1837,3251,1837,3269,1837,3251,1837,3286,1837,3251,1837,3286,1837,3251,1837,3269,1837,3233,1855,3233,1855,3198,1855,3286,1855,3269,1855,3374,1855,3356,1872,3356,1872,3340,1872,3392,1872,3340,1872,3392,1872,3356,1872,3410,1872,3392,1890,3374,1890,3322,1890,3340,1890,3251,1890,3340,1890,3322,1890,3340,1890,3322,1890,3340,1908,3427,1908,3534,1908,3498,1908,3534,1908,3445,1926,3427,1926,3374,1926,3410,1926,3322,1926,3356,1926,3322,1926,3340,1926,3269,1943,3286,1943,3322,1943,3304,1943,3340,1943,3304,1943,3340,1943,3304,1943,3356,1943,3340,1961,3356,1961,3286,1961,3322,1961,3304,1979,3304,1979,3269,1979,3304,1979,3286,1979,3340,1997,3356,1997,3427,1997,3410,1997,3427,1997,3356,1997,3374,1997,3356,1997,3374,2014,3356,2014,3340,2014,3356,2014,3304,2014,3340,2014,3286,2014,3322,2032,3304,2032,3286,2032,3304,2032,3286,2032,3304,2032,3286,2032,3356,2032,3322,2050,3322,2050,3374,2050,3356,2050,3410,2050,3392,2050,3410,2068,3445,2068,3410,2068,3427,2068,3410,2068,3445,2068,3427,2068,3516,2086,3498,2086,3480,2086,3516,2086,3494,2086,3427,2086,3445,2086,3410,2086,3427,2086,3410,2102,3392,2102,3340,2102,3356,2102,3322,2102,3410,2102,3392,2102,3427,2120,3445,2120,3480,2120,3445,2120,3463,2120,3410,2120,3445,2120,3410,2120,3480,2138,3480,2138,3587,2138,3569,2138,3622,2138,3516,2138,3551,2156,3534,2156,3445,2156,3357,2156,3268,2156,3180,2156,3215,2156,3198,2173,3198,2173,3340,2173,3269,2173,3286,2173,3127,2191,3109,2191,3144,2191,3056,2191,3109,2191,3091,2191,3127,2209,3144,2209,3109,2209,3127,2209,3056,2209,3091,2209,3073,2227,3073,2227,3038,2227,3056,2227,3038,2227,3127,2227,3073,2244,3073,2244,3109,2244,3073,2244,3109,2262,3091,2262,3073,2262,3109,2262,3091,2262,3127,2262,3109,2262,3162,2262,3144,2280,3127,2280,3109,2280,3127,2280,3056,2280,3127,2280,3109,2298,3091,2298,3056,2298,3144,2298,3109,2298,3198,2315,3269,2315,3251,2315,3269,2315,3233,2315,3251,2315,3233,2315,3251,2315,3233,2315,3251,2315,3215,2315,3233,2333,3251,2333,3340,2333,3269,2333,3374,2333,3356,2333,3392,2351,3374,2351,3463,2351,3410,2351,3463,2351,3445,2351,3480,2351,3463,2369,3480,2369,3463,2369,3498,2369,3480,2369,3551,2369,3480,2369,3534,2369,3516,2386,3498,2386,3516,2386,3480,2386,3640,2386,3551,2404,3516,2404,3286,2404,3322,2404,3269,2422,3251,2422,3215,2422,3233,2422,3215,2422,3233,2440,3269,2440,3198,2440,3215,2440,3162,2440,3233,2456,3269,2456,3251,2456,3286,2456,3233,2456,3286,2456,3269,2474,3251,2474,3304,2474,3281,2474,3259,2474,3237,2474,3215,2474,3233,2474,3162,2492,3198,2492,3273,2492,3348,2492,3423,2492,3498,2492,3427,2510,3427,2510,3445,2510,3356,2510,3392,2510,3340,2527,3340,2527,3374,2527,3356,2527,3374,2527,3356,2527,3445,2527,3410,2545,3410,2545,3392,2545,3605,2563,3622,2563,3658,2563,3640,2563,3676,2563,3658,2563,3888,2581,3923,2581,3905,2581,4100,2581,4082,2581,4135,2581,4117,2598,4117,2598,4171,2598,4135,2598,4153,2598,4064,2598,4082,2598,4030,2616,4046,2616,3993,2616,3940,2616,3887,2616,3834,2616,4064,2634,4100,2634,4082,2634,4188,2634,4126,2634,4064,2634,4003,2634,3941,2652,3923,2652,3799,2652,3817,2652,3746,2652,3781,2652,3763,2670,3763,2670,3692,2670,3710,2670,3622,2670,3640,2670,3622,2687,3640,2687,3569,2687,3587,2687,3551,2705,3534,2705,3516,2705,3551,2705,3534,2705,3551,2705,3516,2705,3551,2723,3534,2723,3498,2723,3516,2723,3463,2723,3569,2723,3551,2741,3569,2741,3587,2741,3569,2741,3605,2741,3587,2741,3605,2741,3587,2741,3605,2741,3569,2741,3605,2741,3587,2741,3692,2758,3692,2758,3661,2758,3631,2758,3600,2758,3569,2758,3587,2776,3587,2776,3710,2776,3692,2776,3728,2776,3710,2776,3728,2776,3692,2794,3676,2794,3640,2794,3710,2794,3658,2794,3676,2812,3676,2812,3710,2812,3692,2812,3746,2812,3728,2812,3905,2828,3959,2828,4153,2828,4117,2828,4135,2828,4100,2846,4082,2846,4100,2846,4030,2846,4046,2846,4012,2846,4046,2846,3959,2864,3959,2864,3937,2864,3914,2864,3892,2864,3870,2864,3976,2864,3941,2864,3994,2882,3994,2882,3918,2882,3843,2882,3768,2882,3692,2899,3710,2899,3728,2899,3692,2899,3710,2899,3679,2899,3649,2899,3618,2899,3587,2899,3622,2899,3605,2917,3587,2917,3516,2917,3534,2917,3516,2917,3534,2917,3480,2935,3480,2935,3516,2935,3480,2935,3511,2935,3542,2935,3574,2935,3605,2953,3587,2953,3534,2953,3587,2953,3569,2953,3728,2953,3710,2953,3728,2953,3710,2953,3763,2970,3763,2970,3834,2970,3817,2970,3834,2970,3781,2988,3799,2988,3781,2988,3888,2988,3852,2988,3941,3006,3923,3006,3892,3006,3861,3006,3830,3006,3799,3006,3834,3006,3817,3006,3834,3006,3817,3006,3834,3024,3870,3024,3852,3024,3870,3024,3852,3024,3888,3024,3799,3041,3781,3041,3817,3041,3781,3041,3799,3041,3763,3041,3799,3041,3781,3041,3799,3041,3781,3059,3781,3059,3834,3059,3781,3059,3852,3059,3799,3077,3799,3077,3781,3077,3799,3077,3768,3077,3737,3077,3706,3077,3676,3095,3692,3095,3817,3095,3799,3095,3817,3095,3799,3095,3817,3095,3799,3112,3817,3112,3888,3112,3870,3112,3959,3112,3923,3112,3941,3112,3817,3130,3799,3130,3622,3130,3640,3130,3587,3148,3587,3148,3551,3148,3569,3148,3516,3166,3498,3166,3480,3166,3534,3166,3516,3166,3534,3166,3516,3166,3534,3182,3516,3182,3569,3182,3534,3182,3551,3182,3534,3182,3551,3200,3534,3200,3551,3200,3516,3200,3587,3200,3551,3218,3569,3218,3480,3218,3507,3218,3533,3218,3560,3218,3587,3218,3534,3218,3551,3236,3587,3236,3605,3236,3587,3236,3605,3236,3569,3236,3605,3236,3551,3254,3534,3254,3494,3254,3454,3254,3414,3254,3374,3254,3392,3271,3356,3271,3322,3271,3340,3271,3304,3271,3356,3271,3340,3271,3374,3271,3356,3271,3374,3289,3356,3289,3463,3289,3427,3289,3445,3289,3423,3289,3401,3289,3379,3289,3356,3289,3374,3307,3356,3307,3392,3307,3374,3307,3427,3307,3356,3307,3410,3307,3392,3325,3392,3325,3410,3325,3392,3325,3410,3325,3392,3325,3410,3325,3356,3325,3392,3342,3392,3342,3427,3342,3410,3342,3445,3342,3423,3342,3401,3342,3379,3342,3356,3358,3420,3361,3493,3359,3569,3360,3640,3360,3410,3378,3392,3378,3410,3378,3392,3378,3427,3378,3340,3378,3356,3396,3374,3396,3392,3396,3340,3413,3340,3413,3322,3413,3356,3413,3340,3413,3356,3413,3340,3413,3356,3413,3340,3413,3356,3413,3322,3431,3322,3431,3286,3431,3304,3431,3198,3449,3180,3449,3198,3449,3162,3449,3180,3449,3144,3449,3180,3449,3162,3449,3198,3467,3233,3467,3144,3467,3162,3467,3038,3467,3073,3484,3056,3484,3020,3484,3073,3484,3002,3484,3038,3484,2950,3502,2950,3502,2986,3502,2968,3502,3038,3502,2986,3502,3002,3502,2986,3502,3020,3520,3020,3520,3056,3520,3038,3520,3091,3520,3073,3520,3109,3520,3073,3520,3091,3520,3056,3538,3056,3538,3073,3538,3002,3538,3020,3538,2986,3538,3002,3554,3002,3554,3073,3554,3038,3554,3073,3554,3056,3554,3073,3572,3091,3572,3127,3572,3109,3572,3162,3572,3127,3590,3127,3590,3056,3590,3162,3608,3198,3608,3167,3608,3136,3608,3104,3608,3073,3608,3127,3625,3109,3625,3073,3625,3091,3625,3038,3625,3056,3625,3038,3643,3038,3643,3020,3643,3038,3643,3002,3643,3020,3661,3056,3661,3002,3661,3020,3661,3002,3661,3038,3661,3020,3661,3056,3661,3038,3679,3038,3679,3056,3679,3020,3679,3038,3679,3020,3679,3056,3679,3020,3696,3020,3696,3038,3696,3002,3696,3020,3696,3002,3696,3038,3696,3020,3696,3056,3696,3038,3714,3038,3714,3073,3714,3038,3714,3091,3714,3056,3732,3038,3732,2968,3732,2986,3732,2950,3732,2968,3732,2950,3750,2950,3750,2923,3750,2897,3750,2870,3750,2844,3767,2844,3767,2861,3767,2844,3767,2879,3767,2844,3785,2844,3785,2826,3785,2844,3785,2826,3785,2861,3785,2790,3785,2808,3803,2790,3803,2808,3803,2790,3803,2808,3803,2737,3821,2737,3821,2719,3821,2737,3821,2719,3821,2737,3821,2719,3821,2737,3821,2719,3821,2737,3821,2719,3838,2737,3838,2719,3838,2790,3838,2773,3838,2808,3838,2790,3838,2808,3838,2790,3838,2826,3838,2790,3856,2790,3856,2755,3856,2790,3856,2755,3856,2773,3856,2719,3874,2737,3874,2666,3892,2684,3892,2666,3892,2702,3892,2684,3892,2719,3892,2702,3910,2702,3910,2684,3910,2755,3910,2719,3926,2719,3926,2666,3926,2702,3926,2684,3944,2684,3944,2702,3944,2648,3944,2666,3944,2648,3944,2702,3944,2684,3944,2702,3962,2702,3962,2737,3962,2719,3980,2719,3980,2737,3980,2719,3980,2755,3997,2755,3997,2773,3997,2737,3997,2773,3997,2737,4015,2737,4015,2755,4015,2684,4015,2702,4015,2684,4033,2684,4033,2702,4033,2666,4033,2684,4033,2632,4051,2632,4051,2614,4051,2632,4051,2614,4068,2614,4068,2632,4068,2579,4068,2596,4068,2579,4086,2596,4086,2648,4086,2632,4086,2666,4086,2614,4104,2614,4104,2543,4122,2543,4122,2525,4122,2543,4122,2525,4122,2543,4122,2490,4139,2490,4139,2561,4157,2579,4157,2648,4157,2632,4157,2648,4175,2648,4175,2702,4175,2684,4175,2702,4175,2684,4175,2702,4175,2684,4175,2719,4193,2719,4193,2702,4193,2719,4193,2702,4193,2737,4193,2719,4193,2737,4210,2737,4210,2755,4210,2702,4210,2719,4228,2719,4228,2648,4246,2648,4246,2632,4246,2648,4246,2632,4246,2648,4264,2648,4264,2684,4264,2666,4264,2684,4264,2666,4280,2648,4280,2666,4280,2632,4280,2648,4280,2632,4298,2648,4298,2632,4298,2684,4316,2684,4316,2719,4316,2702,4316,2719,4334,2719,4334,2596,4351,2579,4351,2525,4351,2543,4351,2525,4369,2508,4369,2525,4369,2508,4369,2525,4369,2508,4387,2508,4387,2579,4387,2561,4387,2579,4387,2561,4387,2596,4405,2596,4405,2579,4405,2596,4405,2579,4405,2596,4405,2579,4405,2596,4422,2596,4422,2666,4422,2632,4440,2632,4440,2614,4440,2648,4440,2632,4440,2684,4458,2684,4458,2702,4458,2684,4458,2702,4476,2702,4476,2666,4476,2684,4476,2666,4476,2684,4476,2648,4494,2632,4494,2648,4494,2614,4494,2648,4511,2648,4511,2632,4511,2648,4511,2632,4511,2648,4511,2632,4511,2648,4511,2632,4511,2648,4511,2614,4529,2632,4529,2561,4529,2579,4529,2561,4547,2561,4547,2596,4547,2579,4547,2596,4565,2596,4565,2579,4565,2614,4565,2596,4565,2648,4565,2579,4582,2561,4582,2534,4582,2507,4582,2481,4582,2454,4600,2437,4600,2419,4600,2437,4600,2419,4600,2454,4600,2437,4600,2490,4618,2490,4618,2508,4618,2472,4618,2490,4618,2454,4618,2472,4618,2419,4618,2437,4618,2419,4618,2437,4636,2437,4636,2490,4636,2472,4636,2508,4636,2490,4636,2508,4636,2490,4652,2490,4652,2543,4652,2525,4652,2543,4652,2472,4652,2490,4670,2490,4670,2508,4670,2490,4670,2508,4670,2490,4670,2561,4688,2561,4688,2596,4688,2543,4688,2579,4688,2561,4706,2579,4706,2632,4706,2614,4706,2648,4706,2632,4706,2737,4723,2773,4723,3463,4741,3480,4741,3569,4741,3498,4759,3498,4759,3516,4759,3374,4759,3392,4759,3286,4777,3286,4777,3322,4777,3304,4777,3374,4777,3356,4777,3374,4777,3356,4777,3427,4794,3445,4794,3746,4812,3781,4812,3763,4812,3888,4812,3870,4812,3888,4812,3817,4812,3746,4812,3676,4812,3605,4830,3587,4830,3534,4830,3481,4830,3427,4830,3374,4848,3374,4848,3692,4865,3710,4865,4171,4883,4171,4883,4295,4883,4277,4883,4312,4883,4295,4901,4295,4901,4277,4901,4295,4901,4268,4901,4241,4901,4215,4901,4188,4901,4100,4919,4082,4919,4038,4919,3994,4919,3949,4919,3905,4919,3923,4936,3923,4936,3888,4936,3905,4936,3834,4936,3852,4954,3870,4954,3852,4954,3905,4954,3888,4954,3923,4954,3905,4972,3905,4972,4613,4972,3959,4972,4578,4972,3976,4972,4560,4972,3994,4972,4542,4972,4012,4972,4542,4972,4030,4972,4489,4972,4012,4972,4382,4972,4030,4972,4366,4972,4030,4972,4312,4972,4046,4972,4295,4972,4064,4972,4242,4972,4064,4972,4206,4972,4064,4972,4206,4972,4064,4972,4135,4972,4117,4972,4171,4990,4171,4990,4312,4990,4295,4990,4366,4990,4348,4990,4400,4990,4382,4990,4436,4990,4295,4990,4507,4990,4206,4990,4542,4990,4259,4990,5161,5003,5239,5007,5319,5006,5400,5006,5480e" filled="false" stroked="true" strokeweight="1.375pt" strokecolor="#3467ff">
              <v:path arrowok="t"/>
              <v:stroke dashstyle="solid"/>
            </v:shape>
            <v:line style="position:absolute" from="920,3287" to="5020,3287" stroked="true" strokeweight="1.375pt" strokecolor="#020101">
              <v:stroke dashstyle="solid"/>
            </v:line>
            <w10:wrap type="none"/>
          </v:group>
        </w:pict>
      </w:r>
      <w:r>
        <w:rPr/>
        <w:pict>
          <v:group style="position:absolute;margin-left:316.989502pt;margin-top:120.602997pt;width:217.05pt;height:153.15pt;mso-position-horizontal-relative:page;mso-position-vertical-relative:page;z-index:-252448768" coordorigin="6340,2412" coordsize="4341,3063">
            <v:shape style="position:absolute;left:6357;top:2418;width:4276;height:3051" coordorigin="6358,2418" coordsize="4276,3051" path="m6358,2418l10633,2418m10633,2418l10633,5468m10633,5468l6358,5468m6358,5468l6358,2418e" filled="false" stroked="true" strokeweight=".594pt" strokecolor="#000000">
              <v:path arrowok="t"/>
              <v:stroke dashstyle="solid"/>
            </v:shape>
            <v:shape style="position:absolute;left:6357;top:2418;width:4323;height:3051" coordorigin="6358,2418" coordsize="4323,3051" path="m10633,2418l10633,5468m10633,5468l10680,5468m10633,5088l10680,5088m10633,4709l10680,4709m10633,4328l10680,4328m10633,3949l10680,3949m10633,3557l10680,3557m10633,3178l10680,3178m10633,2797l10680,2797m10633,2418l10680,2418m6358,4328l10633,4328m6358,4328l6358,4282m6892,4328l6892,4282m7427,4328l7427,4282m7961,4328l7961,4282m8495,4328l8495,4282m9030,4328l9030,4282m9564,4328l9564,4282m10098,4328l10098,4282m10633,4328l10633,4282e" filled="false" stroked="true" strokeweight=".06pt" strokecolor="#000000">
              <v:path arrowok="t"/>
              <v:stroke dashstyle="solid"/>
            </v:shape>
            <v:line style="position:absolute" from="6358,4175" to="6488,4044" stroked="true" strokeweight="1.187pt" strokecolor="#9accff">
              <v:stroke dashstyle="solid"/>
            </v:line>
            <v:shape style="position:absolute;left:6488;top:2654;width:4014;height:2186" coordorigin="6488,2654" coordsize="4014,2186" path="m6488,4044l6631,3949m6631,3949l6761,3806m6761,3806l6892,3533m6892,3533l7022,3770m7022,3770l7165,3913m7165,3913l7296,3782m7296,3782l7427,3758m7427,3758l7556,3486m7556,3486l7699,3130m7699,3130l7830,3106m7830,3106l7961,3154m7961,3154l8092,3130m8092,3130l8234,2654m8234,2654l8364,3296m8364,3296l8495,3403m8495,3403l8626,3770m8626,3770l8768,4840m8768,4840l8899,4626m8899,4626l9030,4578m9030,4578l9160,4364m9160,4364l9302,4103m9302,4103l9433,4151m9433,4151l9564,4542m9564,4542l9695,4744m9695,4744l9838,4554m9838,4554l9967,4471m9967,4471l10098,4103m10098,4103l10229,3901m10229,3901l10372,4388m10372,4388l10502,4602e" filled="false" stroked="true" strokeweight="1.187pt" strokecolor="#9accff">
              <v:path arrowok="t"/>
              <v:stroke dashstyle="solid"/>
            </v:shape>
            <v:line style="position:absolute" from="10502,4602" to="10633,4542" stroked="true" strokeweight="1.187pt" strokecolor="#9accff">
              <v:stroke dashstyle="solid"/>
            </v:line>
            <v:line style="position:absolute" from="6358,4554" to="6488,4471" stroked="true" strokeweight="1.187pt" strokecolor="#9acc00">
              <v:stroke dashstyle="solid"/>
            </v:line>
            <v:shape style="position:absolute;left:6488;top:2654;width:3741;height:2411" coordorigin="6488,2654" coordsize="3741,2411" path="m6488,4471l6631,4103m6631,4103l6761,3901m6761,3901l6892,4388m6892,4388l7022,4602m7022,4602l7165,4542m7165,4542l7296,4198m7296,4198l7427,3415m7427,3415l7556,3260m7556,3260l7699,3083m7699,3083l7830,3593m7830,3593l7961,3758m7961,3758l8092,2654m8092,2654l8234,3854m8234,3854l8364,3533m8364,3533l8495,3474m8495,3474l8626,5065m8626,5065l8768,4103m8768,4103l8899,4649m8899,4649l9030,4673m9030,4673l9160,4139m9160,4139l9302,4316m9302,4316l9433,4008m9433,4008l9564,4352m9564,4352l9695,4282m9695,4282l9838,4020m9838,4020l9967,3794m9967,3794l10098,3533m10098,3533l10229,3462e" filled="false" stroked="true" strokeweight="1.187pt" strokecolor="#9acc00">
              <v:path arrowok="t"/>
              <v:stroke dashstyle="solid"/>
            </v:shape>
            <v:line style="position:absolute" from="10217,3456" to="10383,3456" stroked="true" strokeweight="1.787pt" strokecolor="#9acc00">
              <v:stroke dashstyle="solid"/>
            </v:line>
            <v:line style="position:absolute" from="10372,3450" to="10502,3641" stroked="true" strokeweight="1.187pt" strokecolor="#9acc00">
              <v:stroke dashstyle="solid"/>
            </v:line>
            <v:line style="position:absolute" from="10502,3641" to="10633,3676" stroked="true" strokeweight="1.187pt" strokecolor="#9acc00">
              <v:stroke dashstyle="solid"/>
            </v:line>
            <v:line style="position:absolute" from="6358,3118" to="6488,3284" stroked="true" strokeweight="1.187pt" strokecolor="#ff9a00">
              <v:stroke dashstyle="solid"/>
            </v:line>
            <v:shape style="position:absolute;left:6488;top:2714;width:1746;height:1306" coordorigin="6488,2714" coordsize="1746,1306" path="m6488,3284l6631,3545m6631,3545l6761,3522m6761,3522l6892,3166m6892,3166l7022,2880m7022,2880l7165,2714m7165,2714l7296,2833m7427,2821l7556,2999m7556,2999l7699,3331m7699,3331l7830,3426m7830,3426l7961,3889m7961,3889l8092,3972m8092,3972l8234,4020e" filled="false" stroked="true" strokeweight="1.187pt" strokecolor="#ff9a00">
              <v:path arrowok="t"/>
              <v:stroke dashstyle="solid"/>
            </v:shape>
            <v:line style="position:absolute" from="8223,4014" to="8376,4014" stroked="true" strokeweight="1.787pt" strokecolor="#ff9a00">
              <v:stroke dashstyle="solid"/>
            </v:line>
            <v:shape style="position:absolute;left:8364;top:3580;width:2139;height:1199" coordorigin="8364,3581" coordsize="2139,1199" path="m8364,4008l8495,4151m8495,4151l8626,4352m8626,4352l8768,4507m8768,4507l8899,4780m8899,4780l9030,4566m9030,4566l9160,4590m9160,4590l9302,4614m9302,4614l9433,4222m9433,4222l9564,4127m9564,4127l9695,4020m9695,4020l9838,3758m9838,3758l9967,3913m9967,3913l10098,3758m10098,3758l10229,3641m10229,3641l10372,3581m10372,3581l10502,3712e" filled="false" stroked="true" strokeweight="1.187pt" strokecolor="#ff9a00">
              <v:path arrowok="t"/>
              <v:stroke dashstyle="solid"/>
            </v:shape>
            <v:line style="position:absolute" from="10502,3712" to="10633,3842" stroked="true" strokeweight="1.187pt" strokecolor="#ff9a00">
              <v:stroke dashstyle="solid"/>
            </v:line>
            <v:line style="position:absolute" from="6358,3794" to="6488,3842" stroked="true" strokeweight="1.781pt" strokecolor="#000000">
              <v:stroke dashstyle="solid"/>
            </v:line>
            <v:shape style="position:absolute;left:6488;top:3640;width:1876;height:380" coordorigin="6488,3641" coordsize="1876,380" path="m6488,3842l6631,3937m6631,3937l6761,4020m6761,4020l6892,3996m6892,3996l7022,3901m7022,3901l7165,3996m7165,3996l7296,3830m7296,3830l7427,3913m7427,3913l7556,3972m7556,3972l7699,3818m7699,3818l7830,3889m7830,3889l7961,3676m7961,3676l8092,3641m8234,3641l8364,3830e" filled="false" stroked="true" strokeweight="1.781pt" strokecolor="#000000">
              <v:path arrowok="t"/>
              <v:stroke dashstyle="solid"/>
            </v:shape>
            <v:rect style="position:absolute;left:8661;top:2666;width:1413;height:915" filled="true" fillcolor="#ffffff" stroked="false">
              <v:fill type="solid"/>
            </v:rect>
            <v:line style="position:absolute" from="8982,2797" to="9268,2797" stroked="true" strokeweight="1.187pt" strokecolor="#9accff">
              <v:stroke dashstyle="solid"/>
            </v:line>
            <v:line style="position:absolute" from="8982,3023" to="9268,3023" stroked="true" strokeweight="1.187pt" strokecolor="#9acc00">
              <v:stroke dashstyle="solid"/>
            </v:line>
            <v:line style="position:absolute" from="8982,3462" to="9268,3462" stroked="true" strokeweight="1.781pt" strokecolor="#000000">
              <v:stroke dashstyle="solid"/>
            </v:line>
            <w10:wrap type="none"/>
          </v:group>
        </w:pict>
      </w:r>
    </w:p>
    <w:p>
      <w:pPr>
        <w:spacing w:after="0"/>
        <w:rPr>
          <w:sz w:val="2"/>
          <w:szCs w:val="2"/>
        </w:rPr>
        <w:sectPr>
          <w:pgSz w:w="11910" w:h="16840"/>
          <w:pgMar w:header="0" w:footer="697" w:top="1440" w:bottom="880" w:left="600" w:right="6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0"/>
        <w:gridCol w:w="5301"/>
      </w:tblGrid>
      <w:tr>
        <w:trPr>
          <w:trHeight w:val="827" w:hRule="atLeast"/>
        </w:trPr>
        <w:tc>
          <w:tcPr>
            <w:tcW w:w="5140" w:type="dxa"/>
          </w:tcPr>
          <w:p>
            <w:pPr>
              <w:pStyle w:val="TableParagraph"/>
              <w:spacing w:line="276" w:lineRule="exact" w:before="2"/>
              <w:ind w:left="107" w:right="376"/>
              <w:rPr>
                <w:b/>
                <w:sz w:val="24"/>
              </w:rPr>
            </w:pPr>
            <w:r>
              <w:rPr>
                <w:b/>
                <w:sz w:val="24"/>
              </w:rPr>
              <w:t>Chart 5: Major UK banks’ customer funding gap, household saving ratio and foreign interbank deposits</w:t>
            </w:r>
          </w:p>
        </w:tc>
        <w:tc>
          <w:tcPr>
            <w:tcW w:w="5301" w:type="dxa"/>
          </w:tcPr>
          <w:p>
            <w:pPr>
              <w:pStyle w:val="TableParagraph"/>
              <w:ind w:left="107" w:right="490"/>
              <w:rPr>
                <w:b/>
                <w:sz w:val="24"/>
              </w:rPr>
            </w:pPr>
            <w:r>
              <w:rPr>
                <w:b/>
                <w:sz w:val="24"/>
              </w:rPr>
              <w:t>Chart 6: Major UK banks’ and LCFIs’ credit default swap premia</w:t>
            </w:r>
          </w:p>
        </w:tc>
      </w:tr>
      <w:tr>
        <w:trPr>
          <w:trHeight w:val="5131" w:hRule="atLeast"/>
        </w:trPr>
        <w:tc>
          <w:tcPr>
            <w:tcW w:w="5140" w:type="dxa"/>
          </w:tcPr>
          <w:p>
            <w:pPr>
              <w:pStyle w:val="TableParagraph"/>
              <w:ind w:left="107"/>
              <w:rPr>
                <w:sz w:val="20"/>
              </w:rPr>
            </w:pPr>
            <w:r>
              <w:rPr>
                <w:sz w:val="20"/>
              </w:rPr>
              <w:drawing>
                <wp:inline distT="0" distB="0" distL="0" distR="0">
                  <wp:extent cx="3019183" cy="27660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019183" cy="2766060"/>
                          </a:xfrm>
                          <a:prstGeom prst="rect">
                            <a:avLst/>
                          </a:prstGeom>
                        </pic:spPr>
                      </pic:pic>
                    </a:graphicData>
                  </a:graphic>
                </wp:inline>
              </w:drawing>
            </w:r>
            <w:r>
              <w:rPr>
                <w:sz w:val="20"/>
              </w:rPr>
            </w:r>
          </w:p>
          <w:p>
            <w:pPr>
              <w:pStyle w:val="TableParagraph"/>
              <w:spacing w:before="1"/>
              <w:rPr>
                <w:sz w:val="23"/>
              </w:rPr>
            </w:pPr>
          </w:p>
          <w:p>
            <w:pPr>
              <w:pStyle w:val="TableParagraph"/>
              <w:ind w:left="107" w:right="319"/>
              <w:rPr>
                <w:sz w:val="16"/>
              </w:rPr>
            </w:pPr>
            <w:r>
              <w:rPr>
                <w:sz w:val="16"/>
              </w:rPr>
              <w:t>Sources: Bank of England, Dealogic, ONS, published accounts and Bank calculations.</w:t>
            </w:r>
          </w:p>
        </w:tc>
        <w:tc>
          <w:tcPr>
            <w:tcW w:w="5301" w:type="dxa"/>
          </w:tcPr>
          <w:p>
            <w:pPr>
              <w:pStyle w:val="TableParagraph"/>
              <w:tabs>
                <w:tab w:pos="2902" w:val="left" w:leader="none"/>
                <w:tab w:pos="4037" w:val="left" w:leader="none"/>
                <w:tab w:pos="5020" w:val="right" w:leader="none"/>
              </w:tabs>
              <w:spacing w:line="230" w:lineRule="auto" w:before="333"/>
              <w:ind w:left="792" w:right="254"/>
              <w:rPr>
                <w:sz w:val="20"/>
              </w:rPr>
            </w:pPr>
            <w:r>
              <w:rPr>
                <w:spacing w:val="2"/>
                <w:sz w:val="20"/>
              </w:rPr>
              <w:t>Major</w:t>
            </w:r>
            <w:r>
              <w:rPr>
                <w:spacing w:val="10"/>
                <w:sz w:val="20"/>
              </w:rPr>
              <w:t> </w:t>
            </w:r>
            <w:r>
              <w:rPr>
                <w:sz w:val="20"/>
              </w:rPr>
              <w:t>UK</w:t>
            </w:r>
            <w:r>
              <w:rPr>
                <w:spacing w:val="4"/>
                <w:sz w:val="20"/>
              </w:rPr>
              <w:t> </w:t>
            </w:r>
            <w:r>
              <w:rPr>
                <w:sz w:val="20"/>
              </w:rPr>
              <w:t>banks</w:t>
              <w:tab/>
              <w:tab/>
            </w:r>
            <w:r>
              <w:rPr>
                <w:spacing w:val="-3"/>
                <w:sz w:val="20"/>
              </w:rPr>
              <w:t>Basis </w:t>
            </w:r>
            <w:r>
              <w:rPr>
                <w:spacing w:val="6"/>
                <w:sz w:val="20"/>
              </w:rPr>
              <w:t>points </w:t>
            </w:r>
            <w:r>
              <w:rPr>
                <w:sz w:val="20"/>
              </w:rPr>
              <w:t>US</w:t>
            </w:r>
            <w:r>
              <w:rPr>
                <w:spacing w:val="-17"/>
                <w:sz w:val="20"/>
              </w:rPr>
              <w:t> </w:t>
            </w:r>
            <w:r>
              <w:rPr>
                <w:spacing w:val="3"/>
                <w:sz w:val="20"/>
              </w:rPr>
              <w:t>commercial</w:t>
            </w:r>
            <w:r>
              <w:rPr>
                <w:spacing w:val="2"/>
                <w:sz w:val="20"/>
              </w:rPr>
              <w:t> </w:t>
            </w:r>
            <w:r>
              <w:rPr>
                <w:sz w:val="20"/>
              </w:rPr>
              <w:t>banks</w:t>
              <w:tab/>
            </w:r>
            <w:r>
              <w:rPr>
                <w:spacing w:val="2"/>
                <w:sz w:val="20"/>
              </w:rPr>
              <w:t>(c)</w:t>
              <w:tab/>
              <w:tab/>
            </w:r>
            <w:r>
              <w:rPr>
                <w:spacing w:val="6"/>
                <w:position w:val="9"/>
                <w:sz w:val="20"/>
              </w:rPr>
              <w:t>700</w:t>
            </w:r>
          </w:p>
          <w:p>
            <w:pPr>
              <w:pStyle w:val="TableParagraph"/>
              <w:spacing w:line="99" w:lineRule="exact"/>
              <w:ind w:left="4704"/>
              <w:rPr>
                <w:sz w:val="20"/>
              </w:rPr>
            </w:pPr>
            <w:r>
              <w:rPr>
                <w:spacing w:val="6"/>
                <w:sz w:val="20"/>
              </w:rPr>
              <w:t>650</w:t>
            </w:r>
          </w:p>
          <w:p>
            <w:pPr>
              <w:pStyle w:val="TableParagraph"/>
              <w:tabs>
                <w:tab w:pos="5020" w:val="right" w:leader="none"/>
              </w:tabs>
              <w:spacing w:line="235" w:lineRule="exact"/>
              <w:ind w:left="792"/>
              <w:rPr>
                <w:sz w:val="20"/>
              </w:rPr>
            </w:pPr>
            <w:r>
              <w:rPr>
                <w:sz w:val="20"/>
              </w:rPr>
              <w:t>US</w:t>
            </w:r>
            <w:r>
              <w:rPr>
                <w:spacing w:val="-18"/>
                <w:sz w:val="20"/>
              </w:rPr>
              <w:t> </w:t>
            </w:r>
            <w:r>
              <w:rPr>
                <w:sz w:val="20"/>
              </w:rPr>
              <w:t>securities</w:t>
            </w:r>
            <w:r>
              <w:rPr>
                <w:spacing w:val="-2"/>
                <w:sz w:val="20"/>
              </w:rPr>
              <w:t> </w:t>
            </w:r>
            <w:r>
              <w:rPr>
                <w:sz w:val="20"/>
              </w:rPr>
              <w:t>houses</w:t>
              <w:tab/>
            </w:r>
            <w:r>
              <w:rPr>
                <w:spacing w:val="6"/>
                <w:position w:val="-3"/>
                <w:sz w:val="20"/>
              </w:rPr>
              <w:t>600</w:t>
            </w:r>
          </w:p>
          <w:p>
            <w:pPr>
              <w:pStyle w:val="TableParagraph"/>
              <w:tabs>
                <w:tab w:pos="5020" w:val="right" w:leader="none"/>
              </w:tabs>
              <w:spacing w:line="225" w:lineRule="exact"/>
              <w:ind w:left="792"/>
              <w:rPr>
                <w:sz w:val="20"/>
              </w:rPr>
            </w:pPr>
            <w:r>
              <w:rPr>
                <w:spacing w:val="2"/>
                <w:sz w:val="20"/>
              </w:rPr>
              <w:t>European</w:t>
            </w:r>
            <w:r>
              <w:rPr>
                <w:spacing w:val="11"/>
                <w:sz w:val="20"/>
              </w:rPr>
              <w:t> </w:t>
            </w:r>
            <w:r>
              <w:rPr>
                <w:sz w:val="20"/>
              </w:rPr>
              <w:t>LCFIs</w:t>
              <w:tab/>
            </w:r>
            <w:r>
              <w:rPr>
                <w:spacing w:val="6"/>
                <w:position w:val="4"/>
                <w:sz w:val="20"/>
              </w:rPr>
              <w:t>550</w:t>
            </w:r>
          </w:p>
          <w:p>
            <w:pPr>
              <w:pStyle w:val="TableParagraph"/>
              <w:spacing w:line="189" w:lineRule="exact"/>
              <w:ind w:right="268"/>
              <w:jc w:val="right"/>
              <w:rPr>
                <w:sz w:val="20"/>
              </w:rPr>
            </w:pPr>
            <w:r>
              <w:rPr>
                <w:spacing w:val="5"/>
                <w:sz w:val="20"/>
              </w:rPr>
              <w:t>500</w:t>
            </w:r>
          </w:p>
          <w:p>
            <w:pPr>
              <w:pStyle w:val="TableParagraph"/>
              <w:spacing w:line="216" w:lineRule="exact"/>
              <w:ind w:right="268"/>
              <w:jc w:val="right"/>
              <w:rPr>
                <w:sz w:val="20"/>
              </w:rPr>
            </w:pPr>
            <w:r>
              <w:rPr>
                <w:spacing w:val="5"/>
                <w:sz w:val="20"/>
              </w:rPr>
              <w:t>450</w:t>
            </w:r>
          </w:p>
          <w:p>
            <w:pPr>
              <w:pStyle w:val="TableParagraph"/>
              <w:spacing w:line="216" w:lineRule="exact"/>
              <w:ind w:right="268"/>
              <w:jc w:val="right"/>
              <w:rPr>
                <w:sz w:val="20"/>
              </w:rPr>
            </w:pPr>
            <w:r>
              <w:rPr>
                <w:spacing w:val="5"/>
                <w:sz w:val="20"/>
              </w:rPr>
              <w:t>400</w:t>
            </w:r>
          </w:p>
          <w:p>
            <w:pPr>
              <w:pStyle w:val="TableParagraph"/>
              <w:spacing w:line="216" w:lineRule="exact"/>
              <w:ind w:right="268"/>
              <w:jc w:val="right"/>
              <w:rPr>
                <w:sz w:val="20"/>
              </w:rPr>
            </w:pPr>
            <w:r>
              <w:rPr>
                <w:spacing w:val="5"/>
                <w:sz w:val="20"/>
              </w:rPr>
              <w:t>350</w:t>
            </w:r>
          </w:p>
          <w:p>
            <w:pPr>
              <w:pStyle w:val="TableParagraph"/>
              <w:spacing w:line="217" w:lineRule="exact"/>
              <w:ind w:right="268"/>
              <w:jc w:val="right"/>
              <w:rPr>
                <w:sz w:val="20"/>
              </w:rPr>
            </w:pPr>
            <w:r>
              <w:rPr>
                <w:spacing w:val="5"/>
                <w:sz w:val="20"/>
              </w:rPr>
              <w:t>300</w:t>
            </w:r>
          </w:p>
          <w:p>
            <w:pPr>
              <w:pStyle w:val="TableParagraph"/>
              <w:spacing w:line="217" w:lineRule="exact"/>
              <w:ind w:right="268"/>
              <w:jc w:val="right"/>
              <w:rPr>
                <w:sz w:val="20"/>
              </w:rPr>
            </w:pPr>
            <w:r>
              <w:rPr>
                <w:spacing w:val="5"/>
                <w:sz w:val="20"/>
              </w:rPr>
              <w:t>250</w:t>
            </w:r>
          </w:p>
          <w:p>
            <w:pPr>
              <w:pStyle w:val="TableParagraph"/>
              <w:spacing w:line="207" w:lineRule="exact"/>
              <w:ind w:right="268"/>
              <w:jc w:val="right"/>
              <w:rPr>
                <w:sz w:val="20"/>
              </w:rPr>
            </w:pPr>
            <w:r>
              <w:rPr>
                <w:spacing w:val="5"/>
                <w:sz w:val="20"/>
              </w:rPr>
              <w:t>200</w:t>
            </w:r>
          </w:p>
          <w:p>
            <w:pPr>
              <w:pStyle w:val="TableParagraph"/>
              <w:spacing w:line="207" w:lineRule="exact"/>
              <w:ind w:right="268"/>
              <w:jc w:val="right"/>
              <w:rPr>
                <w:sz w:val="20"/>
              </w:rPr>
            </w:pPr>
            <w:r>
              <w:rPr>
                <w:spacing w:val="5"/>
                <w:sz w:val="20"/>
              </w:rPr>
              <w:t>150</w:t>
            </w:r>
          </w:p>
          <w:p>
            <w:pPr>
              <w:pStyle w:val="TableParagraph"/>
              <w:tabs>
                <w:tab w:pos="1144" w:val="left" w:leader="none"/>
              </w:tabs>
              <w:spacing w:line="216" w:lineRule="exact"/>
              <w:ind w:right="268"/>
              <w:jc w:val="right"/>
              <w:rPr>
                <w:sz w:val="20"/>
              </w:rPr>
            </w:pPr>
            <w:r>
              <w:rPr>
                <w:w w:val="99"/>
                <w:sz w:val="20"/>
                <w:u w:val="single" w:color="FFCC00"/>
              </w:rPr>
              <w:t> </w:t>
            </w:r>
            <w:r>
              <w:rPr>
                <w:spacing w:val="-1"/>
                <w:sz w:val="20"/>
                <w:u w:val="single" w:color="FFCC00"/>
              </w:rPr>
              <w:t> </w:t>
            </w:r>
            <w:r>
              <w:rPr>
                <w:sz w:val="20"/>
              </w:rPr>
              <w:tab/>
            </w:r>
            <w:r>
              <w:rPr>
                <w:spacing w:val="5"/>
                <w:sz w:val="20"/>
              </w:rPr>
              <w:t>100</w:t>
            </w:r>
          </w:p>
          <w:p>
            <w:pPr>
              <w:pStyle w:val="TableParagraph"/>
              <w:spacing w:line="216" w:lineRule="exact"/>
              <w:ind w:left="4704"/>
              <w:rPr>
                <w:sz w:val="20"/>
              </w:rPr>
            </w:pPr>
            <w:r>
              <w:rPr>
                <w:sz w:val="20"/>
              </w:rPr>
              <w:t>50</w:t>
            </w:r>
          </w:p>
          <w:p>
            <w:pPr>
              <w:pStyle w:val="TableParagraph"/>
              <w:spacing w:line="223" w:lineRule="exact"/>
              <w:ind w:left="4704"/>
              <w:rPr>
                <w:sz w:val="20"/>
              </w:rPr>
            </w:pPr>
            <w:r>
              <w:rPr>
                <w:w w:val="99"/>
                <w:sz w:val="20"/>
              </w:rPr>
              <w:t>0</w:t>
            </w:r>
          </w:p>
          <w:p>
            <w:pPr>
              <w:pStyle w:val="TableParagraph"/>
              <w:tabs>
                <w:tab w:pos="828" w:val="left" w:leader="none"/>
                <w:tab w:pos="3983" w:val="left" w:leader="none"/>
              </w:tabs>
              <w:spacing w:before="59"/>
              <w:ind w:left="323"/>
              <w:rPr>
                <w:sz w:val="20"/>
              </w:rPr>
            </w:pPr>
            <w:r>
              <w:rPr>
                <w:spacing w:val="-4"/>
                <w:sz w:val="20"/>
              </w:rPr>
              <w:t>Jul.</w:t>
              <w:tab/>
            </w:r>
            <w:r>
              <w:rPr>
                <w:spacing w:val="-3"/>
                <w:sz w:val="20"/>
              </w:rPr>
              <w:t>Sep.   </w:t>
            </w:r>
            <w:r>
              <w:rPr>
                <w:spacing w:val="4"/>
                <w:sz w:val="20"/>
              </w:rPr>
              <w:t>Nov.   </w:t>
            </w:r>
            <w:r>
              <w:rPr>
                <w:sz w:val="20"/>
              </w:rPr>
              <w:t>Jan. </w:t>
            </w:r>
            <w:r>
              <w:rPr>
                <w:spacing w:val="50"/>
                <w:sz w:val="20"/>
              </w:rPr>
              <w:t> </w:t>
            </w:r>
            <w:r>
              <w:rPr>
                <w:spacing w:val="3"/>
                <w:sz w:val="20"/>
              </w:rPr>
              <w:t>Mar. </w:t>
            </w:r>
            <w:r>
              <w:rPr>
                <w:spacing w:val="12"/>
                <w:sz w:val="20"/>
              </w:rPr>
              <w:t> </w:t>
            </w:r>
            <w:r>
              <w:rPr>
                <w:spacing w:val="3"/>
                <w:sz w:val="20"/>
              </w:rPr>
              <w:t>May.  </w:t>
            </w:r>
            <w:r>
              <w:rPr>
                <w:spacing w:val="27"/>
                <w:sz w:val="20"/>
              </w:rPr>
              <w:t> </w:t>
            </w:r>
            <w:r>
              <w:rPr>
                <w:spacing w:val="-5"/>
                <w:sz w:val="20"/>
              </w:rPr>
              <w:t>Jul.</w:t>
              <w:tab/>
            </w:r>
            <w:r>
              <w:rPr>
                <w:sz w:val="20"/>
              </w:rPr>
              <w:t>Sep.</w:t>
            </w:r>
          </w:p>
          <w:p>
            <w:pPr>
              <w:pStyle w:val="TableParagraph"/>
              <w:tabs>
                <w:tab w:pos="2198" w:val="left" w:leader="none"/>
              </w:tabs>
              <w:spacing w:before="76"/>
              <w:ind w:left="540"/>
              <w:rPr>
                <w:sz w:val="20"/>
              </w:rPr>
            </w:pPr>
            <w:r>
              <w:rPr>
                <w:spacing w:val="6"/>
                <w:sz w:val="20"/>
              </w:rPr>
              <w:t>2007</w:t>
              <w:tab/>
            </w:r>
            <w:r>
              <w:rPr>
                <w:spacing w:val="8"/>
                <w:sz w:val="20"/>
              </w:rPr>
              <w:t>08</w:t>
            </w:r>
          </w:p>
          <w:p>
            <w:pPr>
              <w:pStyle w:val="TableParagraph"/>
              <w:spacing w:before="172"/>
              <w:ind w:left="107" w:right="254"/>
              <w:rPr>
                <w:sz w:val="16"/>
              </w:rPr>
            </w:pPr>
            <w:r>
              <w:rPr>
                <w:sz w:val="16"/>
              </w:rPr>
              <w:t>Sources: Markit Group Limited , Thomson Datastream, published accounts and Bank calculations.</w:t>
            </w:r>
          </w:p>
        </w:tc>
      </w:tr>
      <w:tr>
        <w:trPr>
          <w:trHeight w:val="552" w:hRule="atLeast"/>
        </w:trPr>
        <w:tc>
          <w:tcPr>
            <w:tcW w:w="5140" w:type="dxa"/>
          </w:tcPr>
          <w:p>
            <w:pPr>
              <w:pStyle w:val="TableParagraph"/>
              <w:spacing w:line="276" w:lineRule="exact" w:before="2"/>
              <w:ind w:left="107" w:right="237"/>
              <w:rPr>
                <w:b/>
                <w:sz w:val="24"/>
              </w:rPr>
            </w:pPr>
            <w:r>
              <w:rPr>
                <w:b/>
                <w:sz w:val="24"/>
              </w:rPr>
              <w:t>Chart 7: Three-month interbank rates relative to expected policy rates</w:t>
            </w:r>
          </w:p>
        </w:tc>
        <w:tc>
          <w:tcPr>
            <w:tcW w:w="5301" w:type="dxa"/>
          </w:tcPr>
          <w:p>
            <w:pPr>
              <w:pStyle w:val="TableParagraph"/>
              <w:spacing w:line="276" w:lineRule="exact" w:before="2"/>
              <w:ind w:left="107" w:right="904"/>
              <w:rPr>
                <w:b/>
                <w:sz w:val="24"/>
              </w:rPr>
            </w:pPr>
            <w:r>
              <w:rPr>
                <w:b/>
                <w:sz w:val="24"/>
              </w:rPr>
              <w:t>Chart 8: Three-month UK interbank rate relative to expected policy rates</w:t>
            </w:r>
          </w:p>
        </w:tc>
      </w:tr>
      <w:tr>
        <w:trPr>
          <w:trHeight w:val="4874" w:hRule="atLeast"/>
        </w:trPr>
        <w:tc>
          <w:tcPr>
            <w:tcW w:w="5140" w:type="dxa"/>
          </w:tcPr>
          <w:p>
            <w:pPr>
              <w:pStyle w:val="TableParagraph"/>
              <w:rPr>
                <w:sz w:val="20"/>
              </w:rPr>
            </w:pPr>
          </w:p>
          <w:p>
            <w:pPr>
              <w:pStyle w:val="TableParagraph"/>
              <w:spacing w:before="10"/>
              <w:rPr>
                <w:sz w:val="22"/>
              </w:rPr>
            </w:pPr>
          </w:p>
          <w:p>
            <w:pPr>
              <w:pStyle w:val="TableParagraph"/>
              <w:ind w:left="3927"/>
              <w:rPr>
                <w:sz w:val="18"/>
              </w:rPr>
            </w:pPr>
            <w:r>
              <w:rPr>
                <w:w w:val="105"/>
                <w:sz w:val="18"/>
              </w:rPr>
              <w:t>Basis points</w:t>
            </w:r>
          </w:p>
          <w:p>
            <w:pPr>
              <w:pStyle w:val="TableParagraph"/>
              <w:tabs>
                <w:tab w:pos="2312" w:val="left" w:leader="none"/>
                <w:tab w:pos="3792" w:val="left" w:leader="none"/>
              </w:tabs>
              <w:spacing w:line="188" w:lineRule="exact" w:before="62"/>
              <w:ind w:left="947"/>
              <w:rPr>
                <w:sz w:val="18"/>
              </w:rPr>
            </w:pPr>
            <w:r>
              <w:rPr>
                <w:w w:val="105"/>
                <w:sz w:val="18"/>
              </w:rPr>
              <w:t>Sterling</w:t>
              <w:tab/>
              <w:t>US</w:t>
            </w:r>
            <w:r>
              <w:rPr>
                <w:spacing w:val="-20"/>
                <w:w w:val="105"/>
                <w:sz w:val="18"/>
              </w:rPr>
              <w:t> </w:t>
            </w:r>
            <w:r>
              <w:rPr>
                <w:w w:val="105"/>
                <w:sz w:val="18"/>
              </w:rPr>
              <w:t>dollar</w:t>
              <w:tab/>
              <w:t>Euro</w:t>
            </w:r>
          </w:p>
          <w:p>
            <w:pPr>
              <w:pStyle w:val="TableParagraph"/>
              <w:spacing w:line="188" w:lineRule="exact"/>
              <w:ind w:left="4466"/>
              <w:rPr>
                <w:sz w:val="18"/>
              </w:rPr>
            </w:pPr>
            <w:r>
              <w:rPr>
                <w:spacing w:val="8"/>
                <w:w w:val="105"/>
                <w:sz w:val="18"/>
              </w:rPr>
              <w:t>400</w:t>
            </w:r>
          </w:p>
          <w:p>
            <w:pPr>
              <w:pStyle w:val="TableParagraph"/>
              <w:spacing w:before="112"/>
              <w:ind w:left="4466"/>
              <w:rPr>
                <w:sz w:val="18"/>
              </w:rPr>
            </w:pPr>
            <w:r>
              <w:rPr>
                <w:spacing w:val="8"/>
                <w:w w:val="105"/>
                <w:sz w:val="18"/>
              </w:rPr>
              <w:t>350</w:t>
            </w:r>
          </w:p>
          <w:p>
            <w:pPr>
              <w:pStyle w:val="TableParagraph"/>
              <w:spacing w:line="204" w:lineRule="exact" w:before="112"/>
              <w:ind w:left="4466"/>
              <w:rPr>
                <w:sz w:val="18"/>
              </w:rPr>
            </w:pPr>
            <w:r>
              <w:rPr>
                <w:spacing w:val="8"/>
                <w:w w:val="105"/>
                <w:sz w:val="18"/>
              </w:rPr>
              <w:t>300</w:t>
            </w:r>
          </w:p>
          <w:p>
            <w:pPr>
              <w:pStyle w:val="TableParagraph"/>
              <w:tabs>
                <w:tab w:pos="656" w:val="left" w:leader="none"/>
              </w:tabs>
              <w:spacing w:line="208" w:lineRule="auto" w:before="4"/>
              <w:ind w:right="359"/>
              <w:jc w:val="right"/>
              <w:rPr>
                <w:sz w:val="18"/>
              </w:rPr>
            </w:pPr>
            <w:r>
              <w:rPr>
                <w:w w:val="105"/>
                <w:sz w:val="18"/>
              </w:rPr>
              <w:t>(d)(e)</w:t>
              <w:tab/>
            </w:r>
            <w:r>
              <w:rPr>
                <w:spacing w:val="8"/>
                <w:position w:val="-11"/>
                <w:sz w:val="18"/>
              </w:rPr>
              <w:t>250</w:t>
            </w:r>
          </w:p>
          <w:p>
            <w:pPr>
              <w:pStyle w:val="TableParagraph"/>
              <w:spacing w:line="168" w:lineRule="exact"/>
              <w:ind w:left="3101" w:right="1779"/>
              <w:jc w:val="center"/>
              <w:rPr>
                <w:sz w:val="18"/>
              </w:rPr>
            </w:pPr>
            <w:r>
              <w:rPr>
                <w:w w:val="105"/>
                <w:sz w:val="18"/>
              </w:rPr>
              <w:t>(c)</w:t>
            </w:r>
          </w:p>
          <w:p>
            <w:pPr>
              <w:pStyle w:val="TableParagraph"/>
              <w:spacing w:line="187" w:lineRule="exact"/>
              <w:ind w:left="4466"/>
              <w:rPr>
                <w:sz w:val="18"/>
              </w:rPr>
            </w:pPr>
            <w:r>
              <w:rPr>
                <w:spacing w:val="8"/>
                <w:w w:val="105"/>
                <w:sz w:val="18"/>
              </w:rPr>
              <w:t>200</w:t>
            </w:r>
          </w:p>
          <w:p>
            <w:pPr>
              <w:pStyle w:val="TableParagraph"/>
              <w:spacing w:before="112"/>
              <w:ind w:left="4466"/>
              <w:rPr>
                <w:sz w:val="18"/>
              </w:rPr>
            </w:pPr>
            <w:r>
              <w:rPr>
                <w:spacing w:val="8"/>
                <w:w w:val="105"/>
                <w:sz w:val="18"/>
              </w:rPr>
              <w:t>150</w:t>
            </w:r>
          </w:p>
          <w:p>
            <w:pPr>
              <w:pStyle w:val="TableParagraph"/>
              <w:spacing w:before="112"/>
              <w:ind w:left="4466"/>
              <w:rPr>
                <w:sz w:val="18"/>
              </w:rPr>
            </w:pPr>
            <w:r>
              <w:rPr>
                <w:spacing w:val="8"/>
                <w:w w:val="105"/>
                <w:sz w:val="18"/>
              </w:rPr>
              <w:t>100</w:t>
            </w:r>
          </w:p>
          <w:p>
            <w:pPr>
              <w:pStyle w:val="TableParagraph"/>
              <w:spacing w:before="113"/>
              <w:ind w:left="4466"/>
              <w:rPr>
                <w:sz w:val="18"/>
              </w:rPr>
            </w:pPr>
            <w:r>
              <w:rPr>
                <w:w w:val="105"/>
                <w:sz w:val="18"/>
              </w:rPr>
              <w:t>50</w:t>
            </w:r>
          </w:p>
          <w:p>
            <w:pPr>
              <w:pStyle w:val="TableParagraph"/>
              <w:spacing w:before="113"/>
              <w:ind w:left="4466"/>
              <w:rPr>
                <w:sz w:val="18"/>
              </w:rPr>
            </w:pPr>
            <w:r>
              <w:rPr>
                <w:w w:val="102"/>
                <w:sz w:val="18"/>
              </w:rPr>
              <w:t>0</w:t>
            </w:r>
          </w:p>
          <w:p>
            <w:pPr>
              <w:pStyle w:val="TableParagraph"/>
              <w:tabs>
                <w:tab w:pos="863" w:val="left" w:leader="none"/>
                <w:tab w:pos="1452" w:val="left" w:leader="none"/>
                <w:tab w:pos="1924" w:val="left" w:leader="none"/>
                <w:tab w:pos="2480" w:val="left" w:leader="none"/>
                <w:tab w:pos="2985" w:val="left" w:leader="none"/>
                <w:tab w:pos="3574" w:val="left" w:leader="none"/>
                <w:tab w:pos="4044" w:val="left" w:leader="none"/>
              </w:tabs>
              <w:spacing w:before="61"/>
              <w:ind w:left="358"/>
              <w:rPr>
                <w:sz w:val="18"/>
              </w:rPr>
            </w:pPr>
            <w:r>
              <w:rPr>
                <w:w w:val="105"/>
                <w:sz w:val="18"/>
              </w:rPr>
              <w:t>Jan.</w:t>
              <w:tab/>
            </w:r>
            <w:r>
              <w:rPr>
                <w:spacing w:val="3"/>
                <w:w w:val="105"/>
                <w:sz w:val="18"/>
              </w:rPr>
              <w:t>Apr.</w:t>
              <w:tab/>
            </w:r>
            <w:r>
              <w:rPr>
                <w:spacing w:val="-4"/>
                <w:w w:val="105"/>
                <w:sz w:val="18"/>
              </w:rPr>
              <w:t>Jul.</w:t>
              <w:tab/>
            </w:r>
            <w:r>
              <w:rPr>
                <w:spacing w:val="4"/>
                <w:w w:val="105"/>
                <w:sz w:val="18"/>
              </w:rPr>
              <w:t>Oct.</w:t>
              <w:tab/>
            </w:r>
            <w:r>
              <w:rPr>
                <w:w w:val="105"/>
                <w:sz w:val="18"/>
              </w:rPr>
              <w:t>Jan.</w:t>
              <w:tab/>
            </w:r>
            <w:r>
              <w:rPr>
                <w:spacing w:val="3"/>
                <w:w w:val="105"/>
                <w:sz w:val="18"/>
              </w:rPr>
              <w:t>Apr.</w:t>
              <w:tab/>
            </w:r>
            <w:r>
              <w:rPr>
                <w:spacing w:val="-4"/>
                <w:w w:val="105"/>
                <w:sz w:val="18"/>
              </w:rPr>
              <w:t>Jul.</w:t>
              <w:tab/>
            </w:r>
            <w:r>
              <w:rPr>
                <w:spacing w:val="4"/>
                <w:w w:val="105"/>
                <w:sz w:val="18"/>
              </w:rPr>
              <w:t>Oct.</w:t>
            </w:r>
          </w:p>
          <w:p>
            <w:pPr>
              <w:pStyle w:val="TableParagraph"/>
              <w:tabs>
                <w:tab w:pos="2513" w:val="left" w:leader="none"/>
              </w:tabs>
              <w:spacing w:before="71"/>
              <w:ind w:left="561"/>
              <w:rPr>
                <w:sz w:val="22"/>
              </w:rPr>
            </w:pPr>
            <w:r>
              <w:rPr>
                <w:spacing w:val="-7"/>
                <w:sz w:val="22"/>
              </w:rPr>
              <w:t>2007</w:t>
              <w:tab/>
            </w:r>
            <w:r>
              <w:rPr>
                <w:spacing w:val="-9"/>
                <w:position w:val="2"/>
                <w:sz w:val="22"/>
              </w:rPr>
              <w:t>08</w:t>
            </w:r>
          </w:p>
          <w:p>
            <w:pPr>
              <w:pStyle w:val="TableParagraph"/>
              <w:spacing w:before="86"/>
              <w:ind w:left="107"/>
              <w:rPr>
                <w:sz w:val="16"/>
              </w:rPr>
            </w:pPr>
            <w:r>
              <w:rPr>
                <w:sz w:val="16"/>
              </w:rPr>
              <w:t>Sources: Bloomberg and Bank calculations.</w:t>
            </w:r>
          </w:p>
        </w:tc>
        <w:tc>
          <w:tcPr>
            <w:tcW w:w="5301" w:type="dxa"/>
          </w:tcPr>
          <w:p>
            <w:pPr>
              <w:pStyle w:val="TableParagraph"/>
              <w:spacing w:before="100"/>
              <w:ind w:right="452"/>
              <w:jc w:val="right"/>
              <w:rPr>
                <w:sz w:val="18"/>
              </w:rPr>
            </w:pPr>
            <w:r>
              <w:rPr>
                <w:w w:val="105"/>
                <w:sz w:val="18"/>
              </w:rPr>
              <w:t>Basis points</w:t>
            </w:r>
          </w:p>
          <w:p>
            <w:pPr>
              <w:pStyle w:val="TableParagraph"/>
              <w:spacing w:before="48"/>
              <w:ind w:right="542"/>
              <w:jc w:val="right"/>
              <w:rPr>
                <w:sz w:val="18"/>
              </w:rPr>
            </w:pPr>
            <w:r>
              <w:rPr>
                <w:spacing w:val="8"/>
                <w:sz w:val="18"/>
              </w:rPr>
              <w:t>250</w:t>
            </w:r>
          </w:p>
          <w:p>
            <w:pPr>
              <w:pStyle w:val="TableParagraph"/>
              <w:rPr>
                <w:sz w:val="20"/>
              </w:rPr>
            </w:pPr>
          </w:p>
          <w:p>
            <w:pPr>
              <w:pStyle w:val="TableParagraph"/>
              <w:spacing w:before="175"/>
              <w:ind w:right="542"/>
              <w:jc w:val="right"/>
              <w:rPr>
                <w:sz w:val="18"/>
              </w:rPr>
            </w:pPr>
            <w:r>
              <w:rPr>
                <w:spacing w:val="8"/>
                <w:sz w:val="18"/>
              </w:rPr>
              <w:t>200</w:t>
            </w:r>
          </w:p>
          <w:p>
            <w:pPr>
              <w:pStyle w:val="TableParagraph"/>
              <w:rPr>
                <w:sz w:val="20"/>
              </w:rPr>
            </w:pPr>
          </w:p>
          <w:p>
            <w:pPr>
              <w:pStyle w:val="TableParagraph"/>
              <w:spacing w:before="174"/>
              <w:ind w:right="542"/>
              <w:jc w:val="right"/>
              <w:rPr>
                <w:sz w:val="18"/>
              </w:rPr>
            </w:pPr>
            <w:r>
              <w:rPr>
                <w:spacing w:val="8"/>
                <w:sz w:val="18"/>
              </w:rPr>
              <w:t>150</w:t>
            </w:r>
          </w:p>
          <w:p>
            <w:pPr>
              <w:pStyle w:val="TableParagraph"/>
              <w:rPr>
                <w:sz w:val="16"/>
              </w:rPr>
            </w:pPr>
          </w:p>
          <w:p>
            <w:pPr>
              <w:pStyle w:val="TableParagraph"/>
              <w:spacing w:line="206" w:lineRule="exact"/>
              <w:ind w:left="2758"/>
              <w:rPr>
                <w:sz w:val="18"/>
              </w:rPr>
            </w:pPr>
            <w:r>
              <w:rPr>
                <w:w w:val="105"/>
                <w:sz w:val="18"/>
              </w:rPr>
              <w:t>Forward spread on</w:t>
            </w:r>
          </w:p>
          <w:p>
            <w:pPr>
              <w:pStyle w:val="TableParagraph"/>
              <w:tabs>
                <w:tab w:pos="4746" w:val="right" w:leader="none"/>
              </w:tabs>
              <w:spacing w:line="256" w:lineRule="exact"/>
              <w:ind w:left="2826"/>
              <w:rPr>
                <w:sz w:val="18"/>
              </w:rPr>
            </w:pPr>
            <w:r>
              <w:rPr>
                <w:w w:val="105"/>
                <w:sz w:val="18"/>
              </w:rPr>
              <w:t>7</w:t>
            </w:r>
            <w:r>
              <w:rPr>
                <w:spacing w:val="9"/>
                <w:w w:val="105"/>
                <w:sz w:val="18"/>
              </w:rPr>
              <w:t> </w:t>
            </w:r>
            <w:r>
              <w:rPr>
                <w:spacing w:val="2"/>
                <w:w w:val="105"/>
                <w:sz w:val="18"/>
              </w:rPr>
              <w:t>October</w:t>
            </w:r>
            <w:r>
              <w:rPr>
                <w:spacing w:val="6"/>
                <w:w w:val="105"/>
                <w:sz w:val="18"/>
              </w:rPr>
              <w:t> </w:t>
            </w:r>
            <w:r>
              <w:rPr>
                <w:spacing w:val="3"/>
                <w:w w:val="105"/>
                <w:sz w:val="18"/>
              </w:rPr>
              <w:t>2008</w:t>
            </w:r>
            <w:r>
              <w:rPr>
                <w:spacing w:val="3"/>
                <w:w w:val="105"/>
                <w:position w:val="6"/>
                <w:sz w:val="12"/>
              </w:rPr>
              <w:t>(c)</w:t>
              <w:tab/>
            </w:r>
            <w:r>
              <w:rPr>
                <w:spacing w:val="8"/>
                <w:w w:val="105"/>
                <w:position w:val="5"/>
                <w:sz w:val="18"/>
              </w:rPr>
              <w:t>100</w:t>
            </w:r>
          </w:p>
          <w:p>
            <w:pPr>
              <w:pStyle w:val="TableParagraph"/>
              <w:tabs>
                <w:tab w:pos="4644" w:val="right" w:leader="none"/>
              </w:tabs>
              <w:spacing w:line="196" w:lineRule="auto" w:before="282"/>
              <w:ind w:left="1450"/>
              <w:rPr>
                <w:sz w:val="18"/>
              </w:rPr>
            </w:pPr>
            <w:r>
              <w:rPr>
                <w:w w:val="105"/>
                <w:sz w:val="18"/>
              </w:rPr>
              <w:t>Forward</w:t>
            </w:r>
            <w:r>
              <w:rPr>
                <w:spacing w:val="-6"/>
                <w:w w:val="105"/>
                <w:sz w:val="18"/>
              </w:rPr>
              <w:t> </w:t>
            </w:r>
            <w:r>
              <w:rPr>
                <w:w w:val="105"/>
                <w:sz w:val="18"/>
              </w:rPr>
              <w:t>spread</w:t>
            </w:r>
            <w:r>
              <w:rPr>
                <w:spacing w:val="-4"/>
                <w:w w:val="105"/>
                <w:sz w:val="18"/>
              </w:rPr>
              <w:t> </w:t>
            </w:r>
            <w:r>
              <w:rPr>
                <w:spacing w:val="3"/>
                <w:w w:val="105"/>
                <w:sz w:val="18"/>
              </w:rPr>
              <w:t>on</w:t>
              <w:tab/>
            </w:r>
            <w:r>
              <w:rPr>
                <w:spacing w:val="8"/>
                <w:w w:val="105"/>
                <w:position w:val="-8"/>
                <w:sz w:val="18"/>
              </w:rPr>
              <w:t>50</w:t>
            </w:r>
          </w:p>
          <w:p>
            <w:pPr>
              <w:pStyle w:val="TableParagraph"/>
              <w:spacing w:line="189" w:lineRule="exact"/>
              <w:ind w:left="1433"/>
              <w:rPr>
                <w:sz w:val="12"/>
              </w:rPr>
            </w:pPr>
            <w:r>
              <w:rPr>
                <w:w w:val="105"/>
                <w:sz w:val="18"/>
              </w:rPr>
              <w:t>20 October 2008</w:t>
            </w:r>
            <w:r>
              <w:rPr>
                <w:w w:val="105"/>
                <w:position w:val="6"/>
                <w:sz w:val="12"/>
              </w:rPr>
              <w:t>(c)</w:t>
            </w:r>
          </w:p>
          <w:p>
            <w:pPr>
              <w:pStyle w:val="TableParagraph"/>
              <w:spacing w:before="4"/>
              <w:rPr>
                <w:sz w:val="20"/>
              </w:rPr>
            </w:pPr>
          </w:p>
          <w:p>
            <w:pPr>
              <w:pStyle w:val="TableParagraph"/>
              <w:spacing w:before="1"/>
              <w:ind w:left="4440"/>
              <w:rPr>
                <w:sz w:val="18"/>
              </w:rPr>
            </w:pPr>
            <w:r>
              <w:rPr>
                <w:w w:val="103"/>
                <w:sz w:val="18"/>
              </w:rPr>
              <w:t>0</w:t>
            </w:r>
          </w:p>
          <w:p>
            <w:pPr>
              <w:pStyle w:val="TableParagraph"/>
              <w:tabs>
                <w:tab w:pos="888" w:val="left" w:leader="none"/>
                <w:tab w:pos="1466" w:val="left" w:leader="none"/>
                <w:tab w:pos="2129" w:val="left" w:leader="none"/>
                <w:tab w:pos="2707" w:val="left" w:leader="none"/>
                <w:tab w:pos="3302" w:val="left" w:leader="none"/>
                <w:tab w:pos="3998" w:val="left" w:leader="none"/>
              </w:tabs>
              <w:spacing w:before="64"/>
              <w:ind w:left="311"/>
              <w:rPr>
                <w:sz w:val="18"/>
              </w:rPr>
            </w:pPr>
            <w:r>
              <w:rPr>
                <w:spacing w:val="-4"/>
                <w:w w:val="105"/>
                <w:sz w:val="18"/>
              </w:rPr>
              <w:t>Jul.</w:t>
              <w:tab/>
            </w:r>
            <w:r>
              <w:rPr>
                <w:spacing w:val="-3"/>
                <w:w w:val="105"/>
                <w:sz w:val="18"/>
              </w:rPr>
              <w:t>Sep.</w:t>
              <w:tab/>
            </w:r>
            <w:r>
              <w:rPr>
                <w:spacing w:val="4"/>
                <w:w w:val="105"/>
                <w:sz w:val="18"/>
              </w:rPr>
              <w:t>Nov.</w:t>
              <w:tab/>
            </w:r>
            <w:r>
              <w:rPr>
                <w:w w:val="105"/>
                <w:sz w:val="18"/>
              </w:rPr>
              <w:t>Jan.</w:t>
              <w:tab/>
            </w:r>
            <w:r>
              <w:rPr>
                <w:spacing w:val="2"/>
                <w:w w:val="105"/>
                <w:sz w:val="18"/>
              </w:rPr>
              <w:t>Mar.</w:t>
              <w:tab/>
            </w:r>
            <w:r>
              <w:rPr>
                <w:spacing w:val="3"/>
                <w:w w:val="105"/>
                <w:sz w:val="18"/>
              </w:rPr>
              <w:t>May.</w:t>
              <w:tab/>
            </w:r>
            <w:r>
              <w:rPr>
                <w:spacing w:val="-4"/>
                <w:w w:val="105"/>
                <w:sz w:val="18"/>
              </w:rPr>
              <w:t>Jul.</w:t>
            </w:r>
          </w:p>
          <w:p>
            <w:pPr>
              <w:pStyle w:val="TableParagraph"/>
              <w:tabs>
                <w:tab w:pos="2180" w:val="left" w:leader="none"/>
              </w:tabs>
              <w:spacing w:before="70"/>
              <w:ind w:left="311"/>
              <w:rPr>
                <w:sz w:val="22"/>
              </w:rPr>
            </w:pPr>
            <w:r>
              <w:rPr>
                <w:spacing w:val="-9"/>
                <w:sz w:val="22"/>
              </w:rPr>
              <w:t>2008</w:t>
              <w:tab/>
            </w:r>
            <w:r>
              <w:rPr>
                <w:spacing w:val="-9"/>
                <w:position w:val="2"/>
                <w:sz w:val="22"/>
              </w:rPr>
              <w:t>09</w:t>
            </w:r>
          </w:p>
          <w:p>
            <w:pPr>
              <w:pStyle w:val="TableParagraph"/>
              <w:spacing w:before="190"/>
              <w:ind w:left="107"/>
              <w:rPr>
                <w:sz w:val="16"/>
              </w:rPr>
            </w:pPr>
            <w:r>
              <w:rPr>
                <w:sz w:val="16"/>
              </w:rPr>
              <w:t>Sources: Bloomberg and Bank calculations</w:t>
            </w:r>
          </w:p>
        </w:tc>
      </w:tr>
    </w:tbl>
    <w:p>
      <w:pPr>
        <w:rPr>
          <w:sz w:val="2"/>
          <w:szCs w:val="2"/>
        </w:rPr>
      </w:pPr>
      <w:r>
        <w:rPr/>
        <w:drawing>
          <wp:anchor distT="0" distB="0" distL="0" distR="0" allowOverlap="1" layoutInCell="1" locked="0" behindDoc="1" simplePos="0" relativeHeight="250868736">
            <wp:simplePos x="0" y="0"/>
            <wp:positionH relativeFrom="page">
              <wp:posOffset>3967676</wp:posOffset>
            </wp:positionH>
            <wp:positionV relativeFrom="page">
              <wp:posOffset>5377053</wp:posOffset>
            </wp:positionV>
            <wp:extent cx="2516263" cy="192881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516263" cy="1928812"/>
                    </a:xfrm>
                    <a:prstGeom prst="rect">
                      <a:avLst/>
                    </a:prstGeom>
                  </pic:spPr>
                </pic:pic>
              </a:graphicData>
            </a:graphic>
          </wp:anchor>
        </w:drawing>
      </w:r>
      <w:r>
        <w:rPr/>
        <w:drawing>
          <wp:anchor distT="0" distB="0" distL="0" distR="0" allowOverlap="1" layoutInCell="1" locked="0" behindDoc="1" simplePos="0" relativeHeight="250869760">
            <wp:simplePos x="0" y="0"/>
            <wp:positionH relativeFrom="page">
              <wp:posOffset>3915155</wp:posOffset>
            </wp:positionH>
            <wp:positionV relativeFrom="page">
              <wp:posOffset>1884045</wp:posOffset>
            </wp:positionV>
            <wp:extent cx="2737165" cy="190023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737165" cy="1900237"/>
                    </a:xfrm>
                    <a:prstGeom prst="rect">
                      <a:avLst/>
                    </a:prstGeom>
                  </pic:spPr>
                </pic:pic>
              </a:graphicData>
            </a:graphic>
          </wp:anchor>
        </w:drawing>
      </w:r>
      <w:r>
        <w:rPr/>
        <w:pict>
          <v:line style="position:absolute;mso-position-horizontal-relative:page;mso-position-vertical-relative:page;z-index:-252445696" from="308.279999pt,137.580002pt" to="329.939999pt,137.580002pt" stroked="true" strokeweight=".901pt" strokecolor="#3365ff">
            <v:stroke dashstyle="solid"/>
            <w10:wrap type="none"/>
          </v:line>
        </w:pict>
      </w:r>
      <w:r>
        <w:rPr/>
        <w:drawing>
          <wp:anchor distT="0" distB="0" distL="0" distR="0" allowOverlap="1" layoutInCell="1" locked="0" behindDoc="1" simplePos="0" relativeHeight="250871808">
            <wp:simplePos x="0" y="0"/>
            <wp:positionH relativeFrom="page">
              <wp:posOffset>780669</wp:posOffset>
            </wp:positionH>
            <wp:positionV relativeFrom="page">
              <wp:posOffset>5743575</wp:posOffset>
            </wp:positionV>
            <wp:extent cx="2456015" cy="1633537"/>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456015" cy="1633537"/>
                    </a:xfrm>
                    <a:prstGeom prst="rect">
                      <a:avLst/>
                    </a:prstGeom>
                  </pic:spPr>
                </pic:pic>
              </a:graphicData>
            </a:graphic>
          </wp:anchor>
        </w:drawing>
      </w:r>
      <w:r>
        <w:rPr/>
        <w:pict>
          <v:line style="position:absolute;mso-position-horizontal-relative:page;mso-position-vertical-relative:page;z-index:-252443648" from="60.66pt,443.880005pt" to="80.88pt,443.880005pt" stroked="true" strokeweight=".841pt" strokecolor="#3365ff">
            <v:stroke dashstyle="solid"/>
            <w10:wrap type="none"/>
          </v:line>
        </w:pict>
      </w:r>
      <w:r>
        <w:rPr/>
        <w:pict>
          <v:line style="position:absolute;mso-position-horizontal-relative:page;mso-position-vertical-relative:page;z-index:-252442624" from="128.820007pt,443.880005pt" to="149.040007pt,443.880005pt" stroked="true" strokeweight=".841pt" strokecolor="#9a3365">
            <v:stroke dashstyle="solid"/>
            <w10:wrap type="none"/>
          </v:line>
        </w:pict>
      </w:r>
      <w:r>
        <w:rPr/>
        <w:pict>
          <v:line style="position:absolute;mso-position-horizontal-relative:page;mso-position-vertical-relative:page;z-index:-252441600" from="202.919998pt,443.880005pt" to="223.079998pt,443.880005pt" stroked="true" strokeweight=".841pt" strokecolor="#ff9a00">
            <v:stroke dashstyle="solid"/>
            <w10:wrap type="none"/>
          </v:line>
        </w:pict>
      </w:r>
    </w:p>
    <w:p>
      <w:pPr>
        <w:spacing w:after="0"/>
        <w:rPr>
          <w:sz w:val="2"/>
          <w:szCs w:val="2"/>
        </w:rPr>
        <w:sectPr>
          <w:pgSz w:w="11910" w:h="16840"/>
          <w:pgMar w:header="0" w:footer="697" w:top="1440" w:bottom="880" w:left="600" w:right="62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0"/>
      </w:tblGrid>
      <w:tr>
        <w:trPr>
          <w:trHeight w:val="551" w:hRule="atLeast"/>
        </w:trPr>
        <w:tc>
          <w:tcPr>
            <w:tcW w:w="7560" w:type="dxa"/>
          </w:tcPr>
          <w:p>
            <w:pPr>
              <w:pStyle w:val="TableParagraph"/>
              <w:spacing w:line="275" w:lineRule="exact"/>
              <w:ind w:left="107"/>
              <w:rPr>
                <w:b/>
                <w:sz w:val="24"/>
              </w:rPr>
            </w:pPr>
            <w:r>
              <w:rPr>
                <w:b/>
                <w:sz w:val="24"/>
              </w:rPr>
              <w:t>Chart 9: Dynamic provisioning</w:t>
            </w:r>
          </w:p>
        </w:tc>
      </w:tr>
      <w:tr>
        <w:trPr>
          <w:trHeight w:val="4133" w:hRule="atLeast"/>
        </w:trPr>
        <w:tc>
          <w:tcPr>
            <w:tcW w:w="7560" w:type="dxa"/>
          </w:tcPr>
          <w:p>
            <w:pPr>
              <w:pStyle w:val="TableParagraph"/>
              <w:spacing w:before="3"/>
              <w:rPr>
                <w:sz w:val="22"/>
              </w:rPr>
            </w:pPr>
          </w:p>
          <w:p>
            <w:pPr>
              <w:pStyle w:val="TableParagraph"/>
              <w:spacing w:line="384" w:lineRule="auto"/>
              <w:ind w:left="1040" w:right="3171"/>
              <w:rPr>
                <w:sz w:val="17"/>
              </w:rPr>
            </w:pPr>
            <w:r>
              <w:rPr>
                <w:sz w:val="17"/>
              </w:rPr>
              <w:t>Specific provisions as a percentage of total loans General provisions as a percentage of total loans</w:t>
            </w:r>
          </w:p>
          <w:p>
            <w:pPr>
              <w:pStyle w:val="TableParagraph"/>
              <w:tabs>
                <w:tab w:pos="4700" w:val="left" w:leader="none"/>
              </w:tabs>
              <w:spacing w:line="211" w:lineRule="exact"/>
              <w:ind w:left="1040"/>
              <w:rPr>
                <w:sz w:val="17"/>
              </w:rPr>
            </w:pPr>
            <w:r>
              <w:rPr>
                <w:sz w:val="17"/>
              </w:rPr>
              <w:t>Total</w:t>
            </w:r>
            <w:r>
              <w:rPr>
                <w:spacing w:val="-10"/>
                <w:sz w:val="17"/>
              </w:rPr>
              <w:t> </w:t>
            </w:r>
            <w:r>
              <w:rPr>
                <w:sz w:val="17"/>
              </w:rPr>
              <w:t>provisions</w:t>
            </w:r>
            <w:r>
              <w:rPr>
                <w:spacing w:val="-5"/>
                <w:sz w:val="17"/>
              </w:rPr>
              <w:t> </w:t>
            </w:r>
            <w:r>
              <w:rPr>
                <w:sz w:val="17"/>
              </w:rPr>
              <w:t>as</w:t>
            </w:r>
            <w:r>
              <w:rPr>
                <w:spacing w:val="-7"/>
                <w:sz w:val="17"/>
              </w:rPr>
              <w:t> </w:t>
            </w:r>
            <w:r>
              <w:rPr>
                <w:sz w:val="17"/>
              </w:rPr>
              <w:t>a</w:t>
            </w:r>
            <w:r>
              <w:rPr>
                <w:spacing w:val="-9"/>
                <w:sz w:val="17"/>
              </w:rPr>
              <w:t> </w:t>
            </w:r>
            <w:r>
              <w:rPr>
                <w:sz w:val="17"/>
              </w:rPr>
              <w:t>percentage</w:t>
            </w:r>
            <w:r>
              <w:rPr>
                <w:spacing w:val="-8"/>
                <w:sz w:val="17"/>
              </w:rPr>
              <w:t> </w:t>
            </w:r>
            <w:r>
              <w:rPr>
                <w:sz w:val="17"/>
              </w:rPr>
              <w:t>of</w:t>
            </w:r>
            <w:r>
              <w:rPr>
                <w:spacing w:val="-8"/>
                <w:sz w:val="17"/>
              </w:rPr>
              <w:t> </w:t>
            </w:r>
            <w:r>
              <w:rPr>
                <w:sz w:val="17"/>
              </w:rPr>
              <w:t>total</w:t>
            </w:r>
            <w:r>
              <w:rPr>
                <w:spacing w:val="-10"/>
                <w:sz w:val="17"/>
              </w:rPr>
              <w:t> </w:t>
            </w:r>
            <w:r>
              <w:rPr>
                <w:sz w:val="17"/>
              </w:rPr>
              <w:t>loans</w:t>
              <w:tab/>
            </w:r>
            <w:r>
              <w:rPr>
                <w:position w:val="5"/>
                <w:sz w:val="17"/>
              </w:rPr>
              <w:t>Per cent of total</w:t>
            </w:r>
            <w:r>
              <w:rPr>
                <w:spacing w:val="-8"/>
                <w:position w:val="5"/>
                <w:sz w:val="17"/>
              </w:rPr>
              <w:t> </w:t>
            </w:r>
            <w:r>
              <w:rPr>
                <w:position w:val="5"/>
                <w:sz w:val="17"/>
              </w:rPr>
              <w:t>loans</w:t>
            </w:r>
          </w:p>
          <w:p>
            <w:pPr>
              <w:pStyle w:val="TableParagraph"/>
              <w:rPr>
                <w:sz w:val="22"/>
              </w:rPr>
            </w:pPr>
          </w:p>
          <w:p>
            <w:pPr>
              <w:pStyle w:val="TableParagraph"/>
              <w:tabs>
                <w:tab w:pos="2853" w:val="left" w:leader="none"/>
              </w:tabs>
              <w:spacing w:before="160"/>
              <w:ind w:left="625"/>
              <w:rPr>
                <w:sz w:val="17"/>
              </w:rPr>
            </w:pPr>
            <w:r>
              <w:rPr>
                <w:sz w:val="17"/>
              </w:rPr>
              <w:t>Upswing</w:t>
              <w:tab/>
              <w:t>Downturn</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1"/>
              </w:rPr>
            </w:pPr>
          </w:p>
          <w:p>
            <w:pPr>
              <w:pStyle w:val="TableParagraph"/>
              <w:spacing w:before="1"/>
              <w:ind w:right="1483"/>
              <w:jc w:val="right"/>
              <w:rPr>
                <w:sz w:val="17"/>
              </w:rPr>
            </w:pPr>
            <w:r>
              <w:rPr>
                <w:w w:val="99"/>
                <w:sz w:val="17"/>
              </w:rPr>
              <w:t>0</w:t>
            </w:r>
          </w:p>
          <w:p>
            <w:pPr>
              <w:pStyle w:val="TableParagraph"/>
              <w:rPr>
                <w:sz w:val="18"/>
              </w:rPr>
            </w:pPr>
          </w:p>
          <w:p>
            <w:pPr>
              <w:pStyle w:val="TableParagraph"/>
              <w:rPr>
                <w:sz w:val="18"/>
              </w:rPr>
            </w:pPr>
          </w:p>
          <w:p>
            <w:pPr>
              <w:pStyle w:val="TableParagraph"/>
              <w:spacing w:before="9"/>
              <w:rPr>
                <w:sz w:val="21"/>
              </w:rPr>
            </w:pPr>
          </w:p>
          <w:p>
            <w:pPr>
              <w:pStyle w:val="TableParagraph"/>
              <w:ind w:left="503"/>
              <w:rPr>
                <w:sz w:val="17"/>
              </w:rPr>
            </w:pPr>
            <w:r>
              <w:rPr>
                <w:sz w:val="17"/>
              </w:rPr>
              <w:t>Time</w:t>
            </w:r>
          </w:p>
        </w:tc>
      </w:tr>
      <w:tr>
        <w:trPr>
          <w:trHeight w:val="551" w:hRule="atLeast"/>
        </w:trPr>
        <w:tc>
          <w:tcPr>
            <w:tcW w:w="7560" w:type="dxa"/>
          </w:tcPr>
          <w:p>
            <w:pPr>
              <w:pStyle w:val="TableParagraph"/>
              <w:spacing w:line="275" w:lineRule="exact"/>
              <w:ind w:left="107"/>
              <w:rPr>
                <w:b/>
                <w:sz w:val="24"/>
              </w:rPr>
            </w:pPr>
            <w:r>
              <w:rPr>
                <w:b/>
                <w:sz w:val="24"/>
              </w:rPr>
              <w:t>Table 1: Key actions to improve resilience</w:t>
            </w:r>
          </w:p>
        </w:tc>
      </w:tr>
      <w:tr>
        <w:trPr>
          <w:trHeight w:val="3999" w:hRule="atLeast"/>
        </w:trPr>
        <w:tc>
          <w:tcPr>
            <w:tcW w:w="7560" w:type="dxa"/>
          </w:tcPr>
          <w:p>
            <w:pPr>
              <w:pStyle w:val="TableParagraph"/>
              <w:spacing w:before="7"/>
              <w:rPr>
                <w:sz w:val="23"/>
              </w:rPr>
            </w:pPr>
          </w:p>
          <w:p>
            <w:pPr>
              <w:pStyle w:val="TableParagraph"/>
              <w:numPr>
                <w:ilvl w:val="0"/>
                <w:numId w:val="2"/>
              </w:numPr>
              <w:tabs>
                <w:tab w:pos="575" w:val="left" w:leader="none"/>
              </w:tabs>
              <w:spacing w:line="240" w:lineRule="auto" w:before="1" w:after="0"/>
              <w:ind w:left="574" w:right="0" w:hanging="235"/>
              <w:jc w:val="left"/>
              <w:rPr>
                <w:sz w:val="19"/>
              </w:rPr>
            </w:pPr>
            <w:r>
              <w:rPr>
                <w:sz w:val="19"/>
              </w:rPr>
              <w:t>Macroprudential tools are needed to guard against systemic</w:t>
            </w:r>
            <w:r>
              <w:rPr>
                <w:spacing w:val="-12"/>
                <w:sz w:val="19"/>
              </w:rPr>
              <w:t> </w:t>
            </w:r>
            <w:r>
              <w:rPr>
                <w:sz w:val="19"/>
              </w:rPr>
              <w:t>risk</w:t>
            </w:r>
          </w:p>
          <w:p>
            <w:pPr>
              <w:pStyle w:val="TableParagraph"/>
              <w:spacing w:before="3"/>
              <w:rPr>
                <w:sz w:val="20"/>
              </w:rPr>
            </w:pPr>
          </w:p>
          <w:p>
            <w:pPr>
              <w:pStyle w:val="TableParagraph"/>
              <w:numPr>
                <w:ilvl w:val="0"/>
                <w:numId w:val="2"/>
              </w:numPr>
              <w:tabs>
                <w:tab w:pos="575" w:val="left" w:leader="none"/>
              </w:tabs>
              <w:spacing w:line="240" w:lineRule="auto" w:before="1" w:after="0"/>
              <w:ind w:left="574" w:right="0" w:hanging="235"/>
              <w:jc w:val="left"/>
              <w:rPr>
                <w:sz w:val="19"/>
              </w:rPr>
            </w:pPr>
            <w:r>
              <w:rPr>
                <w:sz w:val="19"/>
              </w:rPr>
              <w:t>Capital levels need to rise and need to be of sufficient</w:t>
            </w:r>
            <w:r>
              <w:rPr>
                <w:spacing w:val="-14"/>
                <w:sz w:val="19"/>
              </w:rPr>
              <w:t> </w:t>
            </w:r>
            <w:r>
              <w:rPr>
                <w:sz w:val="19"/>
              </w:rPr>
              <w:t>quality</w:t>
            </w:r>
          </w:p>
          <w:p>
            <w:pPr>
              <w:pStyle w:val="TableParagraph"/>
              <w:spacing w:before="3"/>
              <w:rPr>
                <w:sz w:val="20"/>
              </w:rPr>
            </w:pPr>
          </w:p>
          <w:p>
            <w:pPr>
              <w:pStyle w:val="TableParagraph"/>
              <w:numPr>
                <w:ilvl w:val="0"/>
                <w:numId w:val="2"/>
              </w:numPr>
              <w:tabs>
                <w:tab w:pos="575" w:val="left" w:leader="none"/>
              </w:tabs>
              <w:spacing w:line="240" w:lineRule="auto" w:before="1" w:after="0"/>
              <w:ind w:left="574" w:right="0" w:hanging="235"/>
              <w:jc w:val="left"/>
              <w:rPr>
                <w:sz w:val="19"/>
              </w:rPr>
            </w:pPr>
            <w:r>
              <w:rPr>
                <w:sz w:val="19"/>
              </w:rPr>
              <w:t>Liquidity standards should be</w:t>
            </w:r>
            <w:r>
              <w:rPr>
                <w:spacing w:val="-6"/>
                <w:sz w:val="19"/>
              </w:rPr>
              <w:t> </w:t>
            </w:r>
            <w:r>
              <w:rPr>
                <w:sz w:val="19"/>
              </w:rPr>
              <w:t>strengthened</w:t>
            </w:r>
          </w:p>
          <w:p>
            <w:pPr>
              <w:pStyle w:val="TableParagraph"/>
              <w:rPr>
                <w:sz w:val="23"/>
              </w:rPr>
            </w:pPr>
          </w:p>
          <w:p>
            <w:pPr>
              <w:pStyle w:val="TableParagraph"/>
              <w:numPr>
                <w:ilvl w:val="0"/>
                <w:numId w:val="2"/>
              </w:numPr>
              <w:tabs>
                <w:tab w:pos="575" w:val="left" w:leader="none"/>
              </w:tabs>
              <w:spacing w:line="199" w:lineRule="auto" w:before="0" w:after="0"/>
              <w:ind w:left="574" w:right="2009" w:hanging="234"/>
              <w:jc w:val="left"/>
              <w:rPr>
                <w:sz w:val="19"/>
              </w:rPr>
            </w:pPr>
            <w:r>
              <w:rPr>
                <w:sz w:val="19"/>
              </w:rPr>
              <w:t>Strengthen the legal framework for depositor protection and</w:t>
            </w:r>
            <w:r>
              <w:rPr>
                <w:spacing w:val="-32"/>
                <w:sz w:val="19"/>
              </w:rPr>
              <w:t> </w:t>
            </w:r>
            <w:r>
              <w:rPr>
                <w:sz w:val="19"/>
              </w:rPr>
              <w:t>bank resolution</w:t>
            </w:r>
          </w:p>
          <w:p>
            <w:pPr>
              <w:pStyle w:val="TableParagraph"/>
              <w:spacing w:before="8"/>
              <w:rPr>
                <w:sz w:val="20"/>
              </w:rPr>
            </w:pPr>
          </w:p>
          <w:p>
            <w:pPr>
              <w:pStyle w:val="TableParagraph"/>
              <w:numPr>
                <w:ilvl w:val="0"/>
                <w:numId w:val="2"/>
              </w:numPr>
              <w:tabs>
                <w:tab w:pos="575" w:val="left" w:leader="none"/>
              </w:tabs>
              <w:spacing w:line="240" w:lineRule="auto" w:before="1" w:after="0"/>
              <w:ind w:left="574" w:right="0" w:hanging="235"/>
              <w:jc w:val="left"/>
              <w:rPr>
                <w:sz w:val="19"/>
              </w:rPr>
            </w:pPr>
            <w:r>
              <w:rPr>
                <w:sz w:val="19"/>
              </w:rPr>
              <w:t>Better management of cross-border financial</w:t>
            </w:r>
            <w:r>
              <w:rPr>
                <w:spacing w:val="-4"/>
                <w:sz w:val="19"/>
              </w:rPr>
              <w:t> </w:t>
            </w:r>
            <w:r>
              <w:rPr>
                <w:sz w:val="19"/>
              </w:rPr>
              <w:t>institutions</w:t>
            </w:r>
          </w:p>
          <w:p>
            <w:pPr>
              <w:pStyle w:val="TableParagraph"/>
              <w:spacing w:before="3"/>
              <w:rPr>
                <w:sz w:val="20"/>
              </w:rPr>
            </w:pPr>
          </w:p>
          <w:p>
            <w:pPr>
              <w:pStyle w:val="TableParagraph"/>
              <w:numPr>
                <w:ilvl w:val="0"/>
                <w:numId w:val="2"/>
              </w:numPr>
              <w:tabs>
                <w:tab w:pos="575" w:val="left" w:leader="none"/>
              </w:tabs>
              <w:spacing w:line="240" w:lineRule="auto" w:before="1" w:after="0"/>
              <w:ind w:left="574" w:right="0" w:hanging="235"/>
              <w:jc w:val="left"/>
              <w:rPr>
                <w:sz w:val="19"/>
              </w:rPr>
            </w:pPr>
            <w:r>
              <w:rPr>
                <w:sz w:val="19"/>
              </w:rPr>
              <w:t>More disclosure, including potential future balance sheet</w:t>
            </w:r>
            <w:r>
              <w:rPr>
                <w:spacing w:val="-12"/>
                <w:sz w:val="19"/>
              </w:rPr>
              <w:t> </w:t>
            </w:r>
            <w:r>
              <w:rPr>
                <w:sz w:val="19"/>
              </w:rPr>
              <w:t>volatility</w:t>
            </w:r>
          </w:p>
          <w:p>
            <w:pPr>
              <w:pStyle w:val="TableParagraph"/>
              <w:rPr>
                <w:sz w:val="23"/>
              </w:rPr>
            </w:pPr>
          </w:p>
          <w:p>
            <w:pPr>
              <w:pStyle w:val="TableParagraph"/>
              <w:numPr>
                <w:ilvl w:val="0"/>
                <w:numId w:val="2"/>
              </w:numPr>
              <w:tabs>
                <w:tab w:pos="575" w:val="left" w:leader="none"/>
              </w:tabs>
              <w:spacing w:line="199" w:lineRule="auto" w:before="0" w:after="0"/>
              <w:ind w:left="574" w:right="2503" w:hanging="234"/>
              <w:jc w:val="left"/>
              <w:rPr>
                <w:sz w:val="19"/>
              </w:rPr>
            </w:pPr>
            <w:r>
              <w:rPr>
                <w:sz w:val="19"/>
              </w:rPr>
              <w:t>Developing</w:t>
            </w:r>
            <w:r>
              <w:rPr>
                <w:spacing w:val="-11"/>
                <w:sz w:val="19"/>
              </w:rPr>
              <w:t> </w:t>
            </w:r>
            <w:r>
              <w:rPr>
                <w:sz w:val="19"/>
              </w:rPr>
              <w:t>centralised</w:t>
            </w:r>
            <w:r>
              <w:rPr>
                <w:spacing w:val="-9"/>
                <w:sz w:val="19"/>
              </w:rPr>
              <w:t> </w:t>
            </w:r>
            <w:r>
              <w:rPr>
                <w:sz w:val="19"/>
              </w:rPr>
              <w:t>infrastructures</w:t>
            </w:r>
            <w:r>
              <w:rPr>
                <w:spacing w:val="-10"/>
                <w:sz w:val="19"/>
              </w:rPr>
              <w:t> </w:t>
            </w:r>
            <w:r>
              <w:rPr>
                <w:sz w:val="19"/>
              </w:rPr>
              <w:t>for</w:t>
            </w:r>
            <w:r>
              <w:rPr>
                <w:spacing w:val="-9"/>
                <w:sz w:val="19"/>
              </w:rPr>
              <w:t> </w:t>
            </w:r>
            <w:r>
              <w:rPr>
                <w:sz w:val="19"/>
              </w:rPr>
              <w:t>over-the-counter instruments</w:t>
            </w:r>
          </w:p>
        </w:tc>
      </w:tr>
    </w:tbl>
    <w:p>
      <w:pPr>
        <w:rPr>
          <w:sz w:val="2"/>
          <w:szCs w:val="2"/>
        </w:rPr>
      </w:pPr>
      <w:r>
        <w:rPr/>
        <w:pict>
          <v:group style="position:absolute;margin-left:52.296001pt;margin-top:161.513pt;width:276.350pt;height:117.9pt;mso-position-horizontal-relative:page;mso-position-vertical-relative:page;z-index:-252440576" coordorigin="1046,3230" coordsize="5527,2358">
            <v:shape style="position:absolute;left:1141;top:3230;width:5431;height:2358" type="#_x0000_t75" stroked="false">
              <v:imagedata r:id="rId13" o:title=""/>
            </v:shape>
            <v:shape style="position:absolute;left:2257;top:3408;width:3170;height:80" coordorigin="2257,3408" coordsize="3170,80" path="m2338,3408l2257,3448,2338,3487,2338,3457,2292,3457,2287,3452,2287,3443,2292,3438,2338,3438,2338,3408xm5347,3408l5347,3438,5393,3438,5396,3443,5396,3452,5393,3457,5347,3457,5347,3487,5426,3448,5347,3408xm5347,3438l2338,3438,2338,3457,5347,3457,5347,3438xe" filled="true" fillcolor="#010101" stroked="false">
              <v:path arrowok="t"/>
              <v:fill type="solid"/>
            </v:shape>
            <v:line style="position:absolute" from="2280,3448" to="5404,3448" stroked="true" strokeweight="1.728pt" strokecolor="#010101">
              <v:stroke dashstyle="solid"/>
            </v:line>
            <v:shape style="position:absolute;left:2257;top:3408;width:3170;height:80" coordorigin="2257,3408" coordsize="3170,80" path="m2338,3487l2257,3448,2338,3408,2338,3487xm5347,3408l5426,3448,5347,3487,5347,3408xe" filled="false" stroked="true" strokeweight=".768pt" strokecolor="#010101">
              <v:path arrowok="t"/>
              <v:stroke dashstyle="solid"/>
            </v:shape>
            <v:shape style="position:absolute;left:1053;top:3408;width:1234;height:80" coordorigin="1054,3408" coordsize="1234,80" path="m1133,3408l1054,3448,1133,3487,1133,3457,1087,3457,1082,3452,1082,3443,1087,3438,1133,3438,1133,3408xm2208,3408l2208,3438,2254,3438,2257,3443,2257,3452,2254,3457,2208,3457,2208,3487,2287,3448,2208,3408xm2208,3438l1133,3438,1133,3457,2208,3457,2208,3438xe" filled="true" fillcolor="#010101" stroked="false">
              <v:path arrowok="t"/>
              <v:fill type="solid"/>
            </v:shape>
            <v:shape style="position:absolute;left:1053;top:3408;width:1234;height:80" coordorigin="1054,3408" coordsize="1234,80" path="m1093,3438l2248,3438,2254,3438,2257,3443,2257,3448,2257,3452,2254,3457,2248,3457,1093,3457,1087,3457,1082,3452,1082,3448,1082,3443,1087,3438,1093,3438xm1133,3487l1054,3448,1133,3408,1133,3487xm2208,3408l2287,3448,2208,3487,2208,3408xe" filled="false" stroked="true" strokeweight=".768pt" strokecolor="#010101">
              <v:path arrowok="t"/>
              <v:stroke dashstyle="solid"/>
            </v:shape>
            <w10:wrap type="none"/>
          </v:group>
        </w:pict>
      </w:r>
      <w:r>
        <w:rPr/>
        <w:pict>
          <v:group style="position:absolute;margin-left:45.959999pt;margin-top:100.559998pt;width:208.3pt;height:18.25pt;mso-position-horizontal-relative:page;mso-position-vertical-relative:page;z-index:-252439552" coordorigin="919,2011" coordsize="4166,365">
            <v:line style="position:absolute" from="1313,2366" to="1715,2368" stroked="true" strokeweight=".768pt" strokecolor="#3467ff">
              <v:stroke dashstyle="solid"/>
            </v:line>
            <v:rect style="position:absolute;left:919;top:2011;width:4166;height:317" filled="true" fillcolor="#ffffff" stroked="false">
              <v:fill type="solid"/>
            </v:rect>
            <w10:wrap type="none"/>
          </v:group>
        </w:pict>
      </w:r>
      <w:r>
        <w:rPr/>
        <w:pict>
          <v:line style="position:absolute;mso-position-horizontal-relative:page;mso-position-vertical-relative:page;z-index:-252438528" from="65.639999pt,133.979996pt" to="85.739999pt,134.039996pt" stroked="true" strokeweight=".768pt" strokecolor="#ff9901">
            <v:stroke dashstyle="solid"/>
            <w10:wrap type="none"/>
          </v:line>
        </w:pict>
      </w:r>
      <w:r>
        <w:rPr/>
        <w:pict>
          <v:line style="position:absolute;mso-position-horizontal-relative:page;mso-position-vertical-relative:page;z-index:-252437504" from="65.639999pt,150.419998pt" to="85.739999pt,150.479998pt" stroked="true" strokeweight=".768pt" strokecolor="#993467">
            <v:stroke dashstyle="solid"/>
            <w10:wrap type="none"/>
          </v:line>
        </w:pict>
      </w:r>
    </w:p>
    <w:sectPr>
      <w:pgSz w:w="11910" w:h="16840"/>
      <w:pgMar w:header="0" w:footer="697" w:top="1440" w:bottom="8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24569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74" w:hanging="234"/>
      </w:pPr>
      <w:rPr>
        <w:rFonts w:hint="default" w:ascii="Times New Roman" w:hAnsi="Times New Roman" w:eastAsia="Times New Roman" w:cs="Times New Roman"/>
        <w:w w:val="99"/>
        <w:sz w:val="19"/>
        <w:szCs w:val="19"/>
      </w:rPr>
    </w:lvl>
    <w:lvl w:ilvl="1">
      <w:start w:val="0"/>
      <w:numFmt w:val="bullet"/>
      <w:lvlText w:val="•"/>
      <w:lvlJc w:val="left"/>
      <w:pPr>
        <w:ind w:left="1277" w:hanging="234"/>
      </w:pPr>
      <w:rPr>
        <w:rFonts w:hint="default"/>
      </w:rPr>
    </w:lvl>
    <w:lvl w:ilvl="2">
      <w:start w:val="0"/>
      <w:numFmt w:val="bullet"/>
      <w:lvlText w:val="•"/>
      <w:lvlJc w:val="left"/>
      <w:pPr>
        <w:ind w:left="1974" w:hanging="234"/>
      </w:pPr>
      <w:rPr>
        <w:rFonts w:hint="default"/>
      </w:rPr>
    </w:lvl>
    <w:lvl w:ilvl="3">
      <w:start w:val="0"/>
      <w:numFmt w:val="bullet"/>
      <w:lvlText w:val="•"/>
      <w:lvlJc w:val="left"/>
      <w:pPr>
        <w:ind w:left="2671" w:hanging="234"/>
      </w:pPr>
      <w:rPr>
        <w:rFonts w:hint="default"/>
      </w:rPr>
    </w:lvl>
    <w:lvl w:ilvl="4">
      <w:start w:val="0"/>
      <w:numFmt w:val="bullet"/>
      <w:lvlText w:val="•"/>
      <w:lvlJc w:val="left"/>
      <w:pPr>
        <w:ind w:left="3368" w:hanging="234"/>
      </w:pPr>
      <w:rPr>
        <w:rFonts w:hint="default"/>
      </w:rPr>
    </w:lvl>
    <w:lvl w:ilvl="5">
      <w:start w:val="0"/>
      <w:numFmt w:val="bullet"/>
      <w:lvlText w:val="•"/>
      <w:lvlJc w:val="left"/>
      <w:pPr>
        <w:ind w:left="4065" w:hanging="234"/>
      </w:pPr>
      <w:rPr>
        <w:rFonts w:hint="default"/>
      </w:rPr>
    </w:lvl>
    <w:lvl w:ilvl="6">
      <w:start w:val="0"/>
      <w:numFmt w:val="bullet"/>
      <w:lvlText w:val="•"/>
      <w:lvlJc w:val="left"/>
      <w:pPr>
        <w:ind w:left="4762" w:hanging="234"/>
      </w:pPr>
      <w:rPr>
        <w:rFonts w:hint="default"/>
      </w:rPr>
    </w:lvl>
    <w:lvl w:ilvl="7">
      <w:start w:val="0"/>
      <w:numFmt w:val="bullet"/>
      <w:lvlText w:val="•"/>
      <w:lvlJc w:val="left"/>
      <w:pPr>
        <w:ind w:left="5459" w:hanging="234"/>
      </w:pPr>
      <w:rPr>
        <w:rFonts w:hint="default"/>
      </w:rPr>
    </w:lvl>
    <w:lvl w:ilvl="8">
      <w:start w:val="0"/>
      <w:numFmt w:val="bullet"/>
      <w:lvlText w:val="•"/>
      <w:lvlJc w:val="left"/>
      <w:pPr>
        <w:ind w:left="6156" w:hanging="234"/>
      </w:pPr>
      <w:rPr>
        <w:rFonts w:hint="default"/>
      </w:rPr>
    </w:lvl>
  </w:abstractNum>
  <w:abstractNum w:abstractNumId="0">
    <w:multiLevelType w:val="hybridMultilevel"/>
    <w:lvl w:ilvl="0">
      <w:start w:val="0"/>
      <w:numFmt w:val="bullet"/>
      <w:lvlText w:val=""/>
      <w:lvlJc w:val="left"/>
      <w:pPr>
        <w:ind w:left="1200" w:hanging="720"/>
      </w:pPr>
      <w:rPr>
        <w:rFonts w:hint="default" w:ascii="Symbol" w:hAnsi="Symbol" w:eastAsia="Symbol" w:cs="Symbol"/>
        <w:w w:val="100"/>
        <w:sz w:val="24"/>
        <w:szCs w:val="24"/>
      </w:rPr>
    </w:lvl>
    <w:lvl w:ilvl="1">
      <w:start w:val="0"/>
      <w:numFmt w:val="bullet"/>
      <w:lvlText w:val="•"/>
      <w:lvlJc w:val="left"/>
      <w:pPr>
        <w:ind w:left="2148" w:hanging="720"/>
      </w:pPr>
      <w:rPr>
        <w:rFonts w:hint="default"/>
      </w:rPr>
    </w:lvl>
    <w:lvl w:ilvl="2">
      <w:start w:val="0"/>
      <w:numFmt w:val="bullet"/>
      <w:lvlText w:val="•"/>
      <w:lvlJc w:val="left"/>
      <w:pPr>
        <w:ind w:left="3096" w:hanging="720"/>
      </w:pPr>
      <w:rPr>
        <w:rFonts w:hint="default"/>
      </w:rPr>
    </w:lvl>
    <w:lvl w:ilvl="3">
      <w:start w:val="0"/>
      <w:numFmt w:val="bullet"/>
      <w:lvlText w:val="•"/>
      <w:lvlJc w:val="left"/>
      <w:pPr>
        <w:ind w:left="4045" w:hanging="720"/>
      </w:pPr>
      <w:rPr>
        <w:rFonts w:hint="default"/>
      </w:rPr>
    </w:lvl>
    <w:lvl w:ilvl="4">
      <w:start w:val="0"/>
      <w:numFmt w:val="bullet"/>
      <w:lvlText w:val="•"/>
      <w:lvlJc w:val="left"/>
      <w:pPr>
        <w:ind w:left="4993" w:hanging="720"/>
      </w:pPr>
      <w:rPr>
        <w:rFonts w:hint="default"/>
      </w:rPr>
    </w:lvl>
    <w:lvl w:ilvl="5">
      <w:start w:val="0"/>
      <w:numFmt w:val="bullet"/>
      <w:lvlText w:val="•"/>
      <w:lvlJc w:val="left"/>
      <w:pPr>
        <w:ind w:left="5942" w:hanging="720"/>
      </w:pPr>
      <w:rPr>
        <w:rFonts w:hint="default"/>
      </w:rPr>
    </w:lvl>
    <w:lvl w:ilvl="6">
      <w:start w:val="0"/>
      <w:numFmt w:val="bullet"/>
      <w:lvlText w:val="•"/>
      <w:lvlJc w:val="left"/>
      <w:pPr>
        <w:ind w:left="6890" w:hanging="720"/>
      </w:pPr>
      <w:rPr>
        <w:rFonts w:hint="default"/>
      </w:rPr>
    </w:lvl>
    <w:lvl w:ilvl="7">
      <w:start w:val="0"/>
      <w:numFmt w:val="bullet"/>
      <w:lvlText w:val="•"/>
      <w:lvlJc w:val="left"/>
      <w:pPr>
        <w:ind w:left="7839" w:hanging="720"/>
      </w:pPr>
      <w:rPr>
        <w:rFonts w:hint="default"/>
      </w:rPr>
    </w:lvl>
    <w:lvl w:ilvl="8">
      <w:start w:val="0"/>
      <w:numFmt w:val="bullet"/>
      <w:lvlText w:val="•"/>
      <w:lvlJc w:val="left"/>
      <w:pPr>
        <w:ind w:left="8787"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9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77"/>
      <w:ind w:left="119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John Gieve</dc:creator>
  <dc:subject>Financial Stability</dc:subject>
  <dc:title>Rebuilding confidence in the Financial Markets</dc:title>
  <dcterms:created xsi:type="dcterms:W3CDTF">2020-06-02T18:17:11Z</dcterms:created>
  <dcterms:modified xsi:type="dcterms:W3CDTF">2020-06-02T18:17:11Z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2008-10-28T00:00:00Z</vt:filetime>
  </property>
  <property fmtid="{D5CDD505-2E9C-101B-9397-08002B2CF9AE}" pid="3" name="Creator">
    <vt:lpwstr>PScript5.dll Version 5.2</vt:lpwstr>
  </property>
  <property fmtid="{D5CDD505-2E9C-101B-9397-08002B2CF9AE}" pid="4" name="LastSaved">
    <vt:filetime>2020-06-02T00:00:00Z</vt:filetime>
  </property>
</Properties>
</file>