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Default Extension="jpeg" ContentType="image/jpeg"/>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45463"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345463" cy="1243583"/>
                    </a:xfrm>
                    <a:prstGeom prst="rect">
                      <a:avLst/>
                    </a:prstGeom>
                  </pic:spPr>
                </pic:pic>
              </a:graphicData>
            </a:graphic>
          </wp:inline>
        </w:drawing>
      </w:r>
      <w:r>
        <w:rPr>
          <w:rFonts w:ascii="Times New Roman"/>
        </w:rPr>
      </w:r>
    </w:p>
    <w:p>
      <w:pPr>
        <w:pStyle w:val="BodyText"/>
        <w:spacing w:before="1"/>
        <w:rPr>
          <w:rFonts w:ascii="Times New Roman"/>
          <w:sz w:val="11"/>
        </w:rPr>
      </w:pPr>
      <w:r>
        <w:rPr/>
        <w:pict>
          <v:group style="position:absolute;margin-left:50.580002pt;margin-top:8.370pt;width:488.35pt;height:1.5pt;mso-position-horizontal-relative:page;mso-position-vertical-relative:paragraph;z-index:-251658240;mso-wrap-distance-left:0;mso-wrap-distance-right:0" coordorigin="1012,167" coordsize="9767,30">
            <v:line style="position:absolute" from="1012,182" to="8228,182" stroked="true" strokeweight="1.5pt" strokecolor="#000000">
              <v:stroke dashstyle="solid"/>
            </v:line>
            <v:line style="position:absolute" from="8214,182" to="10778,182" stroked="true" strokeweight="1.5pt" strokecolor="#000000">
              <v:stroke dashstyle="solid"/>
            </v:line>
            <w10:wrap type="topAndBottom"/>
          </v:group>
        </w:pict>
      </w:r>
    </w:p>
    <w:p>
      <w:pPr>
        <w:pStyle w:val="BodyText"/>
        <w:rPr>
          <w:rFonts w:ascii="Times New Roman"/>
        </w:rPr>
      </w:pPr>
    </w:p>
    <w:p>
      <w:pPr>
        <w:spacing w:before="246"/>
        <w:ind w:left="234" w:right="0" w:firstLine="0"/>
        <w:jc w:val="left"/>
        <w:rPr>
          <w:b/>
          <w:sz w:val="32"/>
        </w:rPr>
      </w:pPr>
      <w:r>
        <w:rPr>
          <w:b/>
          <w:color w:val="6A709F"/>
          <w:sz w:val="32"/>
        </w:rPr>
        <w:t>Recent developments in the sterling monetary framework</w:t>
      </w:r>
    </w:p>
    <w:p>
      <w:pPr>
        <w:spacing w:before="273"/>
        <w:ind w:left="234" w:right="0" w:firstLine="0"/>
        <w:jc w:val="left"/>
        <w:rPr>
          <w:sz w:val="24"/>
        </w:rPr>
      </w:pPr>
      <w:r>
        <w:rPr>
          <w:sz w:val="24"/>
        </w:rPr>
        <w:t>Speech given</w:t>
      </w:r>
      <w:r>
        <w:rPr>
          <w:spacing w:val="-10"/>
          <w:sz w:val="24"/>
        </w:rPr>
        <w:t> </w:t>
      </w:r>
      <w:r>
        <w:rPr>
          <w:sz w:val="24"/>
        </w:rPr>
        <w:t>by</w:t>
      </w:r>
    </w:p>
    <w:p>
      <w:pPr>
        <w:spacing w:line="360" w:lineRule="auto" w:before="138"/>
        <w:ind w:left="234" w:right="1208" w:firstLine="0"/>
        <w:jc w:val="left"/>
        <w:rPr>
          <w:sz w:val="24"/>
        </w:rPr>
      </w:pPr>
      <w:r>
        <w:rPr>
          <w:sz w:val="24"/>
        </w:rPr>
        <w:t>Paul Fisher, Executive Director, Markets and Member of the Monetary Policy</w:t>
      </w:r>
      <w:r>
        <w:rPr>
          <w:spacing w:val="-13"/>
          <w:sz w:val="24"/>
        </w:rPr>
        <w:t> </w:t>
      </w:r>
      <w:r>
        <w:rPr>
          <w:sz w:val="24"/>
        </w:rPr>
        <w:t>Committee, Bank of</w:t>
      </w:r>
      <w:r>
        <w:rPr>
          <w:spacing w:val="-1"/>
          <w:sz w:val="24"/>
        </w:rPr>
        <w:t> </w:t>
      </w:r>
      <w:r>
        <w:rPr>
          <w:sz w:val="24"/>
        </w:rPr>
        <w:t>England</w:t>
      </w:r>
    </w:p>
    <w:p>
      <w:pPr>
        <w:pStyle w:val="BodyText"/>
        <w:rPr>
          <w:sz w:val="36"/>
        </w:rPr>
      </w:pPr>
    </w:p>
    <w:p>
      <w:pPr>
        <w:spacing w:line="360" w:lineRule="auto" w:before="0"/>
        <w:ind w:left="234" w:right="4397" w:firstLine="0"/>
        <w:jc w:val="left"/>
        <w:rPr>
          <w:sz w:val="24"/>
        </w:rPr>
      </w:pPr>
      <w:r>
        <w:rPr>
          <w:sz w:val="24"/>
        </w:rPr>
        <w:t>Manchester Economics Seminar, University of Manchester 30 March 2011</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1"/>
        <w:rPr>
          <w:sz w:val="28"/>
        </w:rPr>
      </w:pPr>
    </w:p>
    <w:p>
      <w:pPr>
        <w:pStyle w:val="BodyText"/>
        <w:spacing w:before="94"/>
        <w:ind w:left="233" w:right="2435"/>
      </w:pPr>
      <w:r>
        <w:rPr/>
        <w:t>I would like to thank Sarah Ashley, Roger Clews, Ronnie Driver, Tarkus Frost, Chris Salmon, Olaf Weeken, Iain de Weymarn and Richard Whisker for their help in preparing this paper.</w:t>
      </w:r>
    </w:p>
    <w:p>
      <w:pPr>
        <w:spacing w:after="0"/>
        <w:sectPr>
          <w:footerReference w:type="default" r:id="rId5"/>
          <w:type w:val="continuous"/>
          <w:pgSz w:w="11900" w:h="16840"/>
          <w:pgMar w:footer="1385" w:top="1140" w:bottom="1580" w:left="900" w:right="120"/>
        </w:sectPr>
      </w:pPr>
    </w:p>
    <w:p>
      <w:pPr>
        <w:pStyle w:val="Heading2"/>
        <w:spacing w:before="77"/>
      </w:pPr>
      <w:r>
        <w:rPr/>
        <w:t>Introduction</w:t>
      </w:r>
    </w:p>
    <w:p>
      <w:pPr>
        <w:pStyle w:val="BodyText"/>
        <w:rPr>
          <w:b/>
          <w:sz w:val="22"/>
        </w:rPr>
      </w:pPr>
    </w:p>
    <w:p>
      <w:pPr>
        <w:pStyle w:val="BodyText"/>
        <w:spacing w:before="10"/>
        <w:rPr>
          <w:b/>
          <w:sz w:val="17"/>
        </w:rPr>
      </w:pPr>
    </w:p>
    <w:p>
      <w:pPr>
        <w:pStyle w:val="BodyText"/>
        <w:spacing w:line="360" w:lineRule="auto"/>
        <w:ind w:left="233" w:right="1052"/>
      </w:pPr>
      <w:r>
        <w:rPr/>
        <w:t>During the recent financial crisis and ensuing recession, the implementation of monetary policy has been the subject of intense debate. Most visibly, that debate focused on the Bank’s use of large-scale asset purchases - otherwise known as ‘quantitative easing’ (QE) - as a monetary policy tool. But other aspects of the mechanics of setting policy have also been of great interest. In this paper, I want to focus on two issues which go to the heart of central banking:</w:t>
      </w:r>
    </w:p>
    <w:p>
      <w:pPr>
        <w:pStyle w:val="BodyText"/>
        <w:rPr>
          <w:sz w:val="30"/>
        </w:rPr>
      </w:pPr>
    </w:p>
    <w:p>
      <w:pPr>
        <w:pStyle w:val="ListParagraph"/>
        <w:numPr>
          <w:ilvl w:val="0"/>
          <w:numId w:val="1"/>
        </w:numPr>
        <w:tabs>
          <w:tab w:pos="944" w:val="left" w:leader="none"/>
        </w:tabs>
        <w:spacing w:line="360" w:lineRule="auto" w:before="0" w:after="0"/>
        <w:ind w:left="943" w:right="1033" w:hanging="284"/>
        <w:jc w:val="left"/>
        <w:rPr>
          <w:sz w:val="20"/>
        </w:rPr>
      </w:pPr>
      <w:r>
        <w:rPr>
          <w:sz w:val="20"/>
        </w:rPr>
        <w:t>The first concerns how the Bank should seek to implement the Monetary Policy Committee’s (MPC) decisions</w:t>
      </w:r>
      <w:r>
        <w:rPr>
          <w:spacing w:val="-4"/>
          <w:sz w:val="20"/>
        </w:rPr>
        <w:t> </w:t>
      </w:r>
      <w:r>
        <w:rPr>
          <w:sz w:val="20"/>
        </w:rPr>
        <w:t>on</w:t>
      </w:r>
      <w:r>
        <w:rPr>
          <w:spacing w:val="-4"/>
          <w:sz w:val="20"/>
        </w:rPr>
        <w:t> </w:t>
      </w:r>
      <w:r>
        <w:rPr>
          <w:sz w:val="20"/>
        </w:rPr>
        <w:t>the</w:t>
      </w:r>
      <w:r>
        <w:rPr>
          <w:spacing w:val="-4"/>
          <w:sz w:val="20"/>
        </w:rPr>
        <w:t> </w:t>
      </w:r>
      <w:r>
        <w:rPr>
          <w:sz w:val="20"/>
        </w:rPr>
        <w:t>official</w:t>
      </w:r>
      <w:r>
        <w:rPr>
          <w:spacing w:val="-4"/>
          <w:sz w:val="20"/>
        </w:rPr>
        <w:t> </w:t>
      </w:r>
      <w:r>
        <w:rPr>
          <w:sz w:val="20"/>
        </w:rPr>
        <w:t>interest</w:t>
      </w:r>
      <w:r>
        <w:rPr>
          <w:spacing w:val="-4"/>
          <w:sz w:val="20"/>
        </w:rPr>
        <w:t> </w:t>
      </w:r>
      <w:r>
        <w:rPr>
          <w:sz w:val="20"/>
        </w:rPr>
        <w:t>rate</w:t>
      </w:r>
      <w:r>
        <w:rPr>
          <w:spacing w:val="-4"/>
          <w:sz w:val="20"/>
        </w:rPr>
        <w:t> </w:t>
      </w:r>
      <w:r>
        <w:rPr>
          <w:sz w:val="20"/>
        </w:rPr>
        <w:t>(known</w:t>
      </w:r>
      <w:r>
        <w:rPr>
          <w:spacing w:val="-4"/>
          <w:sz w:val="20"/>
        </w:rPr>
        <w:t> </w:t>
      </w:r>
      <w:r>
        <w:rPr>
          <w:sz w:val="20"/>
        </w:rPr>
        <w:t>as</w:t>
      </w:r>
      <w:r>
        <w:rPr>
          <w:spacing w:val="-3"/>
          <w:sz w:val="20"/>
        </w:rPr>
        <w:t> </w:t>
      </w:r>
      <w:r>
        <w:rPr>
          <w:sz w:val="20"/>
        </w:rPr>
        <w:t>Bank</w:t>
      </w:r>
      <w:r>
        <w:rPr>
          <w:spacing w:val="-5"/>
          <w:sz w:val="20"/>
        </w:rPr>
        <w:t> </w:t>
      </w:r>
      <w:r>
        <w:rPr>
          <w:sz w:val="20"/>
        </w:rPr>
        <w:t>Rate),</w:t>
      </w:r>
      <w:r>
        <w:rPr>
          <w:spacing w:val="-5"/>
          <w:sz w:val="20"/>
        </w:rPr>
        <w:t> </w:t>
      </w:r>
      <w:r>
        <w:rPr>
          <w:sz w:val="20"/>
        </w:rPr>
        <w:t>so</w:t>
      </w:r>
      <w:r>
        <w:rPr>
          <w:spacing w:val="-3"/>
          <w:sz w:val="20"/>
        </w:rPr>
        <w:t> </w:t>
      </w:r>
      <w:r>
        <w:rPr>
          <w:sz w:val="20"/>
        </w:rPr>
        <w:t>as</w:t>
      </w:r>
      <w:r>
        <w:rPr>
          <w:spacing w:val="-3"/>
          <w:sz w:val="20"/>
        </w:rPr>
        <w:t> </w:t>
      </w:r>
      <w:r>
        <w:rPr>
          <w:sz w:val="20"/>
        </w:rPr>
        <w:t>to</w:t>
      </w:r>
      <w:r>
        <w:rPr>
          <w:spacing w:val="-4"/>
          <w:sz w:val="20"/>
        </w:rPr>
        <w:t> </w:t>
      </w:r>
      <w:r>
        <w:rPr>
          <w:sz w:val="20"/>
        </w:rPr>
        <w:t>best</w:t>
      </w:r>
      <w:r>
        <w:rPr>
          <w:spacing w:val="-4"/>
          <w:sz w:val="20"/>
        </w:rPr>
        <w:t> </w:t>
      </w:r>
      <w:r>
        <w:rPr>
          <w:sz w:val="20"/>
        </w:rPr>
        <w:t>deliver</w:t>
      </w:r>
      <w:r>
        <w:rPr>
          <w:spacing w:val="-5"/>
          <w:sz w:val="20"/>
        </w:rPr>
        <w:t> </w:t>
      </w:r>
      <w:r>
        <w:rPr>
          <w:sz w:val="20"/>
        </w:rPr>
        <w:t>a</w:t>
      </w:r>
      <w:r>
        <w:rPr>
          <w:spacing w:val="-4"/>
          <w:sz w:val="20"/>
        </w:rPr>
        <w:t> </w:t>
      </w:r>
      <w:r>
        <w:rPr>
          <w:sz w:val="20"/>
        </w:rPr>
        <w:t>flat</w:t>
      </w:r>
      <w:r>
        <w:rPr>
          <w:spacing w:val="-4"/>
          <w:sz w:val="20"/>
        </w:rPr>
        <w:t> </w:t>
      </w:r>
      <w:r>
        <w:rPr>
          <w:sz w:val="20"/>
        </w:rPr>
        <w:t>money</w:t>
      </w:r>
      <w:r>
        <w:rPr>
          <w:spacing w:val="-4"/>
          <w:sz w:val="20"/>
        </w:rPr>
        <w:t> </w:t>
      </w:r>
      <w:r>
        <w:rPr>
          <w:sz w:val="20"/>
        </w:rPr>
        <w:t>market yield curve between one MPC decision and the</w:t>
      </w:r>
      <w:r>
        <w:rPr>
          <w:spacing w:val="-10"/>
          <w:sz w:val="20"/>
        </w:rPr>
        <w:t> </w:t>
      </w:r>
      <w:r>
        <w:rPr>
          <w:sz w:val="20"/>
        </w:rPr>
        <w:t>next.</w:t>
      </w:r>
    </w:p>
    <w:p>
      <w:pPr>
        <w:pStyle w:val="BodyText"/>
        <w:rPr>
          <w:sz w:val="30"/>
        </w:rPr>
      </w:pPr>
    </w:p>
    <w:p>
      <w:pPr>
        <w:pStyle w:val="ListParagraph"/>
        <w:numPr>
          <w:ilvl w:val="0"/>
          <w:numId w:val="1"/>
        </w:numPr>
        <w:tabs>
          <w:tab w:pos="944" w:val="left" w:leader="none"/>
        </w:tabs>
        <w:spacing w:line="360" w:lineRule="auto" w:before="1" w:after="0"/>
        <w:ind w:left="943" w:right="1120" w:hanging="284"/>
        <w:jc w:val="left"/>
        <w:rPr>
          <w:sz w:val="20"/>
        </w:rPr>
      </w:pPr>
      <w:r>
        <w:rPr>
          <w:sz w:val="20"/>
        </w:rPr>
        <w:t>The second is about how best to provide liquidity insurance to the banking system as a whole,</w:t>
      </w:r>
      <w:r>
        <w:rPr>
          <w:spacing w:val="-20"/>
          <w:sz w:val="20"/>
        </w:rPr>
        <w:t> </w:t>
      </w:r>
      <w:r>
        <w:rPr>
          <w:sz w:val="20"/>
        </w:rPr>
        <w:t>while also encouraging banks to manage their day-to-day liquidity needs, and subject to minimising the credit risk taken on the Bank’s balance</w:t>
      </w:r>
      <w:r>
        <w:rPr>
          <w:spacing w:val="-8"/>
          <w:sz w:val="20"/>
        </w:rPr>
        <w:t> </w:t>
      </w:r>
      <w:r>
        <w:rPr>
          <w:sz w:val="20"/>
        </w:rPr>
        <w:t>sheet.</w:t>
      </w:r>
    </w:p>
    <w:p>
      <w:pPr>
        <w:pStyle w:val="BodyText"/>
        <w:rPr>
          <w:sz w:val="30"/>
        </w:rPr>
      </w:pPr>
    </w:p>
    <w:p>
      <w:pPr>
        <w:pStyle w:val="BodyText"/>
        <w:spacing w:line="360" w:lineRule="auto"/>
        <w:ind w:left="233" w:right="1465"/>
      </w:pPr>
      <w:r>
        <w:rPr/>
        <w:t>Before explaining the Bank’s thinking about these two issues, we need to lay out some basics about the Bank’s objectives, and how it seeks to meet them using its balance sheet.</w:t>
      </w:r>
    </w:p>
    <w:p>
      <w:pPr>
        <w:pStyle w:val="BodyText"/>
        <w:rPr>
          <w:sz w:val="30"/>
        </w:rPr>
      </w:pPr>
    </w:p>
    <w:p>
      <w:pPr>
        <w:pStyle w:val="Heading2"/>
        <w:ind w:left="233"/>
      </w:pPr>
      <w:r>
        <w:rPr/>
        <w:t>The Bank of England’s Objectives and its Balance Sheet</w:t>
      </w:r>
    </w:p>
    <w:p>
      <w:pPr>
        <w:pStyle w:val="BodyText"/>
        <w:rPr>
          <w:b/>
          <w:sz w:val="22"/>
        </w:rPr>
      </w:pPr>
    </w:p>
    <w:p>
      <w:pPr>
        <w:pStyle w:val="BodyText"/>
        <w:spacing w:before="11"/>
        <w:rPr>
          <w:b/>
          <w:sz w:val="17"/>
        </w:rPr>
      </w:pPr>
    </w:p>
    <w:p>
      <w:pPr>
        <w:pStyle w:val="BodyText"/>
        <w:spacing w:line="360" w:lineRule="auto"/>
        <w:ind w:left="233" w:right="1188"/>
      </w:pPr>
      <w:r>
        <w:rPr/>
        <w:t>The Bank has two core purposes: maintaining monetary stability and contributing to the stability of the financial system. With some variations, these are the two cornerstones of policy for most central banks around the globe. Monetary policy is quite widely understood in a general sense - the Bank specifically defines it to mean price stability and confidence in the currency.</w:t>
      </w:r>
      <w:r>
        <w:rPr>
          <w:vertAlign w:val="superscript"/>
        </w:rPr>
        <w:t>1</w:t>
      </w:r>
      <w:r>
        <w:rPr>
          <w:vertAlign w:val="baseline"/>
        </w:rPr>
        <w:t> Financial stability is less well understood generally but it entails detecting and reducing threats to the financial system as a whole, in order to make it more resilient.</w:t>
      </w:r>
      <w:r>
        <w:rPr>
          <w:vertAlign w:val="superscript"/>
        </w:rPr>
        <w:t>2</w:t>
      </w:r>
    </w:p>
    <w:p>
      <w:pPr>
        <w:pStyle w:val="BodyText"/>
        <w:spacing w:before="11"/>
        <w:rPr>
          <w:sz w:val="29"/>
        </w:rPr>
      </w:pPr>
    </w:p>
    <w:p>
      <w:pPr>
        <w:pStyle w:val="BodyText"/>
        <w:spacing w:line="360" w:lineRule="auto"/>
        <w:ind w:left="233" w:right="1043"/>
      </w:pPr>
      <w:r>
        <w:rPr/>
        <w:t>One major reason why it is for the central bank to pursue both of these purposes is because it has a balance sheet that can be used both to implement monetary policy decisions and to carry out financial operations to support financial stability. A simplified time-series of the Bank’s balance sheet is shown in Charts 1 and 2 below.</w:t>
      </w:r>
      <w:r>
        <w:rPr>
          <w:vertAlign w:val="superscript"/>
        </w:rPr>
        <w:t>3</w:t>
      </w:r>
    </w:p>
    <w:p>
      <w:pPr>
        <w:pStyle w:val="BodyText"/>
        <w:rPr>
          <w:sz w:val="30"/>
        </w:rPr>
      </w:pPr>
    </w:p>
    <w:p>
      <w:pPr>
        <w:pStyle w:val="BodyText"/>
        <w:spacing w:line="360" w:lineRule="auto" w:before="1"/>
        <w:ind w:left="234" w:right="1208"/>
      </w:pPr>
      <w:r>
        <w:rPr/>
        <w:t>The Bank’s two main liabilities are banknotes in circulation (currently around £50billion) and the reserve balances held by commercial banks. </w:t>
      </w:r>
      <w:r>
        <w:rPr>
          <w:vertAlign w:val="superscript"/>
        </w:rPr>
        <w:t>4</w:t>
      </w:r>
      <w:r>
        <w:rPr>
          <w:vertAlign w:val="baseline"/>
        </w:rPr>
        <w:t> You can think of these balances as the commercial banks’ current</w:t>
      </w:r>
    </w:p>
    <w:p>
      <w:pPr>
        <w:pStyle w:val="BodyText"/>
        <w:spacing w:before="1"/>
        <w:rPr>
          <w:sz w:val="25"/>
        </w:rPr>
      </w:pPr>
      <w:r>
        <w:rPr/>
        <w:pict>
          <v:shape style="position:absolute;margin-left:56.700001pt;margin-top:16.636118pt;width:144pt;height:.1pt;mso-position-horizontal-relative:page;mso-position-vertical-relative:paragraph;z-index:-251657216;mso-wrap-distance-left:0;mso-wrap-distance-right:0" coordorigin="1134,333" coordsize="2880,0" path="m1134,333l4014,333e" filled="false" stroked="true" strokeweight=".48001pt" strokecolor="#000000">
            <v:path arrowok="t"/>
            <v:stroke dashstyle="solid"/>
            <w10:wrap type="topAndBottom"/>
          </v:shape>
        </w:pict>
      </w:r>
    </w:p>
    <w:p>
      <w:pPr>
        <w:spacing w:line="196" w:lineRule="exact" w:before="32"/>
        <w:ind w:left="234" w:right="0" w:firstLine="0"/>
        <w:jc w:val="left"/>
        <w:rPr>
          <w:sz w:val="16"/>
        </w:rPr>
      </w:pPr>
      <w:r>
        <w:rPr>
          <w:position w:val="8"/>
          <w:sz w:val="10"/>
        </w:rPr>
        <w:t>1 </w:t>
      </w:r>
      <w:r>
        <w:rPr>
          <w:sz w:val="16"/>
        </w:rPr>
        <w:t>Bank of England, </w:t>
      </w:r>
      <w:r>
        <w:rPr>
          <w:i/>
          <w:sz w:val="16"/>
        </w:rPr>
        <w:t>Annual Report </w:t>
      </w:r>
      <w:r>
        <w:rPr>
          <w:sz w:val="16"/>
        </w:rPr>
        <w:t>2010, page 1.</w:t>
      </w:r>
    </w:p>
    <w:p>
      <w:pPr>
        <w:spacing w:line="184" w:lineRule="exact" w:before="0"/>
        <w:ind w:left="234" w:right="0" w:firstLine="0"/>
        <w:jc w:val="left"/>
        <w:rPr>
          <w:sz w:val="16"/>
        </w:rPr>
      </w:pPr>
      <w:r>
        <w:rPr>
          <w:position w:val="8"/>
          <w:sz w:val="10"/>
        </w:rPr>
        <w:t>2 </w:t>
      </w:r>
      <w:r>
        <w:rPr>
          <w:sz w:val="16"/>
        </w:rPr>
        <w:t>See ‘</w:t>
      </w:r>
      <w:r>
        <w:rPr>
          <w:i/>
          <w:sz w:val="16"/>
        </w:rPr>
        <w:t>A New Approach to Regulation</w:t>
      </w:r>
      <w:r>
        <w:rPr>
          <w:sz w:val="16"/>
        </w:rPr>
        <w:t>’, HM Treasury consultation document Cm 8012.</w:t>
      </w:r>
    </w:p>
    <w:p>
      <w:pPr>
        <w:spacing w:line="184" w:lineRule="exact" w:before="0"/>
        <w:ind w:left="234" w:right="0" w:firstLine="0"/>
        <w:jc w:val="left"/>
        <w:rPr>
          <w:sz w:val="16"/>
        </w:rPr>
      </w:pPr>
      <w:r>
        <w:rPr>
          <w:position w:val="8"/>
          <w:sz w:val="10"/>
        </w:rPr>
        <w:t>3 </w:t>
      </w:r>
      <w:r>
        <w:rPr>
          <w:sz w:val="16"/>
        </w:rPr>
        <w:t>The Special Liquidity Scheme and Asset Purchase Facility are off-balance sheet, so are not included in the charts.</w:t>
      </w:r>
    </w:p>
    <w:p>
      <w:pPr>
        <w:spacing w:line="184" w:lineRule="exact" w:before="15"/>
        <w:ind w:left="233" w:right="1208" w:firstLine="0"/>
        <w:jc w:val="left"/>
        <w:rPr>
          <w:sz w:val="16"/>
        </w:rPr>
      </w:pPr>
      <w:r>
        <w:rPr>
          <w:position w:val="8"/>
          <w:sz w:val="10"/>
        </w:rPr>
        <w:t>4 </w:t>
      </w:r>
      <w:r>
        <w:rPr>
          <w:sz w:val="16"/>
        </w:rPr>
        <w:t>The Bank’s other liabilities include various deposits (e.g. from other central banks) and debt instruments issued in the Bank’s own name (e.g. to finance the Bank’s foreign currency reserves). Various Government-related balances can also appear on either side of the balance sheet from time-to-time.</w:t>
      </w:r>
    </w:p>
    <w:p>
      <w:pPr>
        <w:spacing w:after="0" w:line="184" w:lineRule="exact"/>
        <w:jc w:val="left"/>
        <w:rPr>
          <w:sz w:val="16"/>
        </w:rPr>
        <w:sectPr>
          <w:footerReference w:type="default" r:id="rId7"/>
          <w:pgSz w:w="11900" w:h="16840"/>
          <w:pgMar w:footer="1340" w:header="0" w:top="1540" w:bottom="1540" w:left="900" w:right="120"/>
        </w:sectPr>
      </w:pPr>
    </w:p>
    <w:p>
      <w:pPr>
        <w:pStyle w:val="BodyText"/>
        <w:spacing w:line="360" w:lineRule="auto" w:before="76"/>
        <w:ind w:left="233" w:right="1449"/>
      </w:pPr>
      <w:r>
        <w:rPr/>
        <w:t>accounts with the Bank of England. Together with banknotes, reserves balances are the most liquid, risk-free asset in the economy. The aggregate balance on reserves accounts stood at around £36billion before the start of the asset purchase programme in March 2009 and the current total stands at around</w:t>
      </w:r>
    </w:p>
    <w:p>
      <w:pPr>
        <w:pStyle w:val="BodyText"/>
        <w:ind w:left="233"/>
      </w:pPr>
      <w:r>
        <w:rPr/>
        <w:t>£140billion.</w:t>
      </w:r>
    </w:p>
    <w:p>
      <w:pPr>
        <w:pStyle w:val="BodyText"/>
        <w:rPr>
          <w:sz w:val="22"/>
        </w:rPr>
      </w:pPr>
    </w:p>
    <w:p>
      <w:pPr>
        <w:pStyle w:val="BodyText"/>
        <w:rPr>
          <w:sz w:val="18"/>
        </w:rPr>
      </w:pPr>
    </w:p>
    <w:p>
      <w:pPr>
        <w:pStyle w:val="BodyText"/>
        <w:spacing w:line="360" w:lineRule="auto"/>
        <w:ind w:left="233" w:right="1466"/>
      </w:pPr>
      <w:r>
        <w:rPr/>
        <w:t>The asset side of the balance sheet mainly comprises the Bank’s lending to commercial banks (via both short and long-term OMOs) and latterly to the Asset Purchase Facility (APF).</w:t>
      </w:r>
    </w:p>
    <w:p>
      <w:pPr>
        <w:pStyle w:val="BodyText"/>
        <w:rPr>
          <w:sz w:val="30"/>
        </w:rPr>
      </w:pPr>
    </w:p>
    <w:p>
      <w:pPr>
        <w:pStyle w:val="BodyText"/>
        <w:ind w:left="2972"/>
      </w:pPr>
      <w:r>
        <w:rPr/>
        <w:t>Bank of England consolidated balance sheet </w:t>
      </w:r>
      <w:r>
        <w:rPr>
          <w:vertAlign w:val="superscript"/>
        </w:rPr>
        <w:t>(a)</w:t>
      </w:r>
    </w:p>
    <w:p>
      <w:pPr>
        <w:pStyle w:val="BodyText"/>
        <w:rPr>
          <w:sz w:val="26"/>
        </w:rPr>
      </w:pPr>
    </w:p>
    <w:p>
      <w:pPr>
        <w:pStyle w:val="BodyText"/>
        <w:tabs>
          <w:tab w:pos="5992" w:val="left" w:leader="none"/>
        </w:tabs>
        <w:spacing w:before="161"/>
        <w:ind w:left="1453"/>
      </w:pPr>
      <w:r>
        <w:rPr/>
        <w:pict>
          <v:group style="position:absolute;margin-left:58.560001pt;margin-top:25.830194pt;width:231.4pt;height:188.25pt;mso-position-horizontal-relative:page;mso-position-vertical-relative:paragraph;z-index:-251652096;mso-wrap-distance-left:0;mso-wrap-distance-right:0" coordorigin="1171,517" coordsize="4628,3765">
            <v:shape style="position:absolute;left:1502;top:933;width:3750;height:2874" coordorigin="1502,933" coordsize="3750,2874" path="m5249,933l1506,933,1502,937,1502,3803,1506,3807,5249,3807,5252,3803,5252,3800,1517,3800,1510,3793,1517,3793,1517,947,1510,947,1517,940,5252,940,5252,937,5249,933xm1517,3793l1510,3793,1517,3800,1517,3793xm5238,3793l1517,3793,1517,3800,5238,3800,5238,3793xm5238,940l5238,3800,5245,3793,5252,3793,5252,947,5245,947,5238,940xm5252,3793l5245,3793,5238,3800,5252,3800,5252,3793xm1517,940l1510,947,1517,947,1517,940xm5238,940l1517,940,1517,947,5238,947,5238,940xm5252,940l5238,940,5245,947,5252,947,5252,940xe" filled="true" fillcolor="#000000" stroked="false">
              <v:path arrowok="t"/>
              <v:fill type="solid"/>
            </v:shape>
            <v:shape style="position:absolute;left:1502;top:3276;width:3736;height:516" coordorigin="1502,3277" coordsize="3736,516" path="m1502,3423l1502,3793,5238,3793,5238,3449,1543,3449,1530,3445,1516,3439,1502,3423xm1558,3445l1543,3449,5238,3449,5238,3447,1571,3447,1558,3445xm1709,3427l1696,3431,1681,3439,1665,3443,1647,3445,1585,3445,1571,3447,5238,3447,5238,3439,1764,3439,1751,3437,1723,3437,1709,3427xm1613,3443l1598,3445,1629,3445,1613,3443xm1792,3431l1778,3437,1764,3439,5238,3439,5238,3437,1806,3437,1792,3431xm1736,3433l1723,3437,1751,3437,1736,3433xm2206,3395l2191,3403,2178,3415,2155,3421,2120,3429,2081,3429,2068,3431,1895,3431,1847,3435,1834,3437,5238,3437,5238,3435,2288,3435,2274,3433,2261,3433,2246,3431,2242,3429,2120,3429,2095,3427,2238,3427,2233,3425,2219,3405,2206,3395xm2412,3415l2399,3423,2384,3429,2368,3431,2332,3431,2316,3433,2302,3433,2288,3435,5238,3435,5238,3425,2426,3425,2412,3415xm1970,3423l1957,3429,1943,3431,1985,3431,1970,3423xm2467,3415l2454,3425,5238,3425,5238,3423,2482,3423,2467,3415xm2508,3413l2495,3421,2482,3423,5238,3423,5238,3421,2550,3421,2536,3419,2522,3419,2508,3413xm3101,3389l3088,3395,3073,3403,3047,3405,3032,3407,3019,3409,2798,3409,2784,3411,2750,3411,2734,3413,2633,3413,2618,3415,2605,3415,2591,3417,2578,3417,2563,3419,2550,3421,5238,3421,5238,3413,2660,3413,2646,3411,5238,3411,5238,3403,3143,3403,3128,3401,3115,3397,3101,3389xm2688,3405l2674,3413,2716,3413,2701,3409,2688,3405xm2922,3369l2909,3379,2894,3393,2881,3397,2865,3401,2828,3409,3005,3409,2992,3407,2977,3407,2964,3403,2950,3397,2936,3373,2922,3369xm3184,3395l3170,3401,3156,3403,5238,3403,5238,3399,3198,3399,3184,3395xm3226,3391l3211,3397,3198,3399,5238,3399,5238,3397,3253,3397,3239,3395,3226,3391xm3640,3323l3625,3361,3612,3367,3598,3371,3584,3373,3565,3377,3523,3381,3502,3385,3487,3387,3474,3389,3460,3389,3446,3393,3315,3393,3294,3395,3274,3395,3253,3397,5238,3397,5238,3373,3749,3373,3736,3371,3694,3371,3680,3369,3666,3367,3653,3351,3640,3323xm3404,3385l3391,3393,3432,3393,3419,3391,3404,3385xm3859,3349l3846,3353,3832,3361,3818,3363,3804,3365,3791,3371,3763,3371,3749,3373,5238,3373,5238,3371,3791,3371,3776,3369,5238,3369,5238,3361,3914,3361,3911,3359,3874,3359,3859,3349xm3942,3355l3929,3361,5238,3361,5238,3359,3970,3359,3956,3357,3942,3355xm3901,3353l3887,3359,3911,3359,3901,3353xm4150,3347l4135,3347,4122,3353,4108,3355,4012,3355,3997,3359,5238,3359,5238,3353,4163,3353,4150,3347xm4094,3353l4067,3353,4052,3355,4108,3355,4094,3353xm4205,3349l4190,3349,4177,3353,5238,3353,5238,3351,4218,3351,4205,3349xm4356,3293l4342,3311,4328,3319,4314,3321,4301,3329,4286,3347,4273,3349,4231,3349,4218,3351,5238,3351,5238,3327,4424,3327,4411,3325,4397,3321,4384,3311,4369,3295,4356,3293xm4259,3347l4246,3349,4273,3349,4259,3347xm4452,3325l4439,3325,4424,3327,4466,3327,4452,3325xm4562,3305l4549,3311,4535,3317,4516,3323,4500,3323,4485,3325,4466,3327,5238,3327,5238,3317,4577,3317,4562,3305xm4618,3309l4604,3315,4590,3317,5238,3317,5238,3313,4632,3313,4618,3309xm4673,3305l4660,3311,4645,3313,4879,3313,4873,3311,4700,3311,4687,3309,4673,3305xm5087,3277l5072,3277,5059,3293,5045,3295,5032,3299,5017,3305,5004,3309,4962,3309,4949,3311,4894,3311,4879,3313,5238,3313,5238,3311,4921,3311,4907,3309,5238,3309,5238,3307,5170,3307,5155,3305,5128,3305,5114,3301,5100,3289,5087,3277xm4728,3309l4715,3311,4742,3311,4728,3309xm4798,3309l4783,3309,4770,3311,4811,3311,4798,3309xm4852,3299l4838,3309,4824,3311,4873,3311,4866,3309,4852,3299xm5210,3303l5197,3307,5238,3307,5238,3305,5225,3305,5210,3303xe" filled="true" fillcolor="#4f81bd" stroked="false">
              <v:path arrowok="t"/>
              <v:fill type="solid"/>
            </v:shape>
            <v:shape style="position:absolute;left:1530;top:1795;width:3708;height:1652" coordorigin="1530,1795" coordsize="3708,1652" path="m1530,3445l1543,3447,1545,3447,1530,3445xm1558,3445l1545,3447,1547,3447,1571,3447,1558,3445xm1658,3444l1647,3445,1654,3445,1658,3444xm1681,3439l1668,3441,1658,3444,1665,3443,1681,3439xm1806,3199l1792,3199,1778,3207,1764,3439,1778,3439,1792,3429,1957,3429,1970,3421,2150,3421,2164,3417,2178,3415,2191,3403,2206,3395,2886,3395,2894,3393,2909,3379,2922,3369,3598,3369,3612,3367,3625,3361,3640,3321,4314,3321,4328,3319,4342,3311,4356,3291,5059,3291,5072,3277,2108,3277,2099,3267,2068,3267,2053,3263,2052,3259,2026,3259,2012,3255,1998,3255,1996,3253,1943,3253,1934,3249,1889,3249,1874,3239,1847,3239,1838,3235,1819,3235,1806,3199xm1957,3429l1792,3429,1806,3435,1844,3435,1957,3429xm2886,3395l2206,3395,2219,3405,2233,3425,2246,3431,2261,3435,2274,3433,2316,3433,2329,3431,2344,3431,2357,3429,2384,3429,2399,3421,2412,3415,2505,3415,2508,3413,2633,3413,2646,3411,2677,3411,2688,3405,2840,3405,2854,3403,2886,3395xm2316,3433l2274,3433,2288,3435,2302,3435,2316,3433xm2150,3421l1970,3421,1985,3429,1998,3431,2060,3431,2081,3429,2095,3427,2129,3427,2136,3425,2150,3421xm2129,3427l2095,3427,2108,3429,2123,3429,2129,3427xm2467,3415l2412,3415,2426,3423,2440,3425,2454,3423,2467,3415xm2505,3415l2467,3415,2482,3423,2495,3421,2505,3415xm2633,3413l2508,3413,2522,3421,2536,3419,2557,3419,2563,3417,2605,3417,2618,3415,2633,3413xm2557,3419l2536,3419,2550,3421,2557,3419xm2677,3411l2646,3411,2660,3415,2674,3413,2677,3411xm2840,3405l2688,3405,2701,3409,2716,3413,2729,3411,2771,3411,2813,3409,2840,3405xm3598,3369l2922,3369,2936,3373,2950,3397,2964,3403,2977,3407,2992,3407,3005,3409,3019,3409,3032,3407,3047,3405,3073,3403,3088,3395,3101,3387,3400,3387,3404,3385,3502,3385,3523,3381,3565,3377,3584,3373,3598,3369xm3400,3387l3101,3387,3115,3397,3128,3401,3143,3403,3156,3403,3170,3399,3184,3393,3221,3393,3226,3391,3391,3391,3400,3387xm3221,3393l3184,3393,3198,3399,3211,3397,3221,3393xm3349,3391l3226,3391,3239,3395,3253,3397,3295,3393,3336,3393,3349,3391xm3391,3391l3364,3391,3377,3393,3391,3391xm3502,3385l3404,3385,3419,3391,3460,3391,3474,3389,3487,3387,3502,3385xm4314,3321l3640,3321,3653,3351,3666,3367,3680,3369,3715,3371,3750,3371,3784,3369,3832,3361,3846,3353,3859,3349,4129,3349,4135,3347,4252,3347,4259,3345,4288,3345,4301,3327,4314,3321xm4060,3353l3901,3353,3914,3361,3929,3361,3942,3355,4052,3355,4060,3353xm4129,3349l3859,3349,3874,3359,3887,3359,3901,3353,4060,3353,4067,3351,4122,3351,4129,3349xm4012,3355l3942,3355,3956,3357,3970,3357,3984,3359,3997,3357,4012,3355xm4122,3351l4080,3351,4094,3353,4108,3355,4122,3351xm4252,3347l4150,3347,4163,3351,4177,3353,4190,3349,4246,3349,4252,3347xm4231,3349l4205,3349,4218,3351,4231,3349xm4288,3345l4259,3345,4273,3349,4286,3347,4288,3345xm5059,3291l4356,3291,4369,3295,4384,3309,4401,3323,4417,3325,4480,3325,4494,3323,4507,3321,4522,3321,4535,3317,4549,3309,4562,3303,4845,3303,4852,3299,5030,3299,5041,3295,5059,3291xm4673,3303l4562,3303,4577,3315,4590,3315,4604,3313,4618,3307,4664,3307,4673,3303xm4664,3307l4618,3307,4632,3313,4645,3313,4660,3309,4664,3307xm5030,3299l4852,3299,4866,3307,4879,3313,4903,3309,4953,3309,4962,3307,5008,3307,5030,3299xm4838,3307l4728,3307,4759,3311,4776,3309,4831,3309,4838,3307xm4831,3309l4794,3309,4824,3311,4831,3309xm4953,3309l4924,3309,4943,3311,4953,3309xm4845,3303l4673,3303,4687,3309,4715,3309,4728,3307,4838,3307,4845,3303xm5238,3275l5087,3275,5100,3289,5114,3301,5128,3303,5142,3305,5155,3305,5170,3307,5197,3307,5210,3303,5238,3303,5238,3275xm2123,3245l2108,3277,2344,3277,2337,3271,2274,3271,2261,3263,2257,3261,2136,3261,2123,3245xm2426,3243l2412,3247,2399,3249,2384,3253,2371,3255,2357,3261,2344,3277,5072,3277,5087,3275,5238,3275,5238,3267,2495,3267,2490,3259,2454,3259,2440,3257,2426,3243xm2329,3263l2316,3265,2302,3265,2288,3271,2337,3271,2329,3263xm2095,3263l2081,3265,2068,3267,2099,3267,2095,3263xm2508,3243l2495,3267,5238,3267,5238,3253,2536,3253,2522,3247,2508,3243xm2206,3205l2191,3211,2178,3219,2164,3231,2150,3245,2136,3261,2257,3261,2246,3255,2233,3239,2219,3213,2206,3205xm2040,3213l2026,3259,2052,3259,2040,3213xm2467,3245l2454,3259,2490,3259,2482,3247,2467,3245xm1970,3241l1957,3247,1943,3253,1996,3253,1985,3243,1970,3241xm2550,3243l2536,3253,2563,3253,2550,3243xm2578,3069l2563,3253,5238,3253,5238,3251,2618,3251,2612,3249,2591,3249,2578,3069xm2660,3233l2646,3241,2633,3241,2618,3251,5238,3251,5238,3247,2674,3247,2660,3233xm1916,3235l1902,3241,1889,3249,1934,3249,1930,3247,1916,3235xm2605,3247l2591,3249,2612,3249,2605,3247xm2701,3213l2688,3223,2674,3247,5238,3247,5238,3225,2716,3225,2701,3213xm1861,3237l1847,3239,1874,3239,1861,3237xm1834,3233l1819,3235,1838,3235,1834,3233xm2743,3135l2729,3137,2716,3225,5238,3225,5238,3217,2812,3217,2810,3213,2771,3213,2756,3157,2743,3135xm2854,3169l2839,3191,2826,3197,2812,3217,5238,3217,5238,3205,3073,3205,3072,3199,2964,3199,2961,3191,2881,3191,2867,3177,2854,3169xm2798,3181l2784,3205,2771,3213,2810,3213,2798,3181xm3088,3135l3073,3205,5238,3205,5238,3181,3170,3181,3165,3163,3101,3163,3088,3135xm2977,3151l2964,3199,2992,3199,2977,3151xm3005,3189l2992,3199,3019,3199,3005,3189xm3032,3181l3019,3199,3072,3199,3072,3195,3047,3195,3032,3181xm3060,3109l3047,3195,3072,3195,3060,3109xm2922,3123l2881,3191,2961,3191,2950,3161,2936,3149,2922,3123xm3184,3099l3170,3181,5238,3181,5238,3177,3266,3177,3258,3147,3211,3147,3198,3141,3184,3099xm3281,3123l3266,3177,5238,3177,5238,3143,3294,3143,3281,3123xm3115,3139l3101,3163,3165,3163,3159,3147,3128,3147,3115,3139xm3143,3135l3128,3147,3159,3147,3156,3137,3143,3135xm3239,3083l3226,3147,3258,3147,3253,3127,3239,3083xm3308,3121l3294,3143,3708,3143,3706,3129,3377,3129,3375,3127,3322,3127,3308,3121xm3736,2965l3721,3037,3708,3143,5238,3143,5238,3069,3776,3069,3775,3053,3749,3053,3736,2965xm3419,3083l3404,3115,3391,3115,3377,3129,3432,3129,3419,3083xm3446,2907l3432,3129,3706,3129,3699,3063,3460,3063,3446,2907xm3336,3121l3322,3127,3375,3127,3374,3125,3349,3125,3336,3121xm3364,3111l3349,3125,3374,3125,3364,3111xm3804,2881l3791,3027,3776,3069,5238,3069,5238,2941,3818,2941,3804,2881xm3474,2859l3460,3063,3699,3063,3696,3031,3570,3031,3566,2985,3515,2985,3506,2919,3487,2919,3474,2859xm3763,2931l3749,3053,3775,3053,3763,2931xm3584,2957l3570,3031,3696,3031,3694,3011,3693,3005,3625,3005,3625,3003,3598,3003,3584,2957xm3653,2889l3640,2929,3625,3005,3693,3005,3686,2925,3666,2925,3653,2889xm3612,2895l3598,3003,3625,3003,3612,2895xm3557,2875l3542,2911,3529,2977,3515,2985,3566,2985,3557,2875xm3846,2695l3832,2809,3818,2941,5238,2941,5238,2697,3859,2697,3846,2695xm3680,2863l3666,2925,3686,2925,3680,2863xm3502,2885l3487,2919,3506,2919,3502,2885xm4080,1795l4067,1821,4052,1851,4039,1901,4025,1955,4012,2021,3997,2073,3984,2129,3970,2209,3956,2259,3942,2313,3929,2385,3914,2457,3901,2525,3887,2593,3874,2605,3859,2697,5238,2697,5238,2083,4094,2083,4080,1795xm4108,2045l4094,2083,5238,2083,5238,2071,4177,2071,4173,2057,4122,2057,4108,2045xm4190,2033l4177,2071,5238,2071,5238,2055,4205,2055,4190,2033xm4135,2039l4122,2057,4150,2057,4135,2039xm4163,2025l4150,2057,4173,2057,4163,2025xm4259,1905l4246,1917,4231,1957,4218,2013,4205,2055,5238,2055,5238,2031,5225,2013,5216,1995,5183,1995,5170,1987,5128,1987,5114,1971,5100,1969,5091,1965,5059,1965,5045,1963,5042,1957,5004,1957,5002,1955,4934,1955,4924,1947,4273,1947,4259,1905xm5210,1983l5197,1995,5216,1995,5210,1983xm5155,1983l5142,1983,5128,1987,5170,1987,5155,1983xm5087,1963l5072,1963,5059,1965,5091,1965,5087,1963xm5017,1935l5004,1957,5042,1957,5032,1937,5017,1935xm4976,1941l4962,1945,4949,1953,4934,1955,5002,1955,4990,1945,4976,1941xm4286,1919l4273,1947,4879,1947,4876,1945,4301,1945,4286,1919xm4907,1941l4894,1945,4879,1947,4924,1947,4921,1945,4907,1941xm4314,1921l4301,1945,4876,1945,4866,1939,4863,1933,4328,1933,4314,1921xm4342,1911l4328,1933,4863,1933,4860,1927,4369,1927,4356,1921,4342,1911xm4439,1805l4424,1813,4411,1839,4397,1879,4384,1911,4369,1927,4860,1927,4852,1909,4838,1907,4838,1905,4756,1905,4750,1897,4522,1897,4507,1895,4495,1857,4452,1857,4439,1805xm4811,1871l4798,1873,4783,1875,4770,1879,4756,1905,4838,1905,4824,1875,4811,1871xm4562,1857l4549,1857,4535,1861,4522,1897,4750,1897,4749,1895,4700,1895,4687,1889,4679,1879,4618,1879,4604,1875,4590,1875,4577,1873,4562,1857xm4742,1885l4728,1887,4715,1889,4700,1895,4749,1895,4742,1885xm4632,1875l4618,1879,4645,1879,4632,1875xm4673,1871l4660,1877,4645,1879,4679,1879,4673,1871xm4480,1847l4466,1853,4452,1857,4495,1857,4494,1855,4480,1847xe" filled="true" fillcolor="#c0504d" stroked="false">
              <v:path arrowok="t"/>
              <v:fill type="solid"/>
            </v:shape>
            <v:shape style="position:absolute;left:1502;top:1025;width:3736;height:2420" coordorigin="1502,1026" coordsize="3736,2420" path="m1502,3186l1502,3426,1516,3446,1696,3446,1709,3426,1765,3426,1777,3226,1530,3226,1516,3206,1502,3186xm1765,3426l1709,3426,1723,3446,1764,3446,1765,3426xm2178,3226l2040,3226,2053,3266,2068,3286,2081,3266,2116,3266,2123,3246,2164,3246,2178,3226xm2116,3266l2095,3266,2108,3286,2116,3266xm2302,3266l2261,3266,2274,3286,2288,3286,2302,3266xm2357,3266l2329,3266,2344,3286,2357,3266xm1902,3246l1874,3246,1889,3266,1902,3246xm1970,3246l1930,3246,1943,3266,1957,3266,1970,3246xm2206,3206l1806,3206,1819,3246,1985,3246,1998,3266,2026,3266,2040,3226,2191,3226,2206,3206xm2150,3246l2123,3246,2136,3266,2150,3246xm1764,2886l1751,3206,2206,3206,2219,3226,2233,3246,2246,3266,2399,3266,2412,3246,2565,3246,2578,3086,3436,3086,3437,3066,2068,3066,2053,3046,1889,3046,1874,3026,1819,3026,1810,2986,1778,2986,1764,2886xm2467,3246l2426,3246,2440,3266,2454,3266,2467,3246xm2508,3246l2467,3246,2482,3266,2495,3266,2508,3246xm2550,3246l2508,3246,2522,3266,2536,3266,2550,3246xm2565,3246l2550,3246,2563,3266,2565,3246xm3239,3086l2578,3086,2591,3266,2618,3266,2633,3246,2674,3246,2688,3226,2716,3226,2729,3146,2909,3146,2922,3126,3180,3126,3184,3106,3236,3106,3239,3086xm1543,3206l1530,3226,1558,3226,1543,3206xm1778,3206l1681,3206,1668,3226,1777,3226,1778,3206xm2909,3146l2743,3146,2756,3166,2771,3226,2784,3206,2798,3186,2894,3186,2909,3146xm2854,3186l2798,3186,2812,3226,2826,3206,2839,3206,2854,3186xm2894,3186l2867,3186,2881,3206,2894,3186xm2977,3166l2950,3166,2964,3206,2977,3166xm3060,3126l2922,3126,2936,3166,2977,3166,2992,3206,3019,3206,3032,3186,3050,3186,3060,3126xm3050,3186l3032,3186,3047,3206,3050,3186xm3180,3126l3060,3126,3073,3206,3088,3146,3177,3146,3180,3126xm3177,3146l3156,3146,3170,3186,3177,3146xm3419,3086l3239,3086,3253,3126,3266,3186,3281,3126,3404,3126,3419,3086xm3115,3146l3088,3146,3101,3166,3115,3146xm3143,3146l3115,3146,3128,3166,3143,3146xm3236,3106l3184,3106,3198,3146,3211,3166,3226,3166,3236,3106xm3308,3126l3281,3126,3294,3146,3308,3126xm3336,3126l3308,3126,3322,3146,3336,3126xm3391,3126l3364,3126,3377,3146,3391,3126xm3436,3086l3419,3086,3432,3146,3436,3086xm3827,2866l3680,2866,3694,3026,3708,3146,3721,3046,3736,2966,3761,2966,3763,2946,3798,2946,3804,2886,3825,2886,3827,2866xm3798,2946l3763,2946,3776,3086,3791,3026,3798,2946xm2123,3046l2095,3046,2081,3066,2136,3066,2123,3046xm2206,2986l2191,3006,2178,3006,2164,3026,2150,3046,2136,3066,2280,3066,2263,3046,2246,3046,2233,3026,2219,3006,2206,2986xm2743,2866l2729,2906,2716,3006,2688,3006,2674,3046,2357,3046,2344,3066,3437,3066,3442,2986,3266,2986,3258,2946,2771,2946,2756,2906,2743,2866xm3515,1026l3502,1186,3487,1906,3474,2026,3460,2506,3446,2686,3432,2926,3446,2926,3460,3066,3474,2866,3827,2866,3832,2826,3846,2706,3859,2706,3874,2606,3887,2606,3901,2526,3929,2386,3942,2326,3956,2266,3970,2226,3776,2226,3774,2206,3749,2206,3742,2146,3721,2146,3708,2006,3694,1726,3691,1666,3625,1666,3612,1566,3557,1566,3542,1426,3529,1286,3515,1026xm3761,2966l3736,2966,3749,3066,3761,2966xm1916,3026l1902,3026,1889,3046,1930,3046,1916,3026xm1970,3026l1957,3046,1985,3046,1970,3026xm2040,3006l2026,3046,2053,3046,2040,3006xm2426,3026l2412,3046,2440,3046,2426,3026xm2482,3026l2467,3046,2495,3046,2482,3026xm2508,3026l2495,3046,2522,3046,2508,3026xm2550,3026l2536,3046,2563,3046,2550,3026xm2578,2866l2563,3046,2591,3046,2578,2866xm2633,3026l2618,3046,2646,3046,2633,3026xm2660,3026l2646,3046,2674,3046,2660,3026xm3676,2886l3557,2886,3570,3046,3584,2966,3603,2966,3612,2906,3671,2906,3676,2886xm3603,2966l3584,2966,3598,3006,3603,2966xm3653,2906l3612,2906,3625,3006,3640,2946,3653,2906xm1806,2966l1792,2986,1810,2986,1806,2966xm3281,2926l3266,2986,3442,2986,3445,2946,3294,2946,3281,2926xm3557,2886l3502,2886,3515,2986,3529,2986,3542,2926,3557,2886xm3239,2846l3226,2926,2784,2926,2771,2946,3258,2946,3253,2926,2812,2926,2798,2906,3250,2906,3239,2846xm3308,2926l3294,2946,3322,2946,3308,2926xm3364,2906l3349,2906,3336,2926,3322,2946,3445,2946,3446,2926,3377,2926,3364,2906xm3825,2886l3804,2886,3818,2946,3825,2886xm2977,2826l2964,2886,2839,2886,2826,2906,2812,2926,3170,2926,3163,2906,2992,2906,2977,2826xm3184,2846l3170,2926,3226,2926,3211,2906,3198,2906,3184,2846xm3419,2886l3404,2926,3432,2926,3419,2886xm3680,2866l3474,2866,3487,2926,3502,2886,3676,2886,3680,2866xm3671,2906l3653,2906,3666,2926,3671,2906xm3088,2826l3073,2886,3005,2886,2992,2906,3163,2906,3156,2886,3143,2866,3101,2866,3088,2826xm2909,2786l2894,2886,2964,2886,2950,2846,2936,2846,2922,2826,2909,2786xm3060,2806l3047,2886,3073,2886,3060,2806xm3115,2846l3101,2866,3128,2866,3115,2846xm3791,2046l3776,2226,3970,2226,3980,2166,3804,2166,3791,2046xm3763,2126l3749,2206,3774,2206,3763,2126xm3846,1766l3832,2006,3818,2086,3804,2166,3980,2166,3984,2146,3997,2086,4012,2026,4025,1966,4034,1926,3859,1926,3846,1766xm3736,2086l3721,2146,3742,2146,3736,2086xm4439,1806l4080,1806,4094,2086,4108,2046,4156,2046,4163,2026,4218,2026,4231,1966,4246,1926,4384,1926,4397,1886,4411,1846,4424,1826,4439,1806xm4218,2026l4163,2026,4177,2086,4190,2046,4211,2046,4218,2026xm4135,2046l4108,2046,4122,2066,4135,2046xm4156,2046l4135,2046,4150,2066,4156,2046xm4211,2046l4190,2046,4205,2066,4211,2046xm5238,1946l5032,1946,5045,1966,5087,1966,5100,1986,5210,1986,5225,2026,5238,2046,5238,1946xm5142,1986l5114,1986,5128,2006,5142,1986xm5210,1986l5155,1986,5170,2006,5197,2006,5210,1986xm4286,1926l4259,1926,4273,1966,4286,1926xm3956,1706l3942,1806,4439,1806,4452,1866,4562,1866,4577,1886,4824,1886,4838,1926,4852,1926,4866,1946,4879,1966,4894,1946,5238,1946,5238,1746,3970,1746,3956,1706xm4962,1946l4921,1946,4934,1966,4949,1966,4962,1946xm5017,1946l4990,1946,5004,1966,5017,1946xm4314,1926l4286,1926,4301,1946,4314,1926xm4342,1926l4314,1926,4328,1946,4342,1926xm4384,1926l4356,1926,4369,1946,4384,1926xm3901,1726l3887,1786,3874,1806,3859,1926,4034,1926,4039,1906,4052,1866,4067,1826,4080,1806,3942,1806,3937,1766,3914,1766,3901,1726xm4535,1866l4494,1866,4507,1906,4522,1906,4535,1866xm4742,1886l4673,1886,4687,1906,4728,1906,4742,1886xm4770,1886l4742,1886,4756,1906,4770,1886xm3929,1706l3914,1766,3937,1766,3929,1706xm3984,1686l3970,1746,4094,1746,4092,1706,3997,1706,3984,1686xm4259,1566l4246,1566,4231,1626,4205,1706,4108,1706,4094,1746,5238,1746,5238,1586,4273,1586,4259,1566xm4080,1466l4067,1486,4052,1506,4039,1546,4025,1586,4012,1646,3997,1706,4092,1706,4080,1466xm4163,1666l4150,1706,4205,1706,4200,1686,4177,1686,4163,1666xm4190,1646l4177,1686,4200,1686,4190,1646xm3680,1366l3666,1546,3640,1546,3625,1666,3691,1666,3680,1366xm4286,1566l4273,1586,4301,1586,4286,1566xm4314,1526l4301,1586,5238,1586,5238,1546,4328,1546,4314,1526xm3570,1306l3557,1566,3612,1566,3609,1526,3584,1526,3570,1306xm4342,1526l4328,1546,4356,1546,4342,1526xm4439,1426l4424,1426,4411,1466,4397,1506,4384,1546,5238,1546,5238,1526,5155,1526,5142,1506,5004,1506,4990,1486,4894,1486,4879,1466,4452,1466,4439,1426xm3598,1346l3584,1526,3609,1526,3598,1346xm5183,1506l5170,1506,5155,1526,5197,1526,5183,1506xm5225,1486l5210,1486,5197,1526,5238,1526,5238,1506,5225,1486xm5100,1466l5017,1466,5004,1506,5128,1506,5114,1486,5100,1466xm4824,1426l4632,1426,4618,1446,4480,1446,4466,1466,4852,1466,4838,1446,4824,1426xm4866,1446l4852,1466,4879,1466,4866,1446xm4507,1426l4494,1446,4522,1446,4507,1426xm4549,1406l4535,1426,4522,1446,4618,1446,4604,1426,4562,1426,4549,1406xm4673,1406l4660,1406,4645,1426,4687,1426,4673,1406xm4783,1406l4770,1406,4756,1426,4798,1426,4783,1406xe" filled="true" fillcolor="#9bbb59" stroked="false">
              <v:path arrowok="t"/>
              <v:fill type="solid"/>
            </v:shape>
            <v:line style="position:absolute" from="5245,940" to="5245,3800" stroked="true" strokeweight=".72003pt" strokecolor="#000000">
              <v:stroke dashstyle="solid"/>
            </v:line>
            <v:rect style="position:absolute;left:5187;top:3792;width:58;height:15" filled="true" fillcolor="#000000" stroked="false">
              <v:fill type="solid"/>
            </v:rect>
            <v:rect style="position:absolute;left:5187;top:3318;width:58;height:15" filled="true" fillcolor="#000000" stroked="false">
              <v:fill type="solid"/>
            </v:rect>
            <v:rect style="position:absolute;left:5187;top:2844;width:58;height:14" filled="true" fillcolor="#000000" stroked="false">
              <v:fill type="solid"/>
            </v:rect>
            <v:rect style="position:absolute;left:5187;top:2369;width:58;height:15" filled="true" fillcolor="#000000" stroked="false">
              <v:fill type="solid"/>
            </v:rect>
            <v:rect style="position:absolute;left:5187;top:1881;width:58;height:15" filled="true" fillcolor="#000000" stroked="false">
              <v:fill type="solid"/>
            </v:rect>
            <v:rect style="position:absolute;left:5187;top:1407;width:58;height:15" filled="true" fillcolor="#000000" stroked="false">
              <v:fill type="solid"/>
            </v:rect>
            <v:rect style="position:absolute;left:5187;top:933;width:58;height:15" filled="true" fillcolor="#000000" stroked="false">
              <v:fill type="solid"/>
            </v:rect>
            <v:line style="position:absolute" from="1510,3800" to="5245,3800" stroked="true" strokeweight=".72pt" strokecolor="#000000">
              <v:stroke dashstyle="solid"/>
            </v:line>
            <v:rect style="position:absolute;left:1502;top:3799;width:15;height:44" filled="true" fillcolor="#000000" stroked="false">
              <v:fill type="solid"/>
            </v:rect>
            <v:rect style="position:absolute;left:2221;top:3799;width:15;height:44" filled="true" fillcolor="#000000" stroked="false">
              <v:fill type="solid"/>
            </v:rect>
            <v:rect style="position:absolute;left:2938;top:3799;width:15;height:44" filled="true" fillcolor="#000000" stroked="false">
              <v:fill type="solid"/>
            </v:rect>
            <v:rect style="position:absolute;left:3657;top:3799;width:15;height:44" filled="true" fillcolor="#000000" stroked="false">
              <v:fill type="solid"/>
            </v:rect>
            <v:rect style="position:absolute;left:4376;top:3799;width:15;height:44" filled="true" fillcolor="#000000" stroked="false">
              <v:fill type="solid"/>
            </v:rect>
            <v:rect style="position:absolute;left:5094;top:3799;width:15;height:44" filled="true" fillcolor="#000000" stroked="false">
              <v:fill type="solid"/>
            </v:rect>
            <v:rect style="position:absolute;left:1760;top:1277;width:87;height:87" filled="true" fillcolor="#4f81bd" stroked="false">
              <v:fill type="solid"/>
            </v:rect>
            <v:rect style="position:absolute;left:1760;top:1551;width:87;height:87" filled="true" fillcolor="#c0504d" stroked="false">
              <v:fill type="solid"/>
            </v:rect>
            <v:rect style="position:absolute;left:1760;top:1823;width:87;height:87" filled="true" fillcolor="#9bbb59" stroked="false">
              <v:fill type="solid"/>
            </v:rect>
            <v:shape style="position:absolute;left:1171;top:516;width:4628;height:3765" coordorigin="1171,517" coordsize="4628,3765" path="m5795,517l1175,517,1171,520,1171,4277,1175,4281,5795,4281,5798,4277,5798,4274,1186,4274,1178,4267,1186,4267,1186,531,1178,531,1186,524,5798,524,5798,520,5795,517xm1186,4267l1178,4267,1186,4274,1186,4267xm5784,4267l1186,4267,1186,4274,5784,4274,5784,4267xm5784,524l5784,4274,5791,4267,5798,4267,5798,531,5791,531,5784,524xm5798,4267l5791,4267,5784,4274,5798,4274,5798,4267xm1186,524l1178,531,1186,531,1186,524xm5784,524l1186,524,1186,531,5784,531,5784,524xm5798,524l5784,524,5791,531,5798,531,5798,524xe" filled="true" fillcolor="#ffffff" stroked="false">
              <v:path arrowok="t"/>
              <v:fill type="solid"/>
            </v:shape>
            <v:shape style="position:absolute;left:4866;top:693;width:821;height:352" type="#_x0000_t202" filled="false" stroked="false">
              <v:textbox inset="0,0,0,0">
                <w:txbxContent>
                  <w:p>
                    <w:pPr>
                      <w:spacing w:line="171" w:lineRule="exact" w:before="0"/>
                      <w:ind w:left="0" w:right="0" w:firstLine="0"/>
                      <w:jc w:val="left"/>
                      <w:rPr>
                        <w:rFonts w:ascii="Calibri" w:hAnsi="Calibri"/>
                        <w:sz w:val="17"/>
                      </w:rPr>
                    </w:pPr>
                    <w:r>
                      <w:rPr>
                        <w:rFonts w:ascii="Calibri" w:hAnsi="Calibri"/>
                        <w:sz w:val="17"/>
                      </w:rPr>
                      <w:t>£ billions</w:t>
                    </w:r>
                  </w:p>
                  <w:p>
                    <w:pPr>
                      <w:spacing w:line="180" w:lineRule="exact" w:before="0"/>
                      <w:ind w:left="541" w:right="0" w:firstLine="0"/>
                      <w:jc w:val="left"/>
                      <w:rPr>
                        <w:sz w:val="16"/>
                      </w:rPr>
                    </w:pPr>
                    <w:r>
                      <w:rPr>
                        <w:sz w:val="16"/>
                      </w:rPr>
                      <w:t>300</w:t>
                    </w:r>
                  </w:p>
                </w:txbxContent>
              </v:textbox>
              <w10:wrap type="none"/>
            </v:shape>
            <v:shape style="position:absolute;left:1888;top:1248;width:1445;height:717" type="#_x0000_t202" filled="false" stroked="false">
              <v:textbox inset="0,0,0,0">
                <w:txbxContent>
                  <w:p>
                    <w:pPr>
                      <w:spacing w:line="352" w:lineRule="auto" w:before="0"/>
                      <w:ind w:left="0" w:right="0" w:firstLine="0"/>
                      <w:jc w:val="left"/>
                      <w:rPr>
                        <w:sz w:val="16"/>
                      </w:rPr>
                    </w:pPr>
                    <w:r>
                      <w:rPr>
                        <w:sz w:val="16"/>
                      </w:rPr>
                      <w:t>Notes in Circulation Reserve balances</w:t>
                    </w:r>
                  </w:p>
                  <w:p>
                    <w:pPr>
                      <w:spacing w:line="183" w:lineRule="exact" w:before="0"/>
                      <w:ind w:left="0" w:right="0" w:firstLine="0"/>
                      <w:jc w:val="left"/>
                      <w:rPr>
                        <w:sz w:val="16"/>
                      </w:rPr>
                    </w:pPr>
                    <w:r>
                      <w:rPr>
                        <w:sz w:val="16"/>
                      </w:rPr>
                      <w:t>Other liabilities</w:t>
                    </w:r>
                  </w:p>
                </w:txbxContent>
              </v:textbox>
              <w10:wrap type="none"/>
            </v:shape>
            <v:shape style="position:absolute;left:5402;top:1343;width:285;height:2554" type="#_x0000_t202" filled="false" stroked="false">
              <v:textbox inset="0,0,0,0">
                <w:txbxContent>
                  <w:p>
                    <w:pPr>
                      <w:spacing w:line="177" w:lineRule="exact" w:before="0"/>
                      <w:ind w:left="4" w:right="0" w:firstLine="0"/>
                      <w:jc w:val="left"/>
                      <w:rPr>
                        <w:sz w:val="16"/>
                      </w:rPr>
                    </w:pPr>
                    <w:r>
                      <w:rPr>
                        <w:sz w:val="16"/>
                      </w:rPr>
                      <w:t>250</w:t>
                    </w:r>
                  </w:p>
                  <w:p>
                    <w:pPr>
                      <w:spacing w:line="240" w:lineRule="auto" w:before="3"/>
                      <w:rPr>
                        <w:sz w:val="25"/>
                      </w:rPr>
                    </w:pPr>
                  </w:p>
                  <w:p>
                    <w:pPr>
                      <w:spacing w:before="0"/>
                      <w:ind w:left="4" w:right="0" w:firstLine="0"/>
                      <w:jc w:val="left"/>
                      <w:rPr>
                        <w:sz w:val="16"/>
                      </w:rPr>
                    </w:pPr>
                    <w:r>
                      <w:rPr>
                        <w:sz w:val="16"/>
                      </w:rPr>
                      <w:t>200</w:t>
                    </w:r>
                  </w:p>
                  <w:p>
                    <w:pPr>
                      <w:spacing w:line="240" w:lineRule="auto" w:before="5"/>
                      <w:rPr>
                        <w:sz w:val="25"/>
                      </w:rPr>
                    </w:pPr>
                  </w:p>
                  <w:p>
                    <w:pPr>
                      <w:spacing w:before="0"/>
                      <w:ind w:left="4" w:right="0" w:firstLine="0"/>
                      <w:jc w:val="left"/>
                      <w:rPr>
                        <w:sz w:val="16"/>
                      </w:rPr>
                    </w:pPr>
                    <w:r>
                      <w:rPr>
                        <w:sz w:val="16"/>
                      </w:rPr>
                      <w:t>150</w:t>
                    </w:r>
                  </w:p>
                  <w:p>
                    <w:pPr>
                      <w:spacing w:line="240" w:lineRule="auto" w:before="4"/>
                      <w:rPr>
                        <w:sz w:val="25"/>
                      </w:rPr>
                    </w:pPr>
                  </w:p>
                  <w:p>
                    <w:pPr>
                      <w:spacing w:before="0"/>
                      <w:ind w:left="4" w:right="0" w:firstLine="0"/>
                      <w:jc w:val="left"/>
                      <w:rPr>
                        <w:sz w:val="16"/>
                      </w:rPr>
                    </w:pPr>
                    <w:r>
                      <w:rPr>
                        <w:sz w:val="16"/>
                      </w:rPr>
                      <w:t>100</w:t>
                    </w:r>
                  </w:p>
                  <w:p>
                    <w:pPr>
                      <w:spacing w:line="240" w:lineRule="auto" w:before="4"/>
                      <w:rPr>
                        <w:sz w:val="25"/>
                      </w:rPr>
                    </w:pPr>
                  </w:p>
                  <w:p>
                    <w:pPr>
                      <w:spacing w:before="0"/>
                      <w:ind w:left="2" w:right="0" w:firstLine="0"/>
                      <w:jc w:val="left"/>
                      <w:rPr>
                        <w:sz w:val="16"/>
                      </w:rPr>
                    </w:pPr>
                    <w:r>
                      <w:rPr>
                        <w:sz w:val="16"/>
                      </w:rPr>
                      <w:t>50</w:t>
                    </w:r>
                  </w:p>
                  <w:p>
                    <w:pPr>
                      <w:spacing w:line="240" w:lineRule="auto" w:before="3"/>
                      <w:rPr>
                        <w:sz w:val="25"/>
                      </w:rPr>
                    </w:pPr>
                  </w:p>
                  <w:p>
                    <w:pPr>
                      <w:spacing w:line="184" w:lineRule="exact" w:before="1"/>
                      <w:ind w:left="0" w:right="0" w:firstLine="0"/>
                      <w:jc w:val="left"/>
                      <w:rPr>
                        <w:sz w:val="16"/>
                      </w:rPr>
                    </w:pPr>
                    <w:r>
                      <w:rPr>
                        <w:w w:val="98"/>
                        <w:sz w:val="16"/>
                      </w:rPr>
                      <w:t>0</w:t>
                    </w:r>
                  </w:p>
                </w:txbxContent>
              </v:textbox>
              <w10:wrap type="none"/>
            </v:shape>
            <v:shape style="position:absolute;left:1330;top:3983;width:3958;height:177" type="#_x0000_t202" filled="false" stroked="false">
              <v:textbox inset="0,0,0,0">
                <w:txbxContent>
                  <w:p>
                    <w:pPr>
                      <w:tabs>
                        <w:tab w:pos="718" w:val="left" w:leader="none"/>
                        <w:tab w:pos="1436" w:val="left" w:leader="none"/>
                        <w:tab w:pos="2157" w:val="left" w:leader="none"/>
                        <w:tab w:pos="2874" w:val="left" w:leader="none"/>
                        <w:tab w:pos="3593" w:val="left" w:leader="none"/>
                      </w:tabs>
                      <w:spacing w:line="177" w:lineRule="exact" w:before="0"/>
                      <w:ind w:left="0" w:right="0" w:firstLine="0"/>
                      <w:jc w:val="left"/>
                      <w:rPr>
                        <w:sz w:val="16"/>
                      </w:rPr>
                    </w:pPr>
                    <w:r>
                      <w:rPr>
                        <w:sz w:val="16"/>
                      </w:rPr>
                      <w:t>2006</w:t>
                      <w:tab/>
                      <w:t>2007</w:t>
                      <w:tab/>
                      <w:t>2008</w:t>
                      <w:tab/>
                      <w:t>2009</w:t>
                      <w:tab/>
                      <w:t>2010</w:t>
                      <w:tab/>
                    </w:r>
                    <w:r>
                      <w:rPr>
                        <w:spacing w:val="-3"/>
                        <w:sz w:val="16"/>
                      </w:rPr>
                      <w:t>2011</w:t>
                    </w:r>
                  </w:p>
                </w:txbxContent>
              </v:textbox>
              <w10:wrap type="none"/>
            </v:shape>
            <w10:wrap type="topAndBottom"/>
          </v:group>
        </w:pict>
      </w:r>
      <w:r>
        <w:rPr/>
        <w:pict>
          <v:group style="position:absolute;margin-left:295.380005pt;margin-top:25.950195pt;width:231.2pt;height:188.1pt;mso-position-horizontal-relative:page;mso-position-vertical-relative:paragraph;z-index:-251640832;mso-wrap-distance-left:0;mso-wrap-distance-right:0" coordorigin="5908,519" coordsize="4624,3762">
            <v:shape style="position:absolute;left:6237;top:935;width:3748;height:2872" coordorigin="6238,935" coordsize="3748,2872" path="m9983,935l6241,935,6238,938,6238,3803,6241,3807,9983,3807,9985,3803,9985,3800,6252,3800,6245,3793,6252,3793,6252,950,6245,950,6252,943,9985,943,9985,938,9983,935xm6252,3793l6245,3793,6252,3800,6252,3793xm9972,3793l6252,3793,6252,3800,9972,3800,9972,3793xm9972,943l9972,3800,9978,3793,9985,3793,9985,950,9978,950,9972,943xm9985,3793l9978,3793,9972,3800,9985,3800,9985,3793xm6252,943l6245,950,6252,950,6252,943xm9972,943l6252,943,6252,950,9972,950,9972,943xm9985,943l9972,943,9978,950,9985,950,9985,943xe" filled="true" fillcolor="#000000" stroked="false">
              <v:path arrowok="t"/>
              <v:fill type="solid"/>
            </v:shape>
            <v:shape style="position:absolute;left:6250;top:1997;width:3722;height:1796" coordorigin="6251,1997" coordsize="3722,1796" path="m6586,3648l6541,3651,6499,3651,6486,3674,6444,3674,6431,3697,6376,3697,6361,3736,6320,3736,6306,3764,6265,3764,6251,3793,9972,3793,9972,3669,9958,3668,9944,3668,9928,3667,9918,3660,9904,3654,9875,3653,6720,3653,6675,3652,6631,3649,6586,3648xm6748,3649l6733,3653,9862,3653,9860,3652,6941,3652,6893,3651,6748,3649xm6982,3651l6968,3652,9737,3652,9736,3651,7128,3651,6982,3651xm9779,3628l9751,3628,9737,3652,9860,3652,9847,3639,9834,3634,9792,3634,9779,3628xm7349,3651l7128,3651,9736,3651,9736,3651,7422,3651,7349,3651xm7492,3604l7477,3619,7464,3626,7450,3651,9736,3651,9727,3643,7643,3643,7630,3615,7615,3615,7582,3614,7559,3611,7537,3608,7505,3607,7492,3604xm8042,3490l7712,3490,7698,3562,7685,3571,7657,3571,7643,3643,9727,3643,9724,3639,9668,3639,9654,3626,9613,3626,9600,3614,9572,3614,9567,3605,9490,3605,9488,3604,9241,3604,9236,3598,9186,3598,9181,3585,8098,3585,8070,3584,8057,3584,8042,3490xm9545,3577l9503,3577,9490,3605,9567,3605,9558,3590,9545,3577xm9296,3571l9269,3571,9254,3604,9488,3604,9483,3599,9434,3599,9429,3595,9324,3595,9310,3586,9296,3571xm9475,3592l9448,3592,9434,3599,9483,3599,9475,3592xm9228,3590l9214,3590,9200,3598,9236,3598,9228,3590xm9420,3587l9392,3587,9379,3595,9429,3595,9420,3587xm8346,2293l8332,2420,8318,2420,8304,2487,8291,2576,8276,2650,8263,2650,8249,2734,8236,2807,8221,2917,8208,3206,8194,3584,8153,3584,8098,3585,9181,3585,9175,3566,9090,3566,9077,3553,9062,3553,9048,3531,9035,3531,9020,3513,9007,3513,8996,3483,8938,3483,8924,3419,8910,3419,8897,3344,8882,3344,8869,3295,8856,3295,8842,3243,8828,3243,8814,3217,8786,3217,8773,3040,8759,3040,8746,2931,8731,2931,8718,2842,8704,2842,8690,2738,8676,2738,8671,2704,8456,2704,8442,2631,8429,2374,8428,2345,8359,2345,8346,2293xm9173,3559l9145,3559,9131,3565,9118,3566,9175,3566,9173,3559xm9076,3551l9062,3553,9077,3553,9076,3551xm7891,3443l7877,3443,7864,3490,8002,3490,7987,3444,7933,3444,7912,3444,7891,3443xm8993,3476l8965,3476,8952,3483,8996,3483,8993,3476xm7987,3443l7974,3443,7933,3444,7987,3444,7987,3443xm8897,3340l8882,3344,8897,3344,8897,3340xm8718,2841l8704,2842,8718,2842,8718,2841xm8497,2483l8483,2599,8470,2599,8456,2704,8671,2704,8663,2651,8648,2651,8639,2594,8538,2594,8537,2588,8510,2588,8497,2483xm8635,2566l8552,2566,8538,2594,8639,2594,8635,2566xm8525,2467l8510,2588,8537,2588,8525,2467xm8580,2377l8566,2566,8593,2566,8580,2377xm8414,1997l8401,2185,8374,2185,8359,2345,8428,2345,8414,1997xe" filled="true" fillcolor="#4f81bd" stroked="false">
              <v:path arrowok="t"/>
              <v:fill type="solid"/>
            </v:shape>
            <v:shape style="position:absolute;left:6237;top:2598;width:2591;height:1194" coordorigin="6238,2599" coordsize="2591,1194" path="m6238,3521l6238,3793,6251,3793,6265,3765,6306,3765,6320,3737,6361,3737,6376,3699,6431,3699,6444,3675,6486,3675,6499,3653,6541,3653,6589,3649,7452,3649,7464,3627,7477,3619,7492,3605,7650,3605,7657,3571,7685,3571,7698,3563,7700,3551,6389,3551,6384,3549,6278,3549,6265,3543,6251,3537,6238,3521xm6748,3649l6589,3649,6637,3651,6685,3655,6733,3655,6748,3649xm7452,3649l6761,3649,6809,3651,6906,3653,7450,3653,7452,3649xm7650,3605l7492,3605,7505,3607,7537,3609,7559,3613,7582,3615,7615,3617,7630,3617,7643,3643,7650,3605xm8199,3445l7987,3445,8002,3491,8042,3491,8057,3585,8194,3585,8199,3445xm6444,3529l6431,3533,6416,3541,6403,3545,6389,3551,7700,3551,7702,3545,6499,3545,6486,3541,6458,3541,6444,3529xm6334,3545l6320,3547,6306,3549,6348,3549,6334,3545xm6376,3545l6361,3545,6348,3549,6384,3549,6376,3545xm6541,3299l6527,3303,6514,3307,6499,3545,7702,3545,7712,3491,7864,3491,7865,3487,7698,3487,7687,3461,7615,3461,7602,3441,7589,3413,7547,3413,7533,3369,6803,3369,6788,3363,6787,3359,6761,3359,6748,3355,6733,3355,6729,3351,6623,3351,6604,3337,6554,3337,6541,3299xm6472,3539l6458,3541,6486,3541,6472,3539xm7712,3455l7698,3487,7865,3487,7867,3479,7726,3479,7712,3455xm7739,3439l7726,3479,7867,3479,7877,3445,8199,3445,8199,3443,7781,3443,7779,3441,7753,3441,7739,3439xm7630,3439l7615,3461,7687,3461,7685,3457,7670,3455,7643,3455,7630,3439xm7657,3437l7643,3455,7670,3455,7657,3437xm7794,3347l7781,3443,8199,3443,8199,3433,7808,3433,7794,3347xm7766,3429l7753,3441,7779,3441,7766,3429xm7822,3371l7808,3433,8199,3433,8201,3389,7836,3389,7822,3371xm7588,3409l7574,3413,7589,3413,7588,3409xm7849,3363l7836,3389,8201,3389,8202,3365,7864,3365,7849,3363xm6858,3353l6844,3355,6830,3361,6816,3365,6803,3369,7533,3369,7532,3367,6871,3367,6858,3353xm6941,3309l6926,3311,6913,3325,6899,3337,6886,3353,6871,3367,7037,3367,7032,3365,7009,3365,6995,3363,6982,3359,6968,3329,6954,3313,6941,3309xm7160,3341l7147,3343,7133,3343,7120,3353,7105,3357,7092,3361,7078,3361,7064,3365,7050,3367,7230,3367,7224,3359,7175,3359,7160,3341xm7243,3347l7230,3367,7532,3367,7519,3357,7516,3355,7298,3355,7296,3353,7258,3353,7243,3347xm7022,3361l7009,3365,7032,3365,7022,3361xm7891,3315l7877,3341,7864,3365,8202,3365,8203,3349,7904,3349,7891,3315xm6775,3315l6761,3359,6787,3359,6775,3315xm7216,3349l7202,3353,7188,3359,7224,3359,7216,3349xm7313,3169l7298,3355,7516,3355,7511,3351,7326,3351,7313,3169xm7285,3343l7271,3349,7258,3353,7296,3353,7285,3343xm6650,3335l6637,3343,6623,3351,6729,3351,6727,3349,6678,3349,6665,3347,6650,3335xm7340,3345l7326,3351,7511,3351,7508,3349,7354,3349,7340,3345xm6706,3341l6692,3341,6678,3349,6727,3349,6720,3343,6706,3341xm7367,3339l7354,3349,7508,3349,7505,3347,7409,3347,7400,3341,7381,3341,7367,3339xm7919,3259l7904,3349,8203,3349,8203,3339,8002,3339,7993,3313,7946,3313,7932,3301,7919,3259xm7436,3315l7422,3337,7409,3347,7505,3347,7500,3325,7450,3325,7436,3315xm7394,3337l7381,3341,7400,3341,7394,3337xm8015,3293l8002,3339,8203,3339,8204,3305,8029,3305,8015,3293xm6569,3333l6554,3337,6582,3337,6569,3333xm6596,3331l6582,3337,6604,3337,6596,3331xm7464,3221l7450,3325,7500,3325,7492,3287,7477,3233,7464,3221xm7974,3239l7960,3313,7993,3313,7987,3293,7974,3239xm8042,3279l8029,3305,8204,3305,8205,3287,8084,3287,8080,3283,8057,3283,8042,3279xm8098,3263l8084,3287,8205,3287,8205,3279,8111,3279,8098,3263xm8070,3275l8057,3283,8080,3283,8070,3275xm8153,3179l8138,3263,8125,3265,8111,3279,8205,3279,8208,3219,8166,3219,8153,3179xm8759,2929l8746,2933,8759,3041,8773,3041,8786,3217,8814,3217,8828,3245,8814,2939,8801,2939,8786,2933,8773,2933,8759,2929xm8208,2707l8194,2959,8180,2995,8166,3219,8208,3219,8208,3207,8221,2917,8236,2809,8221,2775,8208,2707xm8814,2933l8801,2939,8814,2939,8814,2933xm8442,2633l8456,2705,8459,2687,8456,2687,8442,2633xm8470,2599l8456,2687,8459,2687,8470,2599xe" filled="true" fillcolor="#c0504d" stroked="false">
              <v:path arrowok="t"/>
              <v:fill type="solid"/>
            </v:shape>
            <v:shape style="position:absolute;left:8482;top:1657;width:1490;height:2020" coordorigin="8483,1657" coordsize="1490,2020" path="m9751,3637l9654,3637,9668,3657,9724,3657,9737,3677,9751,3637xm9972,3597l9558,3597,9572,3637,9779,3637,9792,3657,9847,3657,9862,3677,9972,3677,9972,3597xm9972,2377l8580,2377,8593,2577,8635,2577,8648,2657,8663,2657,8676,2737,8690,2737,8704,2857,8718,2857,8731,2937,8814,2937,8828,3257,8842,3257,8856,3317,8869,3317,8882,3357,8897,3357,8910,3437,8924,3437,8938,3497,8993,3497,9007,3537,9020,3537,9035,3557,9048,3557,9062,3577,9173,3577,9186,3617,9254,3617,9269,3597,9972,3597,9972,2377xm9392,3597l9310,3597,9324,3617,9379,3617,9392,3597xm9503,3597l9420,3597,9434,3617,9490,3617,9503,3597xm8814,2937l8786,2937,8801,2957,8814,2937xm8497,2477l8483,2597,8497,2497,8500,2497,8497,2477xm8500,2497l8497,2497,8510,2597,8513,2577,8510,2577,8500,2497xm8528,2477l8525,2477,8538,2597,8552,2577,8566,2577,8568,2537,8538,2537,8528,2477xm8525,2457l8510,2577,8513,2577,8525,2477,8528,2477,8525,2457xm8580,2157l8566,2397,8552,2457,8538,2537,8568,2537,8580,2377,9972,2377,9972,2277,8593,2277,8580,2157xm8635,2097l8621,2157,8608,2177,8593,2277,9972,2277,9972,2117,8648,2117,8635,2097xm8663,2057l8648,2117,9972,2117,9972,2077,8676,2077,8663,2057xm8690,2017l8676,2077,9972,2077,9972,2057,8704,2057,8690,2017xm8718,1997l8704,2057,9972,2057,9972,2037,8828,2037,8827,2017,8731,2017,8718,1997xm8924,1937l8910,1977,8869,1977,8856,1997,8842,1997,8828,2037,9972,2037,9972,1957,8938,1957,8924,1937xm8814,1757l8801,1777,8786,1797,8773,1857,8759,1897,8746,1957,8731,2017,8827,2017,8814,1757xm8897,1937l8882,1977,8910,1977,8897,1937xm9972,1777l9048,1777,9035,1817,9020,1817,9007,1837,8980,1837,8965,1877,8952,1917,8938,1957,9972,1957,9972,1837,9007,1837,8993,1817,9972,1817,9972,1777xm9905,1757l9076,1757,9062,1777,9918,1777,9905,1757xm9173,1657l9158,1657,9145,1697,9131,1717,9118,1757,9737,1757,9724,1737,9613,1737,9600,1717,9241,1717,9228,1697,9186,1697,9173,1657xm9834,1737l9751,1737,9737,1757,9847,1757,9834,1737xm9296,1677l9269,1677,9254,1717,9490,1717,9475,1697,9310,1697,9296,1677xm9545,1677l9503,1677,9490,1717,9572,1717,9558,1697,9545,1677xe" filled="true" fillcolor="#9bbb59" stroked="false">
              <v:path arrowok="t"/>
              <v:fill type="solid"/>
            </v:shape>
            <v:shape style="position:absolute;left:6237;top:1029;width:3735;height:2520" coordorigin="6238,1029" coordsize="3735,2520" path="m6238,3189l6238,3529,6251,3549,6431,3549,6444,3529,6500,3529,6514,3309,7303,3309,7308,3229,6306,3229,6293,3209,6251,3209,6238,3189xm6500,3529l6444,3529,6458,3549,6499,3549,6500,3529xm7712,3469l7685,3469,7698,3489,7712,3469xm7739,3449l7657,3449,7670,3469,7712,3469,7726,3489,7739,3449xm7786,3409l7588,3409,7602,3449,7615,3469,7630,3449,7753,3449,7766,3429,7783,3429,7786,3409xm7657,3449l7630,3449,7643,3469,7657,3449xm7783,3429l7766,3429,7781,3449,7783,3429xm7877,3349l7794,3349,7808,3449,7822,3369,7864,3369,7877,3349xm8146,3229l7464,3229,7477,3249,7492,3289,7505,3349,7519,3369,7532,3369,7547,3429,7574,3429,7588,3409,7786,3409,7794,3349,7877,3349,7891,3329,7908,3329,7919,3269,7970,3269,7974,3249,8142,3249,8146,3229xm7849,3369l7822,3369,7836,3389,7849,3369xm6941,3309l6541,3309,6554,3349,6720,3349,6733,3369,6761,3369,6775,3329,6926,3329,6941,3309xm6913,3329l6775,3329,6788,3369,6886,3369,6899,3349,6913,3329xm7303,3309l6941,3309,6954,3329,6968,3329,6982,3369,7120,3369,7133,3349,7300,3349,7303,3309xm7216,3349l7160,3349,7175,3369,7202,3369,7216,3349xm7243,3349l7216,3349,7230,3369,7243,3349xm7271,3349l7243,3349,7258,3369,7271,3349xm7300,3349l7285,3349,7298,3369,7300,3349xm8170,3169l7313,3169,7326,3369,7340,3349,7422,3349,7436,3329,7450,3329,7464,3229,8146,3229,8153,3189,8169,3189,8170,3169xm7908,3329l7891,3329,7904,3349,7908,3329xm8142,3249l7974,3249,7987,3309,8002,3349,8015,3309,8029,3309,8042,3289,8084,3289,8098,3269,8138,3269,8142,3249xm7970,3269l7919,3269,7932,3309,7946,3329,7960,3329,7970,3269xm8125,3269l8098,3269,8111,3289,8125,3269xm6348,3209l6320,3209,6306,3229,6361,3229,6348,3209xm6376,3209l6361,3229,6389,3229,6376,3209xm6499,2869l6486,3209,6403,3209,6389,3229,7308,3229,7313,3169,8170,3169,8176,3069,6803,3069,6788,3049,6623,3049,6610,3029,6554,3029,6546,2989,6514,2989,6499,2869xm8169,3189l8153,3189,8166,3229,8169,3189xm6431,3189l6416,3209,6444,3209,6431,3189xm6995,3049l6816,3049,6803,3069,7009,3069,6995,3049xm7092,3029l7078,3069,8176,3069,8178,3049,7105,3049,7092,3029xm6650,3029l6637,3029,6623,3049,6665,3049,6650,3029xm6720,3029l6692,3029,6678,3049,6733,3049,6720,3029xm6775,3009l6761,3049,6788,3049,6775,3009xm6954,2989l6926,2989,6913,3009,6899,3029,6886,3049,6982,3049,6968,3009,6954,2989xm7160,3029l7147,3049,7175,3049,7160,3029xm7216,3029l7202,3049,7230,3049,7216,3029xm7243,3029l7230,3049,7258,3049,7243,3029xm7285,3029l7271,3049,7298,3049,7285,3029xm7313,2869l7298,3049,7326,3049,7313,2869xm7394,3029l7367,3029,7354,3049,7409,3049,7394,3029xm7477,2869l7464,2909,7450,3009,7422,3009,7409,3049,8178,3049,8180,3009,8187,2989,8002,2989,7992,2949,7505,2949,7492,2909,7477,2869xm6596,3009l6582,3029,6610,3029,6596,3009xm6541,2969l6527,2969,6514,2989,6546,2989,6541,2969xm8015,2929l8002,2989,8187,2989,8194,2969,8195,2949,8029,2949,8015,2929xm7532,2889l7519,2929,7505,2949,7992,2949,7987,2929,7547,2929,7532,2889xm8042,2929l8029,2949,8057,2949,8042,2929xm8098,2889l8084,2909,8070,2929,8057,2949,8195,2949,8196,2929,8111,2929,8098,2889xm7712,2829l7698,2889,7574,2889,7560,2909,7547,2929,7904,2929,7898,2909,7726,2909,7722,2889,7602,2889,7588,2869,7719,2869,7712,2829xm7919,2849l7904,2929,7960,2929,7946,2909,7932,2909,7919,2849xm7974,2849l7960,2929,7987,2929,7974,2849xm8125,2909l8111,2929,8138,2929,8125,2909xm8153,2869l8138,2929,8166,2929,8153,2869xm8249,1029l8236,1189,8221,1909,8208,2029,8194,2489,8180,2689,8166,2929,8196,2929,8208,2709,8255,2709,8263,2649,8276,2649,8291,2589,8304,2489,8318,2429,8332,2429,8346,2289,8365,2289,8374,2189,8401,2189,8414,2009,8442,2009,8429,1729,8426,1669,8359,1669,8346,1569,8291,1569,8276,1429,8263,1269,8249,1029xm7822,2829l7808,2889,7739,2889,7726,2909,7898,2909,7891,2889,7877,2869,7836,2869,7822,2829xm7643,2789l7630,2889,7698,2889,7689,2849,7670,2849,7657,2829,7643,2789xm7766,2869l7753,2889,7781,2889,7766,2869xm7794,2789l7781,2889,7808,2889,7794,2789xm7849,2849l7836,2869,7864,2869,7849,2849xm7685,2829l7670,2849,7689,2849,7685,2829xm8255,2709l8208,2709,8221,2789,8236,2809,8249,2749,8255,2709xm8442,2009l8414,2009,8429,2389,8442,2629,8456,2689,8470,2609,8483,2609,8497,2489,8522,2489,8525,2469,8552,2469,8566,2409,8576,2229,8510,2229,8508,2209,8483,2209,8476,2149,8456,2149,8442,2009xm8522,2489l8497,2489,8510,2589,8522,2489xm8552,2469l8525,2469,8538,2549,8552,2469xm8365,2289l8346,2289,8359,2349,8365,2289xm8621,2149l8580,2149,8593,2289,8608,2189,8621,2149xm8525,2049l8510,2229,8576,2229,8579,2169,8538,2169,8525,2049xm8497,2129l8483,2209,8508,2209,8497,2129xm8580,1769l8566,2009,8552,2089,8538,2169,8579,2169,8580,2149,8621,2149,8635,2089,8653,2089,8663,2049,8683,2049,8690,2009,8713,2009,8718,1989,8741,1989,8746,1969,8759,1909,8593,1909,8580,1769xm8470,2089l8456,2149,8476,2149,8470,2089xm8653,2089l8635,2089,8648,2109,8653,2089xm8683,2049l8663,2049,8676,2089,8683,2049xm8713,2009l8690,2009,8704,2049,8713,2009xm9076,1749l8814,1749,8828,2049,8842,2009,8856,2009,8869,1989,8882,1989,8897,1949,8945,1949,8952,1929,8965,1889,8980,1849,8993,1829,9014,1829,9020,1809,9035,1809,9048,1789,9062,1769,9076,1749xm8741,1989l8718,1989,8731,2029,8741,1989xm8924,1949l8897,1949,8910,1989,8924,1949xm8945,1949l8924,1949,8938,1969,8945,1949xm8635,1729l8621,1789,8608,1809,8593,1909,8759,1909,8773,1849,8786,1809,8676,1809,8671,1769,8648,1769,8635,1729xm9014,1829l8993,1829,9007,1849,9014,1829xm8690,1709l8676,1809,8786,1809,8801,1769,8814,1749,8704,1749,8690,1709xm9972,1689l9545,1689,9558,1709,9572,1729,9600,1729,9613,1749,9847,1749,9862,1769,9918,1769,9928,1789,9972,1789,9972,1689xm8663,1709l8648,1769,8671,1769,8663,1709xm8897,1669l8882,1709,8842,1709,8828,1749,9076,1749,9090,1769,9103,1769,9118,1749,9131,1729,9145,1709,9152,1689,8910,1689,8897,1669xm9751,1749l9724,1749,9737,1769,9751,1749xm8718,1689l8704,1749,8828,1749,8826,1709,8731,1709,8718,1689xm9972,1669l9173,1669,9186,1709,9241,1709,9254,1729,9269,1689,9972,1689,9972,1669xm9503,1689l9296,1689,9310,1709,9475,1709,9490,1729,9503,1689xm8814,1469l8801,1469,8786,1509,8773,1549,8759,1589,8746,1649,8731,1709,8826,1709,8814,1469xm8924,1649l8910,1689,8938,1689,8924,1649xm8993,1549l8980,1569,8965,1629,8952,1669,8938,1689,9152,1689,9158,1669,9972,1669,9972,1589,9007,1589,8993,1549xm8414,1369l8401,1549,8374,1549,8359,1669,8426,1669,8414,1369xm9048,1529l9035,1569,9020,1569,9007,1589,9972,1589,9972,1549,9062,1549,9048,1529xm8304,1309l8291,1569,8346,1569,8343,1529,8318,1529,8304,1309xm9076,1529l9062,1549,9090,1549,9076,1529xm9173,1429l9158,1429,9145,1469,9131,1509,9118,1549,9972,1549,9972,1529,9930,1529,9917,1509,9737,1509,9724,1489,9626,1489,9613,1469,9186,1469,9173,1429xm8332,1349l8318,1529,8343,1529,8332,1349xm9958,1489l9944,1489,9930,1529,9972,1529,9972,1509,9958,1489xm9834,1469l9751,1469,9737,1509,9862,1509,9847,1489,9834,1469xm9600,1449l9200,1449,9186,1469,9613,1469,9600,1449xm9558,1429l9241,1429,9228,1449,9572,1449,9558,1429xm9296,1409l9269,1409,9254,1429,9310,1429,9296,1409xm9407,1409l9392,1409,9379,1429,9420,1429,9407,1409xm9517,1409l9503,1409,9490,1429,9530,1429,9517,1409xe" filled="true" fillcolor="#8064a2" stroked="false">
              <v:path arrowok="t"/>
              <v:fill type="solid"/>
            </v:shape>
            <v:line style="position:absolute" from="9979,943" to="9979,3800" stroked="true" strokeweight=".65997pt" strokecolor="#000000">
              <v:stroke dashstyle="solid"/>
            </v:line>
            <v:rect style="position:absolute;left:9921;top:3792;width:57;height:15" filled="true" fillcolor="#000000" stroked="false">
              <v:fill type="solid"/>
            </v:rect>
            <v:rect style="position:absolute;left:9921;top:3318;width:57;height:15" filled="true" fillcolor="#000000" stroked="false">
              <v:fill type="solid"/>
            </v:rect>
            <v:rect style="position:absolute;left:9921;top:2844;width:57;height:15" filled="true" fillcolor="#000000" stroked="false">
              <v:fill type="solid"/>
            </v:rect>
            <v:rect style="position:absolute;left:9921;top:2370;width:57;height:15" filled="true" fillcolor="#000000" stroked="false">
              <v:fill type="solid"/>
            </v:rect>
            <v:rect style="position:absolute;left:9921;top:1882;width:57;height:15" filled="true" fillcolor="#000000" stroked="false">
              <v:fill type="solid"/>
            </v:rect>
            <v:rect style="position:absolute;left:9921;top:1409;width:57;height:15" filled="true" fillcolor="#000000" stroked="false">
              <v:fill type="solid"/>
            </v:rect>
            <v:rect style="position:absolute;left:9921;top:935;width:57;height:15" filled="true" fillcolor="#000000" stroked="false">
              <v:fill type="solid"/>
            </v:rect>
            <v:line style="position:absolute" from="6245,3800" to="9978,3800" stroked="true" strokeweight=".72pt" strokecolor="#000000">
              <v:stroke dashstyle="solid"/>
            </v:line>
            <v:rect style="position:absolute;left:6237;top:3799;width:15;height:44" filled="true" fillcolor="#000000" stroked="false">
              <v:fill type="solid"/>
            </v:rect>
            <v:rect style="position:absolute;left:6955;top:3799;width:15;height:44" filled="true" fillcolor="#000000" stroked="false">
              <v:fill type="solid"/>
            </v:rect>
            <v:rect style="position:absolute;left:7674;top:3799;width:15;height:44" filled="true" fillcolor="#000000" stroked="false">
              <v:fill type="solid"/>
            </v:rect>
            <v:rect style="position:absolute;left:8391;top:3799;width:15;height:44" filled="true" fillcolor="#000000" stroked="false">
              <v:fill type="solid"/>
            </v:rect>
            <v:rect style="position:absolute;left:9109;top:3799;width:15;height:44" filled="true" fillcolor="#000000" stroked="false">
              <v:fill type="solid"/>
            </v:rect>
            <v:rect style="position:absolute;left:9828;top:3799;width:15;height:44" filled="true" fillcolor="#000000" stroked="false">
              <v:fill type="solid"/>
            </v:rect>
            <v:rect style="position:absolute;left:6466;top:1164;width:87;height:87" filled="true" fillcolor="#4f81bd" stroked="false">
              <v:fill type="solid"/>
            </v:rect>
            <v:rect style="position:absolute;left:6466;top:1609;width:87;height:87" filled="true" fillcolor="#c0504d" stroked="false">
              <v:fill type="solid"/>
            </v:rect>
            <v:rect style="position:absolute;left:6466;top:2069;width:87;height:72" filled="true" fillcolor="#9bbb59" stroked="false">
              <v:fill type="solid"/>
            </v:rect>
            <v:rect style="position:absolute;left:6466;top:2514;width:87;height:87" filled="true" fillcolor="#8064a2" stroked="false">
              <v:fill type="solid"/>
            </v:rect>
            <v:shape style="position:absolute;left:5907;top:519;width:4624;height:3762" coordorigin="5908,519" coordsize="4624,3762" path="m10529,519l5910,519,5908,521,5908,4277,5910,4281,10529,4281,10531,4277,10531,4274,5922,4274,5915,4267,5922,4267,5922,533,5915,533,5922,526,10531,526,10531,521,10529,519xm5922,4267l5915,4267,5922,4274,5922,4267xm10517,4267l5922,4267,5922,4274,10517,4274,10517,4267xm10517,526l10517,4274,10524,4267,10531,4267,10531,533,10524,533,10517,526xm10531,4267l10524,4267,10517,4274,10531,4274,10531,4267xm5922,526l5915,533,5922,533,5922,526xm10517,526l5922,526,5922,533,10517,533,10517,526xm10531,526l10517,526,10524,533,10531,533,10531,526xe" filled="true" fillcolor="#ffffff" stroked="false">
              <v:path arrowok="t"/>
              <v:fill type="solid"/>
            </v:shape>
            <v:shape style="position:absolute;left:9598;top:695;width:821;height:350" type="#_x0000_t202" filled="false" stroked="false">
              <v:textbox inset="0,0,0,0">
                <w:txbxContent>
                  <w:p>
                    <w:pPr>
                      <w:spacing w:line="175" w:lineRule="exact" w:before="0"/>
                      <w:ind w:left="0" w:right="0" w:firstLine="0"/>
                      <w:jc w:val="left"/>
                      <w:rPr>
                        <w:rFonts w:ascii="Calibri" w:hAnsi="Calibri"/>
                        <w:sz w:val="17"/>
                      </w:rPr>
                    </w:pPr>
                    <w:r>
                      <w:rPr>
                        <w:rFonts w:ascii="Calibri" w:hAnsi="Calibri"/>
                        <w:sz w:val="17"/>
                      </w:rPr>
                      <w:t>£ billions</w:t>
                    </w:r>
                  </w:p>
                  <w:p>
                    <w:pPr>
                      <w:spacing w:before="1"/>
                      <w:ind w:left="541" w:right="0" w:firstLine="0"/>
                      <w:jc w:val="left"/>
                      <w:rPr>
                        <w:sz w:val="15"/>
                      </w:rPr>
                    </w:pPr>
                    <w:r>
                      <w:rPr>
                        <w:w w:val="105"/>
                        <w:sz w:val="15"/>
                      </w:rPr>
                      <w:t>300</w:t>
                    </w:r>
                  </w:p>
                </w:txbxContent>
              </v:textbox>
              <w10:wrap type="none"/>
            </v:shape>
            <v:shape style="position:absolute;left:6595;top:1130;width:1233;height:177" type="#_x0000_t202" filled="false" stroked="false">
              <v:textbox inset="0,0,0,0">
                <w:txbxContent>
                  <w:p>
                    <w:pPr>
                      <w:spacing w:before="2"/>
                      <w:ind w:left="0" w:right="0" w:firstLine="0"/>
                      <w:jc w:val="left"/>
                      <w:rPr>
                        <w:sz w:val="15"/>
                      </w:rPr>
                    </w:pPr>
                    <w:r>
                      <w:rPr>
                        <w:w w:val="105"/>
                        <w:sz w:val="15"/>
                      </w:rPr>
                      <w:t>Long-term repos</w:t>
                    </w:r>
                  </w:p>
                </w:txbxContent>
              </v:textbox>
              <w10:wrap type="none"/>
            </v:shape>
            <v:shape style="position:absolute;left:10140;top:1344;width:280;height:177" type="#_x0000_t202" filled="false" stroked="false">
              <v:textbox inset="0,0,0,0">
                <w:txbxContent>
                  <w:p>
                    <w:pPr>
                      <w:spacing w:before="2"/>
                      <w:ind w:left="0" w:right="0" w:firstLine="0"/>
                      <w:jc w:val="left"/>
                      <w:rPr>
                        <w:sz w:val="15"/>
                      </w:rPr>
                    </w:pPr>
                    <w:r>
                      <w:rPr>
                        <w:w w:val="105"/>
                        <w:sz w:val="15"/>
                      </w:rPr>
                      <w:t>250</w:t>
                    </w:r>
                  </w:p>
                </w:txbxContent>
              </v:textbox>
              <w10:wrap type="none"/>
            </v:shape>
            <v:shape style="position:absolute;left:6595;top:1582;width:1248;height:177" type="#_x0000_t202" filled="false" stroked="false">
              <v:textbox inset="0,0,0,0">
                <w:txbxContent>
                  <w:p>
                    <w:pPr>
                      <w:spacing w:before="2"/>
                      <w:ind w:left="0" w:right="0" w:firstLine="0"/>
                      <w:jc w:val="left"/>
                      <w:rPr>
                        <w:sz w:val="15"/>
                      </w:rPr>
                    </w:pPr>
                    <w:r>
                      <w:rPr>
                        <w:w w:val="105"/>
                        <w:sz w:val="15"/>
                      </w:rPr>
                      <w:t>Short-term repos</w:t>
                    </w:r>
                  </w:p>
                </w:txbxContent>
              </v:textbox>
              <w10:wrap type="none"/>
            </v:shape>
            <v:shape style="position:absolute;left:10140;top:1820;width:280;height:177" type="#_x0000_t202" filled="false" stroked="false">
              <v:textbox inset="0,0,0,0">
                <w:txbxContent>
                  <w:p>
                    <w:pPr>
                      <w:spacing w:before="2"/>
                      <w:ind w:left="0" w:right="0" w:firstLine="0"/>
                      <w:jc w:val="left"/>
                      <w:rPr>
                        <w:sz w:val="15"/>
                      </w:rPr>
                    </w:pPr>
                    <w:r>
                      <w:rPr>
                        <w:w w:val="105"/>
                        <w:sz w:val="15"/>
                      </w:rPr>
                      <w:t>200</w:t>
                    </w:r>
                  </w:p>
                </w:txbxContent>
              </v:textbox>
              <w10:wrap type="none"/>
            </v:shape>
            <v:shape style="position:absolute;left:6595;top:2033;width:892;height:177" type="#_x0000_t202" filled="false" stroked="false">
              <v:textbox inset="0,0,0,0">
                <w:txbxContent>
                  <w:p>
                    <w:pPr>
                      <w:spacing w:before="2"/>
                      <w:ind w:left="0" w:right="0" w:firstLine="0"/>
                      <w:jc w:val="left"/>
                      <w:rPr>
                        <w:sz w:val="15"/>
                      </w:rPr>
                    </w:pPr>
                    <w:r>
                      <w:rPr>
                        <w:w w:val="105"/>
                        <w:sz w:val="15"/>
                      </w:rPr>
                      <w:t>Loan to APF</w:t>
                    </w:r>
                  </w:p>
                </w:txbxContent>
              </v:textbox>
              <w10:wrap type="none"/>
            </v:shape>
            <v:shape style="position:absolute;left:10140;top:2296;width:280;height:177" type="#_x0000_t202" filled="false" stroked="false">
              <v:textbox inset="0,0,0,0">
                <w:txbxContent>
                  <w:p>
                    <w:pPr>
                      <w:spacing w:before="2"/>
                      <w:ind w:left="0" w:right="0" w:firstLine="0"/>
                      <w:jc w:val="left"/>
                      <w:rPr>
                        <w:sz w:val="15"/>
                      </w:rPr>
                    </w:pPr>
                    <w:r>
                      <w:rPr>
                        <w:w w:val="105"/>
                        <w:sz w:val="15"/>
                      </w:rPr>
                      <w:t>150</w:t>
                    </w:r>
                  </w:p>
                </w:txbxContent>
              </v:textbox>
              <w10:wrap type="none"/>
            </v:shape>
            <v:shape style="position:absolute;left:6595;top:2484;width:932;height:177" type="#_x0000_t202" filled="false" stroked="false">
              <v:textbox inset="0,0,0,0">
                <w:txbxContent>
                  <w:p>
                    <w:pPr>
                      <w:spacing w:before="2"/>
                      <w:ind w:left="0" w:right="0" w:firstLine="0"/>
                      <w:jc w:val="left"/>
                      <w:rPr>
                        <w:sz w:val="15"/>
                      </w:rPr>
                    </w:pPr>
                    <w:r>
                      <w:rPr>
                        <w:w w:val="105"/>
                        <w:sz w:val="15"/>
                      </w:rPr>
                      <w:t>Other assets</w:t>
                    </w:r>
                  </w:p>
                </w:txbxContent>
              </v:textbox>
              <w10:wrap type="none"/>
            </v:shape>
            <v:shape style="position:absolute;left:10135;top:2771;width:284;height:1127" type="#_x0000_t202" filled="false" stroked="false">
              <v:textbox inset="0,0,0,0">
                <w:txbxContent>
                  <w:p>
                    <w:pPr>
                      <w:spacing w:before="2"/>
                      <w:ind w:left="4" w:right="0" w:firstLine="0"/>
                      <w:jc w:val="left"/>
                      <w:rPr>
                        <w:sz w:val="15"/>
                      </w:rPr>
                    </w:pPr>
                    <w:r>
                      <w:rPr>
                        <w:w w:val="105"/>
                        <w:sz w:val="15"/>
                      </w:rPr>
                      <w:t>100</w:t>
                    </w:r>
                  </w:p>
                  <w:p>
                    <w:pPr>
                      <w:spacing w:line="240" w:lineRule="auto" w:before="4"/>
                      <w:rPr>
                        <w:sz w:val="26"/>
                      </w:rPr>
                    </w:pPr>
                  </w:p>
                  <w:p>
                    <w:pPr>
                      <w:spacing w:before="0"/>
                      <w:ind w:left="2" w:right="0" w:firstLine="0"/>
                      <w:jc w:val="left"/>
                      <w:rPr>
                        <w:sz w:val="15"/>
                      </w:rPr>
                    </w:pPr>
                    <w:r>
                      <w:rPr>
                        <w:w w:val="105"/>
                        <w:sz w:val="15"/>
                      </w:rPr>
                      <w:t>50</w:t>
                    </w:r>
                  </w:p>
                  <w:p>
                    <w:pPr>
                      <w:spacing w:line="240" w:lineRule="auto" w:before="3"/>
                      <w:rPr>
                        <w:sz w:val="26"/>
                      </w:rPr>
                    </w:pPr>
                  </w:p>
                  <w:p>
                    <w:pPr>
                      <w:spacing w:before="0"/>
                      <w:ind w:left="0" w:right="0" w:firstLine="0"/>
                      <w:jc w:val="left"/>
                      <w:rPr>
                        <w:sz w:val="15"/>
                      </w:rPr>
                    </w:pPr>
                    <w:r>
                      <w:rPr>
                        <w:w w:val="105"/>
                        <w:sz w:val="15"/>
                      </w:rPr>
                      <w:t>0</w:t>
                    </w:r>
                  </w:p>
                </w:txbxContent>
              </v:textbox>
              <w10:wrap type="none"/>
            </v:shape>
            <v:shape style="position:absolute;left:6067;top:3983;width:3956;height:177" type="#_x0000_t202" filled="false" stroked="false">
              <v:textbox inset="0,0,0,0">
                <w:txbxContent>
                  <w:p>
                    <w:pPr>
                      <w:tabs>
                        <w:tab w:pos="717" w:val="left" w:leader="none"/>
                        <w:tab w:pos="1434" w:val="left" w:leader="none"/>
                        <w:tab w:pos="2154" w:val="left" w:leader="none"/>
                        <w:tab w:pos="2872" w:val="left" w:leader="none"/>
                        <w:tab w:pos="3589" w:val="left" w:leader="none"/>
                      </w:tabs>
                      <w:spacing w:before="2"/>
                      <w:ind w:left="0" w:right="0" w:firstLine="0"/>
                      <w:jc w:val="left"/>
                      <w:rPr>
                        <w:sz w:val="15"/>
                      </w:rPr>
                    </w:pPr>
                    <w:r>
                      <w:rPr>
                        <w:w w:val="105"/>
                        <w:sz w:val="15"/>
                      </w:rPr>
                      <w:t>2006</w:t>
                      <w:tab/>
                      <w:t>2007</w:t>
                      <w:tab/>
                      <w:t>2008</w:t>
                      <w:tab/>
                      <w:t>2009</w:t>
                      <w:tab/>
                      <w:t>2010</w:t>
                      <w:tab/>
                      <w:t>2011</w:t>
                    </w:r>
                  </w:p>
                </w:txbxContent>
              </v:textbox>
              <w10:wrap type="none"/>
            </v:shape>
            <w10:wrap type="topAndBottom"/>
          </v:group>
        </w:pict>
      </w:r>
      <w:r>
        <w:rPr/>
        <w:t>Chart</w:t>
      </w:r>
      <w:r>
        <w:rPr>
          <w:spacing w:val="-4"/>
        </w:rPr>
        <w:t> </w:t>
      </w:r>
      <w:r>
        <w:rPr/>
        <w:t>1:</w:t>
      </w:r>
      <w:r>
        <w:rPr>
          <w:spacing w:val="-5"/>
        </w:rPr>
        <w:t> </w:t>
      </w:r>
      <w:r>
        <w:rPr/>
        <w:t>Liabilities</w:t>
        <w:tab/>
        <w:t>Chart 2:</w:t>
      </w:r>
      <w:r>
        <w:rPr>
          <w:spacing w:val="-2"/>
        </w:rPr>
        <w:t> </w:t>
      </w:r>
      <w:r>
        <w:rPr/>
        <w:t>Assets</w:t>
      </w:r>
    </w:p>
    <w:p>
      <w:pPr>
        <w:pStyle w:val="ListParagraph"/>
        <w:numPr>
          <w:ilvl w:val="0"/>
          <w:numId w:val="2"/>
        </w:numPr>
        <w:tabs>
          <w:tab w:pos="1021" w:val="left" w:leader="none"/>
        </w:tabs>
        <w:spacing w:line="240" w:lineRule="auto" w:before="90" w:after="0"/>
        <w:ind w:left="1020" w:right="0" w:hanging="361"/>
        <w:jc w:val="left"/>
        <w:rPr>
          <w:sz w:val="20"/>
        </w:rPr>
      </w:pPr>
      <w:r>
        <w:rPr>
          <w:sz w:val="16"/>
        </w:rPr>
        <w:t>Weekly data to 16 March</w:t>
      </w:r>
      <w:r>
        <w:rPr>
          <w:spacing w:val="-3"/>
          <w:sz w:val="16"/>
        </w:rPr>
        <w:t> </w:t>
      </w:r>
      <w:r>
        <w:rPr>
          <w:sz w:val="16"/>
        </w:rPr>
        <w:t>2011</w:t>
      </w:r>
      <w:r>
        <w:rPr>
          <w:sz w:val="20"/>
        </w:rPr>
        <w:t>.</w:t>
      </w:r>
    </w:p>
    <w:p>
      <w:pPr>
        <w:pStyle w:val="BodyText"/>
        <w:rPr>
          <w:sz w:val="22"/>
        </w:rPr>
      </w:pPr>
    </w:p>
    <w:p>
      <w:pPr>
        <w:pStyle w:val="BodyText"/>
        <w:spacing w:before="1"/>
        <w:rPr>
          <w:sz w:val="18"/>
        </w:rPr>
      </w:pPr>
    </w:p>
    <w:p>
      <w:pPr>
        <w:pStyle w:val="Heading2"/>
        <w:spacing w:before="1"/>
      </w:pPr>
      <w:r>
        <w:rPr/>
        <w:t>The Sterling Monetary Framework: setting interest rates</w:t>
      </w:r>
    </w:p>
    <w:p>
      <w:pPr>
        <w:pStyle w:val="BodyText"/>
        <w:rPr>
          <w:b/>
          <w:sz w:val="22"/>
        </w:rPr>
      </w:pPr>
    </w:p>
    <w:p>
      <w:pPr>
        <w:pStyle w:val="BodyText"/>
        <w:spacing w:before="10"/>
        <w:rPr>
          <w:b/>
          <w:sz w:val="17"/>
        </w:rPr>
      </w:pPr>
    </w:p>
    <w:p>
      <w:pPr>
        <w:pStyle w:val="BodyText"/>
        <w:spacing w:line="360" w:lineRule="auto"/>
        <w:ind w:left="234" w:right="1031"/>
      </w:pPr>
      <w:r>
        <w:rPr/>
        <w:t>The Bank’s operations are designed to support both monetary and financial stability objectives. Together they make up the Sterling Monetary Framework (SMF) which is outlined in a document known as the ‘Red Book’</w:t>
      </w:r>
      <w:r>
        <w:rPr>
          <w:vertAlign w:val="superscript"/>
        </w:rPr>
        <w:t>5</w:t>
      </w:r>
      <w:r>
        <w:rPr>
          <w:vertAlign w:val="baseline"/>
        </w:rPr>
        <w:t>. In normal times, the SMF operates a system known as “reserves averaging”. Under that system, commercial banks are required to hold an average level of reserves over the ‘maintenance period’ running between one MPC decision and the next. Until the start of the financial crisis, similar reserves averaging mechanisms were employed at the US Federal Reserve, the European Central Bank and the Bank of Japan. But uniquely in the UK system, the target level of reserves for each bank is chosen by the individual firm. If they hit their target on average (and subject to a small tolerance range around that), they earn Bank Rate on their reserves balance. By contrast, any excess or deficiency incurs a significant charge and banks are thus incentivised to meet their chosen targets.</w:t>
      </w:r>
    </w:p>
    <w:p>
      <w:pPr>
        <w:pStyle w:val="BodyText"/>
      </w:pPr>
    </w:p>
    <w:p>
      <w:pPr>
        <w:pStyle w:val="BodyText"/>
      </w:pPr>
    </w:p>
    <w:p>
      <w:pPr>
        <w:pStyle w:val="BodyText"/>
        <w:spacing w:before="5"/>
        <w:rPr>
          <w:sz w:val="26"/>
        </w:rPr>
      </w:pPr>
      <w:r>
        <w:rPr/>
        <w:pict>
          <v:shape style="position:absolute;margin-left:56.700001pt;margin-top:17.427422pt;width:144pt;height:.1pt;mso-position-horizontal-relative:page;mso-position-vertical-relative:paragraph;z-index:-251639808;mso-wrap-distance-left:0;mso-wrap-distance-right:0" coordorigin="1134,349" coordsize="2880,0" path="m1134,349l4014,349e" filled="false" stroked="true" strokeweight=".47998pt" strokecolor="#000000">
            <v:path arrowok="t"/>
            <v:stroke dashstyle="solid"/>
            <w10:wrap type="topAndBottom"/>
          </v:shape>
        </w:pict>
      </w:r>
    </w:p>
    <w:p>
      <w:pPr>
        <w:spacing w:before="31"/>
        <w:ind w:left="234" w:right="0" w:firstLine="0"/>
        <w:jc w:val="left"/>
        <w:rPr>
          <w:sz w:val="16"/>
        </w:rPr>
      </w:pPr>
      <w:r>
        <w:rPr>
          <w:position w:val="8"/>
          <w:sz w:val="10"/>
        </w:rPr>
        <w:t>5 </w:t>
      </w:r>
      <w:hyperlink r:id="rId9">
        <w:r>
          <w:rPr>
            <w:color w:val="0000FF"/>
            <w:sz w:val="16"/>
            <w:u w:val="single" w:color="0000FF"/>
          </w:rPr>
          <w:t>http://www.bankofengland.co.uk/markets/money/publications/redbookdec10.pdf</w:t>
        </w:r>
        <w:r>
          <w:rPr>
            <w:sz w:val="16"/>
          </w:rPr>
          <w:t>.</w:t>
        </w:r>
      </w:hyperlink>
    </w:p>
    <w:p>
      <w:pPr>
        <w:spacing w:after="0"/>
        <w:jc w:val="left"/>
        <w:rPr>
          <w:sz w:val="16"/>
        </w:rPr>
        <w:sectPr>
          <w:footerReference w:type="default" r:id="rId8"/>
          <w:pgSz w:w="11900" w:h="16840"/>
          <w:pgMar w:footer="1340" w:header="0" w:top="1540" w:bottom="1540" w:left="900" w:right="120"/>
        </w:sectPr>
      </w:pPr>
    </w:p>
    <w:p>
      <w:pPr>
        <w:pStyle w:val="BodyText"/>
        <w:spacing w:line="360" w:lineRule="auto" w:before="76"/>
        <w:ind w:left="233" w:right="1208"/>
      </w:pPr>
      <w:r>
        <w:rPr/>
        <w:t>In order that it is possible for every bank to hit its individual target – and hence for the system to hit the implied collective target – the Bank calculates the aggregate demand for reserves across the commercial banks and then ensures that the aggregate amount of sterling in the system is exactly consistent with that collective target. It does that by offering, via short-term Open Market Operations (OMOs), exactly the right amount of sterling lending (against high quality liquid collateral).</w:t>
      </w:r>
      <w:r>
        <w:rPr>
          <w:vertAlign w:val="superscript"/>
        </w:rPr>
        <w:t>6</w:t>
      </w:r>
    </w:p>
    <w:p>
      <w:pPr>
        <w:pStyle w:val="BodyText"/>
        <w:rPr>
          <w:sz w:val="30"/>
        </w:rPr>
      </w:pPr>
    </w:p>
    <w:p>
      <w:pPr>
        <w:pStyle w:val="BodyText"/>
        <w:spacing w:line="360" w:lineRule="auto"/>
        <w:ind w:left="234" w:right="1010"/>
      </w:pPr>
      <w:r>
        <w:rPr/>
        <w:t>Commercial banks can ensure they meet their </w:t>
      </w:r>
      <w:r>
        <w:rPr>
          <w:u w:val="single"/>
        </w:rPr>
        <w:t>individual</w:t>
      </w:r>
      <w:r>
        <w:rPr/>
        <w:t> reserves target by transacting with each other in the market. This should distribute the reserves around the system such that no bank falls short or exceeds its own target. Alternatively, in the event of an unexpected operational disruption or exceptional volatility in overnight market interest rates, SMF member banks can borrow from, or lend to the Bank of England via the Operational Standing Facilities (OSFs). The rates charged/paid on the OSF lending/deposit facility are less attractive than Bank Rate, so as to discourage regular usage. But they are more attractive than the penalty associated with missing a reserves target outright. As a result, the OSF deposit and lending rates should impose a corridor around Bank Rate. By providing a floor and cap, this corridor should ensure that reserve account holders never need to transact in the market at a rate very different from Bank Rate.</w:t>
      </w:r>
    </w:p>
    <w:p>
      <w:pPr>
        <w:pStyle w:val="BodyText"/>
        <w:rPr>
          <w:sz w:val="30"/>
        </w:rPr>
      </w:pPr>
    </w:p>
    <w:p>
      <w:pPr>
        <w:pStyle w:val="BodyText"/>
        <w:spacing w:line="360" w:lineRule="auto"/>
        <w:ind w:left="234" w:right="1032"/>
      </w:pPr>
      <w:r>
        <w:rPr/>
        <w:t>Chart 3 illustrates a stylised demand curve for reserves, and shows how the OSFs provide a corridor around Bank Rate. The demand curve is dictated by the scarcity value of reserves - if a bank is short reserves, it will bid in the money market to attract them. But it should not bid higher than the lending facility rate, which provides a cap on the market rate. As it gets closer to being within its tolerance range, a bank will be less willing to bid up to attract reserves.  If a bank has excess reserves, it should be willing to lend in the interbank market at less than Bank Rate in order to shed them. But it will not lend below the deposit facility rate, which provides an effective market rate</w:t>
      </w:r>
      <w:r>
        <w:rPr>
          <w:spacing w:val="-10"/>
        </w:rPr>
        <w:t> </w:t>
      </w:r>
      <w:r>
        <w:rPr/>
        <w:t>floor.</w:t>
      </w:r>
    </w:p>
    <w:p>
      <w:pPr>
        <w:pStyle w:val="BodyText"/>
        <w:spacing w:before="138"/>
        <w:ind w:left="2390"/>
      </w:pPr>
      <w:r>
        <w:rPr/>
        <w:t>Chart 3: Stylised demand for reserves in the corridor system</w:t>
      </w:r>
    </w:p>
    <w:p>
      <w:pPr>
        <w:pStyle w:val="BodyText"/>
        <w:spacing w:before="3"/>
      </w:pPr>
      <w:r>
        <w:rPr/>
        <w:drawing>
          <wp:anchor distT="0" distB="0" distL="0" distR="0" allowOverlap="1" layoutInCell="1" locked="0" behindDoc="0" simplePos="0" relativeHeight="19">
            <wp:simplePos x="0" y="0"/>
            <wp:positionH relativeFrom="page">
              <wp:posOffset>2237994</wp:posOffset>
            </wp:positionH>
            <wp:positionV relativeFrom="paragraph">
              <wp:posOffset>172722</wp:posOffset>
            </wp:positionV>
            <wp:extent cx="2879479" cy="2523744"/>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11" cstate="print"/>
                    <a:stretch>
                      <a:fillRect/>
                    </a:stretch>
                  </pic:blipFill>
                  <pic:spPr>
                    <a:xfrm>
                      <a:off x="0" y="0"/>
                      <a:ext cx="2879479" cy="2523744"/>
                    </a:xfrm>
                    <a:prstGeom prst="rect">
                      <a:avLst/>
                    </a:prstGeom>
                  </pic:spPr>
                </pic:pic>
              </a:graphicData>
            </a:graphic>
          </wp:anchor>
        </w:drawing>
      </w:r>
    </w:p>
    <w:p>
      <w:pPr>
        <w:pStyle w:val="BodyText"/>
      </w:pPr>
    </w:p>
    <w:p>
      <w:pPr>
        <w:pStyle w:val="BodyText"/>
        <w:spacing w:before="3"/>
        <w:rPr>
          <w:sz w:val="25"/>
        </w:rPr>
      </w:pPr>
      <w:r>
        <w:rPr/>
        <w:pict>
          <v:shape style="position:absolute;margin-left:56.700001pt;margin-top:16.755436pt;width:144pt;height:.1pt;mso-position-horizontal-relative:page;mso-position-vertical-relative:paragraph;z-index:-251637760;mso-wrap-distance-left:0;mso-wrap-distance-right:0" coordorigin="1134,335" coordsize="2880,0" path="m1134,335l4014,335e" filled="false" stroked="true" strokeweight=".48001pt" strokecolor="#000000">
            <v:path arrowok="t"/>
            <v:stroke dashstyle="solid"/>
            <w10:wrap type="topAndBottom"/>
          </v:shape>
        </w:pict>
      </w:r>
    </w:p>
    <w:p>
      <w:pPr>
        <w:spacing w:before="32"/>
        <w:ind w:left="233" w:right="1037" w:firstLine="0"/>
        <w:jc w:val="left"/>
        <w:rPr>
          <w:sz w:val="16"/>
        </w:rPr>
      </w:pPr>
      <w:r>
        <w:rPr>
          <w:position w:val="8"/>
          <w:sz w:val="10"/>
        </w:rPr>
        <w:t>6 </w:t>
      </w:r>
      <w:r>
        <w:rPr>
          <w:sz w:val="16"/>
        </w:rPr>
        <w:t>If the system as a whole already has excess reserves (relative to the commercial banks’ collective target), the Bank can drain reserves by issuing short-term Bank of England bills.</w:t>
      </w:r>
    </w:p>
    <w:p>
      <w:pPr>
        <w:spacing w:after="0"/>
        <w:jc w:val="left"/>
        <w:rPr>
          <w:sz w:val="16"/>
        </w:rPr>
        <w:sectPr>
          <w:footerReference w:type="default" r:id="rId10"/>
          <w:pgSz w:w="11900" w:h="16840"/>
          <w:pgMar w:footer="1340" w:header="0" w:top="1540" w:bottom="1540" w:left="900" w:right="120"/>
        </w:sectPr>
      </w:pPr>
    </w:p>
    <w:p>
      <w:pPr>
        <w:pStyle w:val="BodyText"/>
        <w:spacing w:line="360" w:lineRule="auto" w:before="76"/>
        <w:ind w:left="233" w:right="1099"/>
      </w:pPr>
      <w:r>
        <w:rPr/>
        <w:t>Within the tolerance range around its reserves target, a bank has no incentive to pay more than Bank Rate for an additional unit of reserves, or to charge less than Bank Rate for lending an additional unit of reserves, and the demand curve is relatively flat. The length of the flat portion of the curve depends on the size of the tolerance range set by the Bank. If the tolerance range is very small, market interest rates will be relatively sensitive to variations in the supply of reserves. That is because small variations in supply could potentially move banks into using the deposit or lending facility. If the tolerance range is very wide then banks have little or no incentive to distribute reserves around the market to meet their targets precisely.</w:t>
      </w:r>
    </w:p>
    <w:p>
      <w:pPr>
        <w:pStyle w:val="BodyText"/>
        <w:spacing w:before="1"/>
        <w:rPr>
          <w:sz w:val="30"/>
        </w:rPr>
      </w:pPr>
    </w:p>
    <w:p>
      <w:pPr>
        <w:pStyle w:val="Heading2"/>
        <w:ind w:left="233"/>
      </w:pPr>
      <w:r>
        <w:rPr/>
        <w:t>Alternative frameworks for setting interest rates</w:t>
      </w:r>
    </w:p>
    <w:p>
      <w:pPr>
        <w:pStyle w:val="BodyText"/>
        <w:rPr>
          <w:b/>
          <w:sz w:val="22"/>
        </w:rPr>
      </w:pPr>
    </w:p>
    <w:p>
      <w:pPr>
        <w:pStyle w:val="BodyText"/>
        <w:spacing w:before="10"/>
        <w:rPr>
          <w:b/>
          <w:sz w:val="17"/>
        </w:rPr>
      </w:pPr>
    </w:p>
    <w:p>
      <w:pPr>
        <w:pStyle w:val="BodyText"/>
        <w:spacing w:line="360" w:lineRule="auto" w:before="1"/>
        <w:ind w:left="233" w:right="1052" w:hanging="1"/>
      </w:pPr>
      <w:r>
        <w:rPr/>
        <w:t>This system of reserves targets is just one of a number of systems that would be used to implement the policy rate. Indeed, as a system for influencing market rates, these arrangements could be seen as overly complicated. Since March 2009, when the Bank embarked on its asset purchase program known as QE, we have been implementing Bank Rate in a rather simpler fashion. The Bank’s asset purchases were financed by creating additional central bank reserves. As a consequence, the stock of reserves increased and exceeded the level the banks would have needed to hit the targets they would have chosen voluntarily.</w:t>
      </w:r>
    </w:p>
    <w:p>
      <w:pPr>
        <w:pStyle w:val="BodyText"/>
        <w:spacing w:line="360" w:lineRule="auto"/>
        <w:ind w:left="233" w:right="1021"/>
      </w:pPr>
      <w:r>
        <w:rPr/>
        <w:t>Because banks then had no control over the rate of expansion of reserves, the system of reserves averaging was suspended. Banks were instead remunerated at Bank Rate on </w:t>
      </w:r>
      <w:r>
        <w:rPr>
          <w:u w:val="single"/>
        </w:rPr>
        <w:t>any</w:t>
      </w:r>
      <w:r>
        <w:rPr/>
        <w:t> level of reserves.</w:t>
      </w:r>
      <w:r>
        <w:rPr>
          <w:vertAlign w:val="superscript"/>
        </w:rPr>
        <w:t>7</w:t>
      </w:r>
      <w:r>
        <w:rPr>
          <w:vertAlign w:val="baseline"/>
        </w:rPr>
        <w:t> That means that there is no incentive for any commercial bank to lend in the market at less than Bank Rate. As a result, the current system should set a ‘floor’ on money market rates, at Bank Rate (Chart 4). Similar mechanisms are currently employed by the Federal Reserve in the US, and the Swedish Riksbank.</w:t>
      </w:r>
    </w:p>
    <w:p>
      <w:pPr>
        <w:pStyle w:val="BodyText"/>
        <w:rPr>
          <w:sz w:val="30"/>
        </w:rPr>
      </w:pPr>
    </w:p>
    <w:p>
      <w:pPr>
        <w:pStyle w:val="BodyText"/>
        <w:spacing w:line="360" w:lineRule="auto"/>
        <w:ind w:left="233" w:right="1052"/>
      </w:pPr>
      <w:r>
        <w:rPr/>
        <w:t>In principle, banks could have continued to set monthly targets and – to the extent that the MPC’s asset purchases supplied reserves in excess of these targets – the Bank could have borrowed them back through OMOs. But the Bank judged it better not to borrow reserves in increasingly large quantities at the same time as the purchase programme grew.</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
        <w:rPr>
          <w:sz w:val="15"/>
        </w:rPr>
      </w:pPr>
      <w:r>
        <w:rPr/>
        <w:pict>
          <v:shape style="position:absolute;margin-left:56.700001pt;margin-top:10.910625pt;width:144pt;height:.1pt;mso-position-horizontal-relative:page;mso-position-vertical-relative:paragraph;z-index:-251636736;mso-wrap-distance-left:0;mso-wrap-distance-right:0" coordorigin="1134,218" coordsize="2880,0" path="m1134,218l4014,218e" filled="false" stroked="true" strokeweight=".47998pt" strokecolor="#000000">
            <v:path arrowok="t"/>
            <v:stroke dashstyle="solid"/>
            <w10:wrap type="topAndBottom"/>
          </v:shape>
        </w:pict>
      </w:r>
    </w:p>
    <w:p>
      <w:pPr>
        <w:spacing w:before="31"/>
        <w:ind w:left="234" w:right="0" w:firstLine="0"/>
        <w:jc w:val="left"/>
        <w:rPr>
          <w:sz w:val="16"/>
        </w:rPr>
      </w:pPr>
      <w:r>
        <w:rPr>
          <w:position w:val="8"/>
          <w:sz w:val="10"/>
        </w:rPr>
        <w:t>7 </w:t>
      </w:r>
      <w:r>
        <w:rPr>
          <w:sz w:val="16"/>
        </w:rPr>
        <w:t>And the OSF Deposit Facility rate was set to zero.</w:t>
      </w:r>
    </w:p>
    <w:p>
      <w:pPr>
        <w:spacing w:after="0"/>
        <w:jc w:val="left"/>
        <w:rPr>
          <w:sz w:val="16"/>
        </w:rPr>
        <w:sectPr>
          <w:footerReference w:type="default" r:id="rId12"/>
          <w:pgSz w:w="11900" w:h="16840"/>
          <w:pgMar w:footer="1340" w:header="0" w:top="1540" w:bottom="1540" w:left="900" w:right="120"/>
        </w:sectPr>
      </w:pPr>
    </w:p>
    <w:p>
      <w:pPr>
        <w:pStyle w:val="BodyText"/>
        <w:spacing w:before="76"/>
        <w:ind w:right="54"/>
        <w:jc w:val="center"/>
      </w:pPr>
      <w:r>
        <w:rPr/>
        <w:t>Chart 4: Stylised demand for reserves in the floor system</w:t>
      </w:r>
    </w:p>
    <w:p>
      <w:pPr>
        <w:pStyle w:val="BodyText"/>
        <w:spacing w:before="7"/>
        <w:rPr>
          <w:sz w:val="25"/>
        </w:rPr>
      </w:pPr>
      <w:r>
        <w:rPr/>
        <w:drawing>
          <wp:anchor distT="0" distB="0" distL="0" distR="0" allowOverlap="1" layoutInCell="1" locked="0" behindDoc="0" simplePos="0" relativeHeight="22">
            <wp:simplePos x="0" y="0"/>
            <wp:positionH relativeFrom="page">
              <wp:posOffset>2240318</wp:posOffset>
            </wp:positionH>
            <wp:positionV relativeFrom="paragraph">
              <wp:posOffset>212332</wp:posOffset>
            </wp:positionV>
            <wp:extent cx="2958371" cy="2571750"/>
            <wp:effectExtent l="0" t="0" r="0" b="0"/>
            <wp:wrapTopAndBottom/>
            <wp:docPr id="5" name="image3.png"/>
            <wp:cNvGraphicFramePr>
              <a:graphicFrameLocks noChangeAspect="1"/>
            </wp:cNvGraphicFramePr>
            <a:graphic>
              <a:graphicData uri="http://schemas.openxmlformats.org/drawingml/2006/picture">
                <pic:pic>
                  <pic:nvPicPr>
                    <pic:cNvPr id="6" name="image3.png"/>
                    <pic:cNvPicPr/>
                  </pic:nvPicPr>
                  <pic:blipFill>
                    <a:blip r:embed="rId14" cstate="print"/>
                    <a:stretch>
                      <a:fillRect/>
                    </a:stretch>
                  </pic:blipFill>
                  <pic:spPr>
                    <a:xfrm>
                      <a:off x="0" y="0"/>
                      <a:ext cx="2958371" cy="2571750"/>
                    </a:xfrm>
                    <a:prstGeom prst="rect">
                      <a:avLst/>
                    </a:prstGeom>
                  </pic:spPr>
                </pic:pic>
              </a:graphicData>
            </a:graphic>
          </wp:anchor>
        </w:drawing>
      </w:r>
    </w:p>
    <w:p>
      <w:pPr>
        <w:pStyle w:val="BodyText"/>
        <w:rPr>
          <w:sz w:val="22"/>
        </w:rPr>
      </w:pPr>
    </w:p>
    <w:p>
      <w:pPr>
        <w:pStyle w:val="BodyText"/>
        <w:spacing w:before="1"/>
        <w:rPr>
          <w:sz w:val="25"/>
        </w:rPr>
      </w:pPr>
    </w:p>
    <w:p>
      <w:pPr>
        <w:pStyle w:val="BodyText"/>
        <w:spacing w:line="360" w:lineRule="auto"/>
        <w:ind w:left="234" w:right="1021"/>
      </w:pPr>
      <w:r>
        <w:rPr/>
        <w:t>While this is an easy and effective way of implementing monetary policy at the moment, there are drawbacks to this ‘floor’ system. For example, in order to ensure overnight rates settle at Bank Rate, the Bank’s supply curve needs to intersect the commercial banks’ demand curve where it is infinitely elastic. That means that the Bank has to supply excess reserves to the system in aggregate, such that no firm has any incentive to pay more than Bank Rate for the marginal unit of reserves. In that world, banks’ incentives to trade with one another in the overnight markets are largely diminished.</w:t>
      </w:r>
    </w:p>
    <w:p>
      <w:pPr>
        <w:pStyle w:val="BodyText"/>
        <w:rPr>
          <w:sz w:val="30"/>
        </w:rPr>
      </w:pPr>
    </w:p>
    <w:p>
      <w:pPr>
        <w:pStyle w:val="BodyText"/>
        <w:spacing w:line="360" w:lineRule="auto"/>
        <w:ind w:left="234" w:right="1087"/>
        <w:jc w:val="both"/>
      </w:pPr>
      <w:r>
        <w:rPr/>
        <w:t>A third model for implementing monetary policy is the ‘zero corridor’ system. In this case there would be no reserves targets and banks could both lend to and borrow from the Bank in unlimited amounts at Bank Rate every day. Although short term market interest rates should always equal Bank Rate precisely, this system has several drawbacks. First, banks would never </w:t>
      </w:r>
      <w:r>
        <w:rPr>
          <w:u w:val="single"/>
        </w:rPr>
        <w:t>need</w:t>
      </w:r>
      <w:r>
        <w:rPr/>
        <w:t> to transact with each other; they simply transact with the central bank via the OSFs: there would be little or no commercial overnight interbank money market.</w:t>
      </w:r>
    </w:p>
    <w:p>
      <w:pPr>
        <w:pStyle w:val="BodyText"/>
        <w:spacing w:line="360" w:lineRule="auto"/>
        <w:ind w:left="234" w:right="1052"/>
      </w:pPr>
      <w:r>
        <w:rPr/>
        <w:t>That would be unwelcome. For example, the information the Bank deduces from movements in overnight market interest rates would be lost. It might also disrupt functioning of longer-term money markets, given implicit links to the overnight market. Second, if the Bank can always be relied upon to meet daily liquidity needs, then commercial banks have less incentive to actively manage their liquidity. And the Bank would be unable to distinguish between banks using the OSFs to manage their day-to-day liquidity buffers, and those facing more fundamental shocks. Finally, by offering to borrow and lend overnight automatically, the Bank would relinquish day-to-day control over its balance sheet and the degree of risk associated with</w:t>
      </w:r>
      <w:r>
        <w:rPr>
          <w:spacing w:val="-22"/>
        </w:rPr>
        <w:t> </w:t>
      </w:r>
      <w:r>
        <w:rPr/>
        <w:t>that.</w:t>
      </w:r>
    </w:p>
    <w:p>
      <w:pPr>
        <w:pStyle w:val="BodyText"/>
        <w:spacing w:line="360" w:lineRule="auto"/>
        <w:ind w:left="234" w:right="1052"/>
      </w:pPr>
      <w:r>
        <w:rPr/>
        <w:t>To summarise, there are different models for implementing the policy rate, each of which has its own</w:t>
      </w:r>
      <w:r>
        <w:rPr>
          <w:spacing w:val="-25"/>
        </w:rPr>
        <w:t> </w:t>
      </w:r>
      <w:r>
        <w:rPr/>
        <w:t>merits and disadvantages. These reflect both monetary policy and financial stability considerations. A deeper exposition of the arguments can be found in Clews, Salmon and Weeken (2010).</w:t>
      </w:r>
      <w:r>
        <w:rPr>
          <w:vertAlign w:val="superscript"/>
        </w:rPr>
        <w:t>8</w:t>
      </w:r>
      <w:r>
        <w:rPr>
          <w:vertAlign w:val="baseline"/>
        </w:rPr>
        <w:t> The Bank has carefully considered the differing systems and expects to return to a reserves averaging system in due</w:t>
      </w:r>
      <w:r>
        <w:rPr>
          <w:spacing w:val="-18"/>
          <w:vertAlign w:val="baseline"/>
        </w:rPr>
        <w:t> </w:t>
      </w:r>
      <w:r>
        <w:rPr>
          <w:vertAlign w:val="baseline"/>
        </w:rPr>
        <w:t>course.</w:t>
      </w:r>
    </w:p>
    <w:p>
      <w:pPr>
        <w:pStyle w:val="BodyText"/>
        <w:spacing w:before="3"/>
        <w:rPr>
          <w:sz w:val="14"/>
        </w:rPr>
      </w:pPr>
      <w:r>
        <w:rPr/>
        <w:pict>
          <v:shape style="position:absolute;margin-left:56.700001pt;margin-top:10.422845pt;width:144pt;height:.1pt;mso-position-horizontal-relative:page;mso-position-vertical-relative:paragraph;z-index:-251634688;mso-wrap-distance-left:0;mso-wrap-distance-right:0" coordorigin="1134,208" coordsize="2880,0" path="m1134,208l4014,208e" filled="false" stroked="true" strokeweight=".47998pt" strokecolor="#000000">
            <v:path arrowok="t"/>
            <v:stroke dashstyle="solid"/>
            <w10:wrap type="topAndBottom"/>
          </v:shape>
        </w:pict>
      </w:r>
    </w:p>
    <w:p>
      <w:pPr>
        <w:spacing w:before="31"/>
        <w:ind w:left="234" w:right="0" w:firstLine="0"/>
        <w:jc w:val="left"/>
        <w:rPr>
          <w:sz w:val="16"/>
        </w:rPr>
      </w:pPr>
      <w:r>
        <w:rPr>
          <w:position w:val="8"/>
          <w:sz w:val="10"/>
        </w:rPr>
        <w:t>8 </w:t>
      </w:r>
      <w:r>
        <w:rPr>
          <w:sz w:val="16"/>
        </w:rPr>
        <w:t>“The Bank’s money market framework”, Bank of England </w:t>
      </w:r>
      <w:r>
        <w:rPr>
          <w:i/>
          <w:sz w:val="16"/>
        </w:rPr>
        <w:t>Quarterly Bulletin</w:t>
      </w:r>
      <w:r>
        <w:rPr>
          <w:sz w:val="16"/>
        </w:rPr>
        <w:t>, 2010 Q4</w:t>
      </w:r>
    </w:p>
    <w:p>
      <w:pPr>
        <w:spacing w:after="0"/>
        <w:jc w:val="left"/>
        <w:rPr>
          <w:sz w:val="16"/>
        </w:rPr>
        <w:sectPr>
          <w:footerReference w:type="default" r:id="rId13"/>
          <w:pgSz w:w="11900" w:h="16840"/>
          <w:pgMar w:footer="1340" w:header="0" w:top="1540" w:bottom="1540" w:left="900" w:right="120"/>
        </w:sectPr>
      </w:pPr>
    </w:p>
    <w:p>
      <w:pPr>
        <w:pStyle w:val="BodyText"/>
        <w:spacing w:line="360" w:lineRule="auto" w:before="76"/>
        <w:ind w:left="234" w:right="1064"/>
      </w:pPr>
      <w:r>
        <w:rPr/>
        <w:t>Presumptively, that would be after increasing Bank Rate and before asset sales began – although the timing and sequencing will depend on the circumstances at the time. In the next section of this paper we explore more deeply some of the financial stability aspects of the Bank’s operations.</w:t>
      </w:r>
    </w:p>
    <w:p>
      <w:pPr>
        <w:pStyle w:val="BodyText"/>
        <w:spacing w:before="1"/>
        <w:rPr>
          <w:sz w:val="30"/>
        </w:rPr>
      </w:pPr>
    </w:p>
    <w:p>
      <w:pPr>
        <w:pStyle w:val="Heading2"/>
      </w:pPr>
      <w:r>
        <w:rPr/>
        <w:t>The Sterling Monetary Framework: Providing liquidity insurance</w:t>
      </w:r>
    </w:p>
    <w:p>
      <w:pPr>
        <w:pStyle w:val="BodyText"/>
        <w:rPr>
          <w:b/>
          <w:sz w:val="22"/>
        </w:rPr>
      </w:pPr>
    </w:p>
    <w:p>
      <w:pPr>
        <w:pStyle w:val="BodyText"/>
        <w:spacing w:before="10"/>
        <w:rPr>
          <w:b/>
          <w:sz w:val="17"/>
        </w:rPr>
      </w:pPr>
    </w:p>
    <w:p>
      <w:pPr>
        <w:pStyle w:val="BodyText"/>
        <w:spacing w:line="360" w:lineRule="auto"/>
        <w:ind w:left="234" w:right="1152"/>
      </w:pPr>
      <w:r>
        <w:rPr/>
        <w:t>Banks inherently engage in ‘maturity transformation’ – borrowing on a short-term basis but lending on a long-term basis (eg taking deposits which can be withdrawn at short notice, and lending for mortgages). As</w:t>
      </w:r>
    </w:p>
    <w:p>
      <w:pPr>
        <w:pStyle w:val="BodyText"/>
        <w:ind w:left="234"/>
      </w:pPr>
      <w:r>
        <w:rPr/>
        <w:t>a result, banks take liquidity risk – and even a well-run bank could suffer an unexpected shortage of liquidity.</w:t>
      </w:r>
    </w:p>
    <w:p>
      <w:pPr>
        <w:pStyle w:val="BodyText"/>
        <w:rPr>
          <w:sz w:val="22"/>
        </w:rPr>
      </w:pPr>
    </w:p>
    <w:p>
      <w:pPr>
        <w:pStyle w:val="BodyText"/>
        <w:rPr>
          <w:sz w:val="18"/>
        </w:rPr>
      </w:pPr>
    </w:p>
    <w:p>
      <w:pPr>
        <w:pStyle w:val="BodyText"/>
        <w:spacing w:line="360" w:lineRule="auto" w:before="1"/>
        <w:ind w:left="233" w:right="988"/>
      </w:pPr>
      <w:r>
        <w:rPr/>
        <w:t>As part of their liquidity management, banks hold stocks of liquid assets that can be used to generate cash or make payments directly. Some assets are expected to retain their liquidity in all but the most extreme circumstances. But the liquidity of other assets is less assured, and banks can suffer problems if the liquidity of their assets dries up. That could cause financial instability. The Bank of England can provide liquidity insurance to individual, credit-worthy institutions and to the banking system as a whole, by accepting those less liquid assets as collateral, for a fee, in exchange for more liquid assets, including reserves.</w:t>
      </w:r>
      <w:r>
        <w:rPr>
          <w:vertAlign w:val="superscript"/>
        </w:rPr>
        <w:t>9</w:t>
      </w:r>
      <w:r>
        <w:rPr>
          <w:vertAlign w:val="baseline"/>
        </w:rPr>
        <w:t> But such liquidity insurance must be provided in a way that takes account of the potential for ‘moral hazard’ — the incentive for individual banks to undertake riskier activities because of the presence of a central bank back- stop. The Bank’s operations must not undermine the incentives of private sector firms to manage their liquidity needs safely in the market, rather than turn to the Bank routinely. Moreover, although the Bank’s operations are collateralised, the value of the securities delivered to the Bank is always uncertain. We would never be able to protect ourselves perfectly against credit risk.</w:t>
      </w:r>
    </w:p>
    <w:p>
      <w:pPr>
        <w:pStyle w:val="BodyText"/>
        <w:spacing w:before="11"/>
        <w:rPr>
          <w:sz w:val="29"/>
        </w:rPr>
      </w:pPr>
    </w:p>
    <w:p>
      <w:pPr>
        <w:pStyle w:val="BodyText"/>
        <w:spacing w:line="360" w:lineRule="auto"/>
        <w:ind w:left="234" w:right="1053"/>
      </w:pPr>
      <w:r>
        <w:rPr/>
        <w:t>As well as implementing the policy rate, the SMF is also used to provide that liquidity insurance. As we have already discussed, the first component of the insurance aspect of the framework is the reserves averaging mechanism itself, which permits banks, within reason and without penalty, to vary their reserves account balances day-to-day in the face of small and/or short-lived liquidity shocks - provided they hit their reserves target on average over the maintenance period. The second component is the OSFs which allow banks to cope with larger, expected (frictional) payments shocks day-by-day. A third component comes through longer-term OMOs to which we now turn.</w:t>
      </w:r>
    </w:p>
    <w:p>
      <w:pPr>
        <w:pStyle w:val="BodyText"/>
        <w:spacing w:before="1"/>
        <w:rPr>
          <w:sz w:val="30"/>
        </w:rPr>
      </w:pPr>
    </w:p>
    <w:p>
      <w:pPr>
        <w:pStyle w:val="Heading2"/>
      </w:pPr>
      <w:r>
        <w:rPr/>
        <w:t>Longer-term Open Market Operations</w:t>
      </w:r>
    </w:p>
    <w:p>
      <w:pPr>
        <w:pStyle w:val="BodyText"/>
        <w:rPr>
          <w:b/>
          <w:sz w:val="22"/>
        </w:rPr>
      </w:pPr>
    </w:p>
    <w:p>
      <w:pPr>
        <w:pStyle w:val="BodyText"/>
        <w:spacing w:before="10"/>
        <w:rPr>
          <w:b/>
          <w:sz w:val="17"/>
        </w:rPr>
      </w:pPr>
    </w:p>
    <w:p>
      <w:pPr>
        <w:pStyle w:val="BodyText"/>
        <w:spacing w:line="360" w:lineRule="auto" w:before="1"/>
        <w:ind w:left="234" w:right="1296"/>
      </w:pPr>
      <w:r>
        <w:rPr/>
        <w:pict>
          <v:shape style="position:absolute;margin-left:56.700001pt;margin-top:87.965416pt;width:144pt;height:.1pt;mso-position-horizontal-relative:page;mso-position-vertical-relative:paragraph;z-index:-251633664;mso-wrap-distance-left:0;mso-wrap-distance-right:0" coordorigin="1134,1759" coordsize="2880,0" path="m1134,1759l4014,1759e" filled="false" stroked="true" strokeweight=".48001pt" strokecolor="#000000">
            <v:path arrowok="t"/>
            <v:stroke dashstyle="solid"/>
            <w10:wrap type="topAndBottom"/>
          </v:shape>
        </w:pict>
      </w:r>
      <w:r>
        <w:rPr/>
        <w:t>The most routine method for ensuring there is the correct amount of sterling in the system, consistent with reserves targets, is via short-term OMOs. Prior to the start of QE, the Bank carried out weekly short-term reverse repo operations (STRs) against a pool of ‘narrow’ collateral comprising highly liquid sovereign or near-sovereign bonds from a small selection of countries. At that frequency, the scale of the operations could be judged fairly precisely so as to offset any autonomous factors which affected the net supply of</w:t>
      </w:r>
    </w:p>
    <w:p>
      <w:pPr>
        <w:spacing w:before="32"/>
        <w:ind w:left="233" w:right="1208" w:firstLine="0"/>
        <w:jc w:val="left"/>
        <w:rPr>
          <w:sz w:val="16"/>
        </w:rPr>
      </w:pPr>
      <w:r>
        <w:rPr>
          <w:position w:val="8"/>
          <w:sz w:val="10"/>
        </w:rPr>
        <w:t>9 </w:t>
      </w:r>
      <w:r>
        <w:rPr>
          <w:sz w:val="16"/>
        </w:rPr>
        <w:t>The Bank also stands ready to provide gilts via its permanent Discount Window Facility, introduced in October 2008. This facility is available to provide bilateral liquidity support to solvent and viable institutions, against a wide pool of collateral.</w:t>
      </w:r>
    </w:p>
    <w:p>
      <w:pPr>
        <w:spacing w:after="0"/>
        <w:jc w:val="left"/>
        <w:rPr>
          <w:sz w:val="16"/>
        </w:rPr>
        <w:sectPr>
          <w:footerReference w:type="default" r:id="rId15"/>
          <w:pgSz w:w="11900" w:h="16840"/>
          <w:pgMar w:footer="1340" w:header="0" w:top="1540" w:bottom="1540" w:left="900" w:right="120"/>
        </w:sectPr>
      </w:pPr>
    </w:p>
    <w:p>
      <w:pPr>
        <w:pStyle w:val="BodyText"/>
        <w:spacing w:line="360" w:lineRule="auto" w:before="76"/>
        <w:ind w:left="234" w:right="1052"/>
      </w:pPr>
      <w:r>
        <w:rPr/>
        <w:t>sterling to the market. But relying solely on short term OMOs could have meant carrying out very large repo operations every week.</w:t>
      </w:r>
    </w:p>
    <w:p>
      <w:pPr>
        <w:pStyle w:val="BodyText"/>
        <w:rPr>
          <w:sz w:val="30"/>
        </w:rPr>
      </w:pPr>
    </w:p>
    <w:p>
      <w:pPr>
        <w:pStyle w:val="BodyText"/>
        <w:spacing w:line="360" w:lineRule="auto"/>
        <w:ind w:left="233" w:right="1208"/>
      </w:pPr>
      <w:r>
        <w:rPr/>
        <w:t>To avoid that degree of churn, some longer term reverse repos (LTRs) were also used pre-crisis – at maturities from 3 to 12 months. Those operations could be backed by either narrow or ‘wider’ collateral, which comprises high quality, but less liquid collateral, including private sector securities.</w:t>
      </w:r>
      <w:r>
        <w:rPr>
          <w:vertAlign w:val="superscript"/>
        </w:rPr>
        <w:t>10</w:t>
      </w:r>
      <w:r>
        <w:rPr>
          <w:vertAlign w:val="baseline"/>
        </w:rPr>
        <w:t> The LTRs effectively reduced the quantity of lending needed via the routine weekly OMOs.</w:t>
      </w:r>
    </w:p>
    <w:p>
      <w:pPr>
        <w:pStyle w:val="BodyText"/>
        <w:rPr>
          <w:sz w:val="30"/>
        </w:rPr>
      </w:pPr>
    </w:p>
    <w:p>
      <w:pPr>
        <w:pStyle w:val="BodyText"/>
        <w:spacing w:line="360" w:lineRule="auto"/>
        <w:ind w:left="233" w:right="1021"/>
      </w:pPr>
      <w:r>
        <w:rPr/>
        <w:t>But during the crisis, the demand for liquidity rose significantly, owing to the combination of a reduction in the supply of longer-term interbank finance, and a reduction in the liquidity of various asset-backed securities.</w:t>
      </w:r>
    </w:p>
    <w:p>
      <w:pPr>
        <w:pStyle w:val="BodyText"/>
        <w:spacing w:line="360" w:lineRule="auto"/>
        <w:ind w:left="233" w:right="1043"/>
      </w:pPr>
      <w:r>
        <w:rPr/>
        <w:t>The Bank responded by expanding the range of collateral it would accept in its operations in order to provide sufficient sterling liquidity to the UK banking system. As a result, the stock of LTRs rose from £15bn to</w:t>
      </w:r>
    </w:p>
    <w:p>
      <w:pPr>
        <w:pStyle w:val="BodyText"/>
        <w:ind w:left="233"/>
      </w:pPr>
      <w:r>
        <w:rPr/>
        <w:t>£190bn by early 2009 (the blue area in Chart 2).</w:t>
      </w:r>
      <w:r>
        <w:rPr>
          <w:vertAlign w:val="superscript"/>
        </w:rPr>
        <w:t>11</w:t>
      </w:r>
    </w:p>
    <w:p>
      <w:pPr>
        <w:pStyle w:val="BodyText"/>
        <w:rPr>
          <w:sz w:val="26"/>
        </w:rPr>
      </w:pPr>
    </w:p>
    <w:p>
      <w:pPr>
        <w:pStyle w:val="BodyText"/>
        <w:spacing w:line="360" w:lineRule="auto" w:before="161"/>
        <w:ind w:left="233" w:right="1052"/>
      </w:pPr>
      <w:r>
        <w:rPr/>
        <w:t>The Bank also widened the ranges around the commercial banks’ targets, so that they could hold additional reserves (within the maintenance period) without penalty. The Bank was concerned that the banks would collectively not increase their targets enough from one maintenance period to the next. Widening the ranges around these targets, permitting a larger liquidity injection at the Bank’s discretion, also addressed that problem.</w:t>
      </w:r>
    </w:p>
    <w:p>
      <w:pPr>
        <w:pStyle w:val="BodyText"/>
        <w:rPr>
          <w:sz w:val="30"/>
        </w:rPr>
      </w:pPr>
    </w:p>
    <w:p>
      <w:pPr>
        <w:pStyle w:val="BodyText"/>
        <w:spacing w:line="360" w:lineRule="auto"/>
        <w:ind w:left="233" w:right="1208"/>
      </w:pPr>
      <w:r>
        <w:rPr/>
        <w:t>The temporary expansion of LTR lending during the crisis was very successful in its main objective of providing liquidity to the banking system. But it also raised a number of important operational policy questions for the Bank:</w:t>
      </w:r>
    </w:p>
    <w:p>
      <w:pPr>
        <w:pStyle w:val="BodyText"/>
        <w:rPr>
          <w:sz w:val="30"/>
        </w:rPr>
      </w:pPr>
    </w:p>
    <w:p>
      <w:pPr>
        <w:pStyle w:val="ListParagraph"/>
        <w:numPr>
          <w:ilvl w:val="1"/>
          <w:numId w:val="2"/>
        </w:numPr>
        <w:tabs>
          <w:tab w:pos="1226" w:val="left" w:leader="none"/>
          <w:tab w:pos="1227" w:val="left" w:leader="none"/>
        </w:tabs>
        <w:spacing w:line="240" w:lineRule="auto" w:before="0" w:after="0"/>
        <w:ind w:left="1226" w:right="0" w:hanging="426"/>
        <w:jc w:val="left"/>
        <w:rPr>
          <w:sz w:val="20"/>
        </w:rPr>
      </w:pPr>
      <w:r>
        <w:rPr>
          <w:sz w:val="20"/>
        </w:rPr>
        <w:t>It was very difficult to decide exactly how large these lending operations should</w:t>
      </w:r>
      <w:r>
        <w:rPr>
          <w:spacing w:val="-20"/>
          <w:sz w:val="20"/>
        </w:rPr>
        <w:t> </w:t>
      </w:r>
      <w:r>
        <w:rPr>
          <w:sz w:val="20"/>
        </w:rPr>
        <w:t>be.</w:t>
      </w:r>
    </w:p>
    <w:p>
      <w:pPr>
        <w:pStyle w:val="BodyText"/>
        <w:rPr>
          <w:sz w:val="22"/>
        </w:rPr>
      </w:pPr>
    </w:p>
    <w:p>
      <w:pPr>
        <w:pStyle w:val="BodyText"/>
        <w:rPr>
          <w:sz w:val="18"/>
        </w:rPr>
      </w:pPr>
    </w:p>
    <w:p>
      <w:pPr>
        <w:pStyle w:val="ListParagraph"/>
        <w:numPr>
          <w:ilvl w:val="1"/>
          <w:numId w:val="2"/>
        </w:numPr>
        <w:tabs>
          <w:tab w:pos="1226" w:val="left" w:leader="none"/>
          <w:tab w:pos="1227" w:val="left" w:leader="none"/>
        </w:tabs>
        <w:spacing w:line="360" w:lineRule="auto" w:before="1" w:after="0"/>
        <w:ind w:left="1226" w:right="1060" w:hanging="425"/>
        <w:jc w:val="left"/>
        <w:rPr>
          <w:sz w:val="20"/>
        </w:rPr>
      </w:pPr>
      <w:r>
        <w:rPr>
          <w:sz w:val="20"/>
        </w:rPr>
        <w:t>It</w:t>
      </w:r>
      <w:r>
        <w:rPr>
          <w:spacing w:val="-3"/>
          <w:sz w:val="20"/>
        </w:rPr>
        <w:t> </w:t>
      </w:r>
      <w:r>
        <w:rPr>
          <w:sz w:val="20"/>
        </w:rPr>
        <w:t>was</w:t>
      </w:r>
      <w:r>
        <w:rPr>
          <w:spacing w:val="-3"/>
          <w:sz w:val="20"/>
        </w:rPr>
        <w:t> </w:t>
      </w:r>
      <w:r>
        <w:rPr>
          <w:sz w:val="20"/>
        </w:rPr>
        <w:t>also</w:t>
      </w:r>
      <w:r>
        <w:rPr>
          <w:spacing w:val="-3"/>
          <w:sz w:val="20"/>
        </w:rPr>
        <w:t> </w:t>
      </w:r>
      <w:r>
        <w:rPr>
          <w:sz w:val="20"/>
        </w:rPr>
        <w:t>difficult</w:t>
      </w:r>
      <w:r>
        <w:rPr>
          <w:spacing w:val="-2"/>
          <w:sz w:val="20"/>
        </w:rPr>
        <w:t> </w:t>
      </w:r>
      <w:r>
        <w:rPr>
          <w:sz w:val="20"/>
        </w:rPr>
        <w:t>to</w:t>
      </w:r>
      <w:r>
        <w:rPr>
          <w:spacing w:val="-3"/>
          <w:sz w:val="20"/>
        </w:rPr>
        <w:t> </w:t>
      </w:r>
      <w:r>
        <w:rPr>
          <w:sz w:val="20"/>
        </w:rPr>
        <w:t>decide</w:t>
      </w:r>
      <w:r>
        <w:rPr>
          <w:spacing w:val="-3"/>
          <w:sz w:val="20"/>
        </w:rPr>
        <w:t> </w:t>
      </w:r>
      <w:r>
        <w:rPr>
          <w:sz w:val="20"/>
        </w:rPr>
        <w:t>the</w:t>
      </w:r>
      <w:r>
        <w:rPr>
          <w:spacing w:val="-3"/>
          <w:sz w:val="20"/>
        </w:rPr>
        <w:t> </w:t>
      </w:r>
      <w:r>
        <w:rPr>
          <w:sz w:val="20"/>
        </w:rPr>
        <w:t>appropriate</w:t>
      </w:r>
      <w:r>
        <w:rPr>
          <w:spacing w:val="-2"/>
          <w:sz w:val="20"/>
        </w:rPr>
        <w:t> </w:t>
      </w:r>
      <w:r>
        <w:rPr>
          <w:sz w:val="20"/>
        </w:rPr>
        <w:t>spread</w:t>
      </w:r>
      <w:r>
        <w:rPr>
          <w:spacing w:val="-3"/>
          <w:sz w:val="20"/>
        </w:rPr>
        <w:t> </w:t>
      </w:r>
      <w:r>
        <w:rPr>
          <w:sz w:val="20"/>
        </w:rPr>
        <w:t>to</w:t>
      </w:r>
      <w:r>
        <w:rPr>
          <w:spacing w:val="-4"/>
          <w:sz w:val="20"/>
        </w:rPr>
        <w:t> </w:t>
      </w:r>
      <w:r>
        <w:rPr>
          <w:sz w:val="20"/>
        </w:rPr>
        <w:t>charge</w:t>
      </w:r>
      <w:r>
        <w:rPr>
          <w:spacing w:val="-2"/>
          <w:sz w:val="20"/>
        </w:rPr>
        <w:t> </w:t>
      </w:r>
      <w:r>
        <w:rPr>
          <w:sz w:val="20"/>
        </w:rPr>
        <w:t>for</w:t>
      </w:r>
      <w:r>
        <w:rPr>
          <w:spacing w:val="-3"/>
          <w:sz w:val="20"/>
        </w:rPr>
        <w:t> </w:t>
      </w:r>
      <w:r>
        <w:rPr>
          <w:sz w:val="20"/>
        </w:rPr>
        <w:t>lending</w:t>
      </w:r>
      <w:r>
        <w:rPr>
          <w:spacing w:val="-3"/>
          <w:sz w:val="20"/>
        </w:rPr>
        <w:t> </w:t>
      </w:r>
      <w:r>
        <w:rPr>
          <w:sz w:val="20"/>
        </w:rPr>
        <w:t>against</w:t>
      </w:r>
      <w:r>
        <w:rPr>
          <w:spacing w:val="-5"/>
          <w:sz w:val="20"/>
        </w:rPr>
        <w:t> </w:t>
      </w:r>
      <w:r>
        <w:rPr>
          <w:sz w:val="20"/>
        </w:rPr>
        <w:t>wider</w:t>
      </w:r>
      <w:r>
        <w:rPr>
          <w:spacing w:val="-3"/>
          <w:sz w:val="20"/>
        </w:rPr>
        <w:t> </w:t>
      </w:r>
      <w:r>
        <w:rPr>
          <w:sz w:val="20"/>
        </w:rPr>
        <w:t>relative</w:t>
      </w:r>
      <w:r>
        <w:rPr>
          <w:spacing w:val="-3"/>
          <w:sz w:val="20"/>
        </w:rPr>
        <w:t> </w:t>
      </w:r>
      <w:r>
        <w:rPr>
          <w:sz w:val="20"/>
        </w:rPr>
        <w:t>to narrow collateral, to mitigate adverse selection and the moral hazard risk. A minimum 50 basis point spread was applied for wider</w:t>
      </w:r>
      <w:r>
        <w:rPr>
          <w:spacing w:val="-8"/>
          <w:sz w:val="20"/>
        </w:rPr>
        <w:t> </w:t>
      </w:r>
      <w:r>
        <w:rPr>
          <w:sz w:val="20"/>
        </w:rPr>
        <w:t>collateral.</w:t>
      </w:r>
    </w:p>
    <w:p>
      <w:pPr>
        <w:pStyle w:val="ListParagraph"/>
        <w:numPr>
          <w:ilvl w:val="1"/>
          <w:numId w:val="2"/>
        </w:numPr>
        <w:tabs>
          <w:tab w:pos="1281" w:val="left" w:leader="none"/>
          <w:tab w:pos="1282" w:val="left" w:leader="none"/>
        </w:tabs>
        <w:spacing w:line="360" w:lineRule="auto" w:before="0" w:after="0"/>
        <w:ind w:left="1226" w:right="1071" w:hanging="425"/>
        <w:jc w:val="left"/>
        <w:rPr>
          <w:sz w:val="20"/>
        </w:rPr>
      </w:pPr>
      <w:r>
        <w:rPr/>
        <w:tab/>
      </w:r>
      <w:r>
        <w:rPr>
          <w:sz w:val="20"/>
        </w:rPr>
        <w:t>Those long-term repos exposed the Bank and the commercial banks to significant interest rate risk. That is because commercial banks’ reserves balances were being remunerated at Bank Rate</w:t>
      </w:r>
      <w:r>
        <w:rPr>
          <w:spacing w:val="-3"/>
          <w:sz w:val="20"/>
        </w:rPr>
        <w:t> </w:t>
      </w:r>
      <w:r>
        <w:rPr>
          <w:sz w:val="20"/>
        </w:rPr>
        <w:t>but</w:t>
      </w:r>
      <w:r>
        <w:rPr>
          <w:spacing w:val="-2"/>
          <w:sz w:val="20"/>
        </w:rPr>
        <w:t> </w:t>
      </w:r>
      <w:r>
        <w:rPr>
          <w:sz w:val="20"/>
        </w:rPr>
        <w:t>the</w:t>
      </w:r>
      <w:r>
        <w:rPr>
          <w:spacing w:val="-3"/>
          <w:sz w:val="20"/>
        </w:rPr>
        <w:t> </w:t>
      </w:r>
      <w:r>
        <w:rPr>
          <w:sz w:val="20"/>
        </w:rPr>
        <w:t>minimum</w:t>
      </w:r>
      <w:r>
        <w:rPr>
          <w:spacing w:val="-2"/>
          <w:sz w:val="20"/>
        </w:rPr>
        <w:t> </w:t>
      </w:r>
      <w:r>
        <w:rPr>
          <w:sz w:val="20"/>
        </w:rPr>
        <w:t>bid</w:t>
      </w:r>
      <w:r>
        <w:rPr>
          <w:spacing w:val="-3"/>
          <w:sz w:val="20"/>
        </w:rPr>
        <w:t> </w:t>
      </w:r>
      <w:r>
        <w:rPr>
          <w:sz w:val="20"/>
        </w:rPr>
        <w:t>rate</w:t>
      </w:r>
      <w:r>
        <w:rPr>
          <w:spacing w:val="-2"/>
          <w:sz w:val="20"/>
        </w:rPr>
        <w:t> </w:t>
      </w:r>
      <w:r>
        <w:rPr>
          <w:sz w:val="20"/>
        </w:rPr>
        <w:t>in</w:t>
      </w:r>
      <w:r>
        <w:rPr>
          <w:spacing w:val="-2"/>
          <w:sz w:val="20"/>
        </w:rPr>
        <w:t> </w:t>
      </w:r>
      <w:r>
        <w:rPr>
          <w:sz w:val="20"/>
        </w:rPr>
        <w:t>the</w:t>
      </w:r>
      <w:r>
        <w:rPr>
          <w:spacing w:val="-2"/>
          <w:sz w:val="20"/>
        </w:rPr>
        <w:t> </w:t>
      </w:r>
      <w:r>
        <w:rPr>
          <w:sz w:val="20"/>
        </w:rPr>
        <w:t>LTRs</w:t>
      </w:r>
      <w:r>
        <w:rPr>
          <w:spacing w:val="-3"/>
          <w:sz w:val="20"/>
        </w:rPr>
        <w:t> </w:t>
      </w:r>
      <w:r>
        <w:rPr>
          <w:sz w:val="20"/>
        </w:rPr>
        <w:t>was</w:t>
      </w:r>
      <w:r>
        <w:rPr>
          <w:spacing w:val="-2"/>
          <w:sz w:val="20"/>
        </w:rPr>
        <w:t> </w:t>
      </w:r>
      <w:r>
        <w:rPr>
          <w:sz w:val="20"/>
        </w:rPr>
        <w:t>the</w:t>
      </w:r>
      <w:r>
        <w:rPr>
          <w:spacing w:val="-1"/>
          <w:sz w:val="20"/>
        </w:rPr>
        <w:t> </w:t>
      </w:r>
      <w:r>
        <w:rPr>
          <w:sz w:val="20"/>
        </w:rPr>
        <w:t>fixed</w:t>
      </w:r>
      <w:r>
        <w:rPr>
          <w:spacing w:val="-2"/>
          <w:sz w:val="20"/>
        </w:rPr>
        <w:t> </w:t>
      </w:r>
      <w:r>
        <w:rPr>
          <w:sz w:val="20"/>
        </w:rPr>
        <w:t>3-month</w:t>
      </w:r>
      <w:r>
        <w:rPr>
          <w:spacing w:val="-2"/>
          <w:sz w:val="20"/>
        </w:rPr>
        <w:t> </w:t>
      </w:r>
      <w:r>
        <w:rPr>
          <w:sz w:val="20"/>
        </w:rPr>
        <w:t>market</w:t>
      </w:r>
      <w:r>
        <w:rPr>
          <w:spacing w:val="-2"/>
          <w:sz w:val="20"/>
        </w:rPr>
        <w:t> </w:t>
      </w:r>
      <w:r>
        <w:rPr>
          <w:sz w:val="20"/>
        </w:rPr>
        <w:t>(OIS)</w:t>
      </w:r>
      <w:r>
        <w:rPr>
          <w:spacing w:val="-3"/>
          <w:sz w:val="20"/>
        </w:rPr>
        <w:t> </w:t>
      </w:r>
      <w:r>
        <w:rPr>
          <w:sz w:val="20"/>
        </w:rPr>
        <w:t>rate</w:t>
      </w:r>
      <w:r>
        <w:rPr>
          <w:spacing w:val="-2"/>
          <w:sz w:val="20"/>
        </w:rPr>
        <w:t> </w:t>
      </w:r>
      <w:r>
        <w:rPr>
          <w:sz w:val="20"/>
        </w:rPr>
        <w:t>at</w:t>
      </w:r>
      <w:r>
        <w:rPr>
          <w:spacing w:val="-2"/>
          <w:sz w:val="20"/>
        </w:rPr>
        <w:t> </w:t>
      </w:r>
      <w:r>
        <w:rPr>
          <w:sz w:val="20"/>
        </w:rPr>
        <w:t>the</w:t>
      </w:r>
      <w:r>
        <w:rPr>
          <w:spacing w:val="-2"/>
          <w:sz w:val="20"/>
        </w:rPr>
        <w:t> </w:t>
      </w:r>
      <w:r>
        <w:rPr>
          <w:sz w:val="20"/>
        </w:rPr>
        <w:t>time</w:t>
      </w:r>
      <w:r>
        <w:rPr>
          <w:spacing w:val="-2"/>
          <w:sz w:val="20"/>
        </w:rPr>
        <w:t> </w:t>
      </w:r>
      <w:r>
        <w:rPr>
          <w:sz w:val="20"/>
        </w:rPr>
        <w:t>of the operation (plus the spread for wider collateral). So when Bank Rate was cut much more rapidly than was anticipated by the market during Autumn 2008, the Bank recorded a large, unintentional surplus (and the banks a corresponding</w:t>
      </w:r>
      <w:r>
        <w:rPr>
          <w:spacing w:val="-10"/>
          <w:sz w:val="20"/>
        </w:rPr>
        <w:t> </w:t>
      </w:r>
      <w:r>
        <w:rPr>
          <w:sz w:val="20"/>
        </w:rPr>
        <w:t>loss).</w:t>
      </w:r>
      <w:r>
        <w:rPr>
          <w:sz w:val="20"/>
          <w:vertAlign w:val="superscript"/>
        </w:rPr>
        <w:t>12</w:t>
      </w:r>
    </w:p>
    <w:p>
      <w:pPr>
        <w:pStyle w:val="BodyText"/>
        <w:rPr>
          <w:sz w:val="25"/>
        </w:rPr>
      </w:pPr>
      <w:r>
        <w:rPr/>
        <w:pict>
          <v:shape style="position:absolute;margin-left:56.700001pt;margin-top:16.610580pt;width:144pt;height:.1pt;mso-position-horizontal-relative:page;mso-position-vertical-relative:paragraph;z-index:-251632640;mso-wrap-distance-left:0;mso-wrap-distance-right:0" coordorigin="1134,332" coordsize="2880,0" path="m1134,332l4014,332e" filled="false" stroked="true" strokeweight=".48001pt" strokecolor="#000000">
            <v:path arrowok="t"/>
            <v:stroke dashstyle="solid"/>
            <w10:wrap type="topAndBottom"/>
          </v:shape>
        </w:pict>
      </w:r>
    </w:p>
    <w:p>
      <w:pPr>
        <w:spacing w:before="32"/>
        <w:ind w:left="234" w:right="0" w:firstLine="0"/>
        <w:jc w:val="left"/>
        <w:rPr>
          <w:sz w:val="16"/>
        </w:rPr>
      </w:pPr>
      <w:r>
        <w:rPr>
          <w:position w:val="8"/>
          <w:sz w:val="10"/>
        </w:rPr>
        <w:t>10 </w:t>
      </w:r>
      <w:r>
        <w:rPr>
          <w:sz w:val="16"/>
        </w:rPr>
        <w:t>The narrow and wider collateral sets were redefined in February 2011. The changes will take effect from 1 July 2011. See </w:t>
      </w:r>
      <w:hyperlink r:id="rId17">
        <w:r>
          <w:rPr>
            <w:color w:val="0000FF"/>
            <w:sz w:val="16"/>
            <w:u w:val="single" w:color="0000FF"/>
          </w:rPr>
          <w:t>http://www.bankofengland.co.uk/markets/marketnotice110211.pdf</w:t>
        </w:r>
      </w:hyperlink>
      <w:r>
        <w:rPr>
          <w:color w:val="0000FF"/>
          <w:sz w:val="16"/>
        </w:rPr>
        <w:t> </w:t>
      </w:r>
      <w:r>
        <w:rPr>
          <w:sz w:val="16"/>
        </w:rPr>
        <w:t>for more details.</w:t>
      </w:r>
    </w:p>
    <w:p>
      <w:pPr>
        <w:spacing w:line="184" w:lineRule="exact" w:before="2"/>
        <w:ind w:left="233" w:right="1479" w:firstLine="0"/>
        <w:jc w:val="left"/>
        <w:rPr>
          <w:sz w:val="16"/>
        </w:rPr>
      </w:pPr>
      <w:r>
        <w:rPr>
          <w:position w:val="8"/>
          <w:sz w:val="10"/>
        </w:rPr>
        <w:t>11 </w:t>
      </w:r>
      <w:r>
        <w:rPr>
          <w:sz w:val="16"/>
        </w:rPr>
        <w:t>For more information about changes in the Bank’s balance sheet in response to the crisis, see Cross, Fisher and Weeken, “The Bank’s balance sheet during the crisis”, Bank of England </w:t>
      </w:r>
      <w:r>
        <w:rPr>
          <w:i/>
          <w:sz w:val="16"/>
        </w:rPr>
        <w:t>Quarterly Bulletin</w:t>
      </w:r>
      <w:r>
        <w:rPr>
          <w:sz w:val="16"/>
        </w:rPr>
        <w:t>, 2010 Q1.</w:t>
      </w:r>
    </w:p>
    <w:p>
      <w:pPr>
        <w:spacing w:line="184" w:lineRule="exact" w:before="0"/>
        <w:ind w:left="233" w:right="1052" w:firstLine="0"/>
        <w:jc w:val="left"/>
        <w:rPr>
          <w:sz w:val="16"/>
        </w:rPr>
      </w:pPr>
      <w:r>
        <w:rPr>
          <w:position w:val="8"/>
          <w:sz w:val="10"/>
        </w:rPr>
        <w:t>12 </w:t>
      </w:r>
      <w:r>
        <w:rPr>
          <w:sz w:val="16"/>
        </w:rPr>
        <w:t>See Bank of England, </w:t>
      </w:r>
      <w:r>
        <w:rPr>
          <w:i/>
          <w:sz w:val="16"/>
        </w:rPr>
        <w:t>Annual Report, </w:t>
      </w:r>
      <w:r>
        <w:rPr>
          <w:sz w:val="16"/>
        </w:rPr>
        <w:t>2009. This issue doesn’t arise in the short-term OMOs, as the term of the repo runs from one MPC decision to the next, so the difference between the rate we received in the OMO and that which we pay on reserves is fixed.</w:t>
      </w:r>
    </w:p>
    <w:p>
      <w:pPr>
        <w:spacing w:after="0" w:line="184" w:lineRule="exact"/>
        <w:jc w:val="left"/>
        <w:rPr>
          <w:sz w:val="16"/>
        </w:rPr>
        <w:sectPr>
          <w:footerReference w:type="default" r:id="rId16"/>
          <w:pgSz w:w="11900" w:h="16840"/>
          <w:pgMar w:footer="1340" w:header="0" w:top="1540" w:bottom="1540" w:left="900" w:right="120"/>
        </w:sectPr>
      </w:pPr>
    </w:p>
    <w:p>
      <w:pPr>
        <w:pStyle w:val="BodyText"/>
        <w:spacing w:before="3"/>
        <w:rPr>
          <w:sz w:val="23"/>
        </w:rPr>
      </w:pPr>
    </w:p>
    <w:p>
      <w:pPr>
        <w:pStyle w:val="BodyText"/>
        <w:spacing w:line="360" w:lineRule="auto" w:before="94"/>
        <w:ind w:left="233" w:right="1052"/>
      </w:pPr>
      <w:r>
        <w:rPr/>
        <w:t>In order to try to resolve these issues, the Bank enlisted the help of Paul Klemperer from Nuffield College, Oxford, an expert in auction theory, to help re-design its long-term operations. The fruits of that labour were revealed in the summer of 2010, when the Bank replaced the extended LTRs with its new permanent Indexed Long-Term Repo (ILTR) operations.</w:t>
      </w:r>
    </w:p>
    <w:p>
      <w:pPr>
        <w:pStyle w:val="BodyText"/>
        <w:spacing w:before="11"/>
        <w:rPr>
          <w:sz w:val="29"/>
        </w:rPr>
      </w:pPr>
    </w:p>
    <w:p>
      <w:pPr>
        <w:pStyle w:val="BodyText"/>
        <w:spacing w:line="360" w:lineRule="auto"/>
        <w:ind w:left="234" w:right="1052"/>
      </w:pPr>
      <w:r>
        <w:rPr/>
        <w:t>In the ILTR auctions, counterparties can submit bids against narrow collateral, wider collateral or both. The Bank then allocates a proportion of the funds on offer to the bids against wider collateral, where that proportion depends on the spreads offered.</w:t>
      </w:r>
    </w:p>
    <w:p>
      <w:pPr>
        <w:pStyle w:val="BodyText"/>
        <w:rPr>
          <w:sz w:val="30"/>
        </w:rPr>
      </w:pPr>
    </w:p>
    <w:p>
      <w:pPr>
        <w:pStyle w:val="BodyText"/>
        <w:spacing w:line="360" w:lineRule="auto"/>
        <w:ind w:left="234" w:right="1021"/>
      </w:pPr>
      <w:r>
        <w:rPr/>
        <w:t>These new auctions solve the problems of the old LTRs. For example, expressing the bids as spreads to Bank Rate (with a minimum spread of zero) eliminates the interest rate risk arising from unexpected movements in the spread of market rates to Bank Rate. Moreover, the price of liquidity against wider collateral is determined within the auction – as the market becomes more stressed, counterparties are willing to pay more to borrow against wider collateral. So the Bank no longer has to make a judgment about the appropriate spread to charge counterparties.</w:t>
      </w:r>
    </w:p>
    <w:p>
      <w:pPr>
        <w:pStyle w:val="BodyText"/>
        <w:rPr>
          <w:sz w:val="30"/>
        </w:rPr>
      </w:pPr>
    </w:p>
    <w:p>
      <w:pPr>
        <w:pStyle w:val="BodyText"/>
        <w:spacing w:line="360" w:lineRule="auto"/>
        <w:ind w:left="234" w:right="1087"/>
      </w:pPr>
      <w:r>
        <w:rPr/>
        <w:t>The</w:t>
      </w:r>
      <w:r>
        <w:rPr>
          <w:spacing w:val="-3"/>
        </w:rPr>
        <w:t> </w:t>
      </w:r>
      <w:r>
        <w:rPr/>
        <w:t>most</w:t>
      </w:r>
      <w:r>
        <w:rPr>
          <w:spacing w:val="-3"/>
        </w:rPr>
        <w:t> </w:t>
      </w:r>
      <w:r>
        <w:rPr/>
        <w:t>innovative</w:t>
      </w:r>
      <w:r>
        <w:rPr>
          <w:spacing w:val="-3"/>
        </w:rPr>
        <w:t> </w:t>
      </w:r>
      <w:r>
        <w:rPr/>
        <w:t>aspect</w:t>
      </w:r>
      <w:r>
        <w:rPr>
          <w:spacing w:val="-3"/>
        </w:rPr>
        <w:t> </w:t>
      </w:r>
      <w:r>
        <w:rPr/>
        <w:t>of</w:t>
      </w:r>
      <w:r>
        <w:rPr>
          <w:spacing w:val="-3"/>
        </w:rPr>
        <w:t> </w:t>
      </w:r>
      <w:r>
        <w:rPr/>
        <w:t>ILTRs</w:t>
      </w:r>
      <w:r>
        <w:rPr>
          <w:spacing w:val="-3"/>
        </w:rPr>
        <w:t> </w:t>
      </w:r>
      <w:r>
        <w:rPr/>
        <w:t>is</w:t>
      </w:r>
      <w:r>
        <w:rPr>
          <w:spacing w:val="-2"/>
        </w:rPr>
        <w:t> </w:t>
      </w:r>
      <w:r>
        <w:rPr/>
        <w:t>that</w:t>
      </w:r>
      <w:r>
        <w:rPr>
          <w:spacing w:val="-3"/>
        </w:rPr>
        <w:t> </w:t>
      </w:r>
      <w:r>
        <w:rPr/>
        <w:t>is</w:t>
      </w:r>
      <w:r>
        <w:rPr>
          <w:spacing w:val="-3"/>
        </w:rPr>
        <w:t> </w:t>
      </w:r>
      <w:r>
        <w:rPr/>
        <w:t>that,</w:t>
      </w:r>
      <w:r>
        <w:rPr>
          <w:spacing w:val="-1"/>
        </w:rPr>
        <w:t> </w:t>
      </w:r>
      <w:r>
        <w:rPr/>
        <w:t>as</w:t>
      </w:r>
      <w:r>
        <w:rPr>
          <w:spacing w:val="-3"/>
        </w:rPr>
        <w:t> </w:t>
      </w:r>
      <w:r>
        <w:rPr/>
        <w:t>the</w:t>
      </w:r>
      <w:r>
        <w:rPr>
          <w:spacing w:val="-3"/>
        </w:rPr>
        <w:t> </w:t>
      </w:r>
      <w:r>
        <w:rPr/>
        <w:t>degree</w:t>
      </w:r>
      <w:r>
        <w:rPr>
          <w:spacing w:val="-2"/>
        </w:rPr>
        <w:t> </w:t>
      </w:r>
      <w:r>
        <w:rPr/>
        <w:t>of</w:t>
      </w:r>
      <w:r>
        <w:rPr>
          <w:spacing w:val="-3"/>
        </w:rPr>
        <w:t> </w:t>
      </w:r>
      <w:r>
        <w:rPr/>
        <w:t>market</w:t>
      </w:r>
      <w:r>
        <w:rPr>
          <w:spacing w:val="-3"/>
        </w:rPr>
        <w:t> </w:t>
      </w:r>
      <w:r>
        <w:rPr/>
        <w:t>stress</w:t>
      </w:r>
      <w:r>
        <w:rPr>
          <w:spacing w:val="-3"/>
        </w:rPr>
        <w:t> </w:t>
      </w:r>
      <w:r>
        <w:rPr/>
        <w:t>increases</w:t>
      </w:r>
      <w:r>
        <w:rPr>
          <w:spacing w:val="-3"/>
        </w:rPr>
        <w:t> </w:t>
      </w:r>
      <w:r>
        <w:rPr/>
        <w:t>(as</w:t>
      </w:r>
      <w:r>
        <w:rPr>
          <w:spacing w:val="-3"/>
        </w:rPr>
        <w:t> </w:t>
      </w:r>
      <w:r>
        <w:rPr/>
        <w:t>the</w:t>
      </w:r>
      <w:r>
        <w:rPr>
          <w:spacing w:val="-3"/>
        </w:rPr>
        <w:t> </w:t>
      </w:r>
      <w:r>
        <w:rPr/>
        <w:t>clearing spread on wider collateral rises relative to that on narrow collateral) the Bank automatically, within the auction, lends a greater proportion against wider collateral. And it gets a signal about the need to expand the overall size or frequency of the operations in future. As far as we know, the new format represents a global first for a public auction in any field. The rest of this paper goes through the new auction structure in more</w:t>
      </w:r>
      <w:r>
        <w:rPr>
          <w:spacing w:val="-2"/>
        </w:rPr>
        <w:t> </w:t>
      </w:r>
      <w:r>
        <w:rPr/>
        <w:t>detail.</w:t>
      </w:r>
    </w:p>
    <w:p>
      <w:pPr>
        <w:pStyle w:val="BodyText"/>
        <w:spacing w:before="2"/>
        <w:rPr>
          <w:sz w:val="30"/>
        </w:rPr>
      </w:pPr>
    </w:p>
    <w:p>
      <w:pPr>
        <w:pStyle w:val="Heading2"/>
      </w:pPr>
      <w:r>
        <w:rPr/>
        <w:t>The ILTR Demand Curve</w:t>
      </w:r>
    </w:p>
    <w:p>
      <w:pPr>
        <w:pStyle w:val="BodyText"/>
        <w:rPr>
          <w:b/>
          <w:sz w:val="22"/>
        </w:rPr>
      </w:pPr>
    </w:p>
    <w:p>
      <w:pPr>
        <w:pStyle w:val="BodyText"/>
        <w:spacing w:before="10"/>
        <w:rPr>
          <w:b/>
          <w:sz w:val="17"/>
        </w:rPr>
      </w:pPr>
    </w:p>
    <w:p>
      <w:pPr>
        <w:pStyle w:val="BodyText"/>
        <w:spacing w:line="360" w:lineRule="auto"/>
        <w:ind w:left="233" w:right="1108"/>
      </w:pPr>
      <w:r>
        <w:rPr/>
        <w:t>During the auction, counterparties submit their bids for reserves.</w:t>
      </w:r>
      <w:r>
        <w:rPr>
          <w:vertAlign w:val="superscript"/>
        </w:rPr>
        <w:t>13</w:t>
      </w:r>
      <w:r>
        <w:rPr>
          <w:vertAlign w:val="baseline"/>
        </w:rPr>
        <w:t> Some bid against the narrow collateral set, others against the wider set and some against both (using a so-called ‘paired bid’).</w:t>
      </w:r>
      <w:r>
        <w:rPr>
          <w:vertAlign w:val="superscript"/>
        </w:rPr>
        <w:t>14</w:t>
      </w:r>
      <w:r>
        <w:rPr>
          <w:vertAlign w:val="baseline"/>
        </w:rPr>
        <w:t> One could think of bids against each collateral set as separate. The auctions are uniform price so that all counterparties pay the lowest accepted rate (on each collateral set) regardless of their bids.</w:t>
      </w:r>
      <w:r>
        <w:rPr>
          <w:vertAlign w:val="superscript"/>
        </w:rPr>
        <w:t>15</w:t>
      </w:r>
      <w:r>
        <w:rPr>
          <w:vertAlign w:val="baseline"/>
        </w:rPr>
        <w:t> In theory, this should mean that there is no incentive for banks to try to “game” the auctions, nor is there a need to speculate on other bidders’ behaviour. Instead, bids should reflect the true demand for reserves since, if their bids are accepted, they will either pay the rate they bid, or a lower</w:t>
      </w:r>
      <w:r>
        <w:rPr>
          <w:spacing w:val="-16"/>
          <w:vertAlign w:val="baseline"/>
        </w:rPr>
        <w:t> </w:t>
      </w:r>
      <w:r>
        <w:rPr>
          <w:vertAlign w:val="baseline"/>
        </w:rPr>
        <w:t>one.</w:t>
      </w:r>
    </w:p>
    <w:p>
      <w:pPr>
        <w:pStyle w:val="BodyText"/>
      </w:pPr>
    </w:p>
    <w:p>
      <w:pPr>
        <w:pStyle w:val="BodyText"/>
      </w:pPr>
    </w:p>
    <w:p>
      <w:pPr>
        <w:pStyle w:val="BodyText"/>
        <w:rPr>
          <w:sz w:val="13"/>
        </w:rPr>
      </w:pPr>
      <w:r>
        <w:rPr/>
        <w:pict>
          <v:shape style="position:absolute;margin-left:56.700001pt;margin-top:9.714864pt;width:144pt;height:.1pt;mso-position-horizontal-relative:page;mso-position-vertical-relative:paragraph;z-index:-251631616;mso-wrap-distance-left:0;mso-wrap-distance-right:0" coordorigin="1134,194" coordsize="2880,0" path="m1134,194l4014,194e" filled="false" stroked="true" strokeweight=".47998pt" strokecolor="#000000">
            <v:path arrowok="t"/>
            <v:stroke dashstyle="solid"/>
            <w10:wrap type="topAndBottom"/>
          </v:shape>
        </w:pict>
      </w:r>
    </w:p>
    <w:p>
      <w:pPr>
        <w:spacing w:before="32"/>
        <w:ind w:left="234" w:right="1024" w:firstLine="0"/>
        <w:jc w:val="left"/>
        <w:rPr>
          <w:sz w:val="16"/>
        </w:rPr>
      </w:pPr>
      <w:r>
        <w:rPr>
          <w:position w:val="8"/>
          <w:sz w:val="10"/>
        </w:rPr>
        <w:t>13 </w:t>
      </w:r>
      <w:r>
        <w:rPr>
          <w:sz w:val="16"/>
        </w:rPr>
        <w:t>The Bank places no restriction on the number of bids submitted but places restrictions on the total value of bids received from a single participant. Participants may choose to submit multiple bids against either collateral set.</w:t>
      </w:r>
    </w:p>
    <w:p>
      <w:pPr>
        <w:spacing w:line="184" w:lineRule="exact" w:before="3"/>
        <w:ind w:left="233" w:right="1051" w:firstLine="0"/>
        <w:jc w:val="left"/>
        <w:rPr>
          <w:sz w:val="16"/>
        </w:rPr>
      </w:pPr>
      <w:r>
        <w:rPr>
          <w:position w:val="8"/>
          <w:sz w:val="10"/>
        </w:rPr>
        <w:t>14 </w:t>
      </w:r>
      <w:r>
        <w:rPr>
          <w:sz w:val="16"/>
        </w:rPr>
        <w:t>A paired bid consists of a single nominal amount and two spreads at which the counterparty is willing to borrow against the delivery of narrow and wider collateral respectively. This provides participants with two opportunities to raise a specific quantity of funds whilst avoiding any risk of over allotment that might otherwise occur if two single bids for the same nominal amount were submitted. If both</w:t>
      </w:r>
    </w:p>
    <w:p>
      <w:pPr>
        <w:spacing w:line="225" w:lineRule="auto" w:before="6"/>
        <w:ind w:left="233" w:right="1305" w:firstLine="0"/>
        <w:jc w:val="both"/>
        <w:rPr>
          <w:sz w:val="16"/>
        </w:rPr>
      </w:pPr>
      <w:r>
        <w:rPr>
          <w:sz w:val="16"/>
        </w:rPr>
        <w:t>parts of a paired bid are above their respective clearing spreads, and therefore eligible to be accepted, the participant will be allotted against the bid which offers them better value (the bid with the highest spread relative to the clearing spread for that collateral type). </w:t>
      </w:r>
      <w:r>
        <w:rPr>
          <w:position w:val="8"/>
          <w:sz w:val="10"/>
        </w:rPr>
        <w:t>15 </w:t>
      </w:r>
      <w:r>
        <w:rPr>
          <w:sz w:val="16"/>
        </w:rPr>
        <w:t>As opposed to the old LTRs which were run on a discriminatory price basis.</w:t>
      </w:r>
    </w:p>
    <w:p>
      <w:pPr>
        <w:spacing w:after="0" w:line="225" w:lineRule="auto"/>
        <w:jc w:val="both"/>
        <w:rPr>
          <w:sz w:val="16"/>
        </w:rPr>
        <w:sectPr>
          <w:footerReference w:type="default" r:id="rId18"/>
          <w:pgSz w:w="11900" w:h="16840"/>
          <w:pgMar w:footer="1340" w:header="0" w:top="1600" w:bottom="1540" w:left="900" w:right="120"/>
          <w:pgNumType w:start="9"/>
        </w:sectPr>
      </w:pPr>
    </w:p>
    <w:p>
      <w:pPr>
        <w:pStyle w:val="BodyText"/>
        <w:spacing w:line="360" w:lineRule="auto" w:before="76"/>
        <w:ind w:left="233" w:right="1052"/>
      </w:pPr>
      <w:r>
        <w:rPr/>
        <w:t>The mechanics of the allocation mechanism are relatively complicated. In a normal auction there will be one price at which the auction will clear. But in the ILTRs there are two clearing prices, one for each of the two types of collateral. And there will be pairs of clearing rates which ensure that the total amount lent in the operation equals the amount on offer. These pairs of possible clearing rates can be derived from the bids, and the resulting “frontier” can be converted into a “demand schedule” mapping the difference between the two clearing rates (known as the stop-out spread) against the proportion of the auction that would be allocated to wider collateral (and hence by implication, narrow collateral) in each case.</w:t>
      </w:r>
    </w:p>
    <w:p>
      <w:pPr>
        <w:pStyle w:val="BodyText"/>
        <w:rPr>
          <w:sz w:val="30"/>
        </w:rPr>
      </w:pPr>
    </w:p>
    <w:p>
      <w:pPr>
        <w:pStyle w:val="BodyText"/>
        <w:spacing w:line="360" w:lineRule="auto"/>
        <w:ind w:left="233" w:right="1052"/>
      </w:pPr>
      <w:r>
        <w:rPr/>
        <w:t>This concept is best understood using a simple example. Consider Table 1 below, which shows hypothetical bids from six counterparties. Three of the bids are against the narrow collateral set (N) and the remaining three are against the wider set (W). At the end of the auction, the bids within each set are ranked from those with the highest spread to those with the lowest spread, as shown. For simplicity of exposition, assume that there are no paired bids, and that the Bank has committed to supply £100mn in this operation.</w:t>
      </w:r>
    </w:p>
    <w:p>
      <w:pPr>
        <w:pStyle w:val="BodyText"/>
        <w:rPr>
          <w:sz w:val="30"/>
        </w:rPr>
      </w:pPr>
    </w:p>
    <w:p>
      <w:pPr>
        <w:pStyle w:val="BodyText"/>
        <w:tabs>
          <w:tab w:pos="4799" w:val="left" w:leader="none"/>
        </w:tabs>
        <w:ind w:left="233"/>
      </w:pPr>
      <w:r>
        <w:rPr/>
        <w:t>Table 1: Hypothetical</w:t>
      </w:r>
      <w:r>
        <w:rPr>
          <w:spacing w:val="-13"/>
        </w:rPr>
        <w:t> </w:t>
      </w:r>
      <w:r>
        <w:rPr/>
        <w:t>ILTR</w:t>
      </w:r>
      <w:r>
        <w:rPr>
          <w:spacing w:val="-3"/>
        </w:rPr>
        <w:t> </w:t>
      </w:r>
      <w:r>
        <w:rPr/>
        <w:t>bids</w:t>
        <w:tab/>
        <w:t>Chart 5: Demand schedule based on bids in Table</w:t>
      </w:r>
      <w:r>
        <w:rPr>
          <w:spacing w:val="-10"/>
        </w:rPr>
        <w:t> </w:t>
      </w:r>
      <w:r>
        <w:rPr/>
        <w:t>1</w:t>
      </w:r>
    </w:p>
    <w:p>
      <w:pPr>
        <w:pStyle w:val="BodyText"/>
      </w:pPr>
    </w:p>
    <w:p>
      <w:pPr>
        <w:pStyle w:val="BodyText"/>
      </w:pPr>
    </w:p>
    <w:p>
      <w:pPr>
        <w:pStyle w:val="BodyText"/>
        <w:spacing w:before="6"/>
        <w:rPr>
          <w:sz w:val="17"/>
        </w:rPr>
      </w:pPr>
    </w:p>
    <w:p>
      <w:pPr>
        <w:pStyle w:val="Heading1"/>
      </w:pPr>
      <w:r>
        <w:rPr/>
        <w:pict>
          <v:group style="position:absolute;margin-left:286.920013pt;margin-top:-26.786333pt;width:241.45pt;height:196.45pt;mso-position-horizontal-relative:page;mso-position-vertical-relative:paragraph;z-index:251697152" coordorigin="5738,-536" coordsize="4829,3929">
            <v:shape style="position:absolute;left:6038;top:-132;width:3989;height:2700" coordorigin="6038,-131" coordsize="3989,2700" path="m10024,-131l6041,-131,6038,-128,6038,2565,6041,2569,10024,2569,10027,2565,10027,2560,6053,2560,6046,2553,6053,2553,6053,-116,6046,-116,6053,-123,10027,-123,10027,-128,10024,-131xm6053,2553l6046,2553,6053,2560,6053,2553xm10012,2553l6053,2553,6053,2560,10012,2560,10012,2553xm10012,-123l10012,2560,10020,2553,10027,2553,10027,-116,10020,-116,10012,-123xm10027,2553l10020,2553,10012,2560,10027,2560,10027,2553xm6053,-123l6046,-116,6053,-116,6053,-123xm10012,-123l6053,-123,6053,-116,10012,-116,10012,-123xm10027,-123l10012,-123,10020,-116,10027,-116,10027,-123xe" filled="true" fillcolor="#000000" stroked="false">
              <v:path arrowok="t"/>
              <v:fill type="solid"/>
            </v:shape>
            <v:line style="position:absolute" from="10019,-123" to="10019,2560" stroked="true" strokeweight=".78pt" strokecolor="#000000">
              <v:stroke dashstyle="solid"/>
            </v:line>
            <v:shape style="position:absolute;left:9960;top:-132;width:60;height:2700" coordorigin="9960,-131" coordsize="60,2700" path="m10020,2553l9960,2553,9960,2569,10020,2569,10020,2553m10020,2029l9960,2029,9960,2043,10020,2043,10020,2029m10020,1489l9960,1489,9960,1503,10020,1503,10020,1489m10020,949l9960,949,9960,964,10020,964,10020,949m10020,409l9960,409,9960,424,10020,424,10020,409m10020,-131l9960,-131,9960,-116,10020,-116,10020,-131e" filled="true" fillcolor="#000000" stroked="false">
              <v:path arrowok="t"/>
              <v:fill type="solid"/>
            </v:shape>
            <v:line style="position:absolute" from="6046,2561" to="10020,2561" stroked="true" strokeweight=".78pt" strokecolor="#000000">
              <v:stroke dashstyle="solid"/>
            </v:line>
            <v:shape style="position:absolute;left:6038;top:2560;width:3629;height:60" coordorigin="6038,2560" coordsize="3629,60" path="m6053,2560l6038,2560,6038,2620,6053,2620,6053,2560m6773,2560l6758,2560,6758,2620,6773,2620,6773,2560m7493,2560l7477,2560,7477,2620,7493,2620,7493,2560m8213,2560l8197,2560,8197,2620,8213,2620,8213,2560m8947,2560l8933,2560,8933,2620,8947,2620,8947,2560m9667,2560l9652,2560,9652,2620,9667,2620,9667,2560e" filled="true" fillcolor="#000000" stroked="false">
              <v:path arrowok="t"/>
              <v:fill type="solid"/>
            </v:shape>
            <v:shape style="position:absolute;left:6038;top:138;width:3629;height:2445" coordorigin="6038,139" coordsize="3629,2445" path="m6428,506l6421,499,6404,499,6398,506,6398,583,6404,589,6421,589,6428,583,6428,506m6428,386l6421,379,6404,379,6398,386,6398,463,6404,469,6421,469,6428,463,6428,386m6428,266l6421,259,6404,259,6398,266,6398,343,6404,349,6421,349,6428,343,6428,266m6428,146l6421,139,6404,139,6038,139,6038,169,6398,169,6398,223,6404,229,6421,229,6428,223,6428,163,6428,146m7147,1046l7141,1039,7124,1039,7117,1046,7117,1121,7124,1129,7141,1129,7147,1121,7147,1046m7147,926l7141,919,7124,919,7117,926,7117,1003,7124,1009,7141,1009,7147,1003,7147,926m7147,806l7141,799,7124,799,7117,806,7117,883,7124,889,7141,889,7147,883,7147,806m7147,686l7141,679,7124,679,6428,679,6428,626,6421,619,6404,619,6398,626,6398,686,6398,703,6404,709,6421,709,7117,709,7117,763,7124,769,7141,769,7147,763,7147,703,7147,686m7507,1570l7501,1563,7484,1563,7477,1570,7477,1647,7484,1653,7501,1653,7507,1647,7507,1570m7507,1450l7501,1443,7484,1443,7477,1450,7477,1527,7484,1533,7501,1533,7507,1527,7507,1450m7507,1330l7501,1324,7484,1324,7477,1330,7477,1407,7484,1414,7501,1414,7507,1407,7507,1330m7507,1210l7501,1204,7484,1204,7147,1204,7147,1166,7141,1159,7124,1159,7117,1166,7117,1210,7117,1227,7124,1234,7141,1234,7477,1234,7477,1287,7484,1294,7501,1294,7507,1287,7507,1227,7507,1210m7867,2110l7861,2103,7844,2103,7837,2110,7837,2187,7844,2193,7861,2193,7867,2187,7867,2110m7867,1990l7861,1983,7844,1983,7837,1990,7837,2067,7844,2073,7861,2073,7867,2067,7867,1990m7867,1870l7861,1863,7844,1863,7837,1870,7837,1947,7844,1953,7861,1953,7867,1947,7867,1870m7867,1750l7861,1743,7844,1743,7507,1743,7507,1690,7501,1683,7484,1683,7477,1690,7477,1750,7477,1767,7484,1773,7501,1773,7837,1773,7837,1827,7844,1833,7861,1833,7867,1827,7867,1767,7867,1750m9667,2530l9660,2523,9643,2523,9637,2530,9637,2577,9643,2583,9660,2583,9667,2577,9667,2530m9667,2410l9660,2403,9643,2403,9637,2410,9637,2487,9643,2493,9660,2493,9667,2487,9667,2410m9667,2290l9660,2283,9643,2283,7867,2283,7867,2230,7861,2223,7844,2223,7837,2230,7837,2290,7837,2307,7844,2313,7861,2313,9637,2313,9637,2367,9643,2373,9660,2373,9667,2367,9667,2307,9667,2290e" filled="true" fillcolor="#165788" stroked="false">
              <v:path arrowok="t"/>
              <v:fill type="solid"/>
            </v:shape>
            <v:shape style="position:absolute;left:5962;top:78;width:155;height:156" type="#_x0000_t75" stroked="false">
              <v:imagedata r:id="rId20" o:title=""/>
            </v:shape>
            <v:shape style="position:absolute;left:6324;top:78;width:155;height:156" type="#_x0000_t75" stroked="false">
              <v:imagedata r:id="rId21" o:title=""/>
            </v:shape>
            <v:shape style="position:absolute;left:6324;top:613;width:155;height:156" type="#_x0000_t75" stroked="false">
              <v:imagedata r:id="rId22" o:title=""/>
            </v:shape>
            <v:shape style="position:absolute;left:7045;top:613;width:156;height:156" type="#_x0000_t75" stroked="false">
              <v:imagedata r:id="rId23" o:title=""/>
            </v:shape>
            <v:shape style="position:absolute;left:7045;top:1149;width:156;height:156" type="#_x0000_t75" stroked="false">
              <v:imagedata r:id="rId24" o:title=""/>
            </v:shape>
            <v:shape style="position:absolute;left:7406;top:1149;width:155;height:156" type="#_x0000_t75" stroked="false">
              <v:imagedata r:id="rId25" o:title=""/>
            </v:shape>
            <v:shape style="position:absolute;left:7406;top:1684;width:155;height:156" type="#_x0000_t75" stroked="false">
              <v:imagedata r:id="rId26" o:title=""/>
            </v:shape>
            <v:shape style="position:absolute;left:7767;top:1684;width:155;height:156" type="#_x0000_t75" stroked="false">
              <v:imagedata r:id="rId27" o:title=""/>
            </v:shape>
            <v:shape style="position:absolute;left:7767;top:2220;width:155;height:156" type="#_x0000_t75" stroked="false">
              <v:imagedata r:id="rId28" o:title=""/>
            </v:shape>
            <v:shape style="position:absolute;left:9572;top:2220;width:155;height:156" type="#_x0000_t75" stroked="false">
              <v:imagedata r:id="rId29" o:title=""/>
            </v:shape>
            <v:shape style="position:absolute;left:9572;top:2488;width:155;height:156" type="#_x0000_t75" stroked="false">
              <v:imagedata r:id="rId30" o:title=""/>
            </v:shape>
            <v:shape style="position:absolute;left:5738;top:-536;width:4829;height:3929" coordorigin="5738,-536" coordsize="4829,3929" path="m10564,-536l5742,-536,5738,-532,5738,3389,5742,3393,10564,3393,10567,3389,10567,3386,5753,3386,5746,3377,5753,3377,5753,-520,5746,-520,5753,-529,10567,-529,10567,-532,10564,-536xm5753,3377l5746,3377,5753,3386,5753,3377xm10552,3377l5753,3377,5753,3386,10552,3386,10552,3377xm10552,-529l10552,3386,10559,3377,10567,3377,10567,-520,10559,-520,10552,-529xm10567,3377l10559,3377,10552,3386,10567,3386,10567,3377xm5753,-529l5746,-520,5753,-520,5753,-529xm10552,-529l5753,-529,5753,-520,10552,-520,10552,-529xm10567,-529l10552,-529,10559,-520,10567,-520,10567,-529xe" filled="true" fillcolor="#ffffff" stroked="false">
              <v:path arrowok="t"/>
              <v:fill type="solid"/>
            </v:shape>
            <v:shape style="position:absolute;left:6525;top:67;width:1306;height:908" coordorigin="6526,68" coordsize="1306,908" path="m6976,139l6568,139,6664,83,6667,81,6668,76,6667,73,6665,69,6660,68,6656,70,6526,147,6656,223,6660,225,6665,224,6667,220,6668,217,6667,212,6664,211,6568,154,6976,154,6976,139m7831,799l7829,784,7238,911,7322,835,7326,832,7326,827,7320,821,7315,821,7313,824,7200,926,7344,974,7349,975,7352,973,7355,965,7354,961,7349,959,7261,931,7243,925,7217,931,7228,928,7243,925,7831,799e" filled="true" fillcolor="#000000" stroked="false">
              <v:path arrowok="t"/>
              <v:fill type="solid"/>
            </v:shape>
            <v:shape style="position:absolute;left:7088;top:-416;width:3302;height:1171" type="#_x0000_t202" filled="false" stroked="false">
              <v:textbox inset="0,0,0,0">
                <w:txbxContent>
                  <w:p>
                    <w:pPr>
                      <w:spacing w:line="223" w:lineRule="exact" w:before="0"/>
                      <w:ind w:left="1769" w:right="0" w:firstLine="0"/>
                      <w:jc w:val="left"/>
                      <w:rPr>
                        <w:rFonts w:ascii="Calibri" w:hAnsi="Calibri"/>
                        <w:sz w:val="22"/>
                      </w:rPr>
                    </w:pPr>
                    <w:r>
                      <w:rPr>
                        <w:rFonts w:ascii="Calibri" w:hAnsi="Calibri"/>
                        <w:sz w:val="22"/>
                      </w:rPr>
                      <w:t>Stop‐out spread</w:t>
                    </w:r>
                  </w:p>
                  <w:p>
                    <w:pPr>
                      <w:spacing w:line="180" w:lineRule="exact" w:before="0"/>
                      <w:ind w:left="3101" w:right="0" w:firstLine="0"/>
                      <w:jc w:val="left"/>
                      <w:rPr>
                        <w:sz w:val="16"/>
                      </w:rPr>
                    </w:pPr>
                    <w:r>
                      <w:rPr>
                        <w:w w:val="105"/>
                        <w:sz w:val="16"/>
                      </w:rPr>
                      <w:t>10</w:t>
                    </w:r>
                  </w:p>
                  <w:p>
                    <w:pPr>
                      <w:spacing w:before="36"/>
                      <w:ind w:left="0" w:right="0" w:firstLine="0"/>
                      <w:jc w:val="left"/>
                      <w:rPr>
                        <w:rFonts w:ascii="Calibri"/>
                        <w:sz w:val="22"/>
                      </w:rPr>
                    </w:pPr>
                    <w:r>
                      <w:rPr>
                        <w:rFonts w:ascii="Calibri"/>
                        <w:sz w:val="22"/>
                      </w:rPr>
                      <w:t>Cease allocating to bidder 6</w:t>
                    </w:r>
                  </w:p>
                  <w:p>
                    <w:pPr>
                      <w:spacing w:line="167" w:lineRule="exact" w:before="48"/>
                      <w:ind w:left="3099" w:right="0" w:firstLine="0"/>
                      <w:jc w:val="left"/>
                      <w:rPr>
                        <w:sz w:val="16"/>
                      </w:rPr>
                    </w:pPr>
                    <w:r>
                      <w:rPr>
                        <w:w w:val="103"/>
                        <w:sz w:val="16"/>
                      </w:rPr>
                      <w:t>8</w:t>
                    </w:r>
                  </w:p>
                  <w:p>
                    <w:pPr>
                      <w:spacing w:line="248" w:lineRule="exact" w:before="0"/>
                      <w:ind w:left="990" w:right="0" w:firstLine="0"/>
                      <w:jc w:val="left"/>
                      <w:rPr>
                        <w:rFonts w:ascii="Calibri"/>
                        <w:sz w:val="22"/>
                      </w:rPr>
                    </w:pPr>
                    <w:r>
                      <w:rPr>
                        <w:rFonts w:ascii="Calibri"/>
                        <w:sz w:val="22"/>
                      </w:rPr>
                      <w:t>Start allocating</w:t>
                    </w:r>
                  </w:p>
                </w:txbxContent>
              </v:textbox>
              <w10:wrap type="none"/>
            </v:shape>
            <v:shape style="position:absolute;left:8078;top:799;width:990;height:225" type="#_x0000_t202" filled="false" stroked="false">
              <v:textbox inset="0,0,0,0">
                <w:txbxContent>
                  <w:p>
                    <w:pPr>
                      <w:spacing w:line="225" w:lineRule="exact" w:before="0"/>
                      <w:ind w:left="0" w:right="0" w:firstLine="0"/>
                      <w:jc w:val="left"/>
                      <w:rPr>
                        <w:rFonts w:ascii="Calibri"/>
                        <w:sz w:val="22"/>
                      </w:rPr>
                    </w:pPr>
                    <w:r>
                      <w:rPr>
                        <w:rFonts w:ascii="Calibri"/>
                        <w:sz w:val="22"/>
                      </w:rPr>
                      <w:t>to bidder 2</w:t>
                    </w:r>
                  </w:p>
                </w:txbxContent>
              </v:textbox>
              <w10:wrap type="none"/>
            </v:shape>
            <v:shape style="position:absolute;left:10188;top:878;width:112;height:1795" type="#_x0000_t202" filled="false" stroked="false">
              <v:textbox inset="0,0,0,0">
                <w:txbxContent>
                  <w:p>
                    <w:pPr>
                      <w:spacing w:line="183" w:lineRule="exact" w:before="0"/>
                      <w:ind w:left="0" w:right="0" w:firstLine="0"/>
                      <w:jc w:val="left"/>
                      <w:rPr>
                        <w:sz w:val="16"/>
                      </w:rPr>
                    </w:pPr>
                    <w:r>
                      <w:rPr>
                        <w:w w:val="103"/>
                        <w:sz w:val="16"/>
                      </w:rPr>
                      <w:t>6</w:t>
                    </w:r>
                  </w:p>
                  <w:p>
                    <w:pPr>
                      <w:spacing w:line="240" w:lineRule="auto" w:before="0"/>
                      <w:rPr>
                        <w:sz w:val="18"/>
                      </w:rPr>
                    </w:pPr>
                  </w:p>
                  <w:p>
                    <w:pPr>
                      <w:spacing w:before="145"/>
                      <w:ind w:left="0" w:right="0" w:firstLine="0"/>
                      <w:jc w:val="left"/>
                      <w:rPr>
                        <w:sz w:val="16"/>
                      </w:rPr>
                    </w:pPr>
                    <w:r>
                      <w:rPr>
                        <w:w w:val="103"/>
                        <w:sz w:val="16"/>
                      </w:rPr>
                      <w:t>4</w:t>
                    </w:r>
                  </w:p>
                  <w:p>
                    <w:pPr>
                      <w:spacing w:line="240" w:lineRule="auto" w:before="0"/>
                      <w:rPr>
                        <w:sz w:val="18"/>
                      </w:rPr>
                    </w:pPr>
                  </w:p>
                  <w:p>
                    <w:pPr>
                      <w:spacing w:before="146"/>
                      <w:ind w:left="0" w:right="0" w:firstLine="0"/>
                      <w:jc w:val="left"/>
                      <w:rPr>
                        <w:sz w:val="16"/>
                      </w:rPr>
                    </w:pPr>
                    <w:r>
                      <w:rPr>
                        <w:w w:val="103"/>
                        <w:sz w:val="16"/>
                      </w:rPr>
                      <w:t>2</w:t>
                    </w:r>
                  </w:p>
                  <w:p>
                    <w:pPr>
                      <w:spacing w:line="240" w:lineRule="auto" w:before="0"/>
                      <w:rPr>
                        <w:sz w:val="18"/>
                      </w:rPr>
                    </w:pPr>
                  </w:p>
                  <w:p>
                    <w:pPr>
                      <w:spacing w:before="146"/>
                      <w:ind w:left="0" w:right="0" w:firstLine="0"/>
                      <w:jc w:val="left"/>
                      <w:rPr>
                        <w:sz w:val="16"/>
                      </w:rPr>
                    </w:pPr>
                    <w:r>
                      <w:rPr>
                        <w:w w:val="103"/>
                        <w:sz w:val="16"/>
                      </w:rPr>
                      <w:t>0</w:t>
                    </w:r>
                  </w:p>
                </w:txbxContent>
              </v:textbox>
              <w10:wrap type="none"/>
            </v:shape>
            <v:shape style="position:absolute;left:5997;top:2762;width:112;height:185" type="#_x0000_t202" filled="false" stroked="false">
              <v:textbox inset="0,0,0,0">
                <w:txbxContent>
                  <w:p>
                    <w:pPr>
                      <w:spacing w:line="183" w:lineRule="exact" w:before="0"/>
                      <w:ind w:left="0" w:right="0" w:firstLine="0"/>
                      <w:jc w:val="left"/>
                      <w:rPr>
                        <w:sz w:val="16"/>
                      </w:rPr>
                    </w:pPr>
                    <w:r>
                      <w:rPr>
                        <w:w w:val="103"/>
                        <w:sz w:val="16"/>
                      </w:rPr>
                      <w:t>0</w:t>
                    </w:r>
                  </w:p>
                </w:txbxContent>
              </v:textbox>
              <w10:wrap type="none"/>
            </v:shape>
            <v:shape style="position:absolute;left:6674;top:2762;width:202;height:185" type="#_x0000_t202" filled="false" stroked="false">
              <v:textbox inset="0,0,0,0">
                <w:txbxContent>
                  <w:p>
                    <w:pPr>
                      <w:spacing w:line="183" w:lineRule="exact" w:before="0"/>
                      <w:ind w:left="0" w:right="0" w:firstLine="0"/>
                      <w:jc w:val="left"/>
                      <w:rPr>
                        <w:sz w:val="16"/>
                      </w:rPr>
                    </w:pPr>
                    <w:r>
                      <w:rPr>
                        <w:w w:val="105"/>
                        <w:sz w:val="16"/>
                      </w:rPr>
                      <w:t>20</w:t>
                    </w:r>
                  </w:p>
                </w:txbxContent>
              </v:textbox>
              <w10:wrap type="none"/>
            </v:shape>
            <v:shape style="position:absolute;left:7396;top:2762;width:202;height:185" type="#_x0000_t202" filled="false" stroked="false">
              <v:textbox inset="0,0,0,0">
                <w:txbxContent>
                  <w:p>
                    <w:pPr>
                      <w:spacing w:line="183" w:lineRule="exact" w:before="0"/>
                      <w:ind w:left="0" w:right="0" w:firstLine="0"/>
                      <w:jc w:val="left"/>
                      <w:rPr>
                        <w:sz w:val="16"/>
                      </w:rPr>
                    </w:pPr>
                    <w:r>
                      <w:rPr>
                        <w:w w:val="105"/>
                        <w:sz w:val="16"/>
                      </w:rPr>
                      <w:t>40</w:t>
                    </w:r>
                  </w:p>
                </w:txbxContent>
              </v:textbox>
              <w10:wrap type="none"/>
            </v:shape>
            <v:shape style="position:absolute;left:8119;top:2762;width:202;height:185" type="#_x0000_t202" filled="false" stroked="false">
              <v:textbox inset="0,0,0,0">
                <w:txbxContent>
                  <w:p>
                    <w:pPr>
                      <w:spacing w:line="183" w:lineRule="exact" w:before="0"/>
                      <w:ind w:left="0" w:right="0" w:firstLine="0"/>
                      <w:jc w:val="left"/>
                      <w:rPr>
                        <w:sz w:val="16"/>
                      </w:rPr>
                    </w:pPr>
                    <w:r>
                      <w:rPr>
                        <w:w w:val="105"/>
                        <w:sz w:val="16"/>
                      </w:rPr>
                      <w:t>60</w:t>
                    </w:r>
                  </w:p>
                </w:txbxContent>
              </v:textbox>
              <w10:wrap type="none"/>
            </v:shape>
            <v:shape style="position:absolute;left:8841;top:2762;width:202;height:185" type="#_x0000_t202" filled="false" stroked="false">
              <v:textbox inset="0,0,0,0">
                <w:txbxContent>
                  <w:p>
                    <w:pPr>
                      <w:spacing w:line="183" w:lineRule="exact" w:before="0"/>
                      <w:ind w:left="0" w:right="0" w:firstLine="0"/>
                      <w:jc w:val="left"/>
                      <w:rPr>
                        <w:sz w:val="16"/>
                      </w:rPr>
                    </w:pPr>
                    <w:r>
                      <w:rPr>
                        <w:w w:val="105"/>
                        <w:sz w:val="16"/>
                      </w:rPr>
                      <w:t>80</w:t>
                    </w:r>
                  </w:p>
                </w:txbxContent>
              </v:textbox>
              <w10:wrap type="none"/>
            </v:shape>
            <v:shape style="position:absolute;left:9518;top:2762;width:292;height:185" type="#_x0000_t202" filled="false" stroked="false">
              <v:textbox inset="0,0,0,0">
                <w:txbxContent>
                  <w:p>
                    <w:pPr>
                      <w:spacing w:line="183" w:lineRule="exact" w:before="0"/>
                      <w:ind w:left="0" w:right="0" w:firstLine="0"/>
                      <w:jc w:val="left"/>
                      <w:rPr>
                        <w:sz w:val="16"/>
                      </w:rPr>
                    </w:pPr>
                    <w:r>
                      <w:rPr>
                        <w:w w:val="105"/>
                        <w:sz w:val="16"/>
                      </w:rPr>
                      <w:t>100</w:t>
                    </w:r>
                  </w:p>
                </w:txbxContent>
              </v:textbox>
              <w10:wrap type="none"/>
            </v:shape>
            <v:shape style="position:absolute;left:6099;top:3075;width:3971;height:225" type="#_x0000_t202" filled="false" stroked="false">
              <v:textbox inset="0,0,0,0">
                <w:txbxContent>
                  <w:p>
                    <w:pPr>
                      <w:spacing w:line="225" w:lineRule="exact" w:before="0"/>
                      <w:ind w:left="0" w:right="0" w:firstLine="0"/>
                      <w:jc w:val="left"/>
                      <w:rPr>
                        <w:rFonts w:ascii="Calibri"/>
                        <w:sz w:val="22"/>
                      </w:rPr>
                    </w:pPr>
                    <w:r>
                      <w:rPr>
                        <w:rFonts w:ascii="Calibri"/>
                        <w:sz w:val="22"/>
                      </w:rPr>
                      <w:t>Proportion allocated against wider collateral</w:t>
                    </w:r>
                  </w:p>
                </w:txbxContent>
              </v:textbox>
              <w10:wrap type="none"/>
            </v:shape>
            <w10:wrap type="none"/>
          </v:group>
        </w:pict>
      </w:r>
      <w:r>
        <w:rPr/>
        <w:t>Baseline</w:t>
      </w:r>
    </w:p>
    <w:p>
      <w:pPr>
        <w:pStyle w:val="BodyText"/>
        <w:spacing w:before="4"/>
        <w:rPr>
          <w:rFonts w:ascii="Calibri"/>
          <w:sz w:val="17"/>
        </w:rPr>
      </w:pPr>
    </w:p>
    <w:p>
      <w:pPr>
        <w:tabs>
          <w:tab w:pos="1494" w:val="left" w:leader="none"/>
          <w:tab w:pos="2754" w:val="left" w:leader="none"/>
          <w:tab w:pos="3759" w:val="left" w:leader="none"/>
        </w:tabs>
        <w:spacing w:before="0"/>
        <w:ind w:left="444" w:right="0" w:firstLine="0"/>
        <w:jc w:val="left"/>
        <w:rPr>
          <w:rFonts w:ascii="Calibri"/>
          <w:b/>
          <w:sz w:val="22"/>
        </w:rPr>
      </w:pPr>
      <w:r>
        <w:rPr>
          <w:rFonts w:ascii="Calibri"/>
          <w:b/>
          <w:sz w:val="22"/>
        </w:rPr>
        <w:t>Bidder</w:t>
        <w:tab/>
      </w:r>
      <w:r>
        <w:rPr>
          <w:rFonts w:ascii="Calibri"/>
          <w:b/>
          <w:spacing w:val="-3"/>
          <w:sz w:val="22"/>
        </w:rPr>
        <w:t>Type</w:t>
        <w:tab/>
      </w:r>
      <w:r>
        <w:rPr>
          <w:rFonts w:ascii="Calibri"/>
          <w:b/>
          <w:sz w:val="22"/>
        </w:rPr>
        <w:t>Amount</w:t>
        <w:tab/>
        <w:t>Spread</w:t>
      </w:r>
    </w:p>
    <w:p>
      <w:pPr>
        <w:pStyle w:val="Heading1"/>
        <w:numPr>
          <w:ilvl w:val="0"/>
          <w:numId w:val="3"/>
        </w:numPr>
        <w:tabs>
          <w:tab w:pos="1433" w:val="left" w:leader="none"/>
          <w:tab w:pos="1435" w:val="left" w:leader="none"/>
          <w:tab w:pos="3024" w:val="left" w:leader="none"/>
          <w:tab w:pos="4192" w:val="right" w:leader="none"/>
        </w:tabs>
        <w:spacing w:line="240" w:lineRule="auto" w:before="31" w:after="0"/>
        <w:ind w:left="1434" w:right="0" w:hanging="737"/>
        <w:jc w:val="left"/>
      </w:pPr>
      <w:r>
        <w:rPr>
          <w:spacing w:val="2"/>
        </w:rPr>
        <w:t>Wider</w:t>
        <w:tab/>
      </w:r>
      <w:r>
        <w:rPr>
          <w:spacing w:val="-10"/>
        </w:rPr>
        <w:t>30</w:t>
        <w:tab/>
        <w:t>19</w:t>
      </w:r>
    </w:p>
    <w:p>
      <w:pPr>
        <w:pStyle w:val="Heading1"/>
        <w:numPr>
          <w:ilvl w:val="0"/>
          <w:numId w:val="3"/>
        </w:numPr>
        <w:tabs>
          <w:tab w:pos="1433" w:val="left" w:leader="none"/>
          <w:tab w:pos="1435" w:val="left" w:leader="none"/>
          <w:tab w:pos="3024" w:val="left" w:leader="none"/>
          <w:tab w:pos="4192" w:val="right" w:leader="none"/>
        </w:tabs>
        <w:spacing w:line="240" w:lineRule="auto" w:before="32" w:after="0"/>
        <w:ind w:left="1434" w:right="0" w:hanging="737"/>
        <w:jc w:val="left"/>
      </w:pPr>
      <w:r>
        <w:rPr>
          <w:spacing w:val="2"/>
        </w:rPr>
        <w:t>Wider</w:t>
        <w:tab/>
      </w:r>
      <w:r>
        <w:rPr>
          <w:spacing w:val="-10"/>
        </w:rPr>
        <w:t>20</w:t>
        <w:tab/>
        <w:t>17</w:t>
      </w:r>
    </w:p>
    <w:p>
      <w:pPr>
        <w:pStyle w:val="Heading1"/>
        <w:numPr>
          <w:ilvl w:val="0"/>
          <w:numId w:val="3"/>
        </w:numPr>
        <w:tabs>
          <w:tab w:pos="1433" w:val="left" w:leader="none"/>
          <w:tab w:pos="1435" w:val="left" w:leader="none"/>
          <w:tab w:pos="3024" w:val="left" w:leader="none"/>
          <w:tab w:pos="4192" w:val="right" w:leader="none"/>
        </w:tabs>
        <w:spacing w:line="240" w:lineRule="auto" w:before="31" w:after="0"/>
        <w:ind w:left="1434" w:right="0" w:hanging="737"/>
        <w:jc w:val="left"/>
      </w:pPr>
      <w:r>
        <w:rPr>
          <w:spacing w:val="2"/>
        </w:rPr>
        <w:t>Wider</w:t>
        <w:tab/>
      </w:r>
      <w:r>
        <w:rPr>
          <w:spacing w:val="-10"/>
        </w:rPr>
        <w:t>50</w:t>
        <w:tab/>
        <w:t>15</w:t>
      </w:r>
    </w:p>
    <w:p>
      <w:pPr>
        <w:pStyle w:val="Heading1"/>
        <w:numPr>
          <w:ilvl w:val="0"/>
          <w:numId w:val="3"/>
        </w:numPr>
        <w:tabs>
          <w:tab w:pos="1373" w:val="left" w:leader="none"/>
          <w:tab w:pos="1375" w:val="left" w:leader="none"/>
          <w:tab w:pos="3024" w:val="left" w:leader="none"/>
          <w:tab w:pos="4202" w:val="right" w:leader="none"/>
        </w:tabs>
        <w:spacing w:line="240" w:lineRule="auto" w:before="242" w:after="0"/>
        <w:ind w:left="1374" w:right="0" w:hanging="677"/>
        <w:jc w:val="left"/>
      </w:pPr>
      <w:r>
        <w:rPr/>
        <w:t>Narrow</w:t>
        <w:tab/>
      </w:r>
      <w:r>
        <w:rPr>
          <w:spacing w:val="-5"/>
        </w:rPr>
        <w:t>60</w:t>
        <w:tab/>
        <w:t>14</w:t>
      </w:r>
    </w:p>
    <w:p>
      <w:pPr>
        <w:pStyle w:val="Heading1"/>
        <w:numPr>
          <w:ilvl w:val="0"/>
          <w:numId w:val="3"/>
        </w:numPr>
        <w:tabs>
          <w:tab w:pos="1373" w:val="left" w:leader="none"/>
          <w:tab w:pos="1375" w:val="left" w:leader="none"/>
          <w:tab w:pos="3024" w:val="left" w:leader="none"/>
          <w:tab w:pos="4202" w:val="right" w:leader="none"/>
        </w:tabs>
        <w:spacing w:line="240" w:lineRule="auto" w:before="31" w:after="0"/>
        <w:ind w:left="1374" w:right="0" w:hanging="677"/>
        <w:jc w:val="left"/>
      </w:pPr>
      <w:r>
        <w:rPr/>
        <w:t>Narrow</w:t>
        <w:tab/>
      </w:r>
      <w:r>
        <w:rPr>
          <w:spacing w:val="-5"/>
        </w:rPr>
        <w:t>30</w:t>
        <w:tab/>
        <w:t>12</w:t>
      </w:r>
    </w:p>
    <w:p>
      <w:pPr>
        <w:pStyle w:val="Heading1"/>
        <w:numPr>
          <w:ilvl w:val="0"/>
          <w:numId w:val="3"/>
        </w:numPr>
        <w:tabs>
          <w:tab w:pos="1373" w:val="left" w:leader="none"/>
          <w:tab w:pos="1375" w:val="left" w:leader="none"/>
          <w:tab w:pos="3024" w:val="left" w:leader="none"/>
          <w:tab w:pos="4202" w:val="right" w:leader="none"/>
        </w:tabs>
        <w:spacing w:line="240" w:lineRule="auto" w:before="32" w:after="0"/>
        <w:ind w:left="1374" w:right="0" w:hanging="677"/>
        <w:jc w:val="left"/>
      </w:pPr>
      <w:r>
        <w:rPr/>
        <w:t>Narrow</w:t>
        <w:tab/>
      </w:r>
      <w:r>
        <w:rPr>
          <w:spacing w:val="-5"/>
        </w:rPr>
        <w:t>10</w:t>
        <w:tab/>
        <w:t>10</w:t>
      </w:r>
    </w:p>
    <w:p>
      <w:pPr>
        <w:pStyle w:val="BodyText"/>
        <w:rPr>
          <w:rFonts w:ascii="Calibri"/>
          <w:sz w:val="22"/>
        </w:rPr>
      </w:pPr>
    </w:p>
    <w:p>
      <w:pPr>
        <w:pStyle w:val="BodyText"/>
        <w:rPr>
          <w:rFonts w:ascii="Calibri"/>
          <w:sz w:val="22"/>
        </w:rPr>
      </w:pPr>
    </w:p>
    <w:p>
      <w:pPr>
        <w:pStyle w:val="BodyText"/>
        <w:rPr>
          <w:rFonts w:ascii="Calibri"/>
          <w:sz w:val="22"/>
        </w:rPr>
      </w:pPr>
    </w:p>
    <w:p>
      <w:pPr>
        <w:pStyle w:val="BodyText"/>
        <w:spacing w:before="1"/>
        <w:rPr>
          <w:rFonts w:ascii="Calibri"/>
          <w:sz w:val="24"/>
        </w:rPr>
      </w:pPr>
    </w:p>
    <w:p>
      <w:pPr>
        <w:pStyle w:val="BodyText"/>
        <w:spacing w:line="360" w:lineRule="auto"/>
        <w:ind w:left="234" w:right="1017" w:hanging="1"/>
      </w:pPr>
      <w:r>
        <w:rPr/>
        <w:t>The most systematic way to construct the demand curve is to start at the top left corner solution where all the funds are allocated against narrow collateral (bidders 4, 5 and 6 all have their bids filled). The clearing spread would be the lowest accepted bid on the narrow collateral: 10bps and that would dictate the uniform price.</w:t>
      </w:r>
      <w:r>
        <w:rPr>
          <w:vertAlign w:val="superscript"/>
        </w:rPr>
        <w:t>16</w:t>
      </w:r>
      <w:r>
        <w:rPr>
          <w:vertAlign w:val="baseline"/>
        </w:rPr>
        <w:t> Now assume that 99% is allocated to narrow (conveniently 1% is equal to £1mn in this example), and 1% to wider collateral. The clearing spread for the narrow set would remain 10bps (bidder 6, as the cheapest narrow bidder, would be allotted only £9mn against his bid for £10mn). The clearing spread for wider collateral would be 19bps (£1mn would be allocated to bidder 1). That results in a stop-out spread</w:t>
      </w:r>
      <w:r>
        <w:rPr>
          <w:spacing w:val="-34"/>
          <w:vertAlign w:val="baseline"/>
        </w:rPr>
        <w:t> </w:t>
      </w:r>
      <w:r>
        <w:rPr>
          <w:vertAlign w:val="baseline"/>
        </w:rPr>
        <w:t>(the difference between the clearing spreads for wider and narrow collateral) of</w:t>
      </w:r>
      <w:r>
        <w:rPr>
          <w:spacing w:val="-15"/>
          <w:vertAlign w:val="baseline"/>
        </w:rPr>
        <w:t> </w:t>
      </w:r>
      <w:r>
        <w:rPr>
          <w:vertAlign w:val="baseline"/>
        </w:rPr>
        <w:t>9bps.</w:t>
      </w:r>
    </w:p>
    <w:p>
      <w:pPr>
        <w:pStyle w:val="BodyText"/>
      </w:pPr>
    </w:p>
    <w:p>
      <w:pPr>
        <w:pStyle w:val="BodyText"/>
      </w:pPr>
    </w:p>
    <w:p>
      <w:pPr>
        <w:pStyle w:val="BodyText"/>
      </w:pPr>
    </w:p>
    <w:p>
      <w:pPr>
        <w:pStyle w:val="BodyText"/>
        <w:spacing w:before="1"/>
        <w:rPr>
          <w:sz w:val="22"/>
        </w:rPr>
      </w:pPr>
      <w:r>
        <w:rPr/>
        <w:pict>
          <v:shape style="position:absolute;margin-left:56.700001pt;margin-top:14.914433pt;width:144pt;height:.1pt;mso-position-horizontal-relative:page;mso-position-vertical-relative:paragraph;z-index:-251630592;mso-wrap-distance-left:0;mso-wrap-distance-right:0" coordorigin="1134,298" coordsize="2880,0" path="m1134,298l4014,298e" filled="false" stroked="true" strokeweight=".47998pt" strokecolor="#000000">
            <v:path arrowok="t"/>
            <v:stroke dashstyle="solid"/>
            <w10:wrap type="topAndBottom"/>
          </v:shape>
        </w:pict>
      </w:r>
    </w:p>
    <w:p>
      <w:pPr>
        <w:spacing w:before="31"/>
        <w:ind w:left="234" w:right="0" w:firstLine="0"/>
        <w:jc w:val="left"/>
        <w:rPr>
          <w:sz w:val="16"/>
        </w:rPr>
      </w:pPr>
      <w:r>
        <w:rPr>
          <w:position w:val="8"/>
          <w:sz w:val="10"/>
        </w:rPr>
        <w:t>16 </w:t>
      </w:r>
      <w:r>
        <w:rPr>
          <w:sz w:val="16"/>
        </w:rPr>
        <w:t>Strictly, the stop-out spread is not defined if the allocation is 100% to one type of collateral.</w:t>
      </w:r>
    </w:p>
    <w:p>
      <w:pPr>
        <w:spacing w:after="0"/>
        <w:jc w:val="left"/>
        <w:rPr>
          <w:sz w:val="16"/>
        </w:rPr>
        <w:sectPr>
          <w:footerReference w:type="default" r:id="rId19"/>
          <w:pgSz w:w="11900" w:h="16840"/>
          <w:pgMar w:footer="1340" w:header="0" w:top="1540" w:bottom="1540" w:left="900" w:right="120"/>
          <w:pgNumType w:start="10"/>
        </w:sectPr>
      </w:pPr>
    </w:p>
    <w:p>
      <w:pPr>
        <w:pStyle w:val="BodyText"/>
        <w:spacing w:line="360" w:lineRule="auto" w:before="76"/>
        <w:ind w:left="233" w:right="1043"/>
      </w:pPr>
      <w:r>
        <w:rPr/>
        <w:t>The stop out spread remains at 9bps until the point at which £10mn is allocated to the wider set. At that point, bidder 6 is no longer filled, and the clearing spread on the narrow set rises to 12bps. Bidder 1</w:t>
      </w:r>
      <w:r>
        <w:rPr>
          <w:spacing w:val="-27"/>
        </w:rPr>
        <w:t> </w:t>
      </w:r>
      <w:r>
        <w:rPr/>
        <w:t>receives</w:t>
      </w:r>
    </w:p>
    <w:p>
      <w:pPr>
        <w:pStyle w:val="BodyText"/>
        <w:spacing w:line="360" w:lineRule="auto"/>
        <w:ind w:left="234" w:right="1020"/>
      </w:pPr>
      <w:r>
        <w:rPr/>
        <w:t>£10mn out of the £30nm he has bid, and so the clearing spread remains at 19bps on wider. But the stop out spread is then 7bps (Chart 5). At the point where £31mn is allocated to wider, the clearing spread on narrow is still 12bps (bidder 6 is unfilled, and bidder 5 gets £9mn against a bid of £30mn), but the clearing spread on wider falls to 17bps (bidder 1 is fully allocated and bidder 2 gets £1mn). The stop out spread falls to 5bps (Chart 5). Continuing this process, and tracing out the spectrum of stop out spreads and the associated proportions of the funds allocated to wider collateral, results in the auction demand curve.</w:t>
      </w:r>
    </w:p>
    <w:p>
      <w:pPr>
        <w:pStyle w:val="BodyText"/>
        <w:spacing w:before="11"/>
        <w:rPr>
          <w:sz w:val="29"/>
        </w:rPr>
      </w:pPr>
    </w:p>
    <w:p>
      <w:pPr>
        <w:pStyle w:val="BodyText"/>
        <w:spacing w:line="360" w:lineRule="auto"/>
        <w:ind w:left="233" w:right="1132"/>
      </w:pPr>
      <w:r>
        <w:rPr/>
        <w:t>Note that the resulting demand curve will be downwards sloping (strictly, in steps), as the share of funds allocated against wider collateral rises, the stop out spread falls. If market conditions deteriorate such that the value attached to borrowing against wider collateral relative to borrowing against narrow rises, this demand curve will shift higher. Because bids in the auctions should provide accurate information on individual banks’ demand for liquidity and the prices they are willing to pay for it, the Bank can use the pattern of bids in each auction to assess the extent of stress either in the market as a whole, or at individual institutions. In turn, it can use that information to inform its decisions on the size and maturity of future operations, or to engage individual institutions in a dialogue to understand their funding needs and plans.</w:t>
      </w:r>
    </w:p>
    <w:p>
      <w:pPr>
        <w:pStyle w:val="BodyText"/>
        <w:spacing w:before="1"/>
        <w:rPr>
          <w:sz w:val="30"/>
        </w:rPr>
      </w:pPr>
    </w:p>
    <w:p>
      <w:pPr>
        <w:pStyle w:val="BodyText"/>
        <w:spacing w:line="360" w:lineRule="auto"/>
        <w:ind w:left="233" w:right="1052"/>
      </w:pPr>
      <w:r>
        <w:rPr/>
        <w:t>For example, consider two variants on our example laid out in Table 1. In the first, an exogenous shock hits the market, reducing interbank lending volumes and impairing the mechanism by which banks transfer liquidity amongst themselves. The result is that banks, individually, bid more aggressively for funds (Table 2 and Chart 6 show an illustrative example). That pattern results in an upwards shift in the aggregate demand curve, leading to a rise in the share of funds allocated against wider collateral, and hence providing liquidity insurance to the banking system.</w:t>
      </w:r>
    </w:p>
    <w:p>
      <w:pPr>
        <w:pStyle w:val="BodyText"/>
        <w:spacing w:before="11"/>
        <w:rPr>
          <w:sz w:val="29"/>
        </w:rPr>
      </w:pPr>
    </w:p>
    <w:p>
      <w:pPr>
        <w:pStyle w:val="BodyText"/>
        <w:ind w:left="3374"/>
      </w:pPr>
      <w:r>
        <w:rPr/>
        <w:t>Table 2: Hypothetical bidding patterns</w:t>
      </w:r>
    </w:p>
    <w:p>
      <w:pPr>
        <w:pStyle w:val="Heading1"/>
        <w:tabs>
          <w:tab w:pos="5093" w:val="left" w:leader="none"/>
          <w:tab w:pos="7538" w:val="left" w:leader="none"/>
        </w:tabs>
        <w:spacing w:line="344" w:lineRule="exact" w:before="197"/>
      </w:pPr>
      <w:r>
        <w:rPr>
          <w:spacing w:val="2"/>
        </w:rPr>
        <w:t>Baseline</w:t>
        <w:tab/>
      </w:r>
      <w:r>
        <w:rPr/>
        <w:t>System</w:t>
      </w:r>
      <w:r>
        <w:rPr>
          <w:spacing w:val="1"/>
        </w:rPr>
        <w:t> </w:t>
      </w:r>
      <w:r>
        <w:rPr>
          <w:spacing w:val="3"/>
        </w:rPr>
        <w:t>wide</w:t>
      </w:r>
      <w:r>
        <w:rPr>
          <w:spacing w:val="10"/>
        </w:rPr>
        <w:t> </w:t>
      </w:r>
      <w:r>
        <w:rPr/>
        <w:t>shock</w:t>
        <w:tab/>
      </w:r>
      <w:r>
        <w:rPr>
          <w:spacing w:val="2"/>
          <w:position w:val="12"/>
        </w:rPr>
        <w:t>Individual</w:t>
      </w:r>
      <w:r>
        <w:rPr>
          <w:spacing w:val="5"/>
          <w:position w:val="12"/>
        </w:rPr>
        <w:t> </w:t>
      </w:r>
      <w:r>
        <w:rPr>
          <w:position w:val="12"/>
        </w:rPr>
        <w:t>counterparty</w:t>
      </w:r>
    </w:p>
    <w:p>
      <w:pPr>
        <w:spacing w:line="224" w:lineRule="exact" w:before="0"/>
        <w:ind w:left="0" w:right="1993" w:firstLine="0"/>
        <w:jc w:val="right"/>
        <w:rPr>
          <w:rFonts w:ascii="Calibri"/>
          <w:sz w:val="22"/>
        </w:rPr>
      </w:pPr>
      <w:r>
        <w:rPr>
          <w:rFonts w:ascii="Calibri"/>
          <w:sz w:val="22"/>
        </w:rPr>
        <w:t>shock</w:t>
      </w:r>
    </w:p>
    <w:p>
      <w:pPr>
        <w:pStyle w:val="BodyText"/>
        <w:spacing w:before="11"/>
        <w:rPr>
          <w:rFonts w:ascii="Calibri"/>
          <w:sz w:val="5"/>
        </w:rPr>
      </w:pPr>
    </w:p>
    <w:tbl>
      <w:tblPr>
        <w:tblW w:w="0" w:type="auto"/>
        <w:jc w:val="left"/>
        <w:tblInd w:w="4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5"/>
        <w:gridCol w:w="1188"/>
        <w:gridCol w:w="1226"/>
        <w:gridCol w:w="1133"/>
        <w:gridCol w:w="1239"/>
        <w:gridCol w:w="1222"/>
        <w:gridCol w:w="1480"/>
        <w:gridCol w:w="972"/>
      </w:tblGrid>
      <w:tr>
        <w:trPr>
          <w:trHeight w:val="262" w:hRule="atLeast"/>
        </w:trPr>
        <w:tc>
          <w:tcPr>
            <w:tcW w:w="825" w:type="dxa"/>
          </w:tcPr>
          <w:p>
            <w:pPr>
              <w:pStyle w:val="TableParagraph"/>
              <w:spacing w:line="228" w:lineRule="exact"/>
              <w:ind w:left="40" w:right="142"/>
              <w:rPr>
                <w:b/>
                <w:sz w:val="22"/>
              </w:rPr>
            </w:pPr>
            <w:r>
              <w:rPr>
                <w:b/>
                <w:sz w:val="22"/>
              </w:rPr>
              <w:t>Bidder</w:t>
            </w:r>
          </w:p>
        </w:tc>
        <w:tc>
          <w:tcPr>
            <w:tcW w:w="1188" w:type="dxa"/>
          </w:tcPr>
          <w:p>
            <w:pPr>
              <w:pStyle w:val="TableParagraph"/>
              <w:spacing w:line="228" w:lineRule="exact"/>
              <w:ind w:left="275"/>
              <w:jc w:val="left"/>
              <w:rPr>
                <w:b/>
                <w:sz w:val="22"/>
              </w:rPr>
            </w:pPr>
            <w:r>
              <w:rPr>
                <w:b/>
                <w:sz w:val="22"/>
              </w:rPr>
              <w:t>Type</w:t>
            </w:r>
          </w:p>
        </w:tc>
        <w:tc>
          <w:tcPr>
            <w:tcW w:w="1226" w:type="dxa"/>
          </w:tcPr>
          <w:p>
            <w:pPr>
              <w:pStyle w:val="TableParagraph"/>
              <w:spacing w:line="228" w:lineRule="exact"/>
              <w:ind w:left="332" w:right="111"/>
              <w:rPr>
                <w:b/>
                <w:sz w:val="22"/>
              </w:rPr>
            </w:pPr>
            <w:r>
              <w:rPr>
                <w:b/>
                <w:sz w:val="22"/>
              </w:rPr>
              <w:t>Amount</w:t>
            </w:r>
          </w:p>
        </w:tc>
        <w:tc>
          <w:tcPr>
            <w:tcW w:w="1133" w:type="dxa"/>
          </w:tcPr>
          <w:p>
            <w:pPr>
              <w:pStyle w:val="TableParagraph"/>
              <w:spacing w:line="228" w:lineRule="exact"/>
              <w:ind w:left="111" w:right="343"/>
              <w:rPr>
                <w:b/>
                <w:sz w:val="22"/>
              </w:rPr>
            </w:pPr>
            <w:r>
              <w:rPr>
                <w:b/>
                <w:sz w:val="22"/>
              </w:rPr>
              <w:t>Spread</w:t>
            </w:r>
          </w:p>
        </w:tc>
        <w:tc>
          <w:tcPr>
            <w:tcW w:w="1239" w:type="dxa"/>
          </w:tcPr>
          <w:p>
            <w:pPr>
              <w:pStyle w:val="TableParagraph"/>
              <w:spacing w:line="228" w:lineRule="exact"/>
              <w:ind w:left="343" w:right="112"/>
              <w:rPr>
                <w:b/>
                <w:sz w:val="22"/>
              </w:rPr>
            </w:pPr>
            <w:r>
              <w:rPr>
                <w:b/>
                <w:sz w:val="22"/>
              </w:rPr>
              <w:t>Amount</w:t>
            </w:r>
          </w:p>
        </w:tc>
        <w:tc>
          <w:tcPr>
            <w:tcW w:w="1222" w:type="dxa"/>
          </w:tcPr>
          <w:p>
            <w:pPr>
              <w:pStyle w:val="TableParagraph"/>
              <w:spacing w:line="228" w:lineRule="exact"/>
              <w:ind w:left="109" w:right="434"/>
              <w:rPr>
                <w:b/>
                <w:sz w:val="22"/>
              </w:rPr>
            </w:pPr>
            <w:r>
              <w:rPr>
                <w:b/>
                <w:sz w:val="22"/>
              </w:rPr>
              <w:t>Spread</w:t>
            </w:r>
          </w:p>
        </w:tc>
        <w:tc>
          <w:tcPr>
            <w:tcW w:w="1480" w:type="dxa"/>
          </w:tcPr>
          <w:p>
            <w:pPr>
              <w:pStyle w:val="TableParagraph"/>
              <w:spacing w:line="228" w:lineRule="exact"/>
              <w:ind w:left="432" w:right="265"/>
              <w:rPr>
                <w:b/>
                <w:sz w:val="22"/>
              </w:rPr>
            </w:pPr>
            <w:r>
              <w:rPr>
                <w:b/>
                <w:sz w:val="22"/>
              </w:rPr>
              <w:t>Amount</w:t>
            </w:r>
          </w:p>
        </w:tc>
        <w:tc>
          <w:tcPr>
            <w:tcW w:w="972" w:type="dxa"/>
          </w:tcPr>
          <w:p>
            <w:pPr>
              <w:pStyle w:val="TableParagraph"/>
              <w:spacing w:line="228" w:lineRule="exact"/>
              <w:ind w:left="256" w:right="37"/>
              <w:rPr>
                <w:b/>
                <w:sz w:val="22"/>
              </w:rPr>
            </w:pPr>
            <w:r>
              <w:rPr>
                <w:b/>
                <w:sz w:val="22"/>
              </w:rPr>
              <w:t>Spread</w:t>
            </w:r>
          </w:p>
        </w:tc>
      </w:tr>
      <w:tr>
        <w:trPr>
          <w:trHeight w:val="300" w:hRule="atLeast"/>
        </w:trPr>
        <w:tc>
          <w:tcPr>
            <w:tcW w:w="825" w:type="dxa"/>
          </w:tcPr>
          <w:p>
            <w:pPr>
              <w:pStyle w:val="TableParagraph"/>
              <w:spacing w:line="265" w:lineRule="exact"/>
              <w:ind w:right="100"/>
              <w:rPr>
                <w:sz w:val="22"/>
              </w:rPr>
            </w:pPr>
            <w:r>
              <w:rPr>
                <w:w w:val="102"/>
                <w:sz w:val="22"/>
              </w:rPr>
              <w:t>1</w:t>
            </w:r>
          </w:p>
        </w:tc>
        <w:tc>
          <w:tcPr>
            <w:tcW w:w="1188" w:type="dxa"/>
          </w:tcPr>
          <w:p>
            <w:pPr>
              <w:pStyle w:val="TableParagraph"/>
              <w:spacing w:line="265" w:lineRule="exact"/>
              <w:ind w:right="398"/>
              <w:jc w:val="right"/>
              <w:rPr>
                <w:sz w:val="22"/>
              </w:rPr>
            </w:pPr>
            <w:r>
              <w:rPr>
                <w:sz w:val="22"/>
              </w:rPr>
              <w:t>Wider</w:t>
            </w:r>
          </w:p>
        </w:tc>
        <w:tc>
          <w:tcPr>
            <w:tcW w:w="1226" w:type="dxa"/>
          </w:tcPr>
          <w:p>
            <w:pPr>
              <w:pStyle w:val="TableParagraph"/>
              <w:spacing w:line="265" w:lineRule="exact"/>
              <w:ind w:left="328" w:right="111"/>
              <w:rPr>
                <w:sz w:val="22"/>
              </w:rPr>
            </w:pPr>
            <w:r>
              <w:rPr>
                <w:sz w:val="22"/>
              </w:rPr>
              <w:t>30</w:t>
            </w:r>
          </w:p>
        </w:tc>
        <w:tc>
          <w:tcPr>
            <w:tcW w:w="1133" w:type="dxa"/>
          </w:tcPr>
          <w:p>
            <w:pPr>
              <w:pStyle w:val="TableParagraph"/>
              <w:spacing w:line="265" w:lineRule="exact"/>
              <w:ind w:left="111" w:right="330"/>
              <w:rPr>
                <w:sz w:val="22"/>
              </w:rPr>
            </w:pPr>
            <w:r>
              <w:rPr>
                <w:sz w:val="22"/>
              </w:rPr>
              <w:t>19</w:t>
            </w:r>
          </w:p>
        </w:tc>
        <w:tc>
          <w:tcPr>
            <w:tcW w:w="1239" w:type="dxa"/>
          </w:tcPr>
          <w:p>
            <w:pPr>
              <w:pStyle w:val="TableParagraph"/>
              <w:spacing w:line="265" w:lineRule="exact"/>
              <w:ind w:left="343" w:right="109"/>
              <w:rPr>
                <w:sz w:val="22"/>
              </w:rPr>
            </w:pPr>
            <w:r>
              <w:rPr>
                <w:sz w:val="22"/>
              </w:rPr>
              <w:t>30</w:t>
            </w:r>
          </w:p>
        </w:tc>
        <w:tc>
          <w:tcPr>
            <w:tcW w:w="1222" w:type="dxa"/>
          </w:tcPr>
          <w:p>
            <w:pPr>
              <w:pStyle w:val="TableParagraph"/>
              <w:spacing w:line="265" w:lineRule="exact"/>
              <w:ind w:left="109" w:right="422"/>
              <w:rPr>
                <w:sz w:val="22"/>
              </w:rPr>
            </w:pPr>
            <w:r>
              <w:rPr>
                <w:color w:val="FF0000"/>
                <w:sz w:val="22"/>
              </w:rPr>
              <w:t>30</w:t>
            </w:r>
          </w:p>
        </w:tc>
        <w:tc>
          <w:tcPr>
            <w:tcW w:w="1480" w:type="dxa"/>
          </w:tcPr>
          <w:p>
            <w:pPr>
              <w:pStyle w:val="TableParagraph"/>
              <w:spacing w:line="265" w:lineRule="exact"/>
              <w:ind w:left="427" w:right="265"/>
              <w:rPr>
                <w:sz w:val="22"/>
              </w:rPr>
            </w:pPr>
            <w:r>
              <w:rPr>
                <w:sz w:val="22"/>
              </w:rPr>
              <w:t>30</w:t>
            </w:r>
          </w:p>
        </w:tc>
        <w:tc>
          <w:tcPr>
            <w:tcW w:w="972" w:type="dxa"/>
          </w:tcPr>
          <w:p>
            <w:pPr>
              <w:pStyle w:val="TableParagraph"/>
              <w:spacing w:line="265" w:lineRule="exact"/>
              <w:ind w:left="236" w:right="37"/>
              <w:rPr>
                <w:sz w:val="22"/>
              </w:rPr>
            </w:pPr>
            <w:r>
              <w:rPr>
                <w:color w:val="FF0000"/>
                <w:sz w:val="22"/>
              </w:rPr>
              <w:t>40</w:t>
            </w:r>
          </w:p>
        </w:tc>
      </w:tr>
      <w:tr>
        <w:trPr>
          <w:trHeight w:val="300" w:hRule="atLeast"/>
        </w:trPr>
        <w:tc>
          <w:tcPr>
            <w:tcW w:w="825" w:type="dxa"/>
          </w:tcPr>
          <w:p>
            <w:pPr>
              <w:pStyle w:val="TableParagraph"/>
              <w:spacing w:line="265" w:lineRule="exact"/>
              <w:ind w:right="100"/>
              <w:rPr>
                <w:sz w:val="22"/>
              </w:rPr>
            </w:pPr>
            <w:r>
              <w:rPr>
                <w:w w:val="102"/>
                <w:sz w:val="22"/>
              </w:rPr>
              <w:t>2</w:t>
            </w:r>
          </w:p>
        </w:tc>
        <w:tc>
          <w:tcPr>
            <w:tcW w:w="1188" w:type="dxa"/>
          </w:tcPr>
          <w:p>
            <w:pPr>
              <w:pStyle w:val="TableParagraph"/>
              <w:spacing w:line="265" w:lineRule="exact"/>
              <w:ind w:right="398"/>
              <w:jc w:val="right"/>
              <w:rPr>
                <w:sz w:val="22"/>
              </w:rPr>
            </w:pPr>
            <w:r>
              <w:rPr>
                <w:sz w:val="22"/>
              </w:rPr>
              <w:t>Wider</w:t>
            </w:r>
          </w:p>
        </w:tc>
        <w:tc>
          <w:tcPr>
            <w:tcW w:w="1226" w:type="dxa"/>
          </w:tcPr>
          <w:p>
            <w:pPr>
              <w:pStyle w:val="TableParagraph"/>
              <w:spacing w:line="265" w:lineRule="exact"/>
              <w:ind w:left="328" w:right="111"/>
              <w:rPr>
                <w:sz w:val="22"/>
              </w:rPr>
            </w:pPr>
            <w:r>
              <w:rPr>
                <w:sz w:val="22"/>
              </w:rPr>
              <w:t>20</w:t>
            </w:r>
          </w:p>
        </w:tc>
        <w:tc>
          <w:tcPr>
            <w:tcW w:w="1133" w:type="dxa"/>
          </w:tcPr>
          <w:p>
            <w:pPr>
              <w:pStyle w:val="TableParagraph"/>
              <w:spacing w:line="265" w:lineRule="exact"/>
              <w:ind w:left="111" w:right="330"/>
              <w:rPr>
                <w:sz w:val="22"/>
              </w:rPr>
            </w:pPr>
            <w:r>
              <w:rPr>
                <w:sz w:val="22"/>
              </w:rPr>
              <w:t>17</w:t>
            </w:r>
          </w:p>
        </w:tc>
        <w:tc>
          <w:tcPr>
            <w:tcW w:w="1239" w:type="dxa"/>
          </w:tcPr>
          <w:p>
            <w:pPr>
              <w:pStyle w:val="TableParagraph"/>
              <w:spacing w:line="265" w:lineRule="exact"/>
              <w:ind w:left="343" w:right="109"/>
              <w:rPr>
                <w:sz w:val="22"/>
              </w:rPr>
            </w:pPr>
            <w:r>
              <w:rPr>
                <w:sz w:val="22"/>
              </w:rPr>
              <w:t>20</w:t>
            </w:r>
          </w:p>
        </w:tc>
        <w:tc>
          <w:tcPr>
            <w:tcW w:w="1222" w:type="dxa"/>
          </w:tcPr>
          <w:p>
            <w:pPr>
              <w:pStyle w:val="TableParagraph"/>
              <w:spacing w:line="265" w:lineRule="exact"/>
              <w:ind w:left="109" w:right="422"/>
              <w:rPr>
                <w:sz w:val="22"/>
              </w:rPr>
            </w:pPr>
            <w:r>
              <w:rPr>
                <w:color w:val="FF0000"/>
                <w:sz w:val="22"/>
              </w:rPr>
              <w:t>26</w:t>
            </w:r>
          </w:p>
        </w:tc>
        <w:tc>
          <w:tcPr>
            <w:tcW w:w="1480" w:type="dxa"/>
          </w:tcPr>
          <w:p>
            <w:pPr>
              <w:pStyle w:val="TableParagraph"/>
              <w:spacing w:line="265" w:lineRule="exact"/>
              <w:ind w:left="427" w:right="265"/>
              <w:rPr>
                <w:sz w:val="22"/>
              </w:rPr>
            </w:pPr>
            <w:r>
              <w:rPr>
                <w:sz w:val="22"/>
              </w:rPr>
              <w:t>20</w:t>
            </w:r>
          </w:p>
        </w:tc>
        <w:tc>
          <w:tcPr>
            <w:tcW w:w="972" w:type="dxa"/>
          </w:tcPr>
          <w:p>
            <w:pPr>
              <w:pStyle w:val="TableParagraph"/>
              <w:spacing w:line="265" w:lineRule="exact"/>
              <w:ind w:left="246" w:right="37"/>
              <w:rPr>
                <w:sz w:val="22"/>
              </w:rPr>
            </w:pPr>
            <w:r>
              <w:rPr>
                <w:sz w:val="22"/>
              </w:rPr>
              <w:t>17</w:t>
            </w:r>
          </w:p>
        </w:tc>
      </w:tr>
      <w:tr>
        <w:trPr>
          <w:trHeight w:val="404" w:hRule="atLeast"/>
        </w:trPr>
        <w:tc>
          <w:tcPr>
            <w:tcW w:w="825" w:type="dxa"/>
          </w:tcPr>
          <w:p>
            <w:pPr>
              <w:pStyle w:val="TableParagraph"/>
              <w:spacing w:line="265" w:lineRule="exact"/>
              <w:ind w:right="100"/>
              <w:rPr>
                <w:sz w:val="22"/>
              </w:rPr>
            </w:pPr>
            <w:r>
              <w:rPr>
                <w:w w:val="102"/>
                <w:sz w:val="22"/>
              </w:rPr>
              <w:t>3</w:t>
            </w:r>
          </w:p>
        </w:tc>
        <w:tc>
          <w:tcPr>
            <w:tcW w:w="1188" w:type="dxa"/>
          </w:tcPr>
          <w:p>
            <w:pPr>
              <w:pStyle w:val="TableParagraph"/>
              <w:spacing w:line="265" w:lineRule="exact"/>
              <w:ind w:right="398"/>
              <w:jc w:val="right"/>
              <w:rPr>
                <w:sz w:val="22"/>
              </w:rPr>
            </w:pPr>
            <w:r>
              <w:rPr>
                <w:sz w:val="22"/>
              </w:rPr>
              <w:t>Wider</w:t>
            </w:r>
          </w:p>
        </w:tc>
        <w:tc>
          <w:tcPr>
            <w:tcW w:w="1226" w:type="dxa"/>
          </w:tcPr>
          <w:p>
            <w:pPr>
              <w:pStyle w:val="TableParagraph"/>
              <w:spacing w:line="265" w:lineRule="exact"/>
              <w:ind w:left="327" w:right="111"/>
              <w:rPr>
                <w:sz w:val="22"/>
              </w:rPr>
            </w:pPr>
            <w:r>
              <w:rPr>
                <w:sz w:val="22"/>
              </w:rPr>
              <w:t>50</w:t>
            </w:r>
          </w:p>
        </w:tc>
        <w:tc>
          <w:tcPr>
            <w:tcW w:w="1133" w:type="dxa"/>
          </w:tcPr>
          <w:p>
            <w:pPr>
              <w:pStyle w:val="TableParagraph"/>
              <w:spacing w:line="265" w:lineRule="exact"/>
              <w:ind w:left="111" w:right="330"/>
              <w:rPr>
                <w:sz w:val="22"/>
              </w:rPr>
            </w:pPr>
            <w:r>
              <w:rPr>
                <w:sz w:val="22"/>
              </w:rPr>
              <w:t>15</w:t>
            </w:r>
          </w:p>
        </w:tc>
        <w:tc>
          <w:tcPr>
            <w:tcW w:w="1239" w:type="dxa"/>
          </w:tcPr>
          <w:p>
            <w:pPr>
              <w:pStyle w:val="TableParagraph"/>
              <w:spacing w:line="265" w:lineRule="exact"/>
              <w:ind w:left="343" w:right="109"/>
              <w:rPr>
                <w:sz w:val="22"/>
              </w:rPr>
            </w:pPr>
            <w:r>
              <w:rPr>
                <w:sz w:val="22"/>
              </w:rPr>
              <w:t>50</w:t>
            </w:r>
          </w:p>
        </w:tc>
        <w:tc>
          <w:tcPr>
            <w:tcW w:w="1222" w:type="dxa"/>
          </w:tcPr>
          <w:p>
            <w:pPr>
              <w:pStyle w:val="TableParagraph"/>
              <w:spacing w:line="265" w:lineRule="exact"/>
              <w:ind w:left="109" w:right="422"/>
              <w:rPr>
                <w:sz w:val="22"/>
              </w:rPr>
            </w:pPr>
            <w:r>
              <w:rPr>
                <w:color w:val="FF0000"/>
                <w:sz w:val="22"/>
              </w:rPr>
              <w:t>22</w:t>
            </w:r>
          </w:p>
        </w:tc>
        <w:tc>
          <w:tcPr>
            <w:tcW w:w="1480" w:type="dxa"/>
          </w:tcPr>
          <w:p>
            <w:pPr>
              <w:pStyle w:val="TableParagraph"/>
              <w:spacing w:line="265" w:lineRule="exact"/>
              <w:ind w:left="427" w:right="265"/>
              <w:rPr>
                <w:sz w:val="22"/>
              </w:rPr>
            </w:pPr>
            <w:r>
              <w:rPr>
                <w:sz w:val="22"/>
              </w:rPr>
              <w:t>50</w:t>
            </w:r>
          </w:p>
        </w:tc>
        <w:tc>
          <w:tcPr>
            <w:tcW w:w="972" w:type="dxa"/>
          </w:tcPr>
          <w:p>
            <w:pPr>
              <w:pStyle w:val="TableParagraph"/>
              <w:spacing w:line="265" w:lineRule="exact"/>
              <w:ind w:left="246" w:right="37"/>
              <w:rPr>
                <w:sz w:val="22"/>
              </w:rPr>
            </w:pPr>
            <w:r>
              <w:rPr>
                <w:sz w:val="22"/>
              </w:rPr>
              <w:t>15</w:t>
            </w:r>
          </w:p>
        </w:tc>
      </w:tr>
      <w:tr>
        <w:trPr>
          <w:trHeight w:val="404" w:hRule="atLeast"/>
        </w:trPr>
        <w:tc>
          <w:tcPr>
            <w:tcW w:w="825" w:type="dxa"/>
          </w:tcPr>
          <w:p>
            <w:pPr>
              <w:pStyle w:val="TableParagraph"/>
              <w:spacing w:line="240" w:lineRule="auto" w:before="101"/>
              <w:ind w:right="100"/>
              <w:rPr>
                <w:sz w:val="22"/>
              </w:rPr>
            </w:pPr>
            <w:r>
              <w:rPr>
                <w:w w:val="102"/>
                <w:sz w:val="22"/>
              </w:rPr>
              <w:t>4</w:t>
            </w:r>
          </w:p>
        </w:tc>
        <w:tc>
          <w:tcPr>
            <w:tcW w:w="1188" w:type="dxa"/>
          </w:tcPr>
          <w:p>
            <w:pPr>
              <w:pStyle w:val="TableParagraph"/>
              <w:spacing w:line="240" w:lineRule="auto" w:before="101"/>
              <w:ind w:right="345"/>
              <w:jc w:val="right"/>
              <w:rPr>
                <w:sz w:val="22"/>
              </w:rPr>
            </w:pPr>
            <w:r>
              <w:rPr>
                <w:sz w:val="22"/>
              </w:rPr>
              <w:t>Narrow</w:t>
            </w:r>
          </w:p>
        </w:tc>
        <w:tc>
          <w:tcPr>
            <w:tcW w:w="1226" w:type="dxa"/>
          </w:tcPr>
          <w:p>
            <w:pPr>
              <w:pStyle w:val="TableParagraph"/>
              <w:spacing w:line="240" w:lineRule="auto" w:before="101"/>
              <w:ind w:left="332" w:right="106"/>
              <w:rPr>
                <w:sz w:val="22"/>
              </w:rPr>
            </w:pPr>
            <w:r>
              <w:rPr>
                <w:sz w:val="22"/>
              </w:rPr>
              <w:t>60</w:t>
            </w:r>
          </w:p>
        </w:tc>
        <w:tc>
          <w:tcPr>
            <w:tcW w:w="1133" w:type="dxa"/>
          </w:tcPr>
          <w:p>
            <w:pPr>
              <w:pStyle w:val="TableParagraph"/>
              <w:spacing w:line="240" w:lineRule="auto" w:before="101"/>
              <w:ind w:left="111" w:right="321"/>
              <w:rPr>
                <w:sz w:val="22"/>
              </w:rPr>
            </w:pPr>
            <w:r>
              <w:rPr>
                <w:sz w:val="22"/>
              </w:rPr>
              <w:t>14</w:t>
            </w:r>
          </w:p>
        </w:tc>
        <w:tc>
          <w:tcPr>
            <w:tcW w:w="1239" w:type="dxa"/>
          </w:tcPr>
          <w:p>
            <w:pPr>
              <w:pStyle w:val="TableParagraph"/>
              <w:spacing w:line="240" w:lineRule="auto" w:before="101"/>
              <w:ind w:left="343" w:right="109"/>
              <w:rPr>
                <w:sz w:val="22"/>
              </w:rPr>
            </w:pPr>
            <w:r>
              <w:rPr>
                <w:sz w:val="22"/>
              </w:rPr>
              <w:t>60</w:t>
            </w:r>
          </w:p>
        </w:tc>
        <w:tc>
          <w:tcPr>
            <w:tcW w:w="1222" w:type="dxa"/>
          </w:tcPr>
          <w:p>
            <w:pPr>
              <w:pStyle w:val="TableParagraph"/>
              <w:spacing w:line="240" w:lineRule="auto" w:before="101"/>
              <w:ind w:left="109" w:right="412"/>
              <w:rPr>
                <w:sz w:val="22"/>
              </w:rPr>
            </w:pPr>
            <w:r>
              <w:rPr>
                <w:sz w:val="22"/>
              </w:rPr>
              <w:t>14</w:t>
            </w:r>
          </w:p>
        </w:tc>
        <w:tc>
          <w:tcPr>
            <w:tcW w:w="1480" w:type="dxa"/>
          </w:tcPr>
          <w:p>
            <w:pPr>
              <w:pStyle w:val="TableParagraph"/>
              <w:spacing w:line="240" w:lineRule="auto" w:before="101"/>
              <w:ind w:left="432" w:right="260"/>
              <w:rPr>
                <w:sz w:val="22"/>
              </w:rPr>
            </w:pPr>
            <w:r>
              <w:rPr>
                <w:sz w:val="22"/>
              </w:rPr>
              <w:t>60</w:t>
            </w:r>
          </w:p>
        </w:tc>
        <w:tc>
          <w:tcPr>
            <w:tcW w:w="972" w:type="dxa"/>
          </w:tcPr>
          <w:p>
            <w:pPr>
              <w:pStyle w:val="TableParagraph"/>
              <w:spacing w:line="240" w:lineRule="auto" w:before="101"/>
              <w:ind w:left="247" w:right="37"/>
              <w:rPr>
                <w:sz w:val="22"/>
              </w:rPr>
            </w:pPr>
            <w:r>
              <w:rPr>
                <w:sz w:val="22"/>
              </w:rPr>
              <w:t>14</w:t>
            </w:r>
          </w:p>
        </w:tc>
      </w:tr>
      <w:tr>
        <w:trPr>
          <w:trHeight w:val="300" w:hRule="atLeast"/>
        </w:trPr>
        <w:tc>
          <w:tcPr>
            <w:tcW w:w="825" w:type="dxa"/>
          </w:tcPr>
          <w:p>
            <w:pPr>
              <w:pStyle w:val="TableParagraph"/>
              <w:spacing w:line="265" w:lineRule="exact"/>
              <w:ind w:right="100"/>
              <w:rPr>
                <w:sz w:val="22"/>
              </w:rPr>
            </w:pPr>
            <w:r>
              <w:rPr>
                <w:w w:val="102"/>
                <w:sz w:val="22"/>
              </w:rPr>
              <w:t>5</w:t>
            </w:r>
          </w:p>
        </w:tc>
        <w:tc>
          <w:tcPr>
            <w:tcW w:w="1188" w:type="dxa"/>
          </w:tcPr>
          <w:p>
            <w:pPr>
              <w:pStyle w:val="TableParagraph"/>
              <w:spacing w:line="265" w:lineRule="exact"/>
              <w:ind w:right="345"/>
              <w:jc w:val="right"/>
              <w:rPr>
                <w:sz w:val="22"/>
              </w:rPr>
            </w:pPr>
            <w:r>
              <w:rPr>
                <w:sz w:val="22"/>
              </w:rPr>
              <w:t>Narrow</w:t>
            </w:r>
          </w:p>
        </w:tc>
        <w:tc>
          <w:tcPr>
            <w:tcW w:w="1226" w:type="dxa"/>
          </w:tcPr>
          <w:p>
            <w:pPr>
              <w:pStyle w:val="TableParagraph"/>
              <w:spacing w:line="265" w:lineRule="exact"/>
              <w:ind w:left="332" w:right="106"/>
              <w:rPr>
                <w:sz w:val="22"/>
              </w:rPr>
            </w:pPr>
            <w:r>
              <w:rPr>
                <w:sz w:val="22"/>
              </w:rPr>
              <w:t>30</w:t>
            </w:r>
          </w:p>
        </w:tc>
        <w:tc>
          <w:tcPr>
            <w:tcW w:w="1133" w:type="dxa"/>
          </w:tcPr>
          <w:p>
            <w:pPr>
              <w:pStyle w:val="TableParagraph"/>
              <w:spacing w:line="265" w:lineRule="exact"/>
              <w:ind w:left="111" w:right="321"/>
              <w:rPr>
                <w:sz w:val="22"/>
              </w:rPr>
            </w:pPr>
            <w:r>
              <w:rPr>
                <w:sz w:val="22"/>
              </w:rPr>
              <w:t>12</w:t>
            </w:r>
          </w:p>
        </w:tc>
        <w:tc>
          <w:tcPr>
            <w:tcW w:w="1239" w:type="dxa"/>
          </w:tcPr>
          <w:p>
            <w:pPr>
              <w:pStyle w:val="TableParagraph"/>
              <w:spacing w:line="265" w:lineRule="exact"/>
              <w:ind w:left="343" w:right="109"/>
              <w:rPr>
                <w:sz w:val="22"/>
              </w:rPr>
            </w:pPr>
            <w:r>
              <w:rPr>
                <w:sz w:val="22"/>
              </w:rPr>
              <w:t>30</w:t>
            </w:r>
          </w:p>
        </w:tc>
        <w:tc>
          <w:tcPr>
            <w:tcW w:w="1222" w:type="dxa"/>
          </w:tcPr>
          <w:p>
            <w:pPr>
              <w:pStyle w:val="TableParagraph"/>
              <w:spacing w:line="265" w:lineRule="exact"/>
              <w:ind w:left="109" w:right="412"/>
              <w:rPr>
                <w:sz w:val="22"/>
              </w:rPr>
            </w:pPr>
            <w:r>
              <w:rPr>
                <w:sz w:val="22"/>
              </w:rPr>
              <w:t>12</w:t>
            </w:r>
          </w:p>
        </w:tc>
        <w:tc>
          <w:tcPr>
            <w:tcW w:w="1480" w:type="dxa"/>
          </w:tcPr>
          <w:p>
            <w:pPr>
              <w:pStyle w:val="TableParagraph"/>
              <w:spacing w:line="265" w:lineRule="exact"/>
              <w:ind w:left="432" w:right="260"/>
              <w:rPr>
                <w:sz w:val="22"/>
              </w:rPr>
            </w:pPr>
            <w:r>
              <w:rPr>
                <w:sz w:val="22"/>
              </w:rPr>
              <w:t>30</w:t>
            </w:r>
          </w:p>
        </w:tc>
        <w:tc>
          <w:tcPr>
            <w:tcW w:w="972" w:type="dxa"/>
          </w:tcPr>
          <w:p>
            <w:pPr>
              <w:pStyle w:val="TableParagraph"/>
              <w:spacing w:line="265" w:lineRule="exact"/>
              <w:ind w:left="247" w:right="37"/>
              <w:rPr>
                <w:sz w:val="22"/>
              </w:rPr>
            </w:pPr>
            <w:r>
              <w:rPr>
                <w:sz w:val="22"/>
              </w:rPr>
              <w:t>12</w:t>
            </w:r>
          </w:p>
        </w:tc>
      </w:tr>
      <w:tr>
        <w:trPr>
          <w:trHeight w:val="262" w:hRule="atLeast"/>
        </w:trPr>
        <w:tc>
          <w:tcPr>
            <w:tcW w:w="825" w:type="dxa"/>
          </w:tcPr>
          <w:p>
            <w:pPr>
              <w:pStyle w:val="TableParagraph"/>
              <w:spacing w:line="242" w:lineRule="exact"/>
              <w:ind w:right="100"/>
              <w:rPr>
                <w:sz w:val="22"/>
              </w:rPr>
            </w:pPr>
            <w:r>
              <w:rPr>
                <w:w w:val="102"/>
                <w:sz w:val="22"/>
              </w:rPr>
              <w:t>6</w:t>
            </w:r>
          </w:p>
        </w:tc>
        <w:tc>
          <w:tcPr>
            <w:tcW w:w="1188" w:type="dxa"/>
          </w:tcPr>
          <w:p>
            <w:pPr>
              <w:pStyle w:val="TableParagraph"/>
              <w:spacing w:line="242" w:lineRule="exact"/>
              <w:ind w:right="345"/>
              <w:jc w:val="right"/>
              <w:rPr>
                <w:sz w:val="22"/>
              </w:rPr>
            </w:pPr>
            <w:r>
              <w:rPr>
                <w:sz w:val="22"/>
              </w:rPr>
              <w:t>Narrow</w:t>
            </w:r>
          </w:p>
        </w:tc>
        <w:tc>
          <w:tcPr>
            <w:tcW w:w="1226" w:type="dxa"/>
          </w:tcPr>
          <w:p>
            <w:pPr>
              <w:pStyle w:val="TableParagraph"/>
              <w:spacing w:line="242" w:lineRule="exact"/>
              <w:ind w:left="332" w:right="106"/>
              <w:rPr>
                <w:sz w:val="22"/>
              </w:rPr>
            </w:pPr>
            <w:r>
              <w:rPr>
                <w:sz w:val="22"/>
              </w:rPr>
              <w:t>10</w:t>
            </w:r>
          </w:p>
        </w:tc>
        <w:tc>
          <w:tcPr>
            <w:tcW w:w="1133" w:type="dxa"/>
          </w:tcPr>
          <w:p>
            <w:pPr>
              <w:pStyle w:val="TableParagraph"/>
              <w:spacing w:line="242" w:lineRule="exact"/>
              <w:ind w:left="111" w:right="321"/>
              <w:rPr>
                <w:sz w:val="22"/>
              </w:rPr>
            </w:pPr>
            <w:r>
              <w:rPr>
                <w:sz w:val="22"/>
              </w:rPr>
              <w:t>10</w:t>
            </w:r>
          </w:p>
        </w:tc>
        <w:tc>
          <w:tcPr>
            <w:tcW w:w="1239" w:type="dxa"/>
          </w:tcPr>
          <w:p>
            <w:pPr>
              <w:pStyle w:val="TableParagraph"/>
              <w:spacing w:line="242" w:lineRule="exact"/>
              <w:ind w:left="343" w:right="109"/>
              <w:rPr>
                <w:sz w:val="22"/>
              </w:rPr>
            </w:pPr>
            <w:r>
              <w:rPr>
                <w:sz w:val="22"/>
              </w:rPr>
              <w:t>10</w:t>
            </w:r>
          </w:p>
        </w:tc>
        <w:tc>
          <w:tcPr>
            <w:tcW w:w="1222" w:type="dxa"/>
          </w:tcPr>
          <w:p>
            <w:pPr>
              <w:pStyle w:val="TableParagraph"/>
              <w:spacing w:line="242" w:lineRule="exact"/>
              <w:ind w:left="109" w:right="412"/>
              <w:rPr>
                <w:sz w:val="22"/>
              </w:rPr>
            </w:pPr>
            <w:r>
              <w:rPr>
                <w:sz w:val="22"/>
              </w:rPr>
              <w:t>10</w:t>
            </w:r>
          </w:p>
        </w:tc>
        <w:tc>
          <w:tcPr>
            <w:tcW w:w="1480" w:type="dxa"/>
          </w:tcPr>
          <w:p>
            <w:pPr>
              <w:pStyle w:val="TableParagraph"/>
              <w:spacing w:line="242" w:lineRule="exact"/>
              <w:ind w:left="432" w:right="260"/>
              <w:rPr>
                <w:sz w:val="22"/>
              </w:rPr>
            </w:pPr>
            <w:r>
              <w:rPr>
                <w:sz w:val="22"/>
              </w:rPr>
              <w:t>10</w:t>
            </w:r>
          </w:p>
        </w:tc>
        <w:tc>
          <w:tcPr>
            <w:tcW w:w="972" w:type="dxa"/>
          </w:tcPr>
          <w:p>
            <w:pPr>
              <w:pStyle w:val="TableParagraph"/>
              <w:spacing w:line="242" w:lineRule="exact"/>
              <w:ind w:left="247" w:right="37"/>
              <w:rPr>
                <w:sz w:val="22"/>
              </w:rPr>
            </w:pPr>
            <w:r>
              <w:rPr>
                <w:sz w:val="22"/>
              </w:rPr>
              <w:t>10</w:t>
            </w:r>
          </w:p>
        </w:tc>
      </w:tr>
    </w:tbl>
    <w:p>
      <w:pPr>
        <w:spacing w:after="0" w:line="242" w:lineRule="exact"/>
        <w:rPr>
          <w:sz w:val="22"/>
        </w:rPr>
        <w:sectPr>
          <w:pgSz w:w="11900" w:h="16840"/>
          <w:pgMar w:header="0" w:footer="1340" w:top="1540" w:bottom="1540" w:left="900" w:right="120"/>
        </w:sectPr>
      </w:pPr>
    </w:p>
    <w:p>
      <w:pPr>
        <w:pStyle w:val="BodyText"/>
        <w:spacing w:line="360" w:lineRule="auto" w:before="76" w:after="11"/>
        <w:ind w:left="2229" w:right="2964" w:firstLine="499"/>
      </w:pPr>
      <w:r>
        <w:rPr/>
        <w:t>Chart 6: Stylised demand curves under the baseline, system-wide stress and individual counterparty stress scenarios</w:t>
      </w:r>
    </w:p>
    <w:p>
      <w:pPr>
        <w:pStyle w:val="BodyText"/>
        <w:ind w:left="2646"/>
      </w:pPr>
      <w:r>
        <w:rPr/>
        <w:pict>
          <v:group style="width:241.45pt;height:196.45pt;mso-position-horizontal-relative:char;mso-position-vertical-relative:line" coordorigin="0,0" coordsize="4829,3929">
            <v:shape style="position:absolute;left:360;top:404;width:3990;height:2700" coordorigin="360,404" coordsize="3990,2700" path="m4346,404l364,404,360,408,360,3101,364,3104,4346,3104,4350,3101,4350,3096,376,3096,368,3089,376,3089,376,420,368,420,376,412,4350,412,4350,408,4346,404xm376,3089l368,3089,376,3096,376,3089xm4334,3089l376,3089,376,3096,4334,3096,4334,3089xm4334,412l4334,3096,4342,3089,4350,3089,4350,420,4342,420,4334,412xm4350,3089l4342,3089,4334,3096,4350,3096,4350,3089xm376,412l368,420,376,420,376,412xm4334,412l376,412,376,420,4334,420,4334,412xm4350,412l4334,412,4342,420,4350,420,4350,412xe" filled="true" fillcolor="#000000" stroked="false">
              <v:path arrowok="t"/>
              <v:fill type="solid"/>
            </v:shape>
            <v:line style="position:absolute" from="4342,412" to="4342,3096" stroked="true" strokeweight=".78pt" strokecolor="#000000">
              <v:stroke dashstyle="solid"/>
            </v:line>
            <v:rect style="position:absolute;left:4281;top:3088;width:60;height:16" filled="true" fillcolor="#000000" stroked="false">
              <v:fill type="solid"/>
            </v:rect>
            <v:rect style="position:absolute;left:4281;top:2714;width:60;height:15" filled="true" fillcolor="#000000" stroked="false">
              <v:fill type="solid"/>
            </v:rect>
            <v:rect style="position:absolute;left:4281;top:2324;width:60;height:15" filled="true" fillcolor="#000000" stroked="false">
              <v:fill type="solid"/>
            </v:rect>
            <v:rect style="position:absolute;left:4281;top:1948;width:60;height:16" filled="true" fillcolor="#000000" stroked="false">
              <v:fill type="solid"/>
            </v:rect>
            <v:rect style="position:absolute;left:4281;top:1558;width:60;height:16" filled="true" fillcolor="#000000" stroked="false">
              <v:fill type="solid"/>
            </v:rect>
            <v:rect style="position:absolute;left:4281;top:1184;width:60;height:16" filled="true" fillcolor="#000000" stroked="false">
              <v:fill type="solid"/>
            </v:rect>
            <v:rect style="position:absolute;left:4281;top:794;width:60;height:16" filled="true" fillcolor="#000000" stroked="false">
              <v:fill type="solid"/>
            </v:rect>
            <v:rect style="position:absolute;left:4281;top:404;width:60;height:16" filled="true" fillcolor="#000000" stroked="false">
              <v:fill type="solid"/>
            </v:rect>
            <v:line style="position:absolute" from="4027,3097" to="4342,3097" stroked="true" strokeweight=".77997pt" strokecolor="#000000">
              <v:stroke dashstyle="solid"/>
            </v:line>
            <v:line style="position:absolute" from="368,3097" to="3922,3097" stroked="true" strokeweight=".77997pt" strokecolor="#000000">
              <v:stroke dashstyle="solid"/>
            </v:line>
            <v:rect style="position:absolute;left:360;top:3096;width:16;height:60" filled="true" fillcolor="#000000" stroked="false">
              <v:fill type="solid"/>
            </v:rect>
            <v:rect style="position:absolute;left:1080;top:3096;width:16;height:60" filled="true" fillcolor="#000000" stroked="false">
              <v:fill type="solid"/>
            </v:rect>
            <v:rect style="position:absolute;left:1800;top:3096;width:16;height:60" filled="true" fillcolor="#000000" stroked="false">
              <v:fill type="solid"/>
            </v:rect>
            <v:rect style="position:absolute;left:2520;top:3096;width:15;height:60" filled="true" fillcolor="#000000" stroked="false">
              <v:fill type="solid"/>
            </v:rect>
            <v:rect style="position:absolute;left:3254;top:3096;width:16;height:60" filled="true" fillcolor="#000000" stroked="false">
              <v:fill type="solid"/>
            </v:rect>
            <v:shape style="position:absolute;left:720;top:2398;width:30;height:180" coordorigin="720,2399" coordsize="30,180" path="m744,2399l727,2399,720,2406,720,2483,727,2489,744,2489,750,2483,750,2406,744,2399xm744,2519l727,2519,720,2526,720,2573,727,2579,744,2579,750,2573,750,2526,744,2519xe" filled="true" fillcolor="#165788" stroked="false">
              <v:path arrowok="t"/>
              <v:fill type="solid"/>
            </v:shape>
            <v:shape style="position:absolute;left:1440;top:2548;width:30;height:180" coordorigin="1440,2549" coordsize="30,180" path="m1464,2549l1447,2549,1440,2556,1440,2633,1447,2639,1464,2639,1470,2633,1470,2556,1464,2549xm1464,2669l1447,2669,1440,2676,1440,2723,1447,2729,1464,2729,1470,2723,1470,2676,1464,2669xe" filled="true" fillcolor="#165788" stroked="false">
              <v:path arrowok="t"/>
              <v:fill type="solid"/>
            </v:shape>
            <v:shape style="position:absolute;left:1800;top:2698;width:30;height:196" coordorigin="1800,2699" coordsize="30,196" path="m1823,2699l1807,2699,1800,2706,1800,2783,1807,2789,1823,2789,1830,2783,1830,2706,1823,2699xm1823,2819l1807,2819,1800,2826,1800,2887,1807,2894,1823,2894,1830,2887,1830,2826,1823,2819xe" filled="true" fillcolor="#165788" stroked="false">
              <v:path arrowok="t"/>
              <v:fill type="solid"/>
            </v:shape>
            <v:shape style="position:absolute;left:2160;top:2864;width:30;height:180" coordorigin="2160,2864" coordsize="30,180" path="m2183,2864l2167,2864,2160,2870,2160,2947,2167,2954,2183,2954,2190,2947,2190,2870,2183,2864xm2183,2984l2167,2984,2160,2990,2160,3037,2167,3044,2183,3044,2190,3037,2190,2990,2183,2984xe" filled="true" fillcolor="#165788" stroked="false">
              <v:path arrowok="t"/>
              <v:fill type="solid"/>
            </v:shape>
            <v:rect style="position:absolute;left:3960;top:3014;width:30;height:38" filled="true" fillcolor="#165788" stroked="false">
              <v:fill type="solid"/>
            </v:rect>
            <v:shape style="position:absolute;left:360;top:2398;width:3630;height:646" coordorigin="360,2399" coordsize="3630,646" path="m744,2399l360,2399,360,2429,744,2429,750,2423,750,2406,744,2399xm1464,2549l727,2549,720,2556,720,2573,727,2579,1464,2579,1470,2573,1470,2556,1464,2549xm1823,2699l1447,2699,1440,2706,1440,2723,1447,2729,1823,2729,1830,2723,1830,2706,1823,2699xm2183,2864l1807,2864,1800,2870,1800,2887,1807,2894,2183,2894,2190,2887,2190,2870,2183,2864xm3983,3014l2167,3014,2160,3020,2160,3037,2167,3044,3983,3044,3990,3037,3990,3020,3983,3014xe" filled="true" fillcolor="#165788" stroked="false">
              <v:path arrowok="t"/>
              <v:fill type="solid"/>
            </v:shape>
            <v:shape style="position:absolute;left:285;top:2338;width:155;height:155" type="#_x0000_t75" stroked="false">
              <v:imagedata r:id="rId31" o:title=""/>
            </v:shape>
            <v:shape style="position:absolute;left:646;top:2338;width:155;height:308" type="#_x0000_t75" stroked="false">
              <v:imagedata r:id="rId32" o:title=""/>
            </v:shape>
            <v:shape style="position:absolute;left:1368;top:2491;width:155;height:308" type="#_x0000_t75" stroked="false">
              <v:imagedata r:id="rId33" o:title=""/>
            </v:shape>
            <v:shape style="position:absolute;left:1729;top:2643;width:155;height:308" type="#_x0000_t75" stroked="false">
              <v:imagedata r:id="rId34" o:title=""/>
            </v:shape>
            <v:shape style="position:absolute;left:2090;top:2796;width:155;height:308" type="#_x0000_t75" stroked="false">
              <v:imagedata r:id="rId35" o:title=""/>
            </v:shape>
            <v:shape style="position:absolute;left:3895;top:2948;width:155;height:232" type="#_x0000_t75" stroked="false">
              <v:imagedata r:id="rId36" o:title=""/>
            </v:shape>
            <v:shape style="position:absolute;left:368;top:1544;width:3636;height:1575" coordorigin="368,1544" coordsize="3636,1575" path="m3960,2496l3960,3109,3970,3119,3995,3119,4004,3109,4004,2519,3982,2519,3960,2496xm2146,2182l2146,2509,2155,2519,3960,2519,3960,2496,2190,2496,2167,2474,2190,2474,2190,2204,2167,2204,2146,2182xm3995,2474l2190,2474,2190,2496,3960,2496,3982,2519,4004,2519,4004,2484,3995,2474xm2190,2474l2167,2474,2190,2496,2190,2474xm1786,2032l1786,2194,1795,2204,2146,2204,2146,2182,1830,2182,1807,2159,1830,2159,1830,2054,1807,2054,1786,2032xm2180,2159l1830,2159,1830,2182,2146,2182,2167,2204,2190,2204,2190,2170,2180,2159xm1830,2159l1807,2159,1830,2182,1830,2159xm1426,1717l1426,2044,1435,2054,1786,2054,1786,2032,1470,2032,1447,2009,1470,2009,1470,1739,1447,1739,1426,1717xm1820,2009l1470,2009,1470,2032,1786,2032,1807,2054,1830,2054,1830,2020,1820,2009xm1470,2009l1447,2009,1470,2032,1470,2009xm706,1567l706,1729,715,1739,1426,1739,1426,1717,750,1717,728,1694,750,1694,750,1589,728,1589,706,1567xm1460,1694l750,1694,750,1717,1426,1717,1447,1739,1470,1739,1470,1704,1460,1694xm750,1694l728,1694,750,1717,750,1694xm740,1544l368,1544,368,1589,706,1589,706,1567,750,1567,750,1554,740,1544xm750,1567l706,1567,728,1589,750,1589,750,1567xe" filled="true" fillcolor="#be4b48" stroked="false">
              <v:path arrowok="t"/>
              <v:fill type="solid"/>
            </v:shape>
            <v:rect style="position:absolute;left:322;top:1521;width:90;height:106" filled="true" fillcolor="#c0504d" stroked="false">
              <v:fill type="solid"/>
            </v:rect>
            <v:shape style="position:absolute;left:315;top:1514;width:105;height:120" coordorigin="316,1514" coordsize="105,120" path="m418,1514l319,1514,316,1518,316,1631,319,1634,418,1634,420,1631,420,1627,330,1627,323,1619,330,1619,330,1529,323,1529,330,1522,420,1522,420,1518,418,1514xm330,1619l323,1619,330,1627,330,1619xm406,1619l330,1619,330,1627,406,1627,406,1619xm406,1522l406,1627,413,1619,420,1619,420,1529,413,1529,406,1522xm420,1619l413,1619,406,1627,420,1627,420,1619xm330,1522l323,1529,330,1529,330,1522xm406,1522l330,1522,330,1529,406,1529,406,1522xm420,1522l406,1522,413,1529,420,1529,420,1522xe" filled="true" fillcolor="#be4b48" stroked="false">
              <v:path arrowok="t"/>
              <v:fill type="solid"/>
            </v:shape>
            <v:shape style="position:absolute;left:675;top:1514;width:105;height:270" type="#_x0000_t75" stroked="false">
              <v:imagedata r:id="rId37" o:title=""/>
            </v:shape>
            <v:rect style="position:absolute;left:1402;top:1671;width:105;height:106" filled="true" fillcolor="#c0504d" stroked="false">
              <v:fill type="solid"/>
            </v:rect>
            <v:shape style="position:absolute;left:1395;top:1664;width:120;height:120" coordorigin="1396,1664" coordsize="120,120" path="m1512,1664l1398,1664,1396,1668,1396,1781,1398,1784,1512,1784,1516,1781,1516,1777,1410,1777,1403,1769,1410,1769,1410,1679,1403,1679,1410,1672,1516,1672,1516,1668,1512,1664xm1410,1769l1403,1769,1410,1777,1410,1769xm1500,1769l1410,1769,1410,1777,1500,1777,1500,1769xm1500,1672l1500,1777,1507,1769,1516,1769,1516,1679,1507,1679,1500,1672xm1516,1769l1507,1769,1500,1777,1516,1777,1516,1769xm1410,1672l1403,1679,1410,1679,1410,1672xm1500,1672l1410,1672,1410,1679,1500,1679,1500,1672xm1516,1672l1500,1672,1507,1679,1516,1679,1516,1672xe" filled="true" fillcolor="#be4b48" stroked="false">
              <v:path arrowok="t"/>
              <v:fill type="solid"/>
            </v:shape>
            <v:rect style="position:absolute;left:1402;top:1987;width:105;height:90" filled="true" fillcolor="#c0504d" stroked="false">
              <v:fill type="solid"/>
            </v:rect>
            <v:shape style="position:absolute;left:1395;top:1978;width:120;height:106" coordorigin="1396,1979" coordsize="120,106" path="m1512,1979l1398,1979,1396,1982,1396,2081,1398,2084,1512,2084,1516,2081,1516,2077,1410,2077,1403,2069,1410,2069,1410,1994,1403,1994,1410,1987,1516,1987,1516,1982,1512,1979xm1410,2069l1403,2069,1410,2077,1410,2069xm1500,2069l1410,2069,1410,2077,1500,2077,1500,2069xm1500,1987l1500,2077,1507,2069,1516,2069,1516,1994,1507,1994,1500,1987xm1516,2069l1507,2069,1500,2077,1516,2077,1516,2069xm1410,1987l1403,1994,1410,1994,1410,1987xm1500,1987l1410,1987,1410,1994,1500,1994,1500,1987xm1516,1987l1500,1987,1507,1994,1516,1994,1516,1987xe" filled="true" fillcolor="#be4b48" stroked="false">
              <v:path arrowok="t"/>
              <v:fill type="solid"/>
            </v:shape>
            <v:rect style="position:absolute;left:1762;top:1987;width:105;height:90" filled="true" fillcolor="#c0504d" stroked="false">
              <v:fill type="solid"/>
            </v:rect>
            <v:shape style="position:absolute;left:1755;top:1978;width:120;height:106" coordorigin="1756,1979" coordsize="120,106" path="m1872,1979l1758,1979,1756,1982,1756,2081,1758,2084,1872,2084,1876,2081,1876,2077,1770,2077,1763,2069,1770,2069,1770,1994,1763,1994,1770,1987,1876,1987,1876,1982,1872,1979xm1770,2069l1763,2069,1770,2077,1770,2069xm1860,2069l1770,2069,1770,2077,1860,2077,1860,2069xm1860,1987l1860,2077,1867,2069,1876,2069,1876,1994,1867,1994,1860,1987xm1876,2069l1867,2069,1860,2077,1876,2077,1876,2069xm1770,1987l1763,1994,1770,1994,1770,1987xm1860,1987l1770,1987,1770,1994,1860,1994,1860,1987xm1876,1987l1860,1987,1867,1994,1876,1994,1876,1987xe" filled="true" fillcolor="#be4b48" stroked="false">
              <v:path arrowok="t"/>
              <v:fill type="solid"/>
            </v:shape>
            <v:rect style="position:absolute;left:1762;top:2137;width:105;height:90" filled="true" fillcolor="#c0504d" stroked="false">
              <v:fill type="solid"/>
            </v:rect>
            <v:shape style="position:absolute;left:1755;top:2128;width:120;height:106" coordorigin="1756,2129" coordsize="120,106" path="m1872,2129l1758,2129,1756,2132,1756,2231,1758,2234,1872,2234,1876,2231,1876,2227,1770,2227,1763,2219,1770,2219,1770,2144,1763,2144,1770,2137,1876,2137,1876,2132,1872,2129xm1770,2219l1763,2219,1770,2227,1770,2219xm1860,2219l1770,2219,1770,2227,1860,2227,1860,2219xm1860,2137l1860,2227,1867,2219,1876,2219,1876,2144,1867,2144,1860,2137xm1876,2219l1867,2219,1860,2227,1876,2227,1876,2219xm1770,2137l1763,2144,1770,2144,1770,2137xm1860,2137l1770,2137,1770,2144,1860,2144,1860,2137xm1876,2137l1860,2137,1867,2144,1876,2144,1876,2137xe" filled="true" fillcolor="#be4b48" stroked="false">
              <v:path arrowok="t"/>
              <v:fill type="solid"/>
            </v:shape>
            <v:rect style="position:absolute;left:2122;top:2137;width:105;height:90" filled="true" fillcolor="#c0504d" stroked="false">
              <v:fill type="solid"/>
            </v:rect>
            <v:shape style="position:absolute;left:2115;top:2128;width:120;height:106" coordorigin="2116,2129" coordsize="120,106" path="m2232,2129l2118,2129,2116,2132,2116,2231,2118,2234,2232,2234,2236,2231,2236,2227,2130,2227,2123,2219,2130,2219,2130,2144,2123,2144,2130,2137,2236,2137,2236,2132,2232,2129xm2130,2219l2123,2219,2130,2227,2130,2219xm2220,2219l2130,2219,2130,2227,2220,2227,2220,2219xm2220,2137l2220,2227,2227,2219,2236,2219,2236,2144,2227,2144,2220,2137xm2236,2219l2227,2219,2220,2227,2236,2227,2236,2219xm2130,2137l2123,2144,2130,2144,2130,2137xm2220,2137l2130,2137,2130,2144,2220,2144,2220,2137xm2236,2137l2220,2137,2227,2144,2236,2144,2236,2137xe" filled="true" fillcolor="#be4b48" stroked="false">
              <v:path arrowok="t"/>
              <v:fill type="solid"/>
            </v:shape>
            <v:rect style="position:absolute;left:2122;top:2436;width:105;height:106" filled="true" fillcolor="#c0504d" stroked="false">
              <v:fill type="solid"/>
            </v:rect>
            <v:shape style="position:absolute;left:2115;top:2428;width:120;height:120" coordorigin="2116,2429" coordsize="120,120" path="m2232,2429l2118,2429,2116,2432,2116,2545,2118,2549,2232,2549,2236,2545,2236,2542,2130,2542,2123,2534,2130,2534,2130,2444,2123,2444,2130,2436,2236,2436,2236,2432,2232,2429xm2130,2534l2123,2534,2130,2542,2130,2534xm2220,2534l2130,2534,2130,2542,2220,2542,2220,2534xm2220,2436l2220,2542,2227,2534,2236,2534,2236,2444,2227,2444,2220,2436xm2236,2534l2227,2534,2220,2542,2236,2542,2236,2534xm2130,2436l2123,2444,2130,2444,2130,2436xm2220,2436l2130,2436,2130,2444,2220,2444,2220,2436xm2236,2436l2220,2436,2227,2444,2236,2444,2236,2436xe" filled="true" fillcolor="#be4b48" stroked="false">
              <v:path arrowok="t"/>
              <v:fill type="solid"/>
            </v:shape>
            <v:rect style="position:absolute;left:3921;top:2436;width:106;height:106" filled="true" fillcolor="#c0504d" stroked="false">
              <v:fill type="solid"/>
            </v:rect>
            <v:shape style="position:absolute;left:3914;top:2428;width:120;height:120" coordorigin="3914,2429" coordsize="120,120" path="m4031,2429l3918,2429,3914,2432,3914,2545,3918,2549,4031,2549,4034,2545,4034,2542,3930,2542,3922,2534,3930,2534,3930,2444,3922,2444,3930,2436,4034,2436,4034,2432,4031,2429xm3930,2534l3922,2534,3930,2542,3930,2534xm4020,2534l3930,2534,3930,2542,4020,2542,4020,2534xm4020,2436l4020,2542,4027,2534,4034,2534,4034,2444,4027,2444,4020,2436xm4034,2534l4027,2534,4020,2542,4034,2542,4034,2534xm3930,2436l3922,2444,3930,2444,3930,2436xm4020,2436l3930,2436,3930,2444,4020,2444,4020,2436xm4034,2436l4020,2436,4027,2444,4034,2444,4034,2436xe" filled="true" fillcolor="#be4b48" stroked="false">
              <v:path arrowok="t"/>
              <v:fill type="solid"/>
            </v:shape>
            <v:rect style="position:absolute;left:3921;top:3051;width:106;height:105" filled="true" fillcolor="#c0504d" stroked="false">
              <v:fill type="solid"/>
            </v:rect>
            <v:shape style="position:absolute;left:3914;top:3044;width:120;height:120" coordorigin="3914,3044" coordsize="120,120" path="m4031,3044l3918,3044,3914,3047,3914,3161,3918,3164,4031,3164,4034,3161,4034,3156,3930,3156,3922,3149,3930,3149,3930,3059,3922,3059,3930,3052,4034,3052,4034,3047,4031,3044xm3930,3149l3922,3149,3930,3156,3930,3149xm4020,3149l3930,3149,3930,3156,4020,3156,4020,3149xm4020,3052l4020,3156,4027,3149,4034,3149,4034,3059,4027,3059,4020,3052xm4034,3149l4027,3149,4020,3156,4034,3156,4034,3149xm3930,3052l3922,3059,3930,3059,3930,3052xm4020,3052l3930,3052,3930,3059,4020,3059,4020,3052xm4034,3052l4020,3052,4027,3059,4034,3059,4034,3052xe" filled="true" fillcolor="#be4b48" stroked="false">
              <v:path arrowok="t"/>
              <v:fill type="solid"/>
            </v:shape>
            <v:shape style="position:absolute;left:368;top:780;width:3636;height:2339" coordorigin="368,780" coordsize="3636,2339" path="m3960,3022l3960,3109,3970,3119,3995,3119,4004,3109,4004,3044,3982,3044,3960,3022xm2146,2872l2146,3034,2155,3044,3960,3044,3960,3022,2190,3022,2167,2999,2190,2999,2190,2894,2167,2894,2146,2872xm3995,2999l2190,2999,2190,3022,3960,3022,3982,3044,4004,3044,4004,3008,3995,2999xm2190,2999l2167,2999,2190,3022,2190,2999xm1786,2722l1786,2884,1795,2894,2146,2894,2146,2872,1830,2872,1807,2849,1830,2849,1830,2744,1807,2744,1786,2722xm2180,2849l1830,2849,1830,2872,2146,2872,2167,2894,2190,2894,2190,2858,2180,2849xm1830,2849l1807,2849,1830,2872,1830,2849xm1426,952l1426,2734,1435,2744,1786,2744,1786,2722,1470,2722,1447,2699,1470,2699,1470,974,1447,974,1426,952xm1820,2699l1470,2699,1470,2722,1786,2722,1807,2744,1830,2744,1830,2710,1820,2699xm1470,2699l1447,2699,1470,2722,1470,2699xm706,802l706,965,715,974,1426,974,1426,952,750,952,728,930,750,930,750,824,728,824,706,802xm1460,930l750,930,750,952,1426,952,1447,974,1470,974,1470,940,1460,930xm750,930l728,930,750,952,750,930xm740,780l368,780,368,824,706,824,706,802,750,802,750,790,740,780xm750,802l706,802,728,824,750,824,750,802xe" filled="true" fillcolor="#98b954" stroked="false">
              <v:path arrowok="t"/>
              <v:fill type="solid"/>
            </v:shape>
            <v:shape style="position:absolute;left:315;top:750;width:116;height:114" type="#_x0000_t75" stroked="false">
              <v:imagedata r:id="rId38" o:title=""/>
            </v:shape>
            <v:shape style="position:absolute;left:675;top:750;width:116;height:114" type="#_x0000_t75" stroked="false">
              <v:imagedata r:id="rId39" o:title=""/>
            </v:shape>
            <v:shape style="position:absolute;left:675;top:902;width:116;height:116" type="#_x0000_t75" stroked="false">
              <v:imagedata r:id="rId40" o:title=""/>
            </v:shape>
            <v:shape style="position:absolute;left:1396;top:902;width:116;height:116" type="#_x0000_t75" stroked="false">
              <v:imagedata r:id="rId41" o:title=""/>
            </v:shape>
            <v:shape style="position:absolute;left:1396;top:2665;width:116;height:116" type="#_x0000_t75" stroked="false">
              <v:imagedata r:id="rId41" o:title=""/>
            </v:shape>
            <v:shape style="position:absolute;left:1756;top:2665;width:116;height:116" type="#_x0000_t75" stroked="false">
              <v:imagedata r:id="rId42" o:title=""/>
            </v:shape>
            <v:shape style="position:absolute;left:1756;top:2818;width:116;height:116" type="#_x0000_t75" stroked="false">
              <v:imagedata r:id="rId43" o:title=""/>
            </v:shape>
            <v:shape style="position:absolute;left:2116;top:2818;width:117;height:116" type="#_x0000_t75" stroked="false">
              <v:imagedata r:id="rId44" o:title=""/>
            </v:shape>
            <v:shape style="position:absolute;left:2116;top:2972;width:117;height:116" type="#_x0000_t75" stroked="false">
              <v:imagedata r:id="rId45" o:title=""/>
            </v:shape>
            <v:shape style="position:absolute;left:3919;top:2972;width:116;height:192" type="#_x0000_t75" stroked="false">
              <v:imagedata r:id="rId46" o:title=""/>
            </v:shape>
            <v:line style="position:absolute" from="2116,839" to="2534,839" stroked="true" strokeweight="1.5pt" strokecolor="#165788">
              <v:stroke dashstyle="solid"/>
            </v:line>
            <v:shape style="position:absolute;left:2248;top:764;width:137;height:136" type="#_x0000_t75" stroked="false">
              <v:imagedata r:id="rId47" o:title=""/>
            </v:shape>
            <v:line style="position:absolute" from="2377,1087" to="2534,1087" stroked="true" strokeweight="2.280pt" strokecolor="#be4b48">
              <v:stroke dashstyle="solid"/>
            </v:line>
            <v:line style="position:absolute" from="2116,1087" to="2273,1087" stroked="true" strokeweight="2.280pt" strokecolor="#be4b48">
              <v:stroke dashstyle="solid"/>
            </v:line>
            <v:rect style="position:absolute;left:2272;top:1041;width:105;height:90" filled="true" fillcolor="#c0504d" stroked="false">
              <v:fill type="solid"/>
            </v:rect>
            <v:shape style="position:absolute;left:2264;top:1034;width:120;height:106" coordorigin="2264,1034" coordsize="120,106" path="m2382,1034l2268,1034,2264,1038,2264,1136,2268,1140,2382,1140,2384,1136,2384,1132,2280,1132,2273,1124,2280,1124,2280,1050,2273,1050,2280,1042,2384,1042,2384,1038,2382,1034xm2280,1124l2273,1124,2280,1132,2280,1124xm2370,1124l2280,1124,2280,1132,2370,1132,2370,1124xm2370,1042l2370,1132,2377,1124,2384,1124,2384,1050,2377,1050,2370,1042xm2384,1124l2377,1124,2370,1132,2384,1132,2384,1124xm2280,1042l2273,1050,2280,1050,2280,1042xm2370,1042l2280,1042,2280,1050,2370,1050,2370,1042xm2384,1042l2370,1042,2377,1050,2384,1050,2384,1042xe" filled="true" fillcolor="#be4b48" stroked="false">
              <v:path arrowok="t"/>
              <v:fill type="solid"/>
            </v:shape>
            <v:line style="position:absolute" from="2116,1342" to="2534,1342" stroked="true" strokeweight="2.280pt" strokecolor="#98b954">
              <v:stroke dashstyle="solid"/>
            </v:line>
            <v:shape style="position:absolute;left:2264;top:1274;width:122;height:120" type="#_x0000_t75" stroked="false">
              <v:imagedata r:id="rId48" o:title=""/>
            </v:shape>
            <v:shape style="position:absolute;left:0;top:0;width:4829;height:3929" coordorigin="0,0" coordsize="4829,3929" path="m4826,0l4,0,0,4,0,3925,4,3929,4826,3929,4829,3925,4829,3922,16,3922,8,3913,16,3913,16,14,8,14,16,7,4829,7,4829,4,4826,0xm16,3913l8,3913,16,3922,16,3913xm4814,3913l16,3913,16,3922,4814,3922,4814,3913xm4814,7l4814,3922,4822,3913,4829,3913,4829,14,4822,14,4814,7xm4829,3913l4822,3913,4814,3922,4829,3922,4829,3913xm16,7l8,14,16,14,16,7xm4814,7l16,7,16,14,4814,14,4814,7xm4829,7l4814,7,4822,14,4829,14,4829,7xe" filled="true" fillcolor="#ffffff" stroked="false">
              <v:path arrowok="t"/>
              <v:fill type="solid"/>
            </v:shape>
            <v:shape style="position:absolute;left:3121;top:120;width:1592;height:405" type="#_x0000_t202" filled="false" stroked="false">
              <v:textbox inset="0,0,0,0">
                <w:txbxContent>
                  <w:p>
                    <w:pPr>
                      <w:spacing w:line="223" w:lineRule="exact" w:before="0"/>
                      <w:ind w:left="0" w:right="0" w:firstLine="0"/>
                      <w:jc w:val="left"/>
                      <w:rPr>
                        <w:rFonts w:ascii="Calibri" w:hAnsi="Calibri"/>
                        <w:sz w:val="22"/>
                      </w:rPr>
                    </w:pPr>
                    <w:r>
                      <w:rPr>
                        <w:rFonts w:ascii="Calibri" w:hAnsi="Calibri"/>
                        <w:sz w:val="22"/>
                      </w:rPr>
                      <w:t>Stop‐out spread</w:t>
                    </w:r>
                  </w:p>
                  <w:p>
                    <w:pPr>
                      <w:spacing w:line="180" w:lineRule="exact" w:before="0"/>
                      <w:ind w:left="0" w:right="18" w:firstLine="0"/>
                      <w:jc w:val="right"/>
                      <w:rPr>
                        <w:sz w:val="16"/>
                      </w:rPr>
                    </w:pPr>
                    <w:r>
                      <w:rPr>
                        <w:sz w:val="16"/>
                      </w:rPr>
                      <w:t>35</w:t>
                    </w:r>
                  </w:p>
                </w:txbxContent>
              </v:textbox>
              <w10:wrap type="none"/>
            </v:shape>
            <v:shape style="position:absolute;left:2564;top:761;width:1339;height:696" type="#_x0000_t202" filled="false" stroked="false">
              <v:textbox inset="0,0,0,0">
                <w:txbxContent>
                  <w:p>
                    <w:pPr>
                      <w:spacing w:line="197" w:lineRule="exact" w:before="0"/>
                      <w:ind w:left="0" w:right="0" w:firstLine="0"/>
                      <w:jc w:val="left"/>
                      <w:rPr>
                        <w:rFonts w:ascii="Calibri"/>
                        <w:sz w:val="19"/>
                      </w:rPr>
                    </w:pPr>
                    <w:r>
                      <w:rPr>
                        <w:rFonts w:ascii="Calibri"/>
                        <w:sz w:val="19"/>
                      </w:rPr>
                      <w:t>Original</w:t>
                    </w:r>
                    <w:r>
                      <w:rPr>
                        <w:rFonts w:ascii="Calibri"/>
                        <w:spacing w:val="27"/>
                        <w:sz w:val="19"/>
                      </w:rPr>
                      <w:t> </w:t>
                    </w:r>
                    <w:r>
                      <w:rPr>
                        <w:rFonts w:ascii="Calibri"/>
                        <w:sz w:val="19"/>
                      </w:rPr>
                      <w:t>demand</w:t>
                    </w:r>
                  </w:p>
                  <w:p>
                    <w:pPr>
                      <w:spacing w:line="259" w:lineRule="auto" w:before="19"/>
                      <w:ind w:left="0" w:right="0" w:firstLine="0"/>
                      <w:jc w:val="left"/>
                      <w:rPr>
                        <w:rFonts w:ascii="Calibri"/>
                        <w:sz w:val="19"/>
                      </w:rPr>
                    </w:pPr>
                    <w:r>
                      <w:rPr>
                        <w:rFonts w:ascii="Calibri"/>
                        <w:w w:val="105"/>
                        <w:sz w:val="19"/>
                      </w:rPr>
                      <w:t>System stress </w:t>
                    </w:r>
                    <w:r>
                      <w:rPr>
                        <w:rFonts w:ascii="Calibri"/>
                        <w:sz w:val="19"/>
                      </w:rPr>
                      <w:t>Individual</w:t>
                    </w:r>
                    <w:r>
                      <w:rPr>
                        <w:rFonts w:ascii="Calibri"/>
                        <w:spacing w:val="28"/>
                        <w:sz w:val="19"/>
                      </w:rPr>
                      <w:t> </w:t>
                    </w:r>
                    <w:r>
                      <w:rPr>
                        <w:rFonts w:ascii="Calibri"/>
                        <w:sz w:val="19"/>
                      </w:rPr>
                      <w:t>stress</w:t>
                    </w:r>
                  </w:p>
                </w:txbxContent>
              </v:textbox>
              <w10:wrap type="none"/>
            </v:shape>
            <v:shape style="position:absolute;left:4510;top:724;width:203;height:2485" type="#_x0000_t202" filled="false" stroked="false">
              <v:textbox inset="0,0,0,0">
                <w:txbxContent>
                  <w:p>
                    <w:pPr>
                      <w:spacing w:line="183" w:lineRule="exact" w:before="0"/>
                      <w:ind w:left="2" w:right="0" w:firstLine="0"/>
                      <w:jc w:val="left"/>
                      <w:rPr>
                        <w:sz w:val="16"/>
                      </w:rPr>
                    </w:pPr>
                    <w:r>
                      <w:rPr>
                        <w:w w:val="105"/>
                        <w:sz w:val="16"/>
                      </w:rPr>
                      <w:t>30</w:t>
                    </w:r>
                  </w:p>
                  <w:p>
                    <w:pPr>
                      <w:spacing w:line="240" w:lineRule="auto" w:before="3"/>
                      <w:rPr>
                        <w:sz w:val="17"/>
                      </w:rPr>
                    </w:pPr>
                  </w:p>
                  <w:p>
                    <w:pPr>
                      <w:spacing w:before="0"/>
                      <w:ind w:left="2" w:right="0" w:firstLine="0"/>
                      <w:jc w:val="left"/>
                      <w:rPr>
                        <w:sz w:val="16"/>
                      </w:rPr>
                    </w:pPr>
                    <w:r>
                      <w:rPr>
                        <w:w w:val="105"/>
                        <w:sz w:val="16"/>
                      </w:rPr>
                      <w:t>25</w:t>
                    </w:r>
                  </w:p>
                  <w:p>
                    <w:pPr>
                      <w:spacing w:line="240" w:lineRule="auto" w:before="4"/>
                      <w:rPr>
                        <w:sz w:val="17"/>
                      </w:rPr>
                    </w:pPr>
                  </w:p>
                  <w:p>
                    <w:pPr>
                      <w:spacing w:before="1"/>
                      <w:ind w:left="2" w:right="0" w:firstLine="0"/>
                      <w:jc w:val="left"/>
                      <w:rPr>
                        <w:sz w:val="16"/>
                      </w:rPr>
                    </w:pPr>
                    <w:r>
                      <w:rPr>
                        <w:w w:val="105"/>
                        <w:sz w:val="16"/>
                      </w:rPr>
                      <w:t>20</w:t>
                    </w:r>
                  </w:p>
                  <w:p>
                    <w:pPr>
                      <w:spacing w:line="240" w:lineRule="auto" w:before="3"/>
                      <w:rPr>
                        <w:sz w:val="17"/>
                      </w:rPr>
                    </w:pPr>
                  </w:p>
                  <w:p>
                    <w:pPr>
                      <w:spacing w:before="0"/>
                      <w:ind w:left="2" w:right="0" w:firstLine="0"/>
                      <w:jc w:val="left"/>
                      <w:rPr>
                        <w:sz w:val="16"/>
                      </w:rPr>
                    </w:pPr>
                    <w:r>
                      <w:rPr>
                        <w:w w:val="105"/>
                        <w:sz w:val="16"/>
                      </w:rPr>
                      <w:t>15</w:t>
                    </w:r>
                  </w:p>
                  <w:p>
                    <w:pPr>
                      <w:spacing w:line="240" w:lineRule="auto" w:before="4"/>
                      <w:rPr>
                        <w:sz w:val="17"/>
                      </w:rPr>
                    </w:pPr>
                  </w:p>
                  <w:p>
                    <w:pPr>
                      <w:spacing w:before="0"/>
                      <w:ind w:left="2" w:right="0" w:firstLine="0"/>
                      <w:jc w:val="left"/>
                      <w:rPr>
                        <w:sz w:val="16"/>
                      </w:rPr>
                    </w:pPr>
                    <w:r>
                      <w:rPr>
                        <w:w w:val="105"/>
                        <w:sz w:val="16"/>
                      </w:rPr>
                      <w:t>10</w:t>
                    </w:r>
                  </w:p>
                  <w:p>
                    <w:pPr>
                      <w:spacing w:line="240" w:lineRule="auto" w:before="4"/>
                      <w:rPr>
                        <w:sz w:val="17"/>
                      </w:rPr>
                    </w:pPr>
                  </w:p>
                  <w:p>
                    <w:pPr>
                      <w:spacing w:before="0"/>
                      <w:ind w:left="0" w:right="0" w:firstLine="0"/>
                      <w:jc w:val="left"/>
                      <w:rPr>
                        <w:sz w:val="16"/>
                      </w:rPr>
                    </w:pPr>
                    <w:r>
                      <w:rPr>
                        <w:w w:val="103"/>
                        <w:sz w:val="16"/>
                      </w:rPr>
                      <w:t>5</w:t>
                    </w:r>
                  </w:p>
                  <w:p>
                    <w:pPr>
                      <w:spacing w:line="240" w:lineRule="auto" w:before="4"/>
                      <w:rPr>
                        <w:sz w:val="17"/>
                      </w:rPr>
                    </w:pPr>
                  </w:p>
                  <w:p>
                    <w:pPr>
                      <w:spacing w:before="0"/>
                      <w:ind w:left="0" w:right="0" w:firstLine="0"/>
                      <w:jc w:val="left"/>
                      <w:rPr>
                        <w:sz w:val="16"/>
                      </w:rPr>
                    </w:pPr>
                    <w:r>
                      <w:rPr>
                        <w:w w:val="103"/>
                        <w:sz w:val="16"/>
                      </w:rPr>
                      <w:t>0</w:t>
                    </w:r>
                  </w:p>
                </w:txbxContent>
              </v:textbox>
              <w10:wrap type="none"/>
            </v:shape>
            <v:shape style="position:absolute;left:320;top:3298;width:112;height:185" type="#_x0000_t202" filled="false" stroked="false">
              <v:textbox inset="0,0,0,0">
                <w:txbxContent>
                  <w:p>
                    <w:pPr>
                      <w:spacing w:line="183" w:lineRule="exact" w:before="0"/>
                      <w:ind w:left="0" w:right="0" w:firstLine="0"/>
                      <w:jc w:val="left"/>
                      <w:rPr>
                        <w:sz w:val="16"/>
                      </w:rPr>
                    </w:pPr>
                    <w:r>
                      <w:rPr>
                        <w:w w:val="103"/>
                        <w:sz w:val="16"/>
                      </w:rPr>
                      <w:t>0</w:t>
                    </w:r>
                  </w:p>
                </w:txbxContent>
              </v:textbox>
              <w10:wrap type="none"/>
            </v:shape>
            <v:shape style="position:absolute;left:997;top:3298;width:202;height:185" type="#_x0000_t202" filled="false" stroked="false">
              <v:textbox inset="0,0,0,0">
                <w:txbxContent>
                  <w:p>
                    <w:pPr>
                      <w:spacing w:line="183" w:lineRule="exact" w:before="0"/>
                      <w:ind w:left="0" w:right="0" w:firstLine="0"/>
                      <w:jc w:val="left"/>
                      <w:rPr>
                        <w:sz w:val="16"/>
                      </w:rPr>
                    </w:pPr>
                    <w:r>
                      <w:rPr>
                        <w:w w:val="105"/>
                        <w:sz w:val="16"/>
                      </w:rPr>
                      <w:t>20</w:t>
                    </w:r>
                  </w:p>
                </w:txbxContent>
              </v:textbox>
              <w10:wrap type="none"/>
            </v:shape>
            <v:shape style="position:absolute;left:1719;top:3298;width:202;height:185" type="#_x0000_t202" filled="false" stroked="false">
              <v:textbox inset="0,0,0,0">
                <w:txbxContent>
                  <w:p>
                    <w:pPr>
                      <w:spacing w:line="183" w:lineRule="exact" w:before="0"/>
                      <w:ind w:left="0" w:right="0" w:firstLine="0"/>
                      <w:jc w:val="left"/>
                      <w:rPr>
                        <w:sz w:val="16"/>
                      </w:rPr>
                    </w:pPr>
                    <w:r>
                      <w:rPr>
                        <w:w w:val="105"/>
                        <w:sz w:val="16"/>
                      </w:rPr>
                      <w:t>40</w:t>
                    </w:r>
                  </w:p>
                </w:txbxContent>
              </v:textbox>
              <w10:wrap type="none"/>
            </v:shape>
            <v:shape style="position:absolute;left:2441;top:3298;width:202;height:185" type="#_x0000_t202" filled="false" stroked="false">
              <v:textbox inset="0,0,0,0">
                <w:txbxContent>
                  <w:p>
                    <w:pPr>
                      <w:spacing w:line="183" w:lineRule="exact" w:before="0"/>
                      <w:ind w:left="0" w:right="0" w:firstLine="0"/>
                      <w:jc w:val="left"/>
                      <w:rPr>
                        <w:sz w:val="16"/>
                      </w:rPr>
                    </w:pPr>
                    <w:r>
                      <w:rPr>
                        <w:w w:val="105"/>
                        <w:sz w:val="16"/>
                      </w:rPr>
                      <w:t>60</w:t>
                    </w:r>
                  </w:p>
                </w:txbxContent>
              </v:textbox>
              <w10:wrap type="none"/>
            </v:shape>
            <v:shape style="position:absolute;left:3164;top:3298;width:202;height:185" type="#_x0000_t202" filled="false" stroked="false">
              <v:textbox inset="0,0,0,0">
                <w:txbxContent>
                  <w:p>
                    <w:pPr>
                      <w:spacing w:line="183" w:lineRule="exact" w:before="0"/>
                      <w:ind w:left="0" w:right="0" w:firstLine="0"/>
                      <w:jc w:val="left"/>
                      <w:rPr>
                        <w:sz w:val="16"/>
                      </w:rPr>
                    </w:pPr>
                    <w:r>
                      <w:rPr>
                        <w:w w:val="105"/>
                        <w:sz w:val="16"/>
                      </w:rPr>
                      <w:t>80</w:t>
                    </w:r>
                  </w:p>
                </w:txbxContent>
              </v:textbox>
              <w10:wrap type="none"/>
            </v:shape>
            <v:shape style="position:absolute;left:3840;top:3298;width:292;height:185" type="#_x0000_t202" filled="false" stroked="false">
              <v:textbox inset="0,0,0,0">
                <w:txbxContent>
                  <w:p>
                    <w:pPr>
                      <w:spacing w:line="183" w:lineRule="exact" w:before="0"/>
                      <w:ind w:left="0" w:right="0" w:firstLine="0"/>
                      <w:jc w:val="left"/>
                      <w:rPr>
                        <w:sz w:val="16"/>
                      </w:rPr>
                    </w:pPr>
                    <w:r>
                      <w:rPr>
                        <w:w w:val="105"/>
                        <w:sz w:val="16"/>
                      </w:rPr>
                      <w:t>100</w:t>
                    </w:r>
                  </w:p>
                </w:txbxContent>
              </v:textbox>
              <w10:wrap type="none"/>
            </v:shape>
            <v:shape style="position:absolute;left:362;top:3611;width:3971;height:225" type="#_x0000_t202" filled="false" stroked="false">
              <v:textbox inset="0,0,0,0">
                <w:txbxContent>
                  <w:p>
                    <w:pPr>
                      <w:spacing w:line="225" w:lineRule="exact" w:before="0"/>
                      <w:ind w:left="0" w:right="0" w:firstLine="0"/>
                      <w:jc w:val="left"/>
                      <w:rPr>
                        <w:rFonts w:ascii="Calibri"/>
                        <w:sz w:val="22"/>
                      </w:rPr>
                    </w:pPr>
                    <w:r>
                      <w:rPr>
                        <w:rFonts w:ascii="Calibri"/>
                        <w:sz w:val="22"/>
                      </w:rPr>
                      <w:t>Proportion allocated against wider collateral</w:t>
                    </w:r>
                  </w:p>
                </w:txbxContent>
              </v:textbox>
              <w10:wrap type="none"/>
            </v:shape>
          </v:group>
        </w:pict>
      </w:r>
      <w:r>
        <w:rPr/>
      </w:r>
    </w:p>
    <w:p>
      <w:pPr>
        <w:pStyle w:val="BodyText"/>
        <w:rPr>
          <w:sz w:val="22"/>
        </w:rPr>
      </w:pPr>
    </w:p>
    <w:p>
      <w:pPr>
        <w:pStyle w:val="BodyText"/>
        <w:spacing w:line="360" w:lineRule="auto" w:before="191"/>
        <w:ind w:left="233" w:right="1031"/>
      </w:pPr>
      <w:r>
        <w:rPr/>
        <w:t>In an alternative example, assume that an individual counterparty suffers a liquidity shock. That counterparty bids more aggressively for funds – something that is immediately observable from the pattern of bids</w:t>
      </w:r>
    </w:p>
    <w:p>
      <w:pPr>
        <w:pStyle w:val="BodyText"/>
        <w:ind w:left="234"/>
      </w:pPr>
      <w:r>
        <w:rPr/>
        <w:t>(Table 2 and Chart 6).</w:t>
      </w:r>
    </w:p>
    <w:p>
      <w:pPr>
        <w:pStyle w:val="BodyText"/>
        <w:rPr>
          <w:sz w:val="22"/>
        </w:rPr>
      </w:pPr>
    </w:p>
    <w:p>
      <w:pPr>
        <w:pStyle w:val="BodyText"/>
        <w:rPr>
          <w:sz w:val="18"/>
        </w:rPr>
      </w:pPr>
    </w:p>
    <w:p>
      <w:pPr>
        <w:pStyle w:val="BodyText"/>
        <w:spacing w:line="360" w:lineRule="auto"/>
        <w:ind w:left="233" w:right="1052"/>
      </w:pPr>
      <w:r>
        <w:rPr/>
        <w:t>These examples highlight how the new ILTRs can provide an “early warning indicator” of stresses in the market, at both an individual and aggregate level. That information can be used to determine the size of and frequency of subsequent ILTRs (hence solving one important problem with the old LTRs).</w:t>
      </w:r>
    </w:p>
    <w:p>
      <w:pPr>
        <w:pStyle w:val="BodyText"/>
        <w:spacing w:before="2"/>
        <w:rPr>
          <w:sz w:val="30"/>
        </w:rPr>
      </w:pPr>
    </w:p>
    <w:p>
      <w:pPr>
        <w:pStyle w:val="Heading2"/>
        <w:ind w:left="233"/>
      </w:pPr>
      <w:r>
        <w:rPr/>
        <w:t>The ILTR Supply Curve</w:t>
      </w:r>
    </w:p>
    <w:p>
      <w:pPr>
        <w:pStyle w:val="BodyText"/>
        <w:rPr>
          <w:b/>
          <w:sz w:val="22"/>
        </w:rPr>
      </w:pPr>
    </w:p>
    <w:p>
      <w:pPr>
        <w:pStyle w:val="BodyText"/>
        <w:spacing w:before="10"/>
        <w:rPr>
          <w:b/>
          <w:sz w:val="17"/>
        </w:rPr>
      </w:pPr>
    </w:p>
    <w:p>
      <w:pPr>
        <w:pStyle w:val="BodyText"/>
        <w:spacing w:line="360" w:lineRule="auto"/>
        <w:ind w:left="233" w:right="1020"/>
      </w:pPr>
      <w:r>
        <w:rPr/>
        <w:t>The Bank’s supply curve is pinned down by its preferences – namely to provide liquidity insurance to the banking system at a price that doesn’t undermine the incentive to prudently manage liquidity. The Bank summarises its preferences using a Relative Supply Schedule (RSS). The RSS dictates how the proportion of each auction allocated to the wider collateral set responds to changes in the bids submitted, and specifically the difference between the clearing spreads on the narrow and the wider collateral set (known as the stop out spread). Chart 7 below shows some illustrative examples of an RSS. A larger stop out spread increases the proportion of the auction allocated to the wider collateral set, so the Bank’s ‘supply schedule’ is upward sloping.</w:t>
      </w:r>
    </w:p>
    <w:p>
      <w:pPr>
        <w:pStyle w:val="BodyText"/>
        <w:rPr>
          <w:sz w:val="30"/>
        </w:rPr>
      </w:pPr>
    </w:p>
    <w:p>
      <w:pPr>
        <w:pStyle w:val="BodyText"/>
        <w:spacing w:line="360" w:lineRule="auto"/>
        <w:ind w:left="233" w:right="1094"/>
      </w:pPr>
      <w:r>
        <w:rPr/>
        <w:t>Consider two simple examples. With a perfectly inelastic RSS, the Bank essentially pins down the quantity of funds it would provide against wider collateral, regardless of the bids submitted. With a perfectly elastic supply curve, the bank would, once a certain price threshold is exceeded, be prepared to allocate against all the wider collateral</w:t>
      </w:r>
      <w:r>
        <w:rPr>
          <w:spacing w:val="-4"/>
        </w:rPr>
        <w:t> </w:t>
      </w:r>
      <w:r>
        <w:rPr/>
        <w:t>bids.</w:t>
      </w:r>
    </w:p>
    <w:p>
      <w:pPr>
        <w:spacing w:after="0" w:line="360" w:lineRule="auto"/>
        <w:sectPr>
          <w:pgSz w:w="11900" w:h="16840"/>
          <w:pgMar w:header="0" w:footer="1340" w:top="1540" w:bottom="1540" w:left="900" w:right="120"/>
        </w:sectPr>
      </w:pPr>
    </w:p>
    <w:p>
      <w:pPr>
        <w:pStyle w:val="BodyText"/>
        <w:spacing w:line="360" w:lineRule="auto" w:before="76"/>
        <w:ind w:left="234" w:right="1066"/>
      </w:pPr>
      <w:r>
        <w:rPr/>
        <w:t>These two examples are of course extremely simplistic, and are not realistic parameterisations of the Bank’s actual RSS. In broad terms, the elasticity of the Bank’s RSS is pinned down by three broad considerations. First, the Bank sees merit in allocating some funds regularly against wider collateral, to ensure counterparties remain familiar with the auction structure and continue to participate. Second, the Bank should not undermine the incentives to manage liquidity prudently. And third, the auctions should permit an increased allocation against wider collateral to the system in the face of adverse liquidity shocks and the associated heightened demand for liquidity.</w:t>
      </w:r>
    </w:p>
    <w:p>
      <w:pPr>
        <w:pStyle w:val="BodyText"/>
        <w:rPr>
          <w:sz w:val="30"/>
        </w:rPr>
      </w:pPr>
    </w:p>
    <w:p>
      <w:pPr>
        <w:pStyle w:val="BodyText"/>
        <w:spacing w:line="360" w:lineRule="auto"/>
        <w:ind w:left="234" w:right="1187"/>
      </w:pPr>
      <w:r>
        <w:rPr/>
        <w:t>While the principles underlying the Bank’s RSS are clear, the precise configuration of the RSS is not revealed to the market, so reducing the scope for firms to game the Bank, and encouraging them to bid according to need. The Bank’s supply curve should be continuous but otherwise need not be linear. In particular the Bank can use the results from each operation to determine the degree of stress in the market and hence adjust the scale of the operations accordingly.</w:t>
      </w:r>
    </w:p>
    <w:p>
      <w:pPr>
        <w:pStyle w:val="BodyText"/>
        <w:spacing w:before="1"/>
        <w:rPr>
          <w:sz w:val="30"/>
        </w:rPr>
      </w:pPr>
    </w:p>
    <w:p>
      <w:pPr>
        <w:pStyle w:val="Heading2"/>
      </w:pPr>
      <w:r>
        <w:rPr/>
        <w:t>Equilibrium</w:t>
      </w:r>
    </w:p>
    <w:p>
      <w:pPr>
        <w:pStyle w:val="BodyText"/>
        <w:rPr>
          <w:b/>
          <w:sz w:val="22"/>
        </w:rPr>
      </w:pPr>
    </w:p>
    <w:p>
      <w:pPr>
        <w:pStyle w:val="BodyText"/>
        <w:spacing w:before="11"/>
        <w:rPr>
          <w:b/>
          <w:sz w:val="17"/>
        </w:rPr>
      </w:pPr>
    </w:p>
    <w:p>
      <w:pPr>
        <w:pStyle w:val="BodyText"/>
        <w:spacing w:line="360" w:lineRule="auto"/>
        <w:ind w:left="234" w:right="1208"/>
      </w:pPr>
      <w:r>
        <w:rPr/>
        <w:t>The equilibrium point, which pins down the clearing spreads and the share of funds allocated to the two collateral sets, is determined by the intersection of the observed demand curve, and the Bank’s RSS.</w:t>
      </w:r>
    </w:p>
    <w:p>
      <w:pPr>
        <w:pStyle w:val="BodyText"/>
        <w:spacing w:line="360" w:lineRule="auto"/>
        <w:ind w:left="234" w:right="1052"/>
      </w:pPr>
      <w:r>
        <w:rPr/>
        <w:t>Chart 7 illustrates that using our hypothetical auction bids from Table 1 above, and three hypothetical linear RSS schedules. In case of intersections such as those given by curves A and B, a unique equilibrium is well defined.</w:t>
      </w:r>
    </w:p>
    <w:p>
      <w:pPr>
        <w:pStyle w:val="BodyText"/>
        <w:rPr>
          <w:sz w:val="30"/>
        </w:rPr>
      </w:pPr>
    </w:p>
    <w:p>
      <w:pPr>
        <w:pStyle w:val="BodyText"/>
        <w:ind w:right="772"/>
        <w:jc w:val="center"/>
      </w:pPr>
      <w:r>
        <w:rPr/>
        <w:pict>
          <v:group style="position:absolute;margin-left:177.300003pt;margin-top:17.773664pt;width:241.45pt;height:196.45pt;mso-position-horizontal-relative:page;mso-position-vertical-relative:paragraph;z-index:-251593728;mso-wrap-distance-left:0;mso-wrap-distance-right:0" coordorigin="3546,355" coordsize="4829,3929">
            <v:shape style="position:absolute;left:3846;top:759;width:3989;height:2700" coordorigin="3846,760" coordsize="3989,2700" path="m7831,760l3850,760,3846,763,3846,3456,3850,3460,7831,3460,7835,3456,7835,3451,3860,3451,3853,3444,3860,3444,3860,775,3853,775,3860,767,7835,767,7835,763,7831,760xm3860,3444l3853,3444,3860,3451,3860,3444xm7820,3444l3860,3444,3860,3451,7820,3451,7820,3444xm7820,767l7820,3451,7828,3444,7835,3444,7835,775,7828,775,7820,767xm7835,3444l7828,3444,7820,3451,7835,3451,7835,3444xm3860,767l3853,775,3860,775,3860,767xm7820,767l3860,767,3860,775,7820,775,7820,767xm7835,767l7820,767,7828,775,7835,775,7835,767xe" filled="true" fillcolor="#000000" stroked="false">
              <v:path arrowok="t"/>
              <v:fill type="solid"/>
            </v:shape>
            <v:line style="position:absolute" from="7828,767" to="7828,3451" stroked="true" strokeweight=".72pt" strokecolor="#000000">
              <v:stroke dashstyle="solid"/>
            </v:line>
            <v:rect style="position:absolute;left:7767;top:3444;width:60;height:16" filled="true" fillcolor="#000000" stroked="false">
              <v:fill type="solid"/>
            </v:rect>
            <v:rect style="position:absolute;left:7767;top:2919;width:60;height:15" filled="true" fillcolor="#000000" stroked="false">
              <v:fill type="solid"/>
            </v:rect>
            <v:rect style="position:absolute;left:7767;top:2379;width:60;height:15" filled="true" fillcolor="#000000" stroked="false">
              <v:fill type="solid"/>
            </v:rect>
            <v:rect style="position:absolute;left:7767;top:1839;width:60;height:15" filled="true" fillcolor="#000000" stroked="false">
              <v:fill type="solid"/>
            </v:rect>
            <v:rect style="position:absolute;left:7767;top:1299;width:60;height:16" filled="true" fillcolor="#000000" stroked="false">
              <v:fill type="solid"/>
            </v:rect>
            <v:rect style="position:absolute;left:7767;top:759;width:60;height:16" filled="true" fillcolor="#000000" stroked="false">
              <v:fill type="solid"/>
            </v:rect>
            <v:line style="position:absolute" from="3853,3452" to="7828,3452" stroked="true" strokeweight=".78pt" strokecolor="#000000">
              <v:stroke dashstyle="solid"/>
            </v:line>
            <v:rect style="position:absolute;left:3846;top:3451;width:15;height:60" filled="true" fillcolor="#000000" stroked="false">
              <v:fill type="solid"/>
            </v:rect>
            <v:rect style="position:absolute;left:4566;top:3451;width:15;height:60" filled="true" fillcolor="#000000" stroked="false">
              <v:fill type="solid"/>
            </v:rect>
            <v:rect style="position:absolute;left:5286;top:3451;width:15;height:60" filled="true" fillcolor="#000000" stroked="false">
              <v:fill type="solid"/>
            </v:rect>
            <v:rect style="position:absolute;left:6006;top:3451;width:15;height:60" filled="true" fillcolor="#000000" stroked="false">
              <v:fill type="solid"/>
            </v:rect>
            <v:rect style="position:absolute;left:6740;top:3451;width:15;height:60" filled="true" fillcolor="#000000" stroked="false">
              <v:fill type="solid"/>
            </v:rect>
            <v:rect style="position:absolute;left:7460;top:3451;width:15;height:60" filled="true" fillcolor="#000000" stroked="false">
              <v:fill type="solid"/>
            </v:rect>
            <v:shape style="position:absolute;left:4206;top:1029;width:30;height:570" coordorigin="4206,1030" coordsize="30,570" path="m4229,1030l4213,1030,4206,1037,4206,1114,4213,1120,4229,1120,4236,1114,4236,1037,4229,1030xm4229,1150l4213,1150,4206,1157,4206,1233,4213,1240,4229,1240,4236,1233,4236,1157,4229,1150xm4229,1270l4213,1270,4206,1277,4206,1353,4213,1360,4229,1360,4236,1353,4236,1277,4229,1270xm4229,1390l4213,1390,4206,1397,4206,1473,4213,1480,4229,1480,4236,1473,4236,1397,4229,1390xm4229,1510l4213,1510,4206,1517,4206,1593,4213,1600,4229,1600,4236,1593,4236,1517,4229,1510xe" filled="true" fillcolor="#165788" stroked="false">
              <v:path arrowok="t"/>
              <v:fill type="solid"/>
            </v:shape>
            <v:shape style="position:absolute;left:4926;top:1569;width:30;height:555" coordorigin="4926,1570" coordsize="30,555" path="m4949,1570l4932,1570,4926,1577,4926,1653,4932,1660,4949,1660,4956,1653,4956,1577,4949,1570xm4949,1690l4932,1690,4926,1697,4926,1773,4932,1780,4949,1780,4956,1773,4956,1697,4949,1690xm4949,1810l4932,1810,4926,1817,4926,1893,4932,1900,4949,1900,4956,1893,4956,1817,4949,1810xm4949,1930l4932,1930,4926,1936,4926,2013,4932,2020,4949,2020,4956,2013,4956,1936,4949,1930xm4949,2050l4932,2050,4926,2056,4926,2118,4932,2124,4949,2124,4956,2118,4956,2056,4949,2050xe" filled="true" fillcolor="#165788" stroked="false">
              <v:path arrowok="t"/>
              <v:fill type="solid"/>
            </v:shape>
            <v:shape style="position:absolute;left:5286;top:2094;width:30;height:570" coordorigin="5286,2094" coordsize="30,570" path="m5309,2094l5292,2094,5286,2101,5286,2178,5292,2184,5309,2184,5316,2178,5316,2101,5309,2094xm5309,2214l5292,2214,5286,2221,5286,2298,5292,2304,5309,2304,5316,2298,5316,2221,5309,2214xm5309,2334l5292,2334,5286,2341,5286,2418,5292,2424,5309,2424,5316,2418,5316,2341,5309,2334xm5309,2454l5292,2454,5286,2461,5286,2538,5292,2544,5309,2544,5316,2538,5316,2461,5309,2454xm5309,2574l5292,2574,5286,2581,5286,2658,5292,2664,5309,2664,5316,2658,5316,2581,5309,2574xe" filled="true" fillcolor="#165788" stroked="false">
              <v:path arrowok="t"/>
              <v:fill type="solid"/>
            </v:shape>
            <v:shape style="position:absolute;left:5646;top:2634;width:30;height:570" coordorigin="5646,2634" coordsize="30,570" path="m5669,2634l5652,2634,5646,2641,5646,2718,5652,2724,5669,2724,5676,2718,5676,2641,5669,2634xm5669,2754l5652,2754,5646,2761,5646,2838,5652,2844,5669,2844,5676,2838,5676,2761,5669,2754xm5669,2874l5652,2874,5646,2881,5646,2958,5652,2964,5669,2964,5676,2958,5676,2881,5669,2874xm5669,2994l5652,2994,5646,3001,5646,3078,5652,3084,5669,3084,5676,3078,5676,3001,5669,2994xm5669,3114l5652,3114,5646,3121,5646,3197,5652,3204,5669,3204,5676,3197,5676,3121,5669,3114xe" filled="true" fillcolor="#165788" stroked="false">
              <v:path arrowok="t"/>
              <v:fill type="solid"/>
            </v:shape>
            <v:shape style="position:absolute;left:7444;top:3174;width:30;height:300" coordorigin="7445,3174" coordsize="30,300" path="m7469,3174l7452,3174,7445,3181,7445,3257,7452,3264,7469,3264,7475,3257,7475,3181,7469,3174xm7469,3294l7452,3294,7445,3301,7445,3377,7452,3384,7469,3384,7475,3377,7475,3301,7469,3294xm7469,3414l7452,3414,7445,3421,7445,3467,7452,3474,7469,3474,7475,3467,7475,3421,7469,3414xe" filled="true" fillcolor="#165788" stroked="false">
              <v:path arrowok="t"/>
              <v:fill type="solid"/>
            </v:shape>
            <v:shape style="position:absolute;left:3846;top:1029;width:3629;height:2175" coordorigin="3846,1030" coordsize="3629,2175" path="m4229,1030l3846,1030,3846,1060,4229,1060,4236,1054,4236,1037,4229,1030xm4949,1570l4213,1570,4206,1577,4206,1593,4213,1600,4949,1600,4956,1593,4956,1577,4949,1570xm5309,2094l4932,2094,4926,2101,4926,2118,4932,2124,5309,2124,5316,2118,5316,2101,5309,2094xm5669,2634l5292,2634,5286,2641,5286,2658,5292,2664,5669,2664,5676,2658,5676,2641,5669,2634xm7469,3174l5652,3174,5646,3181,5646,3197,5652,3204,7469,3204,7475,3197,7475,3181,7469,3174xe" filled="true" fillcolor="#165788" stroked="false">
              <v:path arrowok="t"/>
              <v:fill type="solid"/>
            </v:shape>
            <v:shape style="position:absolute;left:3771;top:969;width:155;height:156" type="#_x0000_t75" stroked="false">
              <v:imagedata r:id="rId49" o:title=""/>
            </v:shape>
            <v:shape style="position:absolute;left:4131;top:969;width:155;height:156" type="#_x0000_t75" stroked="false">
              <v:imagedata r:id="rId50" o:title=""/>
            </v:shape>
            <v:shape style="position:absolute;left:4131;top:1505;width:155;height:156" type="#_x0000_t75" stroked="false">
              <v:imagedata r:id="rId51" o:title=""/>
            </v:shape>
            <v:shape style="position:absolute;left:4854;top:1505;width:155;height:156" type="#_x0000_t75" stroked="false">
              <v:imagedata r:id="rId30" o:title=""/>
            </v:shape>
            <v:shape style="position:absolute;left:4854;top:2040;width:155;height:156" type="#_x0000_t75" stroked="false">
              <v:imagedata r:id="rId52" o:title=""/>
            </v:shape>
            <v:shape style="position:absolute;left:5215;top:2040;width:155;height:156" type="#_x0000_t75" stroked="false">
              <v:imagedata r:id="rId53" o:title=""/>
            </v:shape>
            <v:shape style="position:absolute;left:5215;top:2575;width:155;height:156" type="#_x0000_t75" stroked="false">
              <v:imagedata r:id="rId54" o:title=""/>
            </v:shape>
            <v:shape style="position:absolute;left:5575;top:2575;width:155;height:156" type="#_x0000_t75" stroked="false">
              <v:imagedata r:id="rId55" o:title=""/>
            </v:shape>
            <v:shape style="position:absolute;left:5575;top:3110;width:155;height:156" type="#_x0000_t75" stroked="false">
              <v:imagedata r:id="rId56" o:title=""/>
            </v:shape>
            <v:shape style="position:absolute;left:7380;top:3110;width:155;height:156" type="#_x0000_t75" stroked="false">
              <v:imagedata r:id="rId57" o:title=""/>
            </v:shape>
            <v:shape style="position:absolute;left:7380;top:3379;width:155;height:156" type="#_x0000_t75" stroked="false">
              <v:imagedata r:id="rId58" o:title=""/>
            </v:shape>
            <v:shape style="position:absolute;left:3546;top:355;width:4829;height:3929" coordorigin="3546,355" coordsize="4829,3929" path="m8371,355l3550,355,3546,359,3546,4281,3550,4284,8371,4284,8375,4281,8375,4277,3562,4277,3553,4269,3562,4269,3562,370,3553,370,3562,363,8375,363,8375,359,8371,355xm3562,4269l3553,4269,3562,4277,3562,4269xm8360,4269l3562,4269,3562,4277,8360,4277,8360,4269xm8360,363l8360,4277,8368,4269,8375,4269,8375,370,8368,370,8360,363xm8375,4269l8368,4269,8360,4277,8375,4277,8375,4269xm3562,363l3553,370,3562,370,3562,363xm8360,363l3562,363,3562,370,8360,370,8360,363xm8375,363l8360,363,8368,370,8375,370,8375,363xe" filled="true" fillcolor="#ffffff" stroked="false">
              <v:path arrowok="t"/>
              <v:fill type="solid"/>
            </v:shape>
            <v:shape style="position:absolute;left:3847;top:835;width:958;height:2609" coordorigin="3847,835" coordsize="958,2609" path="m4762,835l3847,3430,3889,3444,4805,850,4762,835xe" filled="true" fillcolor="#c0504d" stroked="false">
              <v:path arrowok="t"/>
              <v:fill type="solid"/>
            </v:shape>
            <v:shape style="position:absolute;left:3837;top:1155;width:2476;height:2313" coordorigin="3838,1156" coordsize="2476,2313" path="m6282,1156l3838,3436,3869,3468,6313,1189,6282,1156xe" filled="true" fillcolor="#c0504d" stroked="false">
              <v:path arrowok="t"/>
              <v:fill type="solid"/>
            </v:shape>
            <v:shape style="position:absolute;left:3847;top:2379;width:3717;height:1079" coordorigin="3847,2380" coordsize="3717,1079" path="m7552,2380l3847,3415,3859,3459,7564,2424,7552,2380xe" filled="true" fillcolor="#c0504d" stroked="false">
              <v:path arrowok="t"/>
              <v:fill type="solid"/>
            </v:shape>
            <v:shape style="position:absolute;left:6667;top:476;width:1531;height:405" type="#_x0000_t202" filled="false" stroked="false">
              <v:textbox inset="0,0,0,0">
                <w:txbxContent>
                  <w:p>
                    <w:pPr>
                      <w:spacing w:line="223" w:lineRule="exact" w:before="0"/>
                      <w:ind w:left="0" w:right="0" w:firstLine="0"/>
                      <w:jc w:val="left"/>
                      <w:rPr>
                        <w:rFonts w:ascii="Calibri" w:hAnsi="Calibri"/>
                        <w:sz w:val="22"/>
                      </w:rPr>
                    </w:pPr>
                    <w:r>
                      <w:rPr>
                        <w:rFonts w:ascii="Calibri" w:hAnsi="Calibri"/>
                        <w:sz w:val="22"/>
                      </w:rPr>
                      <w:t>Stop‐out spread</w:t>
                    </w:r>
                  </w:p>
                  <w:p>
                    <w:pPr>
                      <w:spacing w:line="180" w:lineRule="exact" w:before="0"/>
                      <w:ind w:left="0" w:right="18" w:firstLine="0"/>
                      <w:jc w:val="right"/>
                      <w:rPr>
                        <w:sz w:val="16"/>
                      </w:rPr>
                    </w:pPr>
                    <w:r>
                      <w:rPr>
                        <w:sz w:val="16"/>
                      </w:rPr>
                      <w:t>10</w:t>
                    </w:r>
                  </w:p>
                </w:txbxContent>
              </v:textbox>
              <w10:wrap type="none"/>
            </v:shape>
            <v:shape style="position:absolute;left:4867;top:926;width:795;height:225" type="#_x0000_t202" filled="false" stroked="false">
              <v:textbox inset="0,0,0,0">
                <w:txbxContent>
                  <w:p>
                    <w:pPr>
                      <w:spacing w:line="225" w:lineRule="exact" w:before="0"/>
                      <w:ind w:left="0" w:right="0" w:firstLine="0"/>
                      <w:jc w:val="left"/>
                      <w:rPr>
                        <w:rFonts w:ascii="Calibri"/>
                        <w:sz w:val="22"/>
                      </w:rPr>
                    </w:pPr>
                    <w:r>
                      <w:rPr>
                        <w:rFonts w:ascii="Calibri"/>
                        <w:sz w:val="22"/>
                      </w:rPr>
                      <w:t>Supply A</w:t>
                    </w:r>
                  </w:p>
                </w:txbxContent>
              </v:textbox>
              <w10:wrap type="none"/>
            </v:shape>
            <v:shape style="position:absolute;left:6501;top:1285;width:787;height:225" type="#_x0000_t202" filled="false" stroked="false">
              <v:textbox inset="0,0,0,0">
                <w:txbxContent>
                  <w:p>
                    <w:pPr>
                      <w:spacing w:line="225" w:lineRule="exact" w:before="0"/>
                      <w:ind w:left="0" w:right="0" w:firstLine="0"/>
                      <w:jc w:val="left"/>
                      <w:rPr>
                        <w:rFonts w:ascii="Calibri"/>
                        <w:sz w:val="22"/>
                      </w:rPr>
                    </w:pPr>
                    <w:r>
                      <w:rPr>
                        <w:rFonts w:ascii="Calibri"/>
                        <w:sz w:val="22"/>
                      </w:rPr>
                      <w:t>Supply B</w:t>
                    </w:r>
                  </w:p>
                </w:txbxContent>
              </v:textbox>
              <w10:wrap type="none"/>
            </v:shape>
            <v:shape style="position:absolute;left:7995;top:1232;width:112;height:722" type="#_x0000_t202" filled="false" stroked="false">
              <v:textbox inset="0,0,0,0">
                <w:txbxContent>
                  <w:p>
                    <w:pPr>
                      <w:spacing w:line="183" w:lineRule="exact" w:before="0"/>
                      <w:ind w:left="0" w:right="0" w:firstLine="0"/>
                      <w:jc w:val="left"/>
                      <w:rPr>
                        <w:sz w:val="16"/>
                      </w:rPr>
                    </w:pPr>
                    <w:r>
                      <w:rPr>
                        <w:w w:val="103"/>
                        <w:sz w:val="16"/>
                      </w:rPr>
                      <w:t>8</w:t>
                    </w:r>
                  </w:p>
                  <w:p>
                    <w:pPr>
                      <w:spacing w:line="240" w:lineRule="auto" w:before="0"/>
                      <w:rPr>
                        <w:sz w:val="18"/>
                      </w:rPr>
                    </w:pPr>
                  </w:p>
                  <w:p>
                    <w:pPr>
                      <w:spacing w:before="146"/>
                      <w:ind w:left="0" w:right="0" w:firstLine="0"/>
                      <w:jc w:val="left"/>
                      <w:rPr>
                        <w:sz w:val="16"/>
                      </w:rPr>
                    </w:pPr>
                    <w:r>
                      <w:rPr>
                        <w:w w:val="103"/>
                        <w:sz w:val="16"/>
                      </w:rPr>
                      <w:t>6</w:t>
                    </w:r>
                  </w:p>
                </w:txbxContent>
              </v:textbox>
              <w10:wrap type="none"/>
            </v:shape>
            <v:shape style="position:absolute;left:6621;top:2110;width:785;height:225" type="#_x0000_t202" filled="false" stroked="false">
              <v:textbox inset="0,0,0,0">
                <w:txbxContent>
                  <w:p>
                    <w:pPr>
                      <w:spacing w:line="225" w:lineRule="exact" w:before="0"/>
                      <w:ind w:left="0" w:right="0" w:firstLine="0"/>
                      <w:jc w:val="left"/>
                      <w:rPr>
                        <w:rFonts w:ascii="Calibri"/>
                        <w:sz w:val="22"/>
                      </w:rPr>
                    </w:pPr>
                    <w:r>
                      <w:rPr>
                        <w:rFonts w:ascii="Calibri"/>
                        <w:sz w:val="22"/>
                      </w:rPr>
                      <w:t>Supply C</w:t>
                    </w:r>
                  </w:p>
                </w:txbxContent>
              </v:textbox>
              <w10:wrap type="none"/>
            </v:shape>
            <v:shape style="position:absolute;left:7995;top:2306;width:112;height:1259" type="#_x0000_t202" filled="false" stroked="false">
              <v:textbox inset="0,0,0,0">
                <w:txbxContent>
                  <w:p>
                    <w:pPr>
                      <w:spacing w:line="183" w:lineRule="exact" w:before="0"/>
                      <w:ind w:left="0" w:right="0" w:firstLine="0"/>
                      <w:jc w:val="left"/>
                      <w:rPr>
                        <w:sz w:val="16"/>
                      </w:rPr>
                    </w:pPr>
                    <w:r>
                      <w:rPr>
                        <w:w w:val="103"/>
                        <w:sz w:val="16"/>
                      </w:rPr>
                      <w:t>4</w:t>
                    </w:r>
                  </w:p>
                  <w:p>
                    <w:pPr>
                      <w:spacing w:line="240" w:lineRule="auto" w:before="0"/>
                      <w:rPr>
                        <w:sz w:val="18"/>
                      </w:rPr>
                    </w:pPr>
                  </w:p>
                  <w:p>
                    <w:pPr>
                      <w:spacing w:before="145"/>
                      <w:ind w:left="0" w:right="0" w:firstLine="0"/>
                      <w:jc w:val="left"/>
                      <w:rPr>
                        <w:sz w:val="16"/>
                      </w:rPr>
                    </w:pPr>
                    <w:r>
                      <w:rPr>
                        <w:w w:val="103"/>
                        <w:sz w:val="16"/>
                      </w:rPr>
                      <w:t>2</w:t>
                    </w:r>
                  </w:p>
                  <w:p>
                    <w:pPr>
                      <w:spacing w:line="240" w:lineRule="auto" w:before="0"/>
                      <w:rPr>
                        <w:sz w:val="18"/>
                      </w:rPr>
                    </w:pPr>
                  </w:p>
                  <w:p>
                    <w:pPr>
                      <w:spacing w:before="147"/>
                      <w:ind w:left="0" w:right="0" w:firstLine="0"/>
                      <w:jc w:val="left"/>
                      <w:rPr>
                        <w:sz w:val="16"/>
                      </w:rPr>
                    </w:pPr>
                    <w:r>
                      <w:rPr>
                        <w:w w:val="103"/>
                        <w:sz w:val="16"/>
                      </w:rPr>
                      <w:t>0</w:t>
                    </w:r>
                  </w:p>
                </w:txbxContent>
              </v:textbox>
              <w10:wrap type="none"/>
            </v:shape>
            <v:shape style="position:absolute;left:3806;top:3653;width:112;height:185" type="#_x0000_t202" filled="false" stroked="false">
              <v:textbox inset="0,0,0,0">
                <w:txbxContent>
                  <w:p>
                    <w:pPr>
                      <w:spacing w:line="183" w:lineRule="exact" w:before="0"/>
                      <w:ind w:left="0" w:right="0" w:firstLine="0"/>
                      <w:jc w:val="left"/>
                      <w:rPr>
                        <w:sz w:val="16"/>
                      </w:rPr>
                    </w:pPr>
                    <w:r>
                      <w:rPr>
                        <w:w w:val="103"/>
                        <w:sz w:val="16"/>
                      </w:rPr>
                      <w:t>0</w:t>
                    </w:r>
                  </w:p>
                </w:txbxContent>
              </v:textbox>
              <w10:wrap type="none"/>
            </v:shape>
            <v:shape style="position:absolute;left:4483;top:3653;width:202;height:185" type="#_x0000_t202" filled="false" stroked="false">
              <v:textbox inset="0,0,0,0">
                <w:txbxContent>
                  <w:p>
                    <w:pPr>
                      <w:spacing w:line="183" w:lineRule="exact" w:before="0"/>
                      <w:ind w:left="0" w:right="0" w:firstLine="0"/>
                      <w:jc w:val="left"/>
                      <w:rPr>
                        <w:sz w:val="16"/>
                      </w:rPr>
                    </w:pPr>
                    <w:r>
                      <w:rPr>
                        <w:w w:val="105"/>
                        <w:sz w:val="16"/>
                      </w:rPr>
                      <w:t>20</w:t>
                    </w:r>
                  </w:p>
                </w:txbxContent>
              </v:textbox>
              <w10:wrap type="none"/>
            </v:shape>
            <v:shape style="position:absolute;left:5205;top:3653;width:202;height:185" type="#_x0000_t202" filled="false" stroked="false">
              <v:textbox inset="0,0,0,0">
                <w:txbxContent>
                  <w:p>
                    <w:pPr>
                      <w:spacing w:line="183" w:lineRule="exact" w:before="0"/>
                      <w:ind w:left="0" w:right="0" w:firstLine="0"/>
                      <w:jc w:val="left"/>
                      <w:rPr>
                        <w:sz w:val="16"/>
                      </w:rPr>
                    </w:pPr>
                    <w:r>
                      <w:rPr>
                        <w:w w:val="105"/>
                        <w:sz w:val="16"/>
                      </w:rPr>
                      <w:t>40</w:t>
                    </w:r>
                  </w:p>
                </w:txbxContent>
              </v:textbox>
              <w10:wrap type="none"/>
            </v:shape>
            <v:shape style="position:absolute;left:5926;top:3653;width:202;height:185" type="#_x0000_t202" filled="false" stroked="false">
              <v:textbox inset="0,0,0,0">
                <w:txbxContent>
                  <w:p>
                    <w:pPr>
                      <w:spacing w:line="183" w:lineRule="exact" w:before="0"/>
                      <w:ind w:left="0" w:right="0" w:firstLine="0"/>
                      <w:jc w:val="left"/>
                      <w:rPr>
                        <w:sz w:val="16"/>
                      </w:rPr>
                    </w:pPr>
                    <w:r>
                      <w:rPr>
                        <w:w w:val="105"/>
                        <w:sz w:val="16"/>
                      </w:rPr>
                      <w:t>60</w:t>
                    </w:r>
                  </w:p>
                </w:txbxContent>
              </v:textbox>
              <w10:wrap type="none"/>
            </v:shape>
            <v:shape style="position:absolute;left:6649;top:3653;width:202;height:185" type="#_x0000_t202" filled="false" stroked="false">
              <v:textbox inset="0,0,0,0">
                <w:txbxContent>
                  <w:p>
                    <w:pPr>
                      <w:spacing w:line="183" w:lineRule="exact" w:before="0"/>
                      <w:ind w:left="0" w:right="0" w:firstLine="0"/>
                      <w:jc w:val="left"/>
                      <w:rPr>
                        <w:sz w:val="16"/>
                      </w:rPr>
                    </w:pPr>
                    <w:r>
                      <w:rPr>
                        <w:w w:val="105"/>
                        <w:sz w:val="16"/>
                      </w:rPr>
                      <w:t>80</w:t>
                    </w:r>
                  </w:p>
                </w:txbxContent>
              </v:textbox>
              <w10:wrap type="none"/>
            </v:shape>
            <v:shape style="position:absolute;left:7325;top:3653;width:292;height:185" type="#_x0000_t202" filled="false" stroked="false">
              <v:textbox inset="0,0,0,0">
                <w:txbxContent>
                  <w:p>
                    <w:pPr>
                      <w:spacing w:line="183" w:lineRule="exact" w:before="0"/>
                      <w:ind w:left="0" w:right="0" w:firstLine="0"/>
                      <w:jc w:val="left"/>
                      <w:rPr>
                        <w:sz w:val="16"/>
                      </w:rPr>
                    </w:pPr>
                    <w:r>
                      <w:rPr>
                        <w:w w:val="105"/>
                        <w:sz w:val="16"/>
                      </w:rPr>
                      <w:t>100</w:t>
                    </w:r>
                  </w:p>
                </w:txbxContent>
              </v:textbox>
              <w10:wrap type="none"/>
            </v:shape>
            <v:shape style="position:absolute;left:3907;top:3966;width:3971;height:225" type="#_x0000_t202" filled="false" stroked="false">
              <v:textbox inset="0,0,0,0">
                <w:txbxContent>
                  <w:p>
                    <w:pPr>
                      <w:spacing w:line="225" w:lineRule="exact" w:before="0"/>
                      <w:ind w:left="0" w:right="0" w:firstLine="0"/>
                      <w:jc w:val="left"/>
                      <w:rPr>
                        <w:rFonts w:ascii="Calibri"/>
                        <w:sz w:val="22"/>
                      </w:rPr>
                    </w:pPr>
                    <w:r>
                      <w:rPr>
                        <w:rFonts w:ascii="Calibri"/>
                        <w:sz w:val="22"/>
                      </w:rPr>
                      <w:t>Proportion allocated against wider collateral</w:t>
                    </w:r>
                  </w:p>
                </w:txbxContent>
              </v:textbox>
              <w10:wrap type="none"/>
            </v:shape>
            <w10:wrap type="topAndBottom"/>
          </v:group>
        </w:pict>
      </w:r>
      <w:r>
        <w:rPr/>
        <w:t>Chart 7: Intersection points</w:t>
      </w:r>
    </w:p>
    <w:p>
      <w:pPr>
        <w:pStyle w:val="BodyText"/>
        <w:rPr>
          <w:sz w:val="22"/>
        </w:rPr>
      </w:pPr>
    </w:p>
    <w:p>
      <w:pPr>
        <w:pStyle w:val="BodyText"/>
        <w:spacing w:line="360" w:lineRule="auto" w:before="183"/>
        <w:ind w:left="234" w:right="1052"/>
      </w:pPr>
      <w:r>
        <w:rPr/>
        <w:t>In the case of supply curve C, there is no intersection between the RSS and the demand curve. We then face a decision about where to allocate. To date, we have chosen to allocate at the bid closest to the RSS, rather than allocating at the intersection of the RSS and the discontinuity in the demand schedule. There</w:t>
      </w:r>
      <w:r>
        <w:rPr>
          <w:spacing w:val="-19"/>
        </w:rPr>
        <w:t> </w:t>
      </w:r>
      <w:r>
        <w:rPr/>
        <w:t>are</w:t>
      </w:r>
    </w:p>
    <w:p>
      <w:pPr>
        <w:spacing w:after="0" w:line="360" w:lineRule="auto"/>
        <w:sectPr>
          <w:pgSz w:w="11900" w:h="16840"/>
          <w:pgMar w:header="0" w:footer="1340" w:top="1540" w:bottom="1540" w:left="900" w:right="120"/>
        </w:sectPr>
      </w:pPr>
    </w:p>
    <w:p>
      <w:pPr>
        <w:pStyle w:val="BodyText"/>
        <w:spacing w:line="360" w:lineRule="auto" w:before="76"/>
        <w:ind w:left="234" w:right="1076" w:hanging="1"/>
      </w:pPr>
      <w:r>
        <w:rPr/>
        <w:t>pros and cons to that approach. For example, the current practice lacks transparency in that counterparties can observe significant variance in the auction clearing spreads, and might take false signals about the RSS as a result. Set against that, allocating at the RSS could mean providing liquidity to counterparties at a rate lower than any of the bids in the auction.</w:t>
      </w:r>
    </w:p>
    <w:p>
      <w:pPr>
        <w:pStyle w:val="BodyText"/>
        <w:spacing w:before="1"/>
        <w:rPr>
          <w:sz w:val="30"/>
        </w:rPr>
      </w:pPr>
    </w:p>
    <w:p>
      <w:pPr>
        <w:pStyle w:val="Heading2"/>
        <w:spacing w:before="1"/>
      </w:pPr>
      <w:r>
        <w:rPr/>
        <w:t>Review to date</w:t>
      </w:r>
    </w:p>
    <w:p>
      <w:pPr>
        <w:pStyle w:val="BodyText"/>
        <w:rPr>
          <w:b/>
          <w:sz w:val="22"/>
        </w:rPr>
      </w:pPr>
    </w:p>
    <w:p>
      <w:pPr>
        <w:pStyle w:val="BodyText"/>
        <w:spacing w:before="9"/>
        <w:rPr>
          <w:b/>
          <w:sz w:val="17"/>
        </w:rPr>
      </w:pPr>
    </w:p>
    <w:p>
      <w:pPr>
        <w:pStyle w:val="BodyText"/>
        <w:spacing w:line="360" w:lineRule="auto"/>
        <w:ind w:left="234" w:right="1076"/>
      </w:pPr>
      <w:r>
        <w:rPr/>
        <w:t>Following their launch in June 2010, the Bank is reviewing how the ILTRs have functioned (Table 3 provides the key auction statistics to date). That work is still going on, but so far the operations have worked well. A few key points of interest are:</w:t>
      </w:r>
    </w:p>
    <w:p>
      <w:pPr>
        <w:pStyle w:val="BodyText"/>
        <w:spacing w:before="11"/>
        <w:rPr>
          <w:sz w:val="29"/>
        </w:rPr>
      </w:pPr>
    </w:p>
    <w:p>
      <w:pPr>
        <w:pStyle w:val="ListParagraph"/>
        <w:numPr>
          <w:ilvl w:val="0"/>
          <w:numId w:val="4"/>
        </w:numPr>
        <w:tabs>
          <w:tab w:pos="1378" w:val="left" w:leader="none"/>
          <w:tab w:pos="1379" w:val="left" w:leader="none"/>
        </w:tabs>
        <w:spacing w:line="352" w:lineRule="auto" w:before="0" w:after="0"/>
        <w:ind w:left="1378" w:right="1437" w:hanging="720"/>
        <w:jc w:val="left"/>
        <w:rPr>
          <w:sz w:val="20"/>
        </w:rPr>
      </w:pPr>
      <w:r>
        <w:rPr>
          <w:sz w:val="20"/>
        </w:rPr>
        <w:t>Participation levels have been lower than in the extended-collateral LTRs at the peak of the crisis, but broadly in line with the long-run/pre-crisis</w:t>
      </w:r>
      <w:r>
        <w:rPr>
          <w:spacing w:val="-9"/>
          <w:sz w:val="20"/>
        </w:rPr>
        <w:t> </w:t>
      </w:r>
      <w:r>
        <w:rPr>
          <w:sz w:val="20"/>
        </w:rPr>
        <w:t>average.</w:t>
      </w:r>
    </w:p>
    <w:p>
      <w:pPr>
        <w:pStyle w:val="ListParagraph"/>
        <w:numPr>
          <w:ilvl w:val="0"/>
          <w:numId w:val="4"/>
        </w:numPr>
        <w:tabs>
          <w:tab w:pos="1378" w:val="left" w:leader="none"/>
          <w:tab w:pos="1379" w:val="left" w:leader="none"/>
        </w:tabs>
        <w:spacing w:line="357" w:lineRule="auto" w:before="6" w:after="0"/>
        <w:ind w:left="1378" w:right="1108" w:hanging="720"/>
        <w:jc w:val="left"/>
        <w:rPr>
          <w:sz w:val="20"/>
        </w:rPr>
      </w:pPr>
      <w:r>
        <w:rPr>
          <w:sz w:val="20"/>
        </w:rPr>
        <w:t>Although the sample is small, the 6 month auctions appear to have generated greater demand relative to the amount on offer (higher cover) than the 3 month operations. Anecdote from counterparties suggests that reflects the attractiveness of securing longer-term liquidity and</w:t>
      </w:r>
      <w:r>
        <w:rPr>
          <w:spacing w:val="-23"/>
          <w:sz w:val="20"/>
        </w:rPr>
        <w:t> </w:t>
      </w:r>
      <w:r>
        <w:rPr>
          <w:sz w:val="20"/>
        </w:rPr>
        <w:t>the relative scarcity of market sources of 6-month</w:t>
      </w:r>
      <w:r>
        <w:rPr>
          <w:spacing w:val="-10"/>
          <w:sz w:val="20"/>
        </w:rPr>
        <w:t> </w:t>
      </w:r>
      <w:r>
        <w:rPr>
          <w:sz w:val="20"/>
        </w:rPr>
        <w:t>funding.</w:t>
      </w:r>
    </w:p>
    <w:p>
      <w:pPr>
        <w:pStyle w:val="ListParagraph"/>
        <w:numPr>
          <w:ilvl w:val="0"/>
          <w:numId w:val="4"/>
        </w:numPr>
        <w:tabs>
          <w:tab w:pos="1378" w:val="left" w:leader="none"/>
          <w:tab w:pos="1379" w:val="left" w:leader="none"/>
        </w:tabs>
        <w:spacing w:line="240" w:lineRule="auto" w:before="0" w:after="0"/>
        <w:ind w:left="1378" w:right="0" w:hanging="721"/>
        <w:jc w:val="left"/>
        <w:rPr>
          <w:sz w:val="20"/>
        </w:rPr>
      </w:pPr>
      <w:r>
        <w:rPr>
          <w:sz w:val="20"/>
        </w:rPr>
        <w:t>The majority of bids, both by number and size, have been against narrow</w:t>
      </w:r>
      <w:r>
        <w:rPr>
          <w:spacing w:val="-20"/>
          <w:sz w:val="20"/>
        </w:rPr>
        <w:t> </w:t>
      </w:r>
      <w:r>
        <w:rPr>
          <w:sz w:val="20"/>
        </w:rPr>
        <w:t>collateral.</w:t>
      </w:r>
    </w:p>
    <w:p>
      <w:pPr>
        <w:pStyle w:val="ListParagraph"/>
        <w:numPr>
          <w:ilvl w:val="0"/>
          <w:numId w:val="4"/>
        </w:numPr>
        <w:tabs>
          <w:tab w:pos="1378" w:val="left" w:leader="none"/>
          <w:tab w:pos="1379" w:val="left" w:leader="none"/>
        </w:tabs>
        <w:spacing w:line="355" w:lineRule="auto" w:before="113" w:after="0"/>
        <w:ind w:left="1378" w:right="1139" w:hanging="720"/>
        <w:jc w:val="left"/>
        <w:rPr>
          <w:sz w:val="20"/>
        </w:rPr>
      </w:pPr>
      <w:r>
        <w:rPr>
          <w:sz w:val="20"/>
        </w:rPr>
        <w:t>Clearing </w:t>
      </w:r>
      <w:r>
        <w:rPr>
          <w:sz w:val="20"/>
          <w:u w:val="single"/>
        </w:rPr>
        <w:t>spreads</w:t>
      </w:r>
      <w:r>
        <w:rPr>
          <w:sz w:val="20"/>
        </w:rPr>
        <w:t> against both narrow and wider collateral have been similar across operations of the same maturity (Chart 8). 6 month auctions for wider collateral have commanded a significant premium compared to the 3 month</w:t>
      </w:r>
      <w:r>
        <w:rPr>
          <w:spacing w:val="-12"/>
          <w:sz w:val="20"/>
        </w:rPr>
        <w:t> </w:t>
      </w:r>
      <w:r>
        <w:rPr>
          <w:sz w:val="20"/>
        </w:rPr>
        <w:t>auctions.</w:t>
      </w:r>
    </w:p>
    <w:p>
      <w:pPr>
        <w:pStyle w:val="BodyText"/>
        <w:rPr>
          <w:sz w:val="22"/>
        </w:rPr>
      </w:pPr>
    </w:p>
    <w:p>
      <w:pPr>
        <w:pStyle w:val="BodyText"/>
        <w:spacing w:before="10"/>
        <w:rPr>
          <w:sz w:val="18"/>
        </w:rPr>
      </w:pPr>
    </w:p>
    <w:p>
      <w:pPr>
        <w:pStyle w:val="BodyText"/>
        <w:ind w:left="2755"/>
      </w:pPr>
      <w:r>
        <w:rPr/>
        <w:t>Table 3: Summary of average ILTR auction results</w:t>
      </w:r>
      <w:r>
        <w:rPr>
          <w:vertAlign w:val="superscript"/>
        </w:rPr>
        <w:t>1</w:t>
      </w:r>
    </w:p>
    <w:p>
      <w:pPr>
        <w:pStyle w:val="BodyText"/>
        <w:spacing w:before="3"/>
        <w:rPr>
          <w:sz w:val="10"/>
        </w:rPr>
      </w:pPr>
    </w:p>
    <w:tbl>
      <w:tblPr>
        <w:tblW w:w="0" w:type="auto"/>
        <w:jc w:val="left"/>
        <w:tblInd w:w="763" w:type="dxa"/>
        <w:tblBorders>
          <w:top w:val="single" w:sz="6" w:space="0" w:color="D0D7E5"/>
          <w:left w:val="single" w:sz="6" w:space="0" w:color="D0D7E5"/>
          <w:bottom w:val="single" w:sz="6" w:space="0" w:color="D0D7E5"/>
          <w:right w:val="single" w:sz="6" w:space="0" w:color="D0D7E5"/>
          <w:insideH w:val="single" w:sz="6" w:space="0" w:color="D0D7E5"/>
          <w:insideV w:val="single" w:sz="6" w:space="0" w:color="D0D7E5"/>
        </w:tblBorders>
        <w:tblLayout w:type="fixed"/>
        <w:tblCellMar>
          <w:top w:w="0" w:type="dxa"/>
          <w:left w:w="0" w:type="dxa"/>
          <w:bottom w:w="0" w:type="dxa"/>
          <w:right w:w="0" w:type="dxa"/>
        </w:tblCellMar>
        <w:tblLook w:val="01E0"/>
      </w:tblPr>
      <w:tblGrid>
        <w:gridCol w:w="3183"/>
        <w:gridCol w:w="1361"/>
        <w:gridCol w:w="1360"/>
        <w:gridCol w:w="1361"/>
        <w:gridCol w:w="1361"/>
      </w:tblGrid>
      <w:tr>
        <w:trPr>
          <w:trHeight w:val="248" w:hRule="atLeast"/>
        </w:trPr>
        <w:tc>
          <w:tcPr>
            <w:tcW w:w="3183" w:type="dxa"/>
            <w:tcBorders>
              <w:right w:val="single" w:sz="6" w:space="0" w:color="000000"/>
            </w:tcBorders>
          </w:tcPr>
          <w:p>
            <w:pPr>
              <w:pStyle w:val="TableParagraph"/>
              <w:spacing w:line="240" w:lineRule="auto"/>
              <w:jc w:val="left"/>
              <w:rPr>
                <w:rFonts w:ascii="Times New Roman"/>
                <w:sz w:val="18"/>
              </w:rPr>
            </w:pPr>
          </w:p>
        </w:tc>
        <w:tc>
          <w:tcPr>
            <w:tcW w:w="5443" w:type="dxa"/>
            <w:gridSpan w:val="4"/>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343" w:right="2332"/>
              <w:rPr>
                <w:sz w:val="20"/>
              </w:rPr>
            </w:pPr>
            <w:r>
              <w:rPr>
                <w:sz w:val="20"/>
              </w:rPr>
              <w:t>Maturity</w:t>
            </w:r>
          </w:p>
        </w:tc>
      </w:tr>
      <w:tr>
        <w:trPr>
          <w:trHeight w:val="249" w:hRule="atLeast"/>
        </w:trPr>
        <w:tc>
          <w:tcPr>
            <w:tcW w:w="3183" w:type="dxa"/>
            <w:tcBorders>
              <w:bottom w:val="single" w:sz="6" w:space="0" w:color="000000"/>
              <w:right w:val="single" w:sz="6" w:space="0" w:color="000000"/>
            </w:tcBorders>
          </w:tcPr>
          <w:p>
            <w:pPr>
              <w:pStyle w:val="TableParagraph"/>
              <w:spacing w:line="240" w:lineRule="auto"/>
              <w:jc w:val="left"/>
              <w:rPr>
                <w:rFonts w:ascii="Times New Roman"/>
                <w:sz w:val="18"/>
              </w:rPr>
            </w:pPr>
          </w:p>
        </w:tc>
        <w:tc>
          <w:tcPr>
            <w:tcW w:w="2721" w:type="dxa"/>
            <w:gridSpan w:val="2"/>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987" w:right="974"/>
              <w:rPr>
                <w:sz w:val="20"/>
              </w:rPr>
            </w:pPr>
            <w:r>
              <w:rPr>
                <w:sz w:val="20"/>
              </w:rPr>
              <w:t>3‐month</w:t>
            </w:r>
          </w:p>
        </w:tc>
        <w:tc>
          <w:tcPr>
            <w:tcW w:w="2722" w:type="dxa"/>
            <w:gridSpan w:val="2"/>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987" w:right="975"/>
              <w:rPr>
                <w:sz w:val="20"/>
              </w:rPr>
            </w:pPr>
            <w:r>
              <w:rPr>
                <w:sz w:val="20"/>
              </w:rPr>
              <w:t>6‐month</w:t>
            </w:r>
          </w:p>
        </w:tc>
      </w:tr>
      <w:tr>
        <w:trPr>
          <w:trHeight w:val="248" w:hRule="atLeast"/>
        </w:trPr>
        <w:tc>
          <w:tcPr>
            <w:tcW w:w="3183" w:type="dxa"/>
            <w:tcBorders>
              <w:top w:val="single" w:sz="6" w:space="0" w:color="000000"/>
              <w:left w:val="single" w:sz="6" w:space="0" w:color="000000"/>
              <w:bottom w:val="single" w:sz="6" w:space="0" w:color="000000"/>
              <w:right w:val="single" w:sz="6" w:space="0" w:color="000000"/>
            </w:tcBorders>
          </w:tcPr>
          <w:p>
            <w:pPr>
              <w:pStyle w:val="TableParagraph"/>
              <w:spacing w:before="10"/>
              <w:ind w:left="32"/>
              <w:jc w:val="left"/>
              <w:rPr>
                <w:sz w:val="20"/>
              </w:rPr>
            </w:pPr>
            <w:r>
              <w:rPr>
                <w:sz w:val="20"/>
              </w:rPr>
              <w:t>Number of operations</w:t>
            </w:r>
          </w:p>
        </w:tc>
        <w:tc>
          <w:tcPr>
            <w:tcW w:w="2721" w:type="dxa"/>
            <w:gridSpan w:val="2"/>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4"/>
              <w:rPr>
                <w:sz w:val="20"/>
              </w:rPr>
            </w:pPr>
            <w:r>
              <w:rPr>
                <w:w w:val="99"/>
                <w:sz w:val="20"/>
              </w:rPr>
              <w:t>7</w:t>
            </w:r>
          </w:p>
        </w:tc>
        <w:tc>
          <w:tcPr>
            <w:tcW w:w="2722" w:type="dxa"/>
            <w:gridSpan w:val="2"/>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2"/>
              <w:rPr>
                <w:sz w:val="20"/>
              </w:rPr>
            </w:pPr>
            <w:r>
              <w:rPr>
                <w:w w:val="99"/>
                <w:sz w:val="20"/>
              </w:rPr>
              <w:t>3</w:t>
            </w:r>
          </w:p>
        </w:tc>
      </w:tr>
      <w:tr>
        <w:trPr>
          <w:trHeight w:val="249" w:hRule="atLeast"/>
        </w:trPr>
        <w:tc>
          <w:tcPr>
            <w:tcW w:w="3183" w:type="dxa"/>
            <w:tcBorders>
              <w:top w:val="single" w:sz="6" w:space="0" w:color="000000"/>
              <w:left w:val="single" w:sz="6" w:space="0" w:color="000000"/>
              <w:bottom w:val="single" w:sz="6" w:space="0" w:color="000000"/>
              <w:right w:val="single" w:sz="6" w:space="0" w:color="000000"/>
            </w:tcBorders>
          </w:tcPr>
          <w:p>
            <w:pPr>
              <w:pStyle w:val="TableParagraph"/>
              <w:spacing w:before="10"/>
              <w:ind w:left="32"/>
              <w:jc w:val="left"/>
              <w:rPr>
                <w:sz w:val="20"/>
              </w:rPr>
            </w:pPr>
            <w:r>
              <w:rPr>
                <w:sz w:val="20"/>
              </w:rPr>
              <w:t>Amount offered (£mns)</w:t>
            </w:r>
          </w:p>
        </w:tc>
        <w:tc>
          <w:tcPr>
            <w:tcW w:w="2721" w:type="dxa"/>
            <w:gridSpan w:val="2"/>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987" w:right="971"/>
              <w:rPr>
                <w:sz w:val="20"/>
              </w:rPr>
            </w:pPr>
            <w:r>
              <w:rPr>
                <w:sz w:val="20"/>
              </w:rPr>
              <w:t>£5,000</w:t>
            </w:r>
          </w:p>
        </w:tc>
        <w:tc>
          <w:tcPr>
            <w:tcW w:w="2722" w:type="dxa"/>
            <w:gridSpan w:val="2"/>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987" w:right="973"/>
              <w:rPr>
                <w:sz w:val="20"/>
              </w:rPr>
            </w:pPr>
            <w:r>
              <w:rPr>
                <w:sz w:val="20"/>
              </w:rPr>
              <w:t>£2,500</w:t>
            </w:r>
          </w:p>
        </w:tc>
      </w:tr>
      <w:tr>
        <w:trPr>
          <w:trHeight w:val="248" w:hRule="atLeast"/>
        </w:trPr>
        <w:tc>
          <w:tcPr>
            <w:tcW w:w="3183" w:type="dxa"/>
            <w:tcBorders>
              <w:top w:val="single" w:sz="6" w:space="0" w:color="000000"/>
              <w:left w:val="single" w:sz="6" w:space="0" w:color="000000"/>
              <w:bottom w:val="single" w:sz="6" w:space="0" w:color="000000"/>
              <w:right w:val="single" w:sz="6" w:space="0" w:color="000000"/>
            </w:tcBorders>
          </w:tcPr>
          <w:p>
            <w:pPr>
              <w:pStyle w:val="TableParagraph"/>
              <w:spacing w:before="10"/>
              <w:ind w:left="32"/>
              <w:jc w:val="left"/>
              <w:rPr>
                <w:sz w:val="20"/>
              </w:rPr>
            </w:pPr>
            <w:r>
              <w:rPr>
                <w:sz w:val="20"/>
              </w:rPr>
              <w:t>Total bids received (£mns)</w:t>
            </w:r>
          </w:p>
        </w:tc>
        <w:tc>
          <w:tcPr>
            <w:tcW w:w="2721" w:type="dxa"/>
            <w:gridSpan w:val="2"/>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987" w:right="971"/>
              <w:rPr>
                <w:sz w:val="20"/>
              </w:rPr>
            </w:pPr>
            <w:r>
              <w:rPr>
                <w:sz w:val="20"/>
              </w:rPr>
              <w:t>£6,403</w:t>
            </w:r>
          </w:p>
        </w:tc>
        <w:tc>
          <w:tcPr>
            <w:tcW w:w="2722" w:type="dxa"/>
            <w:gridSpan w:val="2"/>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987" w:right="973"/>
              <w:rPr>
                <w:sz w:val="20"/>
              </w:rPr>
            </w:pPr>
            <w:r>
              <w:rPr>
                <w:sz w:val="20"/>
              </w:rPr>
              <w:t>£4,179</w:t>
            </w:r>
          </w:p>
        </w:tc>
      </w:tr>
      <w:tr>
        <w:trPr>
          <w:trHeight w:val="248" w:hRule="atLeast"/>
        </w:trPr>
        <w:tc>
          <w:tcPr>
            <w:tcW w:w="3183" w:type="dxa"/>
            <w:tcBorders>
              <w:top w:val="single" w:sz="6" w:space="0" w:color="000000"/>
              <w:left w:val="single" w:sz="6" w:space="0" w:color="000000"/>
              <w:bottom w:val="single" w:sz="6" w:space="0" w:color="000000"/>
              <w:right w:val="single" w:sz="6" w:space="0" w:color="000000"/>
            </w:tcBorders>
          </w:tcPr>
          <w:p>
            <w:pPr>
              <w:pStyle w:val="TableParagraph"/>
              <w:spacing w:before="10"/>
              <w:ind w:left="32"/>
              <w:jc w:val="left"/>
              <w:rPr>
                <w:sz w:val="20"/>
              </w:rPr>
            </w:pPr>
            <w:r>
              <w:rPr>
                <w:sz w:val="20"/>
              </w:rPr>
              <w:t>Cover ratio</w:t>
            </w:r>
          </w:p>
        </w:tc>
        <w:tc>
          <w:tcPr>
            <w:tcW w:w="2721" w:type="dxa"/>
            <w:gridSpan w:val="2"/>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987" w:right="971"/>
              <w:rPr>
                <w:sz w:val="20"/>
              </w:rPr>
            </w:pPr>
            <w:r>
              <w:rPr>
                <w:sz w:val="20"/>
              </w:rPr>
              <w:t>1.28</w:t>
            </w:r>
          </w:p>
        </w:tc>
        <w:tc>
          <w:tcPr>
            <w:tcW w:w="2722" w:type="dxa"/>
            <w:gridSpan w:val="2"/>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987" w:right="973"/>
              <w:rPr>
                <w:sz w:val="20"/>
              </w:rPr>
            </w:pPr>
            <w:r>
              <w:rPr>
                <w:sz w:val="20"/>
              </w:rPr>
              <w:t>1.67</w:t>
            </w:r>
          </w:p>
        </w:tc>
      </w:tr>
      <w:tr>
        <w:trPr>
          <w:trHeight w:val="249" w:hRule="atLeast"/>
        </w:trPr>
        <w:tc>
          <w:tcPr>
            <w:tcW w:w="3183" w:type="dxa"/>
            <w:tcBorders>
              <w:top w:val="single" w:sz="6" w:space="0" w:color="000000"/>
              <w:left w:val="single" w:sz="6" w:space="0" w:color="000000"/>
              <w:bottom w:val="single" w:sz="6" w:space="0" w:color="000000"/>
              <w:right w:val="single" w:sz="6" w:space="0" w:color="000000"/>
            </w:tcBorders>
          </w:tcPr>
          <w:p>
            <w:pPr>
              <w:pStyle w:val="TableParagraph"/>
              <w:spacing w:before="10"/>
              <w:ind w:left="32"/>
              <w:jc w:val="left"/>
              <w:rPr>
                <w:sz w:val="20"/>
              </w:rPr>
            </w:pPr>
            <w:r>
              <w:rPr>
                <w:sz w:val="20"/>
              </w:rPr>
              <w:t>Stop‐out spread (bp)</w:t>
            </w:r>
          </w:p>
        </w:tc>
        <w:tc>
          <w:tcPr>
            <w:tcW w:w="2721" w:type="dxa"/>
            <w:gridSpan w:val="2"/>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987" w:right="958"/>
              <w:rPr>
                <w:sz w:val="20"/>
              </w:rPr>
            </w:pPr>
            <w:r>
              <w:rPr>
                <w:sz w:val="20"/>
              </w:rPr>
              <w:t>23</w:t>
            </w:r>
          </w:p>
        </w:tc>
        <w:tc>
          <w:tcPr>
            <w:tcW w:w="2722" w:type="dxa"/>
            <w:gridSpan w:val="2"/>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987" w:right="960"/>
              <w:rPr>
                <w:sz w:val="20"/>
              </w:rPr>
            </w:pPr>
            <w:r>
              <w:rPr>
                <w:sz w:val="20"/>
              </w:rPr>
              <w:t>50</w:t>
            </w:r>
          </w:p>
        </w:tc>
      </w:tr>
      <w:tr>
        <w:trPr>
          <w:trHeight w:val="249" w:hRule="atLeast"/>
        </w:trPr>
        <w:tc>
          <w:tcPr>
            <w:tcW w:w="3183" w:type="dxa"/>
            <w:tcBorders>
              <w:top w:val="single" w:sz="6" w:space="0" w:color="000000"/>
            </w:tcBorders>
          </w:tcPr>
          <w:p>
            <w:pPr>
              <w:pStyle w:val="TableParagraph"/>
              <w:spacing w:line="240" w:lineRule="auto"/>
              <w:jc w:val="left"/>
              <w:rPr>
                <w:rFonts w:ascii="Times New Roman"/>
                <w:sz w:val="18"/>
              </w:rPr>
            </w:pPr>
          </w:p>
        </w:tc>
        <w:tc>
          <w:tcPr>
            <w:tcW w:w="1361" w:type="dxa"/>
            <w:tcBorders>
              <w:top w:val="single" w:sz="6" w:space="0" w:color="000000"/>
              <w:bottom w:val="single" w:sz="6" w:space="0" w:color="000000"/>
            </w:tcBorders>
          </w:tcPr>
          <w:p>
            <w:pPr>
              <w:pStyle w:val="TableParagraph"/>
              <w:spacing w:line="240" w:lineRule="auto"/>
              <w:jc w:val="left"/>
              <w:rPr>
                <w:rFonts w:ascii="Times New Roman"/>
                <w:sz w:val="18"/>
              </w:rPr>
            </w:pPr>
          </w:p>
        </w:tc>
        <w:tc>
          <w:tcPr>
            <w:tcW w:w="1360" w:type="dxa"/>
            <w:tcBorders>
              <w:top w:val="single" w:sz="6" w:space="0" w:color="000000"/>
              <w:bottom w:val="single" w:sz="6" w:space="0" w:color="000000"/>
            </w:tcBorders>
          </w:tcPr>
          <w:p>
            <w:pPr>
              <w:pStyle w:val="TableParagraph"/>
              <w:spacing w:line="240" w:lineRule="auto"/>
              <w:jc w:val="left"/>
              <w:rPr>
                <w:rFonts w:ascii="Times New Roman"/>
                <w:sz w:val="18"/>
              </w:rPr>
            </w:pPr>
          </w:p>
        </w:tc>
        <w:tc>
          <w:tcPr>
            <w:tcW w:w="1361" w:type="dxa"/>
            <w:tcBorders>
              <w:top w:val="single" w:sz="6" w:space="0" w:color="000000"/>
              <w:bottom w:val="single" w:sz="6" w:space="0" w:color="000000"/>
            </w:tcBorders>
          </w:tcPr>
          <w:p>
            <w:pPr>
              <w:pStyle w:val="TableParagraph"/>
              <w:spacing w:line="240" w:lineRule="auto"/>
              <w:jc w:val="left"/>
              <w:rPr>
                <w:rFonts w:ascii="Times New Roman"/>
                <w:sz w:val="18"/>
              </w:rPr>
            </w:pPr>
          </w:p>
        </w:tc>
        <w:tc>
          <w:tcPr>
            <w:tcW w:w="1361" w:type="dxa"/>
            <w:tcBorders>
              <w:top w:val="single" w:sz="6" w:space="0" w:color="000000"/>
              <w:bottom w:val="single" w:sz="6" w:space="0" w:color="000000"/>
            </w:tcBorders>
          </w:tcPr>
          <w:p>
            <w:pPr>
              <w:pStyle w:val="TableParagraph"/>
              <w:spacing w:line="240" w:lineRule="auto"/>
              <w:jc w:val="left"/>
              <w:rPr>
                <w:rFonts w:ascii="Times New Roman"/>
                <w:sz w:val="18"/>
              </w:rPr>
            </w:pPr>
          </w:p>
        </w:tc>
      </w:tr>
      <w:tr>
        <w:trPr>
          <w:trHeight w:val="248" w:hRule="atLeast"/>
        </w:trPr>
        <w:tc>
          <w:tcPr>
            <w:tcW w:w="3183" w:type="dxa"/>
            <w:tcBorders>
              <w:right w:val="single" w:sz="6" w:space="0" w:color="000000"/>
            </w:tcBorders>
          </w:tcPr>
          <w:p>
            <w:pPr>
              <w:pStyle w:val="TableParagraph"/>
              <w:spacing w:line="240" w:lineRule="auto"/>
              <w:jc w:val="left"/>
              <w:rPr>
                <w:rFonts w:ascii="Times New Roman"/>
                <w:sz w:val="18"/>
              </w:rPr>
            </w:pPr>
          </w:p>
        </w:tc>
        <w:tc>
          <w:tcPr>
            <w:tcW w:w="5443" w:type="dxa"/>
            <w:gridSpan w:val="4"/>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1790"/>
              <w:jc w:val="left"/>
              <w:rPr>
                <w:sz w:val="20"/>
              </w:rPr>
            </w:pPr>
            <w:r>
              <w:rPr>
                <w:sz w:val="20"/>
              </w:rPr>
              <w:t>Collateral set summary</w:t>
            </w:r>
          </w:p>
        </w:tc>
      </w:tr>
      <w:tr>
        <w:trPr>
          <w:trHeight w:val="249" w:hRule="atLeast"/>
        </w:trPr>
        <w:tc>
          <w:tcPr>
            <w:tcW w:w="3183" w:type="dxa"/>
            <w:tcBorders>
              <w:bottom w:val="single" w:sz="6" w:space="0" w:color="000000"/>
              <w:right w:val="single" w:sz="6" w:space="0" w:color="000000"/>
            </w:tcBorders>
          </w:tcPr>
          <w:p>
            <w:pPr>
              <w:pStyle w:val="TableParagraph"/>
              <w:spacing w:line="240" w:lineRule="auto"/>
              <w:jc w:val="left"/>
              <w:rPr>
                <w:rFonts w:ascii="Times New Roman"/>
                <w:sz w:val="18"/>
              </w:rPr>
            </w:pP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before="11"/>
              <w:ind w:left="351" w:right="340"/>
              <w:rPr>
                <w:sz w:val="20"/>
              </w:rPr>
            </w:pPr>
            <w:r>
              <w:rPr>
                <w:sz w:val="20"/>
              </w:rPr>
              <w:t>Narrow</w:t>
            </w:r>
          </w:p>
        </w:tc>
        <w:tc>
          <w:tcPr>
            <w:tcW w:w="1360" w:type="dxa"/>
            <w:tcBorders>
              <w:top w:val="single" w:sz="6" w:space="0" w:color="000000"/>
              <w:left w:val="single" w:sz="6" w:space="0" w:color="000000"/>
              <w:bottom w:val="single" w:sz="6" w:space="0" w:color="000000"/>
              <w:right w:val="single" w:sz="6" w:space="0" w:color="000000"/>
            </w:tcBorders>
          </w:tcPr>
          <w:p>
            <w:pPr>
              <w:pStyle w:val="TableParagraph"/>
              <w:spacing w:before="11"/>
              <w:ind w:left="378" w:right="360"/>
              <w:rPr>
                <w:sz w:val="20"/>
              </w:rPr>
            </w:pPr>
            <w:r>
              <w:rPr>
                <w:sz w:val="20"/>
              </w:rPr>
              <w:t>Wider</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before="11"/>
              <w:ind w:left="352" w:right="339"/>
              <w:rPr>
                <w:sz w:val="20"/>
              </w:rPr>
            </w:pPr>
            <w:r>
              <w:rPr>
                <w:sz w:val="20"/>
              </w:rPr>
              <w:t>Narrow</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before="11"/>
              <w:ind w:left="352" w:right="334"/>
              <w:rPr>
                <w:sz w:val="20"/>
              </w:rPr>
            </w:pPr>
            <w:r>
              <w:rPr>
                <w:sz w:val="20"/>
              </w:rPr>
              <w:t>Wider</w:t>
            </w:r>
          </w:p>
        </w:tc>
      </w:tr>
      <w:tr>
        <w:trPr>
          <w:trHeight w:val="248" w:hRule="atLeast"/>
        </w:trPr>
        <w:tc>
          <w:tcPr>
            <w:tcW w:w="3183" w:type="dxa"/>
            <w:tcBorders>
              <w:top w:val="single" w:sz="6" w:space="0" w:color="000000"/>
              <w:left w:val="single" w:sz="6" w:space="0" w:color="000000"/>
              <w:bottom w:val="single" w:sz="6" w:space="0" w:color="000000"/>
              <w:right w:val="single" w:sz="6" w:space="0" w:color="000000"/>
            </w:tcBorders>
          </w:tcPr>
          <w:p>
            <w:pPr>
              <w:pStyle w:val="TableParagraph"/>
              <w:spacing w:before="11"/>
              <w:ind w:left="32"/>
              <w:jc w:val="left"/>
              <w:rPr>
                <w:sz w:val="20"/>
              </w:rPr>
            </w:pPr>
            <w:r>
              <w:rPr>
                <w:sz w:val="20"/>
              </w:rPr>
              <w:t>Total bids received (£mns)</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before="11"/>
              <w:ind w:left="352" w:right="325"/>
              <w:rPr>
                <w:sz w:val="20"/>
              </w:rPr>
            </w:pPr>
            <w:r>
              <w:rPr>
                <w:sz w:val="20"/>
              </w:rPr>
              <w:t>£5,202</w:t>
            </w:r>
          </w:p>
        </w:tc>
        <w:tc>
          <w:tcPr>
            <w:tcW w:w="1360" w:type="dxa"/>
            <w:tcBorders>
              <w:top w:val="single" w:sz="6" w:space="0" w:color="000000"/>
              <w:left w:val="single" w:sz="6" w:space="0" w:color="000000"/>
              <w:bottom w:val="single" w:sz="6" w:space="0" w:color="000000"/>
              <w:right w:val="single" w:sz="6" w:space="0" w:color="000000"/>
            </w:tcBorders>
          </w:tcPr>
          <w:p>
            <w:pPr>
              <w:pStyle w:val="TableParagraph"/>
              <w:spacing w:before="11"/>
              <w:ind w:left="388" w:right="360"/>
              <w:rPr>
                <w:sz w:val="20"/>
              </w:rPr>
            </w:pPr>
            <w:r>
              <w:rPr>
                <w:sz w:val="20"/>
              </w:rPr>
              <w:t>£1,201</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before="11"/>
              <w:ind w:left="352" w:right="323"/>
              <w:rPr>
                <w:sz w:val="20"/>
              </w:rPr>
            </w:pPr>
            <w:r>
              <w:rPr>
                <w:sz w:val="20"/>
              </w:rPr>
              <w:t>£3,138</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before="11"/>
              <w:ind w:left="352" w:right="324"/>
              <w:rPr>
                <w:sz w:val="20"/>
              </w:rPr>
            </w:pPr>
            <w:r>
              <w:rPr>
                <w:sz w:val="20"/>
              </w:rPr>
              <w:t>£1,041</w:t>
            </w:r>
          </w:p>
        </w:tc>
      </w:tr>
      <w:tr>
        <w:trPr>
          <w:trHeight w:val="248" w:hRule="atLeast"/>
        </w:trPr>
        <w:tc>
          <w:tcPr>
            <w:tcW w:w="3183" w:type="dxa"/>
            <w:tcBorders>
              <w:top w:val="single" w:sz="6" w:space="0" w:color="000000"/>
              <w:left w:val="single" w:sz="6" w:space="0" w:color="000000"/>
              <w:bottom w:val="single" w:sz="6" w:space="0" w:color="000000"/>
              <w:right w:val="single" w:sz="6" w:space="0" w:color="000000"/>
            </w:tcBorders>
          </w:tcPr>
          <w:p>
            <w:pPr>
              <w:pStyle w:val="TableParagraph"/>
              <w:spacing w:before="11"/>
              <w:ind w:left="32"/>
              <w:jc w:val="left"/>
              <w:rPr>
                <w:sz w:val="20"/>
              </w:rPr>
            </w:pPr>
            <w:r>
              <w:rPr>
                <w:sz w:val="20"/>
              </w:rPr>
              <w:t>Amount allotted (£mns)</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before="11"/>
              <w:ind w:left="352" w:right="325"/>
              <w:rPr>
                <w:sz w:val="20"/>
              </w:rPr>
            </w:pPr>
            <w:r>
              <w:rPr>
                <w:sz w:val="20"/>
              </w:rPr>
              <w:t>£4,106</w:t>
            </w:r>
          </w:p>
        </w:tc>
        <w:tc>
          <w:tcPr>
            <w:tcW w:w="1360" w:type="dxa"/>
            <w:tcBorders>
              <w:top w:val="single" w:sz="6" w:space="0" w:color="000000"/>
              <w:left w:val="single" w:sz="6" w:space="0" w:color="000000"/>
              <w:bottom w:val="single" w:sz="6" w:space="0" w:color="000000"/>
              <w:right w:val="single" w:sz="6" w:space="0" w:color="000000"/>
            </w:tcBorders>
          </w:tcPr>
          <w:p>
            <w:pPr>
              <w:pStyle w:val="TableParagraph"/>
              <w:spacing w:before="11"/>
              <w:ind w:left="375" w:right="360"/>
              <w:rPr>
                <w:sz w:val="20"/>
              </w:rPr>
            </w:pPr>
            <w:r>
              <w:rPr>
                <w:sz w:val="20"/>
              </w:rPr>
              <w:t>£680</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before="11"/>
              <w:ind w:left="352" w:right="323"/>
              <w:rPr>
                <w:sz w:val="20"/>
              </w:rPr>
            </w:pPr>
            <w:r>
              <w:rPr>
                <w:sz w:val="20"/>
              </w:rPr>
              <w:t>£1,520</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before="11"/>
              <w:ind w:left="352" w:right="336"/>
              <w:rPr>
                <w:sz w:val="20"/>
              </w:rPr>
            </w:pPr>
            <w:r>
              <w:rPr>
                <w:sz w:val="20"/>
              </w:rPr>
              <w:t>£693</w:t>
            </w:r>
          </w:p>
        </w:tc>
      </w:tr>
      <w:tr>
        <w:trPr>
          <w:trHeight w:val="249" w:hRule="atLeast"/>
        </w:trPr>
        <w:tc>
          <w:tcPr>
            <w:tcW w:w="3183" w:type="dxa"/>
            <w:tcBorders>
              <w:top w:val="single" w:sz="6" w:space="0" w:color="000000"/>
              <w:left w:val="single" w:sz="6" w:space="0" w:color="000000"/>
              <w:bottom w:val="single" w:sz="6" w:space="0" w:color="000000"/>
              <w:right w:val="single" w:sz="6" w:space="0" w:color="000000"/>
            </w:tcBorders>
          </w:tcPr>
          <w:p>
            <w:pPr>
              <w:pStyle w:val="TableParagraph"/>
              <w:spacing w:before="11"/>
              <w:ind w:left="32"/>
              <w:jc w:val="left"/>
              <w:rPr>
                <w:sz w:val="20"/>
              </w:rPr>
            </w:pPr>
            <w:r>
              <w:rPr>
                <w:sz w:val="20"/>
              </w:rPr>
              <w:t>% Allotted</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before="11"/>
              <w:ind w:left="352" w:right="330"/>
              <w:rPr>
                <w:sz w:val="20"/>
              </w:rPr>
            </w:pPr>
            <w:r>
              <w:rPr>
                <w:sz w:val="20"/>
              </w:rPr>
              <w:t>82</w:t>
            </w:r>
          </w:p>
        </w:tc>
        <w:tc>
          <w:tcPr>
            <w:tcW w:w="1360" w:type="dxa"/>
            <w:tcBorders>
              <w:top w:val="single" w:sz="6" w:space="0" w:color="000000"/>
              <w:left w:val="single" w:sz="6" w:space="0" w:color="000000"/>
              <w:bottom w:val="single" w:sz="6" w:space="0" w:color="000000"/>
              <w:right w:val="single" w:sz="6" w:space="0" w:color="000000"/>
            </w:tcBorders>
          </w:tcPr>
          <w:p>
            <w:pPr>
              <w:pStyle w:val="TableParagraph"/>
              <w:spacing w:before="11"/>
              <w:ind w:left="382" w:right="360"/>
              <w:rPr>
                <w:sz w:val="20"/>
              </w:rPr>
            </w:pPr>
            <w:r>
              <w:rPr>
                <w:sz w:val="20"/>
              </w:rPr>
              <w:t>14</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before="11"/>
              <w:ind w:left="352" w:right="329"/>
              <w:rPr>
                <w:sz w:val="20"/>
              </w:rPr>
            </w:pPr>
            <w:r>
              <w:rPr>
                <w:sz w:val="20"/>
              </w:rPr>
              <w:t>61</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before="11"/>
              <w:ind w:left="352" w:right="329"/>
              <w:rPr>
                <w:sz w:val="20"/>
              </w:rPr>
            </w:pPr>
            <w:r>
              <w:rPr>
                <w:sz w:val="20"/>
              </w:rPr>
              <w:t>28</w:t>
            </w:r>
          </w:p>
        </w:tc>
      </w:tr>
      <w:tr>
        <w:trPr>
          <w:trHeight w:val="248" w:hRule="atLeast"/>
        </w:trPr>
        <w:tc>
          <w:tcPr>
            <w:tcW w:w="3183" w:type="dxa"/>
            <w:tcBorders>
              <w:top w:val="single" w:sz="6" w:space="0" w:color="000000"/>
              <w:left w:val="single" w:sz="6" w:space="0" w:color="000000"/>
              <w:bottom w:val="single" w:sz="6" w:space="0" w:color="000000"/>
              <w:right w:val="single" w:sz="6" w:space="0" w:color="000000"/>
            </w:tcBorders>
          </w:tcPr>
          <w:p>
            <w:pPr>
              <w:pStyle w:val="TableParagraph"/>
              <w:spacing w:before="11"/>
              <w:ind w:left="32"/>
              <w:jc w:val="left"/>
              <w:rPr>
                <w:sz w:val="20"/>
              </w:rPr>
            </w:pPr>
            <w:r>
              <w:rPr>
                <w:sz w:val="20"/>
              </w:rPr>
              <w:t>Cover ratio</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before="11"/>
              <w:ind w:left="352" w:right="317"/>
              <w:rPr>
                <w:sz w:val="20"/>
              </w:rPr>
            </w:pPr>
            <w:r>
              <w:rPr>
                <w:sz w:val="20"/>
              </w:rPr>
              <w:t>1.04</w:t>
            </w:r>
          </w:p>
        </w:tc>
        <w:tc>
          <w:tcPr>
            <w:tcW w:w="1360" w:type="dxa"/>
            <w:tcBorders>
              <w:top w:val="single" w:sz="6" w:space="0" w:color="000000"/>
              <w:left w:val="single" w:sz="6" w:space="0" w:color="000000"/>
              <w:bottom w:val="single" w:sz="6" w:space="0" w:color="000000"/>
              <w:right w:val="single" w:sz="6" w:space="0" w:color="000000"/>
            </w:tcBorders>
          </w:tcPr>
          <w:p>
            <w:pPr>
              <w:pStyle w:val="TableParagraph"/>
              <w:spacing w:before="11"/>
              <w:ind w:left="388" w:right="353"/>
              <w:rPr>
                <w:sz w:val="20"/>
              </w:rPr>
            </w:pPr>
            <w:r>
              <w:rPr>
                <w:sz w:val="20"/>
              </w:rPr>
              <w:t>0.24</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before="11"/>
              <w:ind w:left="352" w:right="316"/>
              <w:rPr>
                <w:sz w:val="20"/>
              </w:rPr>
            </w:pPr>
            <w:r>
              <w:rPr>
                <w:sz w:val="20"/>
              </w:rPr>
              <w:t>1.25</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before="11"/>
              <w:ind w:left="352" w:right="317"/>
              <w:rPr>
                <w:sz w:val="20"/>
              </w:rPr>
            </w:pPr>
            <w:r>
              <w:rPr>
                <w:sz w:val="20"/>
              </w:rPr>
              <w:t>0.42</w:t>
            </w:r>
          </w:p>
        </w:tc>
      </w:tr>
      <w:tr>
        <w:trPr>
          <w:trHeight w:val="249" w:hRule="atLeast"/>
        </w:trPr>
        <w:tc>
          <w:tcPr>
            <w:tcW w:w="3183" w:type="dxa"/>
            <w:tcBorders>
              <w:top w:val="single" w:sz="6" w:space="0" w:color="000000"/>
              <w:left w:val="single" w:sz="6" w:space="0" w:color="000000"/>
              <w:bottom w:val="single" w:sz="6" w:space="0" w:color="000000"/>
              <w:right w:val="single" w:sz="6" w:space="0" w:color="000000"/>
            </w:tcBorders>
          </w:tcPr>
          <w:p>
            <w:pPr>
              <w:pStyle w:val="TableParagraph"/>
              <w:spacing w:before="11"/>
              <w:ind w:left="32"/>
              <w:jc w:val="left"/>
              <w:rPr>
                <w:sz w:val="20"/>
              </w:rPr>
            </w:pPr>
            <w:r>
              <w:rPr>
                <w:sz w:val="20"/>
              </w:rPr>
              <w:t>Clearing spread (bps)</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before="11"/>
              <w:ind w:left="34"/>
              <w:rPr>
                <w:sz w:val="20"/>
              </w:rPr>
            </w:pPr>
            <w:r>
              <w:rPr>
                <w:w w:val="99"/>
                <w:sz w:val="20"/>
              </w:rPr>
              <w:t>2</w:t>
            </w:r>
          </w:p>
        </w:tc>
        <w:tc>
          <w:tcPr>
            <w:tcW w:w="1360" w:type="dxa"/>
            <w:tcBorders>
              <w:top w:val="single" w:sz="6" w:space="0" w:color="000000"/>
              <w:left w:val="single" w:sz="6" w:space="0" w:color="000000"/>
              <w:bottom w:val="single" w:sz="6" w:space="0" w:color="000000"/>
              <w:right w:val="single" w:sz="6" w:space="0" w:color="000000"/>
            </w:tcBorders>
          </w:tcPr>
          <w:p>
            <w:pPr>
              <w:pStyle w:val="TableParagraph"/>
              <w:spacing w:before="11"/>
              <w:ind w:left="382" w:right="360"/>
              <w:rPr>
                <w:sz w:val="20"/>
              </w:rPr>
            </w:pPr>
            <w:r>
              <w:rPr>
                <w:sz w:val="20"/>
              </w:rPr>
              <w:t>25</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before="11"/>
              <w:ind w:left="36"/>
              <w:rPr>
                <w:sz w:val="20"/>
              </w:rPr>
            </w:pPr>
            <w:r>
              <w:rPr>
                <w:w w:val="99"/>
                <w:sz w:val="20"/>
              </w:rPr>
              <w:t>1</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before="11"/>
              <w:ind w:left="352" w:right="330"/>
              <w:rPr>
                <w:sz w:val="20"/>
              </w:rPr>
            </w:pPr>
            <w:r>
              <w:rPr>
                <w:sz w:val="20"/>
              </w:rPr>
              <w:t>51</w:t>
            </w:r>
          </w:p>
        </w:tc>
      </w:tr>
    </w:tbl>
    <w:p>
      <w:pPr>
        <w:spacing w:before="89"/>
        <w:ind w:left="234" w:right="0" w:firstLine="0"/>
        <w:jc w:val="left"/>
        <w:rPr>
          <w:sz w:val="16"/>
        </w:rPr>
      </w:pPr>
      <w:r>
        <w:rPr>
          <w:position w:val="8"/>
          <w:sz w:val="10"/>
        </w:rPr>
        <w:t>1 </w:t>
      </w:r>
      <w:r>
        <w:rPr>
          <w:sz w:val="16"/>
        </w:rPr>
        <w:t>Figures shown are averages of operations held between June 2010 and March 2011.</w:t>
      </w:r>
    </w:p>
    <w:p>
      <w:pPr>
        <w:spacing w:after="0"/>
        <w:jc w:val="left"/>
        <w:rPr>
          <w:sz w:val="16"/>
        </w:rPr>
        <w:sectPr>
          <w:pgSz w:w="11900" w:h="16840"/>
          <w:pgMar w:header="0" w:footer="1340" w:top="1540" w:bottom="1540" w:left="900" w:right="120"/>
        </w:sectPr>
      </w:pPr>
    </w:p>
    <w:p>
      <w:pPr>
        <w:pStyle w:val="BodyText"/>
        <w:spacing w:before="76"/>
        <w:ind w:right="346"/>
        <w:jc w:val="center"/>
      </w:pPr>
      <w:r>
        <w:rPr/>
        <w:t>Chart 8: Clearing spreads (to Bank Rate) on narrow and wider collateral</w:t>
      </w:r>
    </w:p>
    <w:p>
      <w:pPr>
        <w:pStyle w:val="BodyText"/>
        <w:rPr>
          <w:sz w:val="12"/>
        </w:rPr>
      </w:pPr>
    </w:p>
    <w:p>
      <w:pPr>
        <w:spacing w:line="218" w:lineRule="auto" w:before="108"/>
        <w:ind w:left="2833" w:right="7748" w:firstLine="90"/>
        <w:jc w:val="left"/>
        <w:rPr>
          <w:rFonts w:ascii="Times New Roman"/>
          <w:sz w:val="17"/>
        </w:rPr>
      </w:pPr>
      <w:r>
        <w:rPr/>
        <w:pict>
          <v:group style="position:absolute;margin-left:200.639999pt;margin-top:5.020308pt;width:228.4pt;height:150.15pt;mso-position-horizontal-relative:page;mso-position-vertical-relative:paragraph;z-index:251725824" coordorigin="4013,100" coordsize="4568,3003">
            <v:line style="position:absolute" from="4066,374" to="4066,3102" stroked="true" strokeweight=".66pt" strokecolor="#868686">
              <v:stroke dashstyle="solid"/>
            </v:line>
            <v:shape style="position:absolute;left:4012;top:367;width:53;height:2690" coordorigin="4013,368" coordsize="53,2690" path="m4066,3044l4013,3044,4013,3057,4066,3057,4066,3044m4066,2597l4013,2597,4013,2610,4066,2610,4066,2597m4066,2152l4013,2152,4013,2165,4066,2165,4066,2152m4066,1706l4013,1706,4013,1719,4066,1719,4066,1706m4066,1259l4013,1259,4013,1272,4066,1272,4066,1259m4066,813l4013,813,4013,826,4066,826,4066,813m4066,368l4013,368,4013,381,4066,381,4066,368e" filled="true" fillcolor="#868686" stroked="false">
              <v:path arrowok="t"/>
              <v:fill type="solid"/>
            </v:shape>
            <v:line style="position:absolute" from="4066,3050" to="8573,3050" stroked="true" strokeweight=".66003pt" strokecolor="#868686">
              <v:stroke dashstyle="solid"/>
            </v:line>
            <v:shape style="position:absolute;left:4282;top:3050;width:4298;height:52" coordorigin="4283,3051" coordsize="4298,52" path="m4296,3051l4283,3051,4283,3102,4296,3102,4296,3051m4506,3051l4493,3051,4493,3102,4506,3102,4506,3051m4716,3051l4703,3051,4703,3102,4716,3102,4716,3051m4926,3051l4914,3051,4914,3102,4926,3102,4926,3051m5150,3051l5137,3051,5137,3102,5150,3102,5150,3051m5360,3051l5347,3051,5347,3102,5360,3102,5360,3051m5570,3051l5557,3051,5557,3102,5570,3102,5570,3051m5794,3051l5780,3051,5780,3102,5794,3102,5794,3051m6004,3051l5990,3051,5990,3102,6004,3102,6004,3051m6215,3051l6202,3051,6202,3102,6215,3102,6215,3051m6438,3051l6425,3051,6425,3102,6438,3102,6438,3051m6648,3051l6635,3051,6635,3102,6648,3102,6648,3051m6858,3051l6845,3051,6845,3102,6858,3102,6858,3051m7081,3051l7068,3051,7068,3102,7081,3102,7081,3051m7291,3051l7279,3051,7279,3102,7291,3102,7291,3051m7502,3051l7489,3051,7489,3102,7502,3102,7502,3051m7712,3051l7699,3051,7699,3102,7712,3102,7712,3051m7936,3051l7922,3051,7922,3102,7936,3102,7936,3051m8146,3051l8132,3051,8132,3102,8146,3102,8146,3051m8356,3051l8342,3051,8342,3102,8356,3102,8356,3051m8580,3051l8567,3051,8567,3102,8580,3102,8580,3051e" filled="true" fillcolor="#868686" stroked="false">
              <v:path arrowok="t"/>
              <v:fill type="solid"/>
            </v:shape>
            <v:line style="position:absolute" from="4105,3051" to="4250,3051" stroked="true" strokeweight="1.32pt" strokecolor="#0070c0">
              <v:stroke dashstyle="solid"/>
            </v:line>
            <v:shape style="position:absolute;left:4099;top:3030;width:158;height:40" coordorigin="4099,3030" coordsize="158,40" path="m4254,3030l4102,3030,4099,3034,4099,3068,4102,3070,4254,3070,4256,3068,4256,3064,4112,3064,4105,3057,4112,3057,4112,3044,4105,3044,4112,3038,4256,3038,4256,3034,4254,3030xm4112,3057l4105,3057,4112,3064,4112,3057xm4243,3057l4112,3057,4112,3064,4243,3064,4243,3057xm4243,3038l4243,3064,4250,3057,4256,3057,4256,3044,4250,3044,4243,3038xm4256,3057l4250,3057,4243,3064,4256,3064,4256,3057xm4112,3038l4105,3044,4112,3044,4112,3038xm4243,3038l4112,3038,4112,3044,4243,3044,4243,3038xm4256,3038l4243,3038,4250,3044,4256,3044,4256,3038xe" filled="true" fillcolor="#0070c0" stroked="false">
              <v:path arrowok="t"/>
              <v:fill type="solid"/>
            </v:shape>
            <v:line style="position:absolute" from="4315,3011" to="4460,3011" stroked="true" strokeweight="1.32pt" strokecolor="#0070c0">
              <v:stroke dashstyle="solid"/>
            </v:line>
            <v:shape style="position:absolute;left:4309;top:2990;width:158;height:40" coordorigin="4309,2991" coordsize="158,40" path="m4464,2991l4312,2991,4309,2994,4309,3028,4312,3030,4464,3030,4466,3028,4466,3024,4322,3024,4315,3017,4322,3017,4322,3004,4315,3004,4322,2998,4466,2998,4466,2994,4464,2991xm4322,3017l4315,3017,4322,3024,4322,3017xm4453,3017l4322,3017,4322,3024,4453,3024,4453,3017xm4453,2998l4453,3024,4460,3017,4466,3017,4466,3004,4460,3004,4453,2998xm4466,3017l4460,3017,4453,3024,4466,3024,4466,3017xm4322,2998l4315,3004,4322,3004,4322,2998xm4453,2998l4322,2998,4322,3004,4453,3004,4453,2998xm4466,2998l4453,2998,4460,3004,4466,3004,4466,2998xe" filled="true" fillcolor="#0070c0" stroked="false">
              <v:path arrowok="t"/>
              <v:fill type="solid"/>
            </v:shape>
            <v:line style="position:absolute" from="4750,3011" to="4894,3011" stroked="true" strokeweight="1.32pt" strokecolor="#0070c0">
              <v:stroke dashstyle="solid"/>
            </v:line>
            <v:shape style="position:absolute;left:4742;top:2990;width:159;height:40" coordorigin="4742,2991" coordsize="159,40" path="m4897,2991l4746,2991,4742,2994,4742,3028,4746,3030,4897,3030,4901,3028,4901,3024,4756,3024,4750,3017,4756,3017,4756,3004,4750,3004,4756,2998,4901,2998,4901,2994,4897,2991xm4756,3017l4750,3017,4756,3024,4756,3017xm4888,3017l4756,3017,4756,3024,4888,3024,4888,3017xm4888,2998l4888,3024,4894,3017,4901,3017,4901,3004,4894,3004,4888,2998xm4901,3017l4894,3017,4888,3024,4901,3024,4901,3017xm4756,2998l4750,3004,4756,3004,4756,2998xm4888,2998l4756,2998,4756,3004,4888,3004,4888,2998xm4901,2998l4888,2998,4894,3004,4901,3004,4901,2998xe" filled="true" fillcolor="#0070c0" stroked="false">
              <v:path arrowok="t"/>
              <v:fill type="solid"/>
            </v:shape>
            <v:line style="position:absolute" from="4960,3011" to="5104,3011" stroked="true" strokeweight="1.32pt" strokecolor="#0070c0">
              <v:stroke dashstyle="solid"/>
            </v:line>
            <v:shape style="position:absolute;left:4952;top:2990;width:159;height:40" coordorigin="4952,2991" coordsize="159,40" path="m5107,2991l4956,2991,4952,2994,4952,3028,4956,3030,5107,3030,5111,3028,5111,3024,4966,3024,4960,3017,4966,3017,4966,3004,4960,3004,4966,2998,5111,2998,5111,2994,5107,2991xm4966,3017l4960,3017,4966,3024,4966,3017xm5098,3017l4966,3017,4966,3024,5098,3024,5098,3017xm5098,2998l5098,3024,5104,3017,5111,3017,5111,3004,5104,3004,5098,2998xm5111,3017l5104,3017,5098,3024,5111,3024,5111,3017xm4966,2998l4960,3004,4966,3004,4966,2998xm5098,2998l4966,2998,4966,3004,5098,3004,5098,2998xm5111,2998l5098,2998,5104,3004,5111,3004,5111,2998xe" filled="true" fillcolor="#0070c0" stroked="false">
              <v:path arrowok="t"/>
              <v:fill type="solid"/>
            </v:shape>
            <v:line style="position:absolute" from="5393,2828" to="5538,2828" stroked="true" strokeweight="1.32pt" strokecolor="#0070c0">
              <v:stroke dashstyle="solid"/>
            </v:line>
            <v:shape style="position:absolute;left:5386;top:2807;width:158;height:40" coordorigin="5387,2807" coordsize="158,40" path="m5542,2807l5389,2807,5387,2811,5387,2844,5389,2847,5542,2847,5544,2844,5544,2841,5400,2841,5393,2834,5400,2834,5400,2820,5393,2820,5400,2814,5544,2814,5544,2811,5542,2807xm5400,2834l5393,2834,5400,2841,5400,2834xm5531,2834l5400,2834,5400,2841,5531,2841,5531,2834xm5531,2814l5531,2841,5538,2834,5544,2834,5544,2820,5538,2820,5531,2814xm5544,2834l5538,2834,5531,2841,5544,2841,5544,2834xm5400,2814l5393,2820,5400,2820,5400,2814xm5531,2814l5400,2814,5400,2820,5531,2820,5531,2814xm5544,2814l5531,2814,5538,2820,5544,2820,5544,2814xe" filled="true" fillcolor="#0070c0" stroked="false">
              <v:path arrowok="t"/>
              <v:fill type="solid"/>
            </v:shape>
            <v:line style="position:absolute" from="5603,2828" to="5748,2828" stroked="true" strokeweight="1.32pt" strokecolor="#0070c0">
              <v:stroke dashstyle="solid"/>
            </v:line>
            <v:shape style="position:absolute;left:5596;top:2807;width:158;height:40" coordorigin="5597,2807" coordsize="158,40" path="m5752,2807l5599,2807,5597,2811,5597,2844,5599,2847,5752,2847,5754,2844,5754,2841,5610,2841,5603,2834,5610,2834,5610,2820,5603,2820,5610,2814,5754,2814,5754,2811,5752,2807xm5610,2834l5603,2834,5610,2841,5610,2834xm5741,2834l5610,2834,5610,2841,5741,2841,5741,2834xm5741,2814l5741,2841,5748,2834,5754,2834,5754,2820,5748,2820,5741,2814xm5754,2834l5748,2834,5741,2841,5754,2841,5754,2834xm5610,2814l5603,2820,5610,2820,5610,2814xm5741,2814l5610,2814,5610,2820,5741,2820,5741,2814xm5754,2814l5741,2814,5748,2820,5754,2820,5754,2814xe" filled="true" fillcolor="#0070c0" stroked="false">
              <v:path arrowok="t"/>
              <v:fill type="solid"/>
            </v:shape>
            <v:line style="position:absolute" from="6037,3051" to="6181,3051" stroked="true" strokeweight="1.32pt" strokecolor="#0070c0">
              <v:stroke dashstyle="solid"/>
            </v:line>
            <v:shape style="position:absolute;left:6030;top:3030;width:159;height:40" coordorigin="6030,3030" coordsize="159,40" path="m6185,3030l6034,3030,6030,3034,6030,3068,6034,3070,6185,3070,6188,3068,6188,3064,6043,3064,6037,3057,6043,3057,6043,3044,6037,3044,6043,3038,6188,3038,6188,3034,6185,3030xm6043,3057l6037,3057,6043,3064,6043,3057xm6175,3057l6043,3057,6043,3064,6175,3064,6175,3057xm6175,3038l6175,3064,6181,3057,6188,3057,6188,3044,6181,3044,6175,3038xm6188,3057l6181,3057,6175,3064,6188,3064,6188,3057xm6043,3038l6037,3044,6043,3044,6043,3038xm6175,3038l6043,3038,6043,3044,6175,3044,6175,3038xm6188,3038l6175,3038,6181,3044,6188,3044,6188,3038xe" filled="true" fillcolor="#0070c0" stroked="false">
              <v:path arrowok="t"/>
              <v:fill type="solid"/>
            </v:shape>
            <v:line style="position:absolute" from="6457,1896" to="6602,1896" stroked="true" strokeweight="1.2599pt" strokecolor="#0070c0">
              <v:stroke dashstyle="solid"/>
            </v:line>
            <v:shape style="position:absolute;left:6451;top:1876;width:368;height:40" coordorigin="6451,1876" coordsize="368,40" path="m6608,1880l6606,1876,6595,1876,6595,1889,6595,1902,6464,1902,6464,1889,6595,1889,6595,1876,6454,1876,6451,1880,6451,1912,6454,1916,6606,1916,6608,1912,6608,1908,6608,1902,6608,1889,6608,1883,6608,1880m6818,1880l6816,1876,6677,1876,6674,1880,6674,1912,6677,1916,6816,1916,6818,1912,6818,1908,6818,1902,6818,1889,6818,1883,6818,1880e" filled="true" fillcolor="#0070c0" stroked="false">
              <v:path arrowok="t"/>
              <v:fill type="solid"/>
            </v:shape>
            <v:line style="position:absolute" from="7102,1896" to="7246,1896" stroked="true" strokeweight="1.2599pt" strokecolor="#0070c0">
              <v:stroke dashstyle="solid"/>
            </v:line>
            <v:shape style="position:absolute;left:7094;top:1876;width:369;height:263" coordorigin="7094,1876" coordsize="369,263" path="m7253,1880l7249,1876,7240,1876,7240,1889,7240,1902,7108,1902,7108,1889,7240,1889,7240,1876,7098,1876,7094,1880,7094,1912,7098,1916,7249,1916,7253,1912,7253,1908,7253,1902,7253,1889,7253,1883,7253,1880m7463,2102l7459,2099,7321,2099,7318,2102,7318,2135,7321,2139,7459,2139,7463,2135,7463,2132,7463,2126,7463,2112,7463,2105,7463,2102e" filled="true" fillcolor="#0070c0" stroked="false">
              <v:path arrowok="t"/>
              <v:fill type="solid"/>
            </v:shape>
            <v:line style="position:absolute" from="7745,1935" to="7890,1935" stroked="true" strokeweight="1.32pt" strokecolor="#0070c0">
              <v:stroke dashstyle="solid"/>
            </v:line>
            <v:shape style="position:absolute;left:7738;top:1876;width:368;height:80" coordorigin="7739,1876" coordsize="368,80" path="m7896,1918l7894,1916,7883,1916,7883,1929,7883,1942,7752,1942,7752,1929,7883,1929,7883,1916,7741,1916,7739,1918,7739,1952,7741,1955,7894,1955,7896,1952,7896,1948,7896,1942,7896,1929,7896,1922,7896,1918m8106,1880l8104,1876,7964,1876,7962,1880,7962,1912,7964,1916,8104,1916,8106,1912,8106,1908,8106,1902,8106,1889,8106,1883,8106,1880e" filled="true" fillcolor="#0070c0" stroked="false">
              <v:path arrowok="t"/>
              <v:fill type="solid"/>
            </v:shape>
            <v:line style="position:absolute" from="8389,2067" to="8533,2067" stroked="true" strokeweight="1.32pt" strokecolor="#0070c0">
              <v:stroke dashstyle="solid"/>
            </v:line>
            <v:shape style="position:absolute;left:8382;top:2046;width:159;height:40" coordorigin="8382,2046" coordsize="159,40" path="m8537,2046l8386,2046,8382,2050,8382,2084,8386,2086,8537,2086,8540,2084,8540,2080,8395,2080,8389,2073,8395,2073,8395,2060,8389,2060,8395,2054,8540,2054,8540,2050,8537,2046xm8395,2073l8389,2073,8395,2080,8395,2073xm8527,2073l8395,2073,8395,2080,8527,2080,8527,2073xm8527,2054l8527,2080,8533,2073,8540,2073,8540,2060,8533,2060,8527,2054xm8540,2073l8533,2073,8527,2080,8540,2080,8540,2073xm8395,2054l8389,2060,8395,2060,8395,2054xm8527,2054l8395,2054,8395,2060,8527,2060,8527,2054xm8540,2054l8527,2054,8533,2060,8540,2060,8540,2054xe" filled="true" fillcolor="#0070c0" stroked="false">
              <v:path arrowok="t"/>
              <v:fill type="solid"/>
            </v:shape>
            <v:shape style="position:absolute;left:4532;top:2939;width:1433;height:131" coordorigin="4532,2939" coordsize="1433,131" path="m4676,2994l4674,2991,4535,2991,4532,2994,4532,3028,4535,3030,4674,3030,4676,3028,4676,3024,4676,3017,4676,3004,4676,2998,4676,2994m5321,2942l5318,2939,5179,2939,5177,2942,5177,2988,5179,2991,5318,2991,5321,2988,5321,2985,5321,2979,5321,2952,5321,2945,5321,2942m5965,3034l5962,3030,5824,3030,5820,3034,5820,3068,5824,3070,5962,3070,5965,3068,5965,3064,5965,3057,5965,3044,5965,3038,5965,3034e" filled="true" fillcolor="#ff0000" stroked="false">
              <v:path arrowok="t"/>
              <v:fill type="solid"/>
            </v:shape>
            <v:line style="position:absolute" from="6892,820" to="7036,820" stroked="true" strokeweight="1.32pt" strokecolor="#ff0000">
              <v:stroke dashstyle="solid"/>
            </v:line>
            <v:shape style="position:absolute;left:6884;top:799;width:158;height:40" coordorigin="6884,800" coordsize="158,40" path="m7039,800l6887,800,6884,803,6884,837,6887,839,7039,839,7042,837,7042,833,6898,833,6892,826,6898,826,6898,813,6892,813,6898,807,7042,807,7042,803,7039,800xm6898,826l6892,826,6898,833,6898,826xm7028,826l6898,826,6898,833,7028,833,7028,826xm7028,807l7028,833,7036,826,7042,826,7042,813,7036,813,7028,807xm7042,826l7036,826,7028,833,7042,833,7042,826xm6898,807l6892,813,6898,813,6898,807xm7028,807l6898,807,6898,813,7028,813,7028,807xm7042,807l7028,807,7036,813,7042,813,7042,807xe" filled="true" fillcolor="#ff0000" stroked="false">
              <v:path arrowok="t"/>
              <v:fill type="solid"/>
            </v:shape>
            <v:line style="position:absolute" from="7535,820" to="7680,820" stroked="true" strokeweight="1.32pt" strokecolor="#ff0000">
              <v:stroke dashstyle="solid"/>
            </v:line>
            <v:shape style="position:absolute;left:7528;top:799;width:158;height:40" coordorigin="7529,800" coordsize="158,40" path="m7684,800l7531,800,7529,803,7529,837,7531,839,7684,839,7686,837,7686,833,7542,833,7535,826,7542,826,7542,813,7535,813,7542,807,7686,807,7686,803,7684,800xm7542,826l7535,826,7542,833,7542,826xm7673,826l7542,826,7542,833,7673,833,7673,826xm7673,807l7673,833,7680,826,7686,826,7686,813,7680,813,7673,807xm7686,826l7680,826,7673,833,7686,833,7686,826xm7542,807l7535,813,7542,813,7542,807xm7673,807l7542,807,7542,813,7673,813,7673,807xm7686,807l7673,807,7680,813,7686,813,7686,807xe" filled="true" fillcolor="#ff0000" stroked="false">
              <v:path arrowok="t"/>
              <v:fill type="solid"/>
            </v:shape>
            <v:line style="position:absolute" from="8179,728" to="8323,728" stroked="true" strokeweight="1.32pt" strokecolor="#ff0000">
              <v:stroke dashstyle="solid"/>
            </v:line>
            <v:shape style="position:absolute;left:6740;top:394;width:1590;height:354" coordorigin="6740,394" coordsize="1590,354" path="m6845,396l6842,394,6832,394,6832,406,6832,419,6754,419,6754,406,6832,406,6832,394,6743,394,6740,396,6740,430,6743,432,6842,432,6845,430,6845,426,6845,419,6845,406,6845,400,6845,396m8330,711l8327,708,8317,708,8317,722,8317,735,8185,735,8185,722,8317,722,8317,708,8176,708,8172,711,8172,744,8176,748,8327,748,8330,744,8330,741,8330,735,8330,722,8330,714,8330,711e" filled="true" fillcolor="#ff0000" stroked="false">
              <v:path arrowok="t"/>
              <v:fill type="solid"/>
            </v:shape>
            <v:line style="position:absolute" from="6299,347" to="6299,3064" stroked="true" strokeweight=".66pt" strokecolor="#000000">
              <v:stroke dashstyle="shortdash"/>
            </v:line>
            <v:shape style="position:absolute;left:4033;top:100;width:652;height:189" type="#_x0000_t202" filled="false" stroked="false">
              <v:textbox inset="0,0,0,0">
                <w:txbxContent>
                  <w:p>
                    <w:pPr>
                      <w:spacing w:line="189" w:lineRule="exact" w:before="0"/>
                      <w:ind w:left="0" w:right="0" w:firstLine="0"/>
                      <w:jc w:val="left"/>
                      <w:rPr>
                        <w:rFonts w:ascii="Times New Roman"/>
                        <w:sz w:val="17"/>
                      </w:rPr>
                    </w:pPr>
                    <w:r>
                      <w:rPr>
                        <w:rFonts w:ascii="Times New Roman"/>
                        <w:sz w:val="17"/>
                      </w:rPr>
                      <w:t>sis points</w:t>
                    </w:r>
                  </w:p>
                </w:txbxContent>
              </v:textbox>
              <w10:wrap type="none"/>
            </v:shape>
            <v:shape style="position:absolute;left:6746;top:101;width:1652;height:405" type="#_x0000_t202" filled="false" stroked="false">
              <v:textbox inset="0,0,0,0">
                <w:txbxContent>
                  <w:p>
                    <w:pPr>
                      <w:spacing w:before="0"/>
                      <w:ind w:left="121" w:right="0" w:firstLine="0"/>
                      <w:jc w:val="left"/>
                      <w:rPr>
                        <w:rFonts w:ascii="Times New Roman"/>
                        <w:sz w:val="15"/>
                      </w:rPr>
                    </w:pPr>
                    <w:r>
                      <w:rPr>
                        <w:rFonts w:ascii="Times New Roman"/>
                        <w:w w:val="105"/>
                        <w:sz w:val="15"/>
                      </w:rPr>
                      <w:t>3-month </w:t>
                    </w:r>
                    <w:r>
                      <w:rPr>
                        <w:rFonts w:ascii="Times New Roman"/>
                        <w:spacing w:val="-4"/>
                        <w:w w:val="105"/>
                        <w:sz w:val="15"/>
                      </w:rPr>
                      <w:t>clearing</w:t>
                    </w:r>
                    <w:r>
                      <w:rPr>
                        <w:rFonts w:ascii="Times New Roman"/>
                        <w:spacing w:val="3"/>
                        <w:w w:val="105"/>
                        <w:sz w:val="15"/>
                      </w:rPr>
                      <w:t> </w:t>
                    </w:r>
                    <w:r>
                      <w:rPr>
                        <w:rFonts w:ascii="Times New Roman"/>
                        <w:w w:val="105"/>
                        <w:sz w:val="15"/>
                      </w:rPr>
                      <w:t>spread</w:t>
                    </w:r>
                  </w:p>
                  <w:p>
                    <w:pPr>
                      <w:spacing w:before="58"/>
                      <w:ind w:left="0" w:right="0" w:firstLine="0"/>
                      <w:jc w:val="left"/>
                      <w:rPr>
                        <w:rFonts w:ascii="Times New Roman"/>
                        <w:sz w:val="15"/>
                      </w:rPr>
                    </w:pPr>
                    <w:r>
                      <w:rPr>
                        <w:rFonts w:ascii="Times New Roman"/>
                        <w:w w:val="100"/>
                        <w:position w:val="4"/>
                        <w:sz w:val="17"/>
                        <w:u w:val="thick" w:color="FF0000"/>
                      </w:rPr>
                      <w:t> </w:t>
                    </w:r>
                    <w:r>
                      <w:rPr>
                        <w:rFonts w:ascii="Times New Roman"/>
                        <w:spacing w:val="7"/>
                        <w:position w:val="4"/>
                        <w:sz w:val="17"/>
                        <w:u w:val="thick" w:color="FF0000"/>
                      </w:rPr>
                      <w:t> </w:t>
                    </w:r>
                    <w:r>
                      <w:rPr>
                        <w:rFonts w:ascii="Times New Roman"/>
                        <w:spacing w:val="-14"/>
                        <w:position w:val="4"/>
                        <w:sz w:val="17"/>
                      </w:rPr>
                      <w:t> </w:t>
                    </w:r>
                    <w:r>
                      <w:rPr>
                        <w:rFonts w:ascii="Times New Roman"/>
                        <w:w w:val="105"/>
                        <w:sz w:val="15"/>
                      </w:rPr>
                      <w:t>6-month </w:t>
                    </w:r>
                    <w:r>
                      <w:rPr>
                        <w:rFonts w:ascii="Times New Roman"/>
                        <w:spacing w:val="-4"/>
                        <w:w w:val="105"/>
                        <w:sz w:val="15"/>
                      </w:rPr>
                      <w:t>clearing</w:t>
                    </w:r>
                    <w:r>
                      <w:rPr>
                        <w:rFonts w:ascii="Times New Roman"/>
                        <w:spacing w:val="3"/>
                        <w:w w:val="105"/>
                        <w:sz w:val="15"/>
                      </w:rPr>
                      <w:t> </w:t>
                    </w:r>
                    <w:r>
                      <w:rPr>
                        <w:rFonts w:ascii="Times New Roman"/>
                        <w:w w:val="105"/>
                        <w:sz w:val="15"/>
                      </w:rPr>
                      <w:t>spread</w:t>
                    </w:r>
                  </w:p>
                </w:txbxContent>
              </v:textbox>
              <w10:wrap type="none"/>
            </v:shape>
            <w10:wrap type="none"/>
          </v:group>
        </w:pict>
      </w:r>
      <w:r>
        <w:rPr/>
        <w:pict>
          <v:shape style="position:absolute;margin-left:337.02002pt;margin-top:8.541591pt;width:5.25pt;height:1.35pt;mso-position-horizontal-relative:page;mso-position-vertical-relative:paragraph;z-index:251726848" coordorigin="6740,171" coordsize="105,27" path="m6845,173l6842,171,6743,171,6740,173,6740,194,6743,197,6842,197,6845,194,6845,190,6845,177,6845,173e" filled="true" fillcolor="#0070c0" stroked="false">
            <v:path arrowok="t"/>
            <v:fill type="solid"/>
            <w10:wrap type="none"/>
          </v:shape>
        </w:pict>
      </w:r>
      <w:r>
        <w:rPr>
          <w:rFonts w:ascii="Times New Roman"/>
          <w:sz w:val="17"/>
        </w:rPr>
        <w:t>Ba </w:t>
      </w:r>
      <w:r>
        <w:rPr>
          <w:rFonts w:ascii="Times New Roman"/>
          <w:spacing w:val="6"/>
          <w:sz w:val="17"/>
        </w:rPr>
        <w:t>60</w:t>
      </w:r>
    </w:p>
    <w:p>
      <w:pPr>
        <w:pStyle w:val="BodyText"/>
        <w:spacing w:before="1"/>
        <w:rPr>
          <w:rFonts w:ascii="Times New Roman"/>
          <w:sz w:val="14"/>
        </w:rPr>
      </w:pPr>
    </w:p>
    <w:p>
      <w:pPr>
        <w:spacing w:before="93"/>
        <w:ind w:left="2833" w:right="0" w:firstLine="0"/>
        <w:jc w:val="left"/>
        <w:rPr>
          <w:rFonts w:ascii="Times New Roman"/>
          <w:sz w:val="17"/>
        </w:rPr>
      </w:pPr>
      <w:r>
        <w:rPr>
          <w:rFonts w:ascii="Times New Roman"/>
          <w:spacing w:val="6"/>
          <w:sz w:val="17"/>
        </w:rPr>
        <w:t>50</w:t>
      </w:r>
    </w:p>
    <w:p>
      <w:pPr>
        <w:pStyle w:val="BodyText"/>
        <w:spacing w:before="9"/>
        <w:rPr>
          <w:rFonts w:ascii="Times New Roman"/>
          <w:sz w:val="13"/>
        </w:rPr>
      </w:pPr>
    </w:p>
    <w:p>
      <w:pPr>
        <w:spacing w:before="94"/>
        <w:ind w:left="2833" w:right="0" w:firstLine="0"/>
        <w:jc w:val="left"/>
        <w:rPr>
          <w:rFonts w:ascii="Times New Roman"/>
          <w:sz w:val="17"/>
        </w:rPr>
      </w:pPr>
      <w:r>
        <w:rPr>
          <w:rFonts w:ascii="Times New Roman"/>
          <w:spacing w:val="6"/>
          <w:sz w:val="17"/>
        </w:rPr>
        <w:t>40</w:t>
      </w:r>
    </w:p>
    <w:p>
      <w:pPr>
        <w:pStyle w:val="BodyText"/>
        <w:spacing w:before="9"/>
        <w:rPr>
          <w:rFonts w:ascii="Times New Roman"/>
          <w:sz w:val="13"/>
        </w:rPr>
      </w:pPr>
    </w:p>
    <w:p>
      <w:pPr>
        <w:spacing w:before="94"/>
        <w:ind w:left="2833" w:right="0" w:firstLine="0"/>
        <w:jc w:val="left"/>
        <w:rPr>
          <w:rFonts w:ascii="Times New Roman"/>
          <w:sz w:val="17"/>
        </w:rPr>
      </w:pPr>
      <w:r>
        <w:rPr>
          <w:rFonts w:ascii="Times New Roman"/>
          <w:spacing w:val="6"/>
          <w:sz w:val="17"/>
        </w:rPr>
        <w:t>30</w:t>
      </w:r>
    </w:p>
    <w:p>
      <w:pPr>
        <w:pStyle w:val="BodyText"/>
        <w:spacing w:before="7"/>
        <w:rPr>
          <w:rFonts w:ascii="Times New Roman"/>
          <w:sz w:val="13"/>
        </w:rPr>
      </w:pPr>
    </w:p>
    <w:p>
      <w:pPr>
        <w:spacing w:before="94"/>
        <w:ind w:left="2833" w:right="0" w:firstLine="0"/>
        <w:jc w:val="left"/>
        <w:rPr>
          <w:rFonts w:ascii="Times New Roman"/>
          <w:sz w:val="17"/>
        </w:rPr>
      </w:pPr>
      <w:r>
        <w:rPr>
          <w:rFonts w:ascii="Times New Roman"/>
          <w:spacing w:val="6"/>
          <w:sz w:val="17"/>
        </w:rPr>
        <w:t>20</w:t>
      </w:r>
    </w:p>
    <w:p>
      <w:pPr>
        <w:pStyle w:val="BodyText"/>
        <w:spacing w:before="9"/>
        <w:rPr>
          <w:rFonts w:ascii="Times New Roman"/>
          <w:sz w:val="13"/>
        </w:rPr>
      </w:pPr>
    </w:p>
    <w:p>
      <w:pPr>
        <w:spacing w:before="94"/>
        <w:ind w:left="2833" w:right="0" w:firstLine="0"/>
        <w:jc w:val="left"/>
        <w:rPr>
          <w:rFonts w:ascii="Times New Roman"/>
          <w:sz w:val="17"/>
        </w:rPr>
      </w:pPr>
      <w:r>
        <w:rPr>
          <w:rFonts w:ascii="Times New Roman"/>
          <w:spacing w:val="6"/>
          <w:sz w:val="17"/>
        </w:rPr>
        <w:t>10</w:t>
      </w:r>
    </w:p>
    <w:p>
      <w:pPr>
        <w:pStyle w:val="BodyText"/>
        <w:spacing w:before="9"/>
        <w:rPr>
          <w:rFonts w:ascii="Times New Roman"/>
          <w:sz w:val="13"/>
        </w:rPr>
      </w:pPr>
    </w:p>
    <w:p>
      <w:pPr>
        <w:spacing w:before="93"/>
        <w:ind w:left="2929" w:right="0" w:firstLine="0"/>
        <w:jc w:val="left"/>
        <w:rPr>
          <w:rFonts w:ascii="Times New Roman"/>
          <w:sz w:val="17"/>
        </w:rPr>
      </w:pPr>
      <w:r>
        <w:rPr>
          <w:rFonts w:ascii="Times New Roman"/>
          <w:w w:val="100"/>
          <w:sz w:val="17"/>
        </w:rPr>
        <w:t>0</w:t>
      </w:r>
    </w:p>
    <w:p>
      <w:pPr>
        <w:pStyle w:val="BodyText"/>
        <w:spacing w:before="5"/>
        <w:rPr>
          <w:rFonts w:ascii="Times New Roman"/>
          <w:sz w:val="22"/>
        </w:rPr>
      </w:pPr>
    </w:p>
    <w:p>
      <w:pPr>
        <w:tabs>
          <w:tab w:pos="2559" w:val="left" w:leader="none"/>
        </w:tabs>
        <w:spacing w:before="96"/>
        <w:ind w:left="0" w:right="17" w:firstLine="0"/>
        <w:jc w:val="center"/>
        <w:rPr>
          <w:rFonts w:ascii="Times New Roman"/>
          <w:sz w:val="17"/>
        </w:rPr>
      </w:pPr>
      <w:r>
        <w:rPr/>
        <w:pict>
          <v:shape style="position:absolute;margin-left:203.429092pt;margin-top:-10.964656pt;width:107.9pt;height:18.5pt;mso-position-horizontal-relative:page;mso-position-vertical-relative:paragraph;z-index:-253062144" type="#_x0000_t202" filled="false" stroked="false">
            <v:textbox inset="0,0,0,0" style="layout-flow:vertical;mso-layout-flow-alt:bottom-to-top">
              <w:txbxContent>
                <w:p>
                  <w:pPr>
                    <w:spacing w:line="264" w:lineRule="auto" w:before="13"/>
                    <w:ind w:left="20" w:right="18" w:firstLine="73"/>
                    <w:jc w:val="both"/>
                    <w:rPr>
                      <w:rFonts w:ascii="Times New Roman"/>
                      <w:sz w:val="17"/>
                    </w:rPr>
                  </w:pPr>
                  <w:r>
                    <w:rPr>
                      <w:rFonts w:ascii="Times New Roman"/>
                      <w:sz w:val="17"/>
                    </w:rPr>
                    <w:t>Jun July Aug Sept Oct Nov Dec Ja n Feb Mar</w:t>
                  </w:r>
                </w:p>
              </w:txbxContent>
            </v:textbox>
            <w10:wrap type="none"/>
          </v:shape>
        </w:pict>
      </w:r>
      <w:r>
        <w:rPr/>
        <w:pict>
          <v:shape style="position:absolute;margin-left:321.271301pt;margin-top:-10.964656pt;width:107.9pt;height:18.5pt;mso-position-horizontal-relative:page;mso-position-vertical-relative:paragraph;z-index:-253061120" type="#_x0000_t202" filled="false" stroked="false">
            <v:textbox inset="0,0,0,0" style="layout-flow:vertical;mso-layout-flow-alt:bottom-to-top">
              <w:txbxContent>
                <w:p>
                  <w:pPr>
                    <w:spacing w:line="264" w:lineRule="auto" w:before="13"/>
                    <w:ind w:left="20" w:right="18" w:firstLine="73"/>
                    <w:jc w:val="right"/>
                    <w:rPr>
                      <w:rFonts w:ascii="Times New Roman"/>
                      <w:sz w:val="17"/>
                    </w:rPr>
                  </w:pPr>
                  <w:r>
                    <w:rPr>
                      <w:rFonts w:ascii="Times New Roman"/>
                      <w:sz w:val="17"/>
                    </w:rPr>
                    <w:t>Jun Jul Aug</w:t>
                  </w:r>
                  <w:r>
                    <w:rPr>
                      <w:rFonts w:ascii="Times New Roman"/>
                      <w:w w:val="100"/>
                      <w:sz w:val="17"/>
                    </w:rPr>
                    <w:t> </w:t>
                  </w:r>
                  <w:r>
                    <w:rPr>
                      <w:rFonts w:ascii="Times New Roman"/>
                      <w:sz w:val="17"/>
                    </w:rPr>
                    <w:t>Sept Oct</w:t>
                  </w:r>
                  <w:r>
                    <w:rPr>
                      <w:rFonts w:ascii="Times New Roman"/>
                      <w:w w:val="100"/>
                      <w:sz w:val="17"/>
                    </w:rPr>
                    <w:t> </w:t>
                  </w:r>
                  <w:r>
                    <w:rPr>
                      <w:rFonts w:ascii="Times New Roman"/>
                      <w:sz w:val="17"/>
                    </w:rPr>
                    <w:t>Nov</w:t>
                  </w:r>
                  <w:r>
                    <w:rPr>
                      <w:rFonts w:ascii="Times New Roman"/>
                      <w:w w:val="100"/>
                      <w:sz w:val="17"/>
                    </w:rPr>
                    <w:t> </w:t>
                  </w:r>
                  <w:r>
                    <w:rPr>
                      <w:rFonts w:ascii="Times New Roman"/>
                      <w:sz w:val="17"/>
                    </w:rPr>
                    <w:t>Dec</w:t>
                  </w:r>
                  <w:r>
                    <w:rPr>
                      <w:rFonts w:ascii="Times New Roman"/>
                      <w:w w:val="100"/>
                      <w:sz w:val="17"/>
                    </w:rPr>
                    <w:t> </w:t>
                  </w:r>
                  <w:r>
                    <w:rPr>
                      <w:rFonts w:ascii="Times New Roman"/>
                      <w:sz w:val="17"/>
                    </w:rPr>
                    <w:t>Ja n</w:t>
                  </w:r>
                  <w:r>
                    <w:rPr>
                      <w:rFonts w:ascii="Times New Roman"/>
                      <w:w w:val="100"/>
                      <w:sz w:val="17"/>
                    </w:rPr>
                    <w:t> </w:t>
                  </w:r>
                  <w:r>
                    <w:rPr>
                      <w:rFonts w:ascii="Times New Roman"/>
                      <w:sz w:val="17"/>
                    </w:rPr>
                    <w:t>Feb Mar</w:t>
                  </w:r>
                </w:p>
              </w:txbxContent>
            </v:textbox>
            <w10:wrap type="none"/>
          </v:shape>
        </w:pict>
      </w:r>
      <w:r>
        <w:rPr>
          <w:rFonts w:ascii="Times New Roman"/>
          <w:spacing w:val="-3"/>
          <w:sz w:val="17"/>
        </w:rPr>
        <w:t>Na</w:t>
      </w:r>
      <w:r>
        <w:rPr>
          <w:rFonts w:ascii="Times New Roman"/>
          <w:spacing w:val="-29"/>
          <w:sz w:val="17"/>
        </w:rPr>
        <w:t> </w:t>
      </w:r>
      <w:r>
        <w:rPr>
          <w:rFonts w:ascii="Times New Roman"/>
          <w:sz w:val="17"/>
        </w:rPr>
        <w:t>rrow</w:t>
        <w:tab/>
      </w:r>
      <w:r>
        <w:rPr>
          <w:rFonts w:ascii="Times New Roman"/>
          <w:position w:val="3"/>
          <w:sz w:val="17"/>
        </w:rPr>
        <w:t>Wider</w:t>
      </w:r>
    </w:p>
    <w:p>
      <w:pPr>
        <w:pStyle w:val="BodyText"/>
        <w:spacing w:before="4"/>
        <w:rPr>
          <w:rFonts w:ascii="Times New Roman"/>
          <w:sz w:val="21"/>
        </w:rPr>
      </w:pPr>
    </w:p>
    <w:p>
      <w:pPr>
        <w:pStyle w:val="ListParagraph"/>
        <w:numPr>
          <w:ilvl w:val="0"/>
          <w:numId w:val="4"/>
        </w:numPr>
        <w:tabs>
          <w:tab w:pos="953" w:val="left" w:leader="none"/>
          <w:tab w:pos="955" w:val="left" w:leader="none"/>
        </w:tabs>
        <w:spacing w:line="357" w:lineRule="auto" w:before="1" w:after="0"/>
        <w:ind w:left="660" w:right="1067" w:firstLine="0"/>
        <w:jc w:val="left"/>
        <w:rPr>
          <w:sz w:val="20"/>
        </w:rPr>
      </w:pPr>
      <w:r>
        <w:rPr>
          <w:sz w:val="20"/>
        </w:rPr>
        <w:t>The January and February auctions were uncovered – that is, the amount bid (against either collateral set) was less than the amount on offer. There are two points to note about uncovered auctions. First, even if there is insufficient demand, the auction mechanism functions. Second, irrespective of the cover ratio, the allocation depends on where the bids are relative to the RSS. So while an uncovered auction will mean that the Bank allocates less than it had offered, a similar outcome could still occur if the auction was covered (but the bids were below the</w:t>
      </w:r>
      <w:r>
        <w:rPr>
          <w:spacing w:val="-25"/>
          <w:sz w:val="20"/>
        </w:rPr>
        <w:t> </w:t>
      </w:r>
      <w:r>
        <w:rPr>
          <w:sz w:val="20"/>
        </w:rPr>
        <w:t>RSS).</w:t>
      </w:r>
    </w:p>
    <w:p>
      <w:pPr>
        <w:pStyle w:val="BodyText"/>
        <w:spacing w:before="6"/>
        <w:rPr>
          <w:sz w:val="30"/>
        </w:rPr>
      </w:pPr>
    </w:p>
    <w:p>
      <w:pPr>
        <w:pStyle w:val="Heading2"/>
        <w:ind w:left="233"/>
      </w:pPr>
      <w:r>
        <w:rPr/>
        <w:t>Concluding remarks</w:t>
      </w:r>
    </w:p>
    <w:p>
      <w:pPr>
        <w:pStyle w:val="BodyText"/>
        <w:rPr>
          <w:b/>
          <w:sz w:val="22"/>
        </w:rPr>
      </w:pPr>
    </w:p>
    <w:p>
      <w:pPr>
        <w:pStyle w:val="BodyText"/>
        <w:spacing w:before="9"/>
        <w:rPr>
          <w:b/>
          <w:sz w:val="17"/>
        </w:rPr>
      </w:pPr>
    </w:p>
    <w:p>
      <w:pPr>
        <w:pStyle w:val="BodyText"/>
        <w:spacing w:line="360" w:lineRule="auto" w:before="1"/>
        <w:ind w:left="233" w:right="1299"/>
      </w:pPr>
      <w:r>
        <w:rPr/>
        <w:t>During the past five years, the Bank has totally re-shaped its operations. Many of the changes arose as a direct consequence of the financial crisis, and the new demands for liquidity insurance that it engendered. As a result, the Bank has now installed permanent facilities to provide liquidity insurance, without compromising its ability to meet its monetary policy implementation objective.</w:t>
      </w:r>
    </w:p>
    <w:p>
      <w:pPr>
        <w:pStyle w:val="BodyText"/>
        <w:rPr>
          <w:sz w:val="30"/>
        </w:rPr>
      </w:pPr>
    </w:p>
    <w:p>
      <w:pPr>
        <w:pStyle w:val="BodyText"/>
        <w:spacing w:line="360" w:lineRule="auto"/>
        <w:ind w:left="233" w:right="1052"/>
      </w:pPr>
      <w:r>
        <w:rPr/>
        <w:t>The academic profession can make a significant contribution to the field of central bank operations. In this paper I have highlighted one example in particular where our thinking has benefitted considerably from such insights. And there is room for much more involvement going forward: although the Bank has rebuilt all of its sterling operations in the past five years, it is unlikely to have reached the end of the development process. As experience grows with both reserves averaging and the new auctions, we will undoubtedly learn more and adjust the operations accordingly. I hope that the presentation of this paper will provoke interest and questions, that it will nurture further academic study of central bank operations and that it will encourage wider participation in developing the future agenda.</w:t>
      </w:r>
    </w:p>
    <w:sectPr>
      <w:pgSz w:w="11900" w:h="16840"/>
      <w:pgMar w:header="0" w:footer="1340" w:top="1540" w:bottom="1540" w:left="900" w:right="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131776" from="56.700001pt,758.880005pt" to="538.680001pt,758.880005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5.700001pt;margin-top:773.048828pt;width:379.35pt;height:13.2pt;mso-position-horizontal-relative:page;mso-position-vertical-relative:page;z-index:-253130752"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096960" from="56.700001pt,761.099976pt" to="538.680001pt,761.099976pt" stroked="true" strokeweight=".23999pt" strokecolor="#000000">
          <v:stroke dashstyle="solid"/>
          <w10:wrap type="none"/>
        </v:line>
      </w:pict>
    </w:r>
    <w:r>
      <w:rPr/>
      <w:pict>
        <v:shape style="position:absolute;margin-left:491.459991pt;margin-top:760.19635pt;width:7.1pt;height:3.15pt;mso-position-horizontal-relative:page;mso-position-vertical-relative:page;z-index:-253095936"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61.099777pt;margin-top:771.84845pt;width:379.35pt;height:13.2pt;mso-position-horizontal-relative:page;mso-position-vertical-relative:page;z-index:-253094912"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1.179871pt;margin-top:773.048828pt;width:13.2pt;height:13.2pt;mso-position-horizontal-relative:page;mso-position-vertical-relative:page;z-index:-253093888" type="#_x0000_t202" filled="false" stroked="false">
          <v:textbox inset="0,0,0,0">
            <w:txbxContent>
              <w:p>
                <w:pPr>
                  <w:pStyle w:val="BodyText"/>
                  <w:spacing w:before="14"/>
                  <w:ind w:left="20"/>
                </w:pPr>
                <w:r>
                  <w:rPr/>
                  <w:t>10</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129728" from="56.700001pt,761.099976pt" to="538.680001pt,761.099976pt" stroked="true" strokeweight=".23999pt" strokecolor="#000000">
          <v:stroke dashstyle="solid"/>
          <w10:wrap type="none"/>
        </v:line>
      </w:pict>
    </w:r>
    <w:r>
      <w:rPr/>
      <w:pict>
        <v:shape style="position:absolute;margin-left:493.459991pt;margin-top:760.19635pt;width:2.6pt;height:3.15pt;mso-position-horizontal-relative:page;mso-position-vertical-relative:page;z-index:-253128704" type="#_x0000_t202" filled="false" stroked="false">
          <v:textbox inset="0,0,0,0">
            <w:txbxContent>
              <w:p>
                <w:pPr>
                  <w:pStyle w:val="BodyText"/>
                  <w:rPr>
                    <w:sz w:val="2"/>
                  </w:rPr>
                </w:pPr>
              </w:p>
              <w:p>
                <w:pPr>
                  <w:spacing w:before="0"/>
                  <w:ind w:left="0" w:right="0" w:firstLine="0"/>
                  <w:jc w:val="center"/>
                  <w:rPr>
                    <w:sz w:val="2"/>
                  </w:rPr>
                </w:pPr>
                <w:r>
                  <w:rPr>
                    <w:w w:val="101"/>
                    <w:sz w:val="2"/>
                  </w:rPr>
                  <w:t>2</w:t>
                </w:r>
              </w:p>
            </w:txbxContent>
          </v:textbox>
          <w10:wrap type="none"/>
        </v:shape>
      </w:pict>
    </w:r>
    <w:r>
      <w:rPr/>
      <w:pict>
        <v:shape style="position:absolute;margin-left:61.099777pt;margin-top:771.84845pt;width:379.35pt;height:13.2pt;mso-position-horizontal-relative:page;mso-position-vertical-relative:page;z-index:-253127680"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3126656" type="#_x0000_t202" filled="false" stroked="false">
          <v:textbox inset="0,0,0,0">
            <w:txbxContent>
              <w:p>
                <w:pPr>
                  <w:pStyle w:val="BodyText"/>
                  <w:spacing w:before="14"/>
                  <w:ind w:left="20"/>
                </w:pPr>
                <w:r>
                  <w:rPr>
                    <w:w w:val="100"/>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125632" from="56.700001pt,761.099976pt" to="538.680001pt,761.099976pt" stroked="true" strokeweight=".23999pt" strokecolor="#000000">
          <v:stroke dashstyle="solid"/>
          <w10:wrap type="none"/>
        </v:line>
      </w:pict>
    </w:r>
    <w:r>
      <w:rPr/>
      <w:pict>
        <v:shape style="position:absolute;margin-left:493.459991pt;margin-top:760.19635pt;width:2.6pt;height:3.15pt;mso-position-horizontal-relative:page;mso-position-vertical-relative:page;z-index:-253124608" type="#_x0000_t202" filled="false" stroked="false">
          <v:textbox inset="0,0,0,0">
            <w:txbxContent>
              <w:p>
                <w:pPr>
                  <w:pStyle w:val="BodyText"/>
                  <w:rPr>
                    <w:sz w:val="2"/>
                  </w:rPr>
                </w:pPr>
              </w:p>
              <w:p>
                <w:pPr>
                  <w:spacing w:before="0"/>
                  <w:ind w:left="0" w:right="0" w:firstLine="0"/>
                  <w:jc w:val="center"/>
                  <w:rPr>
                    <w:sz w:val="2"/>
                  </w:rPr>
                </w:pPr>
                <w:r>
                  <w:rPr>
                    <w:w w:val="101"/>
                    <w:sz w:val="2"/>
                  </w:rPr>
                  <w:t>3</w:t>
                </w:r>
              </w:p>
            </w:txbxContent>
          </v:textbox>
          <w10:wrap type="none"/>
        </v:shape>
      </w:pict>
    </w:r>
    <w:r>
      <w:rPr/>
      <w:pict>
        <v:shape style="position:absolute;margin-left:61.099777pt;margin-top:771.84845pt;width:379.35pt;height:13.2pt;mso-position-horizontal-relative:page;mso-position-vertical-relative:page;z-index:-253123584"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3122560" type="#_x0000_t202" filled="false" stroked="false">
          <v:textbox inset="0,0,0,0">
            <w:txbxContent>
              <w:p>
                <w:pPr>
                  <w:pStyle w:val="BodyText"/>
                  <w:spacing w:before="14"/>
                  <w:ind w:left="20"/>
                </w:pPr>
                <w:r>
                  <w:rPr>
                    <w:w w:val="100"/>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121536" from="56.700001pt,761.099976pt" to="538.680001pt,761.099976pt" stroked="true" strokeweight=".23999pt" strokecolor="#000000">
          <v:stroke dashstyle="solid"/>
          <w10:wrap type="none"/>
        </v:line>
      </w:pict>
    </w:r>
    <w:r>
      <w:rPr/>
      <w:pict>
        <v:shape style="position:absolute;margin-left:493.459991pt;margin-top:760.19635pt;width:2.6pt;height:3.15pt;mso-position-horizontal-relative:page;mso-position-vertical-relative:page;z-index:-253120512" type="#_x0000_t202" filled="false" stroked="false">
          <v:textbox inset="0,0,0,0">
            <w:txbxContent>
              <w:p>
                <w:pPr>
                  <w:pStyle w:val="BodyText"/>
                  <w:rPr>
                    <w:sz w:val="2"/>
                  </w:rPr>
                </w:pPr>
              </w:p>
              <w:p>
                <w:pPr>
                  <w:spacing w:before="0"/>
                  <w:ind w:left="0" w:right="0" w:firstLine="0"/>
                  <w:jc w:val="center"/>
                  <w:rPr>
                    <w:sz w:val="2"/>
                  </w:rPr>
                </w:pPr>
                <w:r>
                  <w:rPr>
                    <w:w w:val="101"/>
                    <w:sz w:val="2"/>
                  </w:rPr>
                  <w:t>4</w:t>
                </w:r>
              </w:p>
            </w:txbxContent>
          </v:textbox>
          <w10:wrap type="none"/>
        </v:shape>
      </w:pict>
    </w:r>
    <w:r>
      <w:rPr/>
      <w:pict>
        <v:shape style="position:absolute;margin-left:61.099777pt;margin-top:771.84845pt;width:379.35pt;height:13.2pt;mso-position-horizontal-relative:page;mso-position-vertical-relative:page;z-index:-253119488"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3118464" type="#_x0000_t202" filled="false" stroked="false">
          <v:textbox inset="0,0,0,0">
            <w:txbxContent>
              <w:p>
                <w:pPr>
                  <w:pStyle w:val="BodyText"/>
                  <w:spacing w:before="14"/>
                  <w:ind w:left="20"/>
                </w:pPr>
                <w:r>
                  <w:rPr>
                    <w:w w:val="100"/>
                  </w:rPr>
                  <w:t>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117440" from="56.700001pt,761.099976pt" to="538.680001pt,761.099976pt" stroked="true" strokeweight=".23999pt" strokecolor="#000000">
          <v:stroke dashstyle="solid"/>
          <w10:wrap type="none"/>
        </v:line>
      </w:pict>
    </w:r>
    <w:r>
      <w:rPr/>
      <w:pict>
        <v:shape style="position:absolute;margin-left:493.459991pt;margin-top:760.19635pt;width:2.6pt;height:3.15pt;mso-position-horizontal-relative:page;mso-position-vertical-relative:page;z-index:-253116416" type="#_x0000_t202" filled="false" stroked="false">
          <v:textbox inset="0,0,0,0">
            <w:txbxContent>
              <w:p>
                <w:pPr>
                  <w:pStyle w:val="BodyText"/>
                  <w:rPr>
                    <w:sz w:val="2"/>
                  </w:rPr>
                </w:pPr>
              </w:p>
              <w:p>
                <w:pPr>
                  <w:spacing w:before="0"/>
                  <w:ind w:left="0" w:right="0" w:firstLine="0"/>
                  <w:jc w:val="center"/>
                  <w:rPr>
                    <w:sz w:val="2"/>
                  </w:rPr>
                </w:pPr>
                <w:r>
                  <w:rPr>
                    <w:w w:val="101"/>
                    <w:sz w:val="2"/>
                  </w:rPr>
                  <w:t>5</w:t>
                </w:r>
              </w:p>
            </w:txbxContent>
          </v:textbox>
          <w10:wrap type="none"/>
        </v:shape>
      </w:pict>
    </w:r>
    <w:r>
      <w:rPr/>
      <w:pict>
        <v:shape style="position:absolute;margin-left:61.099777pt;margin-top:771.84845pt;width:379.35pt;height:13.2pt;mso-position-horizontal-relative:page;mso-position-vertical-relative:page;z-index:-253115392"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3114368" type="#_x0000_t202" filled="false" stroked="false">
          <v:textbox inset="0,0,0,0">
            <w:txbxContent>
              <w:p>
                <w:pPr>
                  <w:pStyle w:val="BodyText"/>
                  <w:spacing w:before="14"/>
                  <w:ind w:left="20"/>
                </w:pPr>
                <w:r>
                  <w:rPr>
                    <w:w w:val="100"/>
                  </w:rPr>
                  <w:t>5</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113344" from="56.700001pt,761.099976pt" to="538.680001pt,761.099976pt" stroked="true" strokeweight=".23999pt" strokecolor="#000000">
          <v:stroke dashstyle="solid"/>
          <w10:wrap type="none"/>
        </v:line>
      </w:pict>
    </w:r>
    <w:r>
      <w:rPr/>
      <w:pict>
        <v:shape style="position:absolute;margin-left:493.459991pt;margin-top:760.19635pt;width:2.6pt;height:3.15pt;mso-position-horizontal-relative:page;mso-position-vertical-relative:page;z-index:-253112320" type="#_x0000_t202" filled="false" stroked="false">
          <v:textbox inset="0,0,0,0">
            <w:txbxContent>
              <w:p>
                <w:pPr>
                  <w:pStyle w:val="BodyText"/>
                  <w:rPr>
                    <w:sz w:val="2"/>
                  </w:rPr>
                </w:pPr>
              </w:p>
              <w:p>
                <w:pPr>
                  <w:spacing w:before="0"/>
                  <w:ind w:left="0" w:right="0" w:firstLine="0"/>
                  <w:jc w:val="center"/>
                  <w:rPr>
                    <w:sz w:val="2"/>
                  </w:rPr>
                </w:pPr>
                <w:r>
                  <w:rPr>
                    <w:w w:val="101"/>
                    <w:sz w:val="2"/>
                  </w:rPr>
                  <w:t>6</w:t>
                </w:r>
              </w:p>
            </w:txbxContent>
          </v:textbox>
          <w10:wrap type="none"/>
        </v:shape>
      </w:pict>
    </w:r>
    <w:r>
      <w:rPr/>
      <w:pict>
        <v:shape style="position:absolute;margin-left:61.099777pt;margin-top:771.84845pt;width:379.35pt;height:13.2pt;mso-position-horizontal-relative:page;mso-position-vertical-relative:page;z-index:-253111296"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3110272" type="#_x0000_t202" filled="false" stroked="false">
          <v:textbox inset="0,0,0,0">
            <w:txbxContent>
              <w:p>
                <w:pPr>
                  <w:pStyle w:val="BodyText"/>
                  <w:spacing w:before="14"/>
                  <w:ind w:left="20"/>
                </w:pPr>
                <w:r>
                  <w:rPr>
                    <w:w w:val="100"/>
                  </w:rPr>
                  <w:t>6</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109248" from="56.700001pt,761.099976pt" to="538.680001pt,761.099976pt" stroked="true" strokeweight=".23999pt" strokecolor="#000000">
          <v:stroke dashstyle="solid"/>
          <w10:wrap type="none"/>
        </v:line>
      </w:pict>
    </w:r>
    <w:r>
      <w:rPr/>
      <w:pict>
        <v:shape style="position:absolute;margin-left:493.459991pt;margin-top:760.19635pt;width:2.6pt;height:3.15pt;mso-position-horizontal-relative:page;mso-position-vertical-relative:page;z-index:-253108224" type="#_x0000_t202" filled="false" stroked="false">
          <v:textbox inset="0,0,0,0">
            <w:txbxContent>
              <w:p>
                <w:pPr>
                  <w:pStyle w:val="BodyText"/>
                  <w:rPr>
                    <w:sz w:val="2"/>
                  </w:rPr>
                </w:pPr>
              </w:p>
              <w:p>
                <w:pPr>
                  <w:spacing w:before="0"/>
                  <w:ind w:left="0" w:right="0" w:firstLine="0"/>
                  <w:jc w:val="center"/>
                  <w:rPr>
                    <w:sz w:val="2"/>
                  </w:rPr>
                </w:pPr>
                <w:r>
                  <w:rPr>
                    <w:w w:val="101"/>
                    <w:sz w:val="2"/>
                  </w:rPr>
                  <w:t>7</w:t>
                </w:r>
              </w:p>
            </w:txbxContent>
          </v:textbox>
          <w10:wrap type="none"/>
        </v:shape>
      </w:pict>
    </w:r>
    <w:r>
      <w:rPr/>
      <w:pict>
        <v:shape style="position:absolute;margin-left:61.099777pt;margin-top:771.84845pt;width:379.35pt;height:13.2pt;mso-position-horizontal-relative:page;mso-position-vertical-relative:page;z-index:-253107200"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3106176" type="#_x0000_t202" filled="false" stroked="false">
          <v:textbox inset="0,0,0,0">
            <w:txbxContent>
              <w:p>
                <w:pPr>
                  <w:pStyle w:val="BodyText"/>
                  <w:spacing w:before="14"/>
                  <w:ind w:left="20"/>
                </w:pPr>
                <w:r>
                  <w:rPr>
                    <w:w w:val="100"/>
                  </w:rPr>
                  <w:t>7</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105152" from="56.700001pt,761.099976pt" to="538.680001pt,761.099976pt" stroked="true" strokeweight=".23999pt" strokecolor="#000000">
          <v:stroke dashstyle="solid"/>
          <w10:wrap type="none"/>
        </v:line>
      </w:pict>
    </w:r>
    <w:r>
      <w:rPr/>
      <w:pict>
        <v:shape style="position:absolute;margin-left:493.459991pt;margin-top:760.19635pt;width:2.6pt;height:3.15pt;mso-position-horizontal-relative:page;mso-position-vertical-relative:page;z-index:-253104128" type="#_x0000_t202" filled="false" stroked="false">
          <v:textbox inset="0,0,0,0">
            <w:txbxContent>
              <w:p>
                <w:pPr>
                  <w:pStyle w:val="BodyText"/>
                  <w:rPr>
                    <w:sz w:val="2"/>
                  </w:rPr>
                </w:pPr>
              </w:p>
              <w:p>
                <w:pPr>
                  <w:spacing w:before="0"/>
                  <w:ind w:left="0" w:right="0" w:firstLine="0"/>
                  <w:jc w:val="center"/>
                  <w:rPr>
                    <w:sz w:val="2"/>
                  </w:rPr>
                </w:pPr>
                <w:r>
                  <w:rPr>
                    <w:w w:val="101"/>
                    <w:sz w:val="2"/>
                  </w:rPr>
                  <w:t>8</w:t>
                </w:r>
              </w:p>
            </w:txbxContent>
          </v:textbox>
          <w10:wrap type="none"/>
        </v:shape>
      </w:pict>
    </w:r>
    <w:r>
      <w:rPr/>
      <w:pict>
        <v:shape style="position:absolute;margin-left:61.099777pt;margin-top:771.84845pt;width:379.35pt;height:13.2pt;mso-position-horizontal-relative:page;mso-position-vertical-relative:page;z-index:-253103104"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3102080" type="#_x0000_t202" filled="false" stroked="false">
          <v:textbox inset="0,0,0,0">
            <w:txbxContent>
              <w:p>
                <w:pPr>
                  <w:pStyle w:val="BodyText"/>
                  <w:spacing w:before="14"/>
                  <w:ind w:left="20"/>
                </w:pPr>
                <w:r>
                  <w:rPr>
                    <w:w w:val="100"/>
                  </w:rPr>
                  <w:t>8</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101056" from="56.700001pt,761.099976pt" to="538.680001pt,761.099976pt" stroked="true" strokeweight=".23999pt" strokecolor="#000000">
          <v:stroke dashstyle="solid"/>
          <w10:wrap type="none"/>
        </v:line>
      </w:pict>
    </w:r>
    <w:r>
      <w:rPr/>
      <w:pict>
        <v:shape style="position:absolute;margin-left:491.459991pt;margin-top:760.19635pt;width:6.6pt;height:3.15pt;mso-position-horizontal-relative:page;mso-position-vertical-relative:page;z-index:-25310003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9</w:t>
                </w:r>
                <w:r>
                  <w:rPr/>
                  <w:fldChar w:fldCharType="end"/>
                </w:r>
              </w:p>
            </w:txbxContent>
          </v:textbox>
          <w10:wrap type="none"/>
        </v:shape>
      </w:pict>
    </w:r>
    <w:r>
      <w:rPr/>
      <w:pict>
        <v:shape style="position:absolute;margin-left:61.099777pt;margin-top:771.84845pt;width:379.35pt;height:13.2pt;mso-position-horizontal-relative:page;mso-position-vertical-relative:page;z-index:-253099008"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3097984" type="#_x0000_t202" filled="false" stroked="false">
          <v:textbox inset="0,0,0,0">
            <w:txbxContent>
              <w:p>
                <w:pPr>
                  <w:pStyle w:val="BodyText"/>
                  <w:spacing w:before="14"/>
                  <w:ind w:left="20"/>
                </w:pPr>
                <w:r>
                  <w:rPr>
                    <w:w w:val="100"/>
                  </w:rPr>
                  <w:t>9</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lowerRoman"/>
      <w:lvlText w:val="(%1)"/>
      <w:lvlJc w:val="left"/>
      <w:pPr>
        <w:ind w:left="943" w:hanging="284"/>
        <w:jc w:val="left"/>
      </w:pPr>
      <w:rPr>
        <w:rFonts w:hint="default" w:ascii="Arial" w:hAnsi="Arial" w:eastAsia="Arial" w:cs="Arial"/>
        <w:w w:val="100"/>
        <w:sz w:val="20"/>
        <w:szCs w:val="20"/>
      </w:rPr>
    </w:lvl>
    <w:lvl w:ilvl="1">
      <w:start w:val="0"/>
      <w:numFmt w:val="bullet"/>
      <w:lvlText w:val="•"/>
      <w:lvlJc w:val="left"/>
      <w:pPr>
        <w:ind w:left="1934" w:hanging="284"/>
      </w:pPr>
      <w:rPr>
        <w:rFonts w:hint="default"/>
      </w:rPr>
    </w:lvl>
    <w:lvl w:ilvl="2">
      <w:start w:val="0"/>
      <w:numFmt w:val="bullet"/>
      <w:lvlText w:val="•"/>
      <w:lvlJc w:val="left"/>
      <w:pPr>
        <w:ind w:left="2928" w:hanging="284"/>
      </w:pPr>
      <w:rPr>
        <w:rFonts w:hint="default"/>
      </w:rPr>
    </w:lvl>
    <w:lvl w:ilvl="3">
      <w:start w:val="0"/>
      <w:numFmt w:val="bullet"/>
      <w:lvlText w:val="•"/>
      <w:lvlJc w:val="left"/>
      <w:pPr>
        <w:ind w:left="3922" w:hanging="284"/>
      </w:pPr>
      <w:rPr>
        <w:rFonts w:hint="default"/>
      </w:rPr>
    </w:lvl>
    <w:lvl w:ilvl="4">
      <w:start w:val="0"/>
      <w:numFmt w:val="bullet"/>
      <w:lvlText w:val="•"/>
      <w:lvlJc w:val="left"/>
      <w:pPr>
        <w:ind w:left="4916" w:hanging="284"/>
      </w:pPr>
      <w:rPr>
        <w:rFonts w:hint="default"/>
      </w:rPr>
    </w:lvl>
    <w:lvl w:ilvl="5">
      <w:start w:val="0"/>
      <w:numFmt w:val="bullet"/>
      <w:lvlText w:val="•"/>
      <w:lvlJc w:val="left"/>
      <w:pPr>
        <w:ind w:left="5910" w:hanging="284"/>
      </w:pPr>
      <w:rPr>
        <w:rFonts w:hint="default"/>
      </w:rPr>
    </w:lvl>
    <w:lvl w:ilvl="6">
      <w:start w:val="0"/>
      <w:numFmt w:val="bullet"/>
      <w:lvlText w:val="•"/>
      <w:lvlJc w:val="left"/>
      <w:pPr>
        <w:ind w:left="6904" w:hanging="284"/>
      </w:pPr>
      <w:rPr>
        <w:rFonts w:hint="default"/>
      </w:rPr>
    </w:lvl>
    <w:lvl w:ilvl="7">
      <w:start w:val="0"/>
      <w:numFmt w:val="bullet"/>
      <w:lvlText w:val="•"/>
      <w:lvlJc w:val="left"/>
      <w:pPr>
        <w:ind w:left="7898" w:hanging="284"/>
      </w:pPr>
      <w:rPr>
        <w:rFonts w:hint="default"/>
      </w:rPr>
    </w:lvl>
    <w:lvl w:ilvl="8">
      <w:start w:val="0"/>
      <w:numFmt w:val="bullet"/>
      <w:lvlText w:val="•"/>
      <w:lvlJc w:val="left"/>
      <w:pPr>
        <w:ind w:left="8892" w:hanging="284"/>
      </w:pPr>
      <w:rPr>
        <w:rFonts w:hint="default"/>
      </w:rPr>
    </w:lvl>
  </w:abstractNum>
  <w:abstractNum w:abstractNumId="3">
    <w:multiLevelType w:val="hybridMultilevel"/>
    <w:lvl w:ilvl="0">
      <w:start w:val="0"/>
      <w:numFmt w:val="bullet"/>
      <w:lvlText w:val=""/>
      <w:lvlJc w:val="left"/>
      <w:pPr>
        <w:ind w:left="1378" w:hanging="721"/>
      </w:pPr>
      <w:rPr>
        <w:rFonts w:hint="default" w:ascii="Symbol" w:hAnsi="Symbol" w:eastAsia="Symbol" w:cs="Symbol"/>
        <w:w w:val="100"/>
        <w:sz w:val="20"/>
        <w:szCs w:val="20"/>
      </w:rPr>
    </w:lvl>
    <w:lvl w:ilvl="1">
      <w:start w:val="0"/>
      <w:numFmt w:val="bullet"/>
      <w:lvlText w:val="•"/>
      <w:lvlJc w:val="left"/>
      <w:pPr>
        <w:ind w:left="2330" w:hanging="721"/>
      </w:pPr>
      <w:rPr>
        <w:rFonts w:hint="default"/>
      </w:rPr>
    </w:lvl>
    <w:lvl w:ilvl="2">
      <w:start w:val="0"/>
      <w:numFmt w:val="bullet"/>
      <w:lvlText w:val="•"/>
      <w:lvlJc w:val="left"/>
      <w:pPr>
        <w:ind w:left="3280" w:hanging="721"/>
      </w:pPr>
      <w:rPr>
        <w:rFonts w:hint="default"/>
      </w:rPr>
    </w:lvl>
    <w:lvl w:ilvl="3">
      <w:start w:val="0"/>
      <w:numFmt w:val="bullet"/>
      <w:lvlText w:val="•"/>
      <w:lvlJc w:val="left"/>
      <w:pPr>
        <w:ind w:left="4230" w:hanging="721"/>
      </w:pPr>
      <w:rPr>
        <w:rFonts w:hint="default"/>
      </w:rPr>
    </w:lvl>
    <w:lvl w:ilvl="4">
      <w:start w:val="0"/>
      <w:numFmt w:val="bullet"/>
      <w:lvlText w:val="•"/>
      <w:lvlJc w:val="left"/>
      <w:pPr>
        <w:ind w:left="5180" w:hanging="721"/>
      </w:pPr>
      <w:rPr>
        <w:rFonts w:hint="default"/>
      </w:rPr>
    </w:lvl>
    <w:lvl w:ilvl="5">
      <w:start w:val="0"/>
      <w:numFmt w:val="bullet"/>
      <w:lvlText w:val="•"/>
      <w:lvlJc w:val="left"/>
      <w:pPr>
        <w:ind w:left="6130" w:hanging="721"/>
      </w:pPr>
      <w:rPr>
        <w:rFonts w:hint="default"/>
      </w:rPr>
    </w:lvl>
    <w:lvl w:ilvl="6">
      <w:start w:val="0"/>
      <w:numFmt w:val="bullet"/>
      <w:lvlText w:val="•"/>
      <w:lvlJc w:val="left"/>
      <w:pPr>
        <w:ind w:left="7080" w:hanging="721"/>
      </w:pPr>
      <w:rPr>
        <w:rFonts w:hint="default"/>
      </w:rPr>
    </w:lvl>
    <w:lvl w:ilvl="7">
      <w:start w:val="0"/>
      <w:numFmt w:val="bullet"/>
      <w:lvlText w:val="•"/>
      <w:lvlJc w:val="left"/>
      <w:pPr>
        <w:ind w:left="8030" w:hanging="721"/>
      </w:pPr>
      <w:rPr>
        <w:rFonts w:hint="default"/>
      </w:rPr>
    </w:lvl>
    <w:lvl w:ilvl="8">
      <w:start w:val="0"/>
      <w:numFmt w:val="bullet"/>
      <w:lvlText w:val="•"/>
      <w:lvlJc w:val="left"/>
      <w:pPr>
        <w:ind w:left="8980" w:hanging="721"/>
      </w:pPr>
      <w:rPr>
        <w:rFonts w:hint="default"/>
      </w:rPr>
    </w:lvl>
  </w:abstractNum>
  <w:abstractNum w:abstractNumId="2">
    <w:multiLevelType w:val="hybridMultilevel"/>
    <w:lvl w:ilvl="0">
      <w:start w:val="1"/>
      <w:numFmt w:val="decimal"/>
      <w:lvlText w:val="%1"/>
      <w:lvlJc w:val="left"/>
      <w:pPr>
        <w:ind w:left="1434" w:hanging="736"/>
        <w:jc w:val="left"/>
      </w:pPr>
      <w:rPr>
        <w:rFonts w:hint="default" w:ascii="Calibri" w:hAnsi="Calibri" w:eastAsia="Calibri" w:cs="Calibri"/>
        <w:w w:val="102"/>
        <w:sz w:val="22"/>
        <w:szCs w:val="22"/>
      </w:rPr>
    </w:lvl>
    <w:lvl w:ilvl="1">
      <w:start w:val="0"/>
      <w:numFmt w:val="bullet"/>
      <w:lvlText w:val="•"/>
      <w:lvlJc w:val="left"/>
      <w:pPr>
        <w:ind w:left="2384" w:hanging="736"/>
      </w:pPr>
      <w:rPr>
        <w:rFonts w:hint="default"/>
      </w:rPr>
    </w:lvl>
    <w:lvl w:ilvl="2">
      <w:start w:val="0"/>
      <w:numFmt w:val="bullet"/>
      <w:lvlText w:val="•"/>
      <w:lvlJc w:val="left"/>
      <w:pPr>
        <w:ind w:left="3328" w:hanging="736"/>
      </w:pPr>
      <w:rPr>
        <w:rFonts w:hint="default"/>
      </w:rPr>
    </w:lvl>
    <w:lvl w:ilvl="3">
      <w:start w:val="0"/>
      <w:numFmt w:val="bullet"/>
      <w:lvlText w:val="•"/>
      <w:lvlJc w:val="left"/>
      <w:pPr>
        <w:ind w:left="4272" w:hanging="736"/>
      </w:pPr>
      <w:rPr>
        <w:rFonts w:hint="default"/>
      </w:rPr>
    </w:lvl>
    <w:lvl w:ilvl="4">
      <w:start w:val="0"/>
      <w:numFmt w:val="bullet"/>
      <w:lvlText w:val="•"/>
      <w:lvlJc w:val="left"/>
      <w:pPr>
        <w:ind w:left="5216" w:hanging="736"/>
      </w:pPr>
      <w:rPr>
        <w:rFonts w:hint="default"/>
      </w:rPr>
    </w:lvl>
    <w:lvl w:ilvl="5">
      <w:start w:val="0"/>
      <w:numFmt w:val="bullet"/>
      <w:lvlText w:val="•"/>
      <w:lvlJc w:val="left"/>
      <w:pPr>
        <w:ind w:left="6160" w:hanging="736"/>
      </w:pPr>
      <w:rPr>
        <w:rFonts w:hint="default"/>
      </w:rPr>
    </w:lvl>
    <w:lvl w:ilvl="6">
      <w:start w:val="0"/>
      <w:numFmt w:val="bullet"/>
      <w:lvlText w:val="•"/>
      <w:lvlJc w:val="left"/>
      <w:pPr>
        <w:ind w:left="7104" w:hanging="736"/>
      </w:pPr>
      <w:rPr>
        <w:rFonts w:hint="default"/>
      </w:rPr>
    </w:lvl>
    <w:lvl w:ilvl="7">
      <w:start w:val="0"/>
      <w:numFmt w:val="bullet"/>
      <w:lvlText w:val="•"/>
      <w:lvlJc w:val="left"/>
      <w:pPr>
        <w:ind w:left="8048" w:hanging="736"/>
      </w:pPr>
      <w:rPr>
        <w:rFonts w:hint="default"/>
      </w:rPr>
    </w:lvl>
    <w:lvl w:ilvl="8">
      <w:start w:val="0"/>
      <w:numFmt w:val="bullet"/>
      <w:lvlText w:val="•"/>
      <w:lvlJc w:val="left"/>
      <w:pPr>
        <w:ind w:left="8992" w:hanging="736"/>
      </w:pPr>
      <w:rPr>
        <w:rFonts w:hint="default"/>
      </w:rPr>
    </w:lvl>
  </w:abstractNum>
  <w:abstractNum w:abstractNumId="1">
    <w:multiLevelType w:val="hybridMultilevel"/>
    <w:lvl w:ilvl="0">
      <w:start w:val="1"/>
      <w:numFmt w:val="lowerLetter"/>
      <w:lvlText w:val="(%1)"/>
      <w:lvlJc w:val="left"/>
      <w:pPr>
        <w:ind w:left="1020" w:hanging="361"/>
        <w:jc w:val="left"/>
      </w:pPr>
      <w:rPr>
        <w:rFonts w:hint="default" w:ascii="Arial" w:hAnsi="Arial" w:eastAsia="Arial" w:cs="Arial"/>
        <w:w w:val="99"/>
        <w:sz w:val="16"/>
        <w:szCs w:val="16"/>
      </w:rPr>
    </w:lvl>
    <w:lvl w:ilvl="1">
      <w:start w:val="1"/>
      <w:numFmt w:val="lowerRoman"/>
      <w:lvlText w:val="(%2)"/>
      <w:lvlJc w:val="left"/>
      <w:pPr>
        <w:ind w:left="1226" w:hanging="425"/>
        <w:jc w:val="left"/>
      </w:pPr>
      <w:rPr>
        <w:rFonts w:hint="default" w:ascii="Arial" w:hAnsi="Arial" w:eastAsia="Arial" w:cs="Arial"/>
        <w:spacing w:val="-1"/>
        <w:w w:val="100"/>
        <w:sz w:val="20"/>
        <w:szCs w:val="20"/>
      </w:rPr>
    </w:lvl>
    <w:lvl w:ilvl="2">
      <w:start w:val="0"/>
      <w:numFmt w:val="bullet"/>
      <w:lvlText w:val="•"/>
      <w:lvlJc w:val="left"/>
      <w:pPr>
        <w:ind w:left="2293" w:hanging="425"/>
      </w:pPr>
      <w:rPr>
        <w:rFonts w:hint="default"/>
      </w:rPr>
    </w:lvl>
    <w:lvl w:ilvl="3">
      <w:start w:val="0"/>
      <w:numFmt w:val="bullet"/>
      <w:lvlText w:val="•"/>
      <w:lvlJc w:val="left"/>
      <w:pPr>
        <w:ind w:left="3366" w:hanging="425"/>
      </w:pPr>
      <w:rPr>
        <w:rFonts w:hint="default"/>
      </w:rPr>
    </w:lvl>
    <w:lvl w:ilvl="4">
      <w:start w:val="0"/>
      <w:numFmt w:val="bullet"/>
      <w:lvlText w:val="•"/>
      <w:lvlJc w:val="left"/>
      <w:pPr>
        <w:ind w:left="4440" w:hanging="425"/>
      </w:pPr>
      <w:rPr>
        <w:rFonts w:hint="default"/>
      </w:rPr>
    </w:lvl>
    <w:lvl w:ilvl="5">
      <w:start w:val="0"/>
      <w:numFmt w:val="bullet"/>
      <w:lvlText w:val="•"/>
      <w:lvlJc w:val="left"/>
      <w:pPr>
        <w:ind w:left="5513" w:hanging="425"/>
      </w:pPr>
      <w:rPr>
        <w:rFonts w:hint="default"/>
      </w:rPr>
    </w:lvl>
    <w:lvl w:ilvl="6">
      <w:start w:val="0"/>
      <w:numFmt w:val="bullet"/>
      <w:lvlText w:val="•"/>
      <w:lvlJc w:val="left"/>
      <w:pPr>
        <w:ind w:left="6586" w:hanging="425"/>
      </w:pPr>
      <w:rPr>
        <w:rFonts w:hint="default"/>
      </w:rPr>
    </w:lvl>
    <w:lvl w:ilvl="7">
      <w:start w:val="0"/>
      <w:numFmt w:val="bullet"/>
      <w:lvlText w:val="•"/>
      <w:lvlJc w:val="left"/>
      <w:pPr>
        <w:ind w:left="7660" w:hanging="425"/>
      </w:pPr>
      <w:rPr>
        <w:rFonts w:hint="default"/>
      </w:rPr>
    </w:lvl>
    <w:lvl w:ilvl="8">
      <w:start w:val="0"/>
      <w:numFmt w:val="bullet"/>
      <w:lvlText w:val="•"/>
      <w:lvlJc w:val="left"/>
      <w:pPr>
        <w:ind w:left="8733" w:hanging="425"/>
      </w:pPr>
      <w:rPr>
        <w:rFonts w:hint="default"/>
      </w:rPr>
    </w:lvl>
  </w:abstractNum>
  <w:num w:numId="1">
    <w:abstractNumId w:val="0"/>
  </w:num>
  <w:num w:numId="4">
    <w:abstractNumId w:val="3"/>
  </w:num>
  <w:num w:numId="3">
    <w:abstractNumId w:val="2"/>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3203"/>
      <w:outlineLvl w:val="1"/>
    </w:pPr>
    <w:rPr>
      <w:rFonts w:ascii="Calibri" w:hAnsi="Calibri" w:eastAsia="Calibri" w:cs="Calibri"/>
      <w:sz w:val="22"/>
      <w:szCs w:val="22"/>
    </w:rPr>
  </w:style>
  <w:style w:styleId="Heading2" w:type="paragraph">
    <w:name w:val="Heading 2"/>
    <w:basedOn w:val="Normal"/>
    <w:uiPriority w:val="1"/>
    <w:qFormat/>
    <w:pPr>
      <w:ind w:left="234"/>
      <w:outlineLvl w:val="2"/>
    </w:pPr>
    <w:rPr>
      <w:rFonts w:ascii="Arial" w:hAnsi="Arial" w:eastAsia="Arial" w:cs="Arial"/>
      <w:b/>
      <w:bCs/>
      <w:sz w:val="20"/>
      <w:szCs w:val="20"/>
    </w:rPr>
  </w:style>
  <w:style w:styleId="ListParagraph" w:type="paragraph">
    <w:name w:val="List Paragraph"/>
    <w:basedOn w:val="Normal"/>
    <w:uiPriority w:val="1"/>
    <w:qFormat/>
    <w:pPr>
      <w:ind w:left="1378" w:hanging="737"/>
    </w:pPr>
    <w:rPr>
      <w:rFonts w:ascii="Arial" w:hAnsi="Arial" w:eastAsia="Arial" w:cs="Arial"/>
    </w:rPr>
  </w:style>
  <w:style w:styleId="TableParagraph" w:type="paragraph">
    <w:name w:val="Table Paragraph"/>
    <w:basedOn w:val="Normal"/>
    <w:uiPriority w:val="1"/>
    <w:qFormat/>
    <w:pPr>
      <w:spacing w:line="218" w:lineRule="exact"/>
      <w:jc w:val="center"/>
    </w:pPr>
    <w:rPr>
      <w:rFonts w:ascii="Calibri" w:hAnsi="Calibri" w:eastAsia="Calibri" w:cs="Calibri"/>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hyperlink" Target="http://www.bankofengland.co.uk/markets/money/publications/redbookdec10.pdf" TargetMode="External"/><Relationship Id="rId10" Type="http://schemas.openxmlformats.org/officeDocument/2006/relationships/footer" Target="footer4.xml"/><Relationship Id="rId11" Type="http://schemas.openxmlformats.org/officeDocument/2006/relationships/image" Target="media/image2.jpeg"/><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image" Target="media/image3.png"/><Relationship Id="rId15" Type="http://schemas.openxmlformats.org/officeDocument/2006/relationships/footer" Target="footer7.xml"/><Relationship Id="rId16" Type="http://schemas.openxmlformats.org/officeDocument/2006/relationships/footer" Target="footer8.xml"/><Relationship Id="rId17" Type="http://schemas.openxmlformats.org/officeDocument/2006/relationships/hyperlink" Target="http://www.bankofengland.co.uk/markets/marketnotice110211.pdf" TargetMode="External"/><Relationship Id="rId18" Type="http://schemas.openxmlformats.org/officeDocument/2006/relationships/footer" Target="footer9.xml"/><Relationship Id="rId19" Type="http://schemas.openxmlformats.org/officeDocument/2006/relationships/footer" Target="footer10.xml"/><Relationship Id="rId20" Type="http://schemas.openxmlformats.org/officeDocument/2006/relationships/image" Target="media/image4.png"/><Relationship Id="rId21" Type="http://schemas.openxmlformats.org/officeDocument/2006/relationships/image" Target="media/image5.png"/><Relationship Id="rId22" Type="http://schemas.openxmlformats.org/officeDocument/2006/relationships/image" Target="media/image6.png"/><Relationship Id="rId23" Type="http://schemas.openxmlformats.org/officeDocument/2006/relationships/image" Target="media/image7.png"/><Relationship Id="rId24" Type="http://schemas.openxmlformats.org/officeDocument/2006/relationships/image" Target="media/image8.png"/><Relationship Id="rId25" Type="http://schemas.openxmlformats.org/officeDocument/2006/relationships/image" Target="media/image9.png"/><Relationship Id="rId26" Type="http://schemas.openxmlformats.org/officeDocument/2006/relationships/image" Target="media/image10.png"/><Relationship Id="rId27" Type="http://schemas.openxmlformats.org/officeDocument/2006/relationships/image" Target="media/image11.png"/><Relationship Id="rId28" Type="http://schemas.openxmlformats.org/officeDocument/2006/relationships/image" Target="media/image12.png"/><Relationship Id="rId29" Type="http://schemas.openxmlformats.org/officeDocument/2006/relationships/image" Target="media/image13.png"/><Relationship Id="rId30" Type="http://schemas.openxmlformats.org/officeDocument/2006/relationships/image" Target="media/image14.png"/><Relationship Id="rId31" Type="http://schemas.openxmlformats.org/officeDocument/2006/relationships/image" Target="media/image15.png"/><Relationship Id="rId32" Type="http://schemas.openxmlformats.org/officeDocument/2006/relationships/image" Target="media/image16.png"/><Relationship Id="rId33" Type="http://schemas.openxmlformats.org/officeDocument/2006/relationships/image" Target="media/image17.png"/><Relationship Id="rId34" Type="http://schemas.openxmlformats.org/officeDocument/2006/relationships/image" Target="media/image18.png"/><Relationship Id="rId35" Type="http://schemas.openxmlformats.org/officeDocument/2006/relationships/image" Target="media/image19.png"/><Relationship Id="rId36" Type="http://schemas.openxmlformats.org/officeDocument/2006/relationships/image" Target="media/image20.png"/><Relationship Id="rId37" Type="http://schemas.openxmlformats.org/officeDocument/2006/relationships/image" Target="media/image21.png"/><Relationship Id="rId38" Type="http://schemas.openxmlformats.org/officeDocument/2006/relationships/image" Target="media/image22.png"/><Relationship Id="rId39" Type="http://schemas.openxmlformats.org/officeDocument/2006/relationships/image" Target="media/image23.png"/><Relationship Id="rId40" Type="http://schemas.openxmlformats.org/officeDocument/2006/relationships/image" Target="media/image24.png"/><Relationship Id="rId41" Type="http://schemas.openxmlformats.org/officeDocument/2006/relationships/image" Target="media/image25.png"/><Relationship Id="rId42" Type="http://schemas.openxmlformats.org/officeDocument/2006/relationships/image" Target="media/image26.png"/><Relationship Id="rId43" Type="http://schemas.openxmlformats.org/officeDocument/2006/relationships/image" Target="media/image27.png"/><Relationship Id="rId44" Type="http://schemas.openxmlformats.org/officeDocument/2006/relationships/image" Target="media/image28.png"/><Relationship Id="rId45" Type="http://schemas.openxmlformats.org/officeDocument/2006/relationships/image" Target="media/image29.png"/><Relationship Id="rId46" Type="http://schemas.openxmlformats.org/officeDocument/2006/relationships/image" Target="media/image30.png"/><Relationship Id="rId47" Type="http://schemas.openxmlformats.org/officeDocument/2006/relationships/image" Target="media/image31.png"/><Relationship Id="rId48" Type="http://schemas.openxmlformats.org/officeDocument/2006/relationships/image" Target="media/image32.png"/><Relationship Id="rId49" Type="http://schemas.openxmlformats.org/officeDocument/2006/relationships/image" Target="media/image33.png"/><Relationship Id="rId50" Type="http://schemas.openxmlformats.org/officeDocument/2006/relationships/image" Target="media/image34.png"/><Relationship Id="rId51" Type="http://schemas.openxmlformats.org/officeDocument/2006/relationships/image" Target="media/image35.png"/><Relationship Id="rId52" Type="http://schemas.openxmlformats.org/officeDocument/2006/relationships/image" Target="media/image36.png"/><Relationship Id="rId53" Type="http://schemas.openxmlformats.org/officeDocument/2006/relationships/image" Target="media/image37.png"/><Relationship Id="rId54" Type="http://schemas.openxmlformats.org/officeDocument/2006/relationships/image" Target="media/image38.png"/><Relationship Id="rId55" Type="http://schemas.openxmlformats.org/officeDocument/2006/relationships/image" Target="media/image39.png"/><Relationship Id="rId56" Type="http://schemas.openxmlformats.org/officeDocument/2006/relationships/image" Target="media/image40.png"/><Relationship Id="rId57" Type="http://schemas.openxmlformats.org/officeDocument/2006/relationships/image" Target="media/image41.png"/><Relationship Id="rId58" Type="http://schemas.openxmlformats.org/officeDocument/2006/relationships/image" Target="media/image42.png"/><Relationship Id="rId59"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10.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Recent developments in the sterling monetary framework, speech by Paul Fisher, 30 March 2011</dc:subject>
  <dc:title>Recent developments in the sterling monetary framework - speech by Paul Fisher, 30 March 2011</dc:title>
  <dcterms:created xsi:type="dcterms:W3CDTF">2020-06-02T18:17:51Z</dcterms:created>
  <dcterms:modified xsi:type="dcterms:W3CDTF">2020-06-02T18:17:51Z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2011-04-05T00:00:00Z</vt:filetime>
  </property>
  <property fmtid="{D5CDD505-2E9C-101B-9397-08002B2CF9AE}" pid="3" name="Creator">
    <vt:lpwstr>PScript5.dll Version 5.2.2</vt:lpwstr>
  </property>
  <property fmtid="{D5CDD505-2E9C-101B-9397-08002B2CF9AE}" pid="4" name="LastSaved">
    <vt:filetime>2020-06-02T00:00:00Z</vt:filetime>
  </property>
</Properties>
</file>