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rPr>
      </w:pPr>
      <w:r>
        <w:rPr/>
        <w:pict>
          <v:group style="position:absolute;margin-left:50.52pt;margin-top:103.459999pt;width:488.4pt;height:1.45pt;mso-position-horizontal-relative:page;mso-position-vertical-relative:paragraph;z-index:-251658240;mso-wrap-distance-left:0;mso-wrap-distance-right:0" coordorigin="1010,2069" coordsize="9768,29">
            <v:line style="position:absolute" from="1010,2084" to="8229,2084" stroked="true" strokeweight="1.44pt" strokecolor="#000000">
              <v:stroke dashstyle="solid"/>
            </v:line>
            <v:rect style="position:absolute;left:8214;top:2069;width:29;height:29" filled="true" fillcolor="#000000" stroked="false">
              <v:fill type="solid"/>
            </v:rect>
            <v:line style="position:absolute" from="8244,2084" to="10778,2084" stroked="true" strokeweight="1.44pt" strokecolor="#000000">
              <v:stroke dashstyle="solid"/>
            </v:line>
            <w10:wrap type="topAndBottom"/>
          </v:group>
        </w:pict>
      </w: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spacing w:before="2"/>
        <w:rPr>
          <w:rFonts w:ascii="Times New Roman"/>
          <w:sz w:val="25"/>
        </w:rPr>
      </w:pPr>
    </w:p>
    <w:p>
      <w:pPr>
        <w:spacing w:before="89"/>
        <w:ind w:left="313" w:right="0" w:firstLine="0"/>
        <w:jc w:val="left"/>
        <w:rPr>
          <w:b/>
          <w:sz w:val="32"/>
        </w:rPr>
      </w:pPr>
      <w:r>
        <w:rPr>
          <w:b/>
          <w:color w:val="6A709F"/>
          <w:sz w:val="32"/>
        </w:rPr>
        <w:t>Redeeming an unforgiving world</w:t>
      </w:r>
    </w:p>
    <w:p>
      <w:pPr>
        <w:pStyle w:val="BodyText"/>
        <w:spacing w:before="2"/>
        <w:rPr>
          <w:b/>
          <w:sz w:val="32"/>
        </w:rPr>
      </w:pPr>
    </w:p>
    <w:p>
      <w:pPr>
        <w:spacing w:before="0"/>
        <w:ind w:left="313" w:right="0" w:firstLine="0"/>
        <w:jc w:val="left"/>
        <w:rPr>
          <w:sz w:val="24"/>
        </w:rPr>
      </w:pPr>
      <w:r>
        <w:rPr>
          <w:sz w:val="24"/>
        </w:rPr>
        <w:t>Speech given by</w:t>
      </w:r>
    </w:p>
    <w:p>
      <w:pPr>
        <w:spacing w:before="139"/>
        <w:ind w:left="313" w:right="0" w:firstLine="0"/>
        <w:jc w:val="left"/>
        <w:rPr>
          <w:sz w:val="24"/>
        </w:rPr>
      </w:pPr>
      <w:r>
        <w:rPr>
          <w:sz w:val="24"/>
        </w:rPr>
        <w:t>Mark Carney, Governor of the Bank of England</w:t>
      </w:r>
    </w:p>
    <w:p>
      <w:pPr>
        <w:pStyle w:val="BodyText"/>
        <w:rPr>
          <w:sz w:val="26"/>
        </w:rPr>
      </w:pPr>
    </w:p>
    <w:p>
      <w:pPr>
        <w:pStyle w:val="BodyText"/>
        <w:spacing w:before="1"/>
        <w:rPr>
          <w:sz w:val="22"/>
        </w:rPr>
      </w:pPr>
    </w:p>
    <w:p>
      <w:pPr>
        <w:spacing w:line="360" w:lineRule="auto" w:before="0"/>
        <w:ind w:left="313" w:right="3275" w:firstLine="0"/>
        <w:jc w:val="left"/>
        <w:rPr>
          <w:sz w:val="24"/>
        </w:rPr>
      </w:pPr>
      <w:r>
        <w:rPr>
          <w:sz w:val="24"/>
        </w:rPr>
        <w:t>8</w:t>
      </w:r>
      <w:r>
        <w:rPr>
          <w:sz w:val="24"/>
          <w:vertAlign w:val="superscript"/>
        </w:rPr>
        <w:t>th</w:t>
      </w:r>
      <w:r>
        <w:rPr>
          <w:sz w:val="24"/>
          <w:vertAlign w:val="baseline"/>
        </w:rPr>
        <w:t> Annual Institute of International Finance G20 conference, Shanghai Friday 26 February 2016</w:t>
      </w:r>
    </w:p>
    <w:p>
      <w:pPr>
        <w:spacing w:after="0" w:line="360" w:lineRule="auto"/>
        <w:jc w:val="left"/>
        <w:rPr>
          <w:sz w:val="24"/>
        </w:rPr>
        <w:sectPr>
          <w:footerReference w:type="default" r:id="rId5"/>
          <w:type w:val="continuous"/>
          <w:pgSz w:w="11910" w:h="16840"/>
          <w:pgMar w:footer="1338" w:top="1180" w:bottom="1520" w:left="820" w:right="0"/>
          <w:pgNumType w:start="1"/>
        </w:sectPr>
      </w:pPr>
    </w:p>
    <w:p>
      <w:pPr>
        <w:pStyle w:val="BodyText"/>
        <w:spacing w:before="79"/>
        <w:ind w:left="313"/>
      </w:pPr>
      <w:r>
        <w:rPr/>
        <w:t>The global economy risks becoming trapped in a low growth, low inflation, low interest rate equilibrium.</w:t>
      </w:r>
    </w:p>
    <w:p>
      <w:pPr>
        <w:pStyle w:val="BodyText"/>
        <w:spacing w:line="357" w:lineRule="auto" w:before="113"/>
        <w:ind w:left="313" w:right="1129"/>
      </w:pPr>
      <w:r>
        <w:rPr/>
        <w:t>For the past seven years, growth has serially disappointed—sometimes spectacularly, as in the depths of the global financial and euro crises; more often than not grindingly as past debts weigh on activity (</w:t>
      </w:r>
      <w:r>
        <w:rPr>
          <w:b/>
        </w:rPr>
        <w:t>Chart 1</w:t>
      </w:r>
      <w:r>
        <w:rPr/>
        <w:t>).</w:t>
      </w:r>
    </w:p>
    <w:p>
      <w:pPr>
        <w:pStyle w:val="BodyText"/>
        <w:spacing w:before="6"/>
        <w:rPr>
          <w:sz w:val="30"/>
        </w:rPr>
      </w:pPr>
    </w:p>
    <w:p>
      <w:pPr>
        <w:pStyle w:val="BodyText"/>
        <w:spacing w:line="360" w:lineRule="auto" w:before="1"/>
        <w:ind w:left="313" w:right="1129"/>
      </w:pPr>
      <w:r>
        <w:rPr/>
        <w:t>This underperformance is principally the product of weaker potential supply growth in virtually all G20 economies.</w:t>
      </w:r>
      <w:r>
        <w:rPr>
          <w:vertAlign w:val="superscript"/>
        </w:rPr>
        <w:t>1</w:t>
      </w:r>
      <w:r>
        <w:rPr>
          <w:vertAlign w:val="baseline"/>
        </w:rPr>
        <w:t> It is a reminder that demand stimulus on its own can do little to counteract longer-term forces of demographic change and productivity growth.</w:t>
      </w:r>
    </w:p>
    <w:p>
      <w:pPr>
        <w:pStyle w:val="BodyText"/>
        <w:spacing w:before="6"/>
        <w:rPr>
          <w:sz w:val="29"/>
        </w:rPr>
      </w:pPr>
    </w:p>
    <w:p>
      <w:pPr>
        <w:pStyle w:val="Heading1"/>
      </w:pPr>
      <w:r>
        <w:rPr/>
        <w:t>Chart 1: Serial growth disappointments</w:t>
      </w:r>
    </w:p>
    <w:p>
      <w:pPr>
        <w:tabs>
          <w:tab w:pos="3322" w:val="left" w:leader="none"/>
          <w:tab w:pos="4450" w:val="left" w:leader="none"/>
          <w:tab w:pos="5577" w:val="left" w:leader="none"/>
          <w:tab w:pos="6705" w:val="left" w:leader="none"/>
          <w:tab w:pos="7833" w:val="left" w:leader="none"/>
          <w:tab w:pos="8523" w:val="left" w:leader="none"/>
        </w:tabs>
        <w:spacing w:line="239" w:lineRule="exact" w:before="196"/>
        <w:ind w:left="1064" w:right="0" w:firstLine="0"/>
        <w:jc w:val="left"/>
        <w:rPr>
          <w:sz w:val="18"/>
        </w:rPr>
      </w:pPr>
      <w:r>
        <w:rPr/>
        <w:pict>
          <v:shape style="position:absolute;margin-left:80pt;margin-top:15.811872pt;width:5pt;height:5pt;mso-position-horizontal-relative:page;mso-position-vertical-relative:paragraph;z-index:251662336" coordorigin="1600,316" coordsize="100,100" path="m1650,316l1600,366,1650,416,1700,366,1650,316xe" filled="true" fillcolor="#000000" stroked="false">
            <v:path arrowok="t"/>
            <v:fill type="solid"/>
            <w10:wrap type="none"/>
          </v:shape>
        </w:pict>
      </w:r>
      <w:r>
        <w:rPr/>
        <w:pict>
          <v:line style="position:absolute;mso-position-horizontal-relative:page;mso-position-vertical-relative:paragraph;z-index:-253031424" from="185.759995pt,18.261873pt" to="204.959995pt,18.261873pt" stroked="true" strokeweight="1.92pt" strokecolor="#000080">
            <v:stroke dashstyle="solid"/>
            <w10:wrap type="none"/>
          </v:line>
        </w:pict>
      </w:r>
      <w:r>
        <w:rPr/>
        <w:pict>
          <v:line style="position:absolute;mso-position-horizontal-relative:page;mso-position-vertical-relative:paragraph;z-index:-253030400" from="242.160004pt,18.261873pt" to="261.360004pt,18.261873pt" stroked="true" strokeweight="1.92pt" strokecolor="#ff00ff">
            <v:stroke dashstyle="solid"/>
            <w10:wrap type="none"/>
          </v:line>
        </w:pict>
      </w:r>
      <w:r>
        <w:rPr/>
        <w:pict>
          <v:line style="position:absolute;mso-position-horizontal-relative:page;mso-position-vertical-relative:paragraph;z-index:-253029376" from="298.559998pt,18.261873pt" to="317.759998pt,18.261873pt" stroked="true" strokeweight="1.92pt" strokecolor="#008000">
            <v:stroke dashstyle="solid"/>
            <w10:wrap type="none"/>
          </v:line>
        </w:pict>
      </w:r>
      <w:r>
        <w:rPr/>
        <w:pict>
          <v:line style="position:absolute;mso-position-horizontal-relative:page;mso-position-vertical-relative:paragraph;z-index:-253028352" from="354.959991pt,18.261873pt" to="374.159991pt,18.261873pt" stroked="true" strokeweight="1.92pt" strokecolor="#00ffff">
            <v:stroke dashstyle="solid"/>
            <w10:wrap type="none"/>
          </v:line>
        </w:pict>
      </w:r>
      <w:r>
        <w:rPr/>
        <w:pict>
          <v:line style="position:absolute;mso-position-horizontal-relative:page;mso-position-vertical-relative:paragraph;z-index:-253027328" from="411.359985pt,18.261873pt" to="430.559985pt,18.261873pt" stroked="true" strokeweight="1.92pt" strokecolor="#ff0000">
            <v:stroke dashstyle="solid"/>
            <w10:wrap type="none"/>
          </v:line>
        </w:pict>
      </w:r>
      <w:r>
        <w:rPr>
          <w:sz w:val="18"/>
        </w:rPr>
        <w:t>Actual</w:t>
      </w:r>
      <w:r>
        <w:rPr>
          <w:spacing w:val="-3"/>
          <w:sz w:val="18"/>
        </w:rPr>
        <w:t> </w:t>
      </w:r>
      <w:r>
        <w:rPr>
          <w:sz w:val="18"/>
        </w:rPr>
        <w:t>GDP</w:t>
      </w:r>
      <w:r>
        <w:rPr>
          <w:spacing w:val="-1"/>
          <w:sz w:val="18"/>
        </w:rPr>
        <w:t> </w:t>
      </w:r>
      <w:r>
        <w:rPr>
          <w:sz w:val="18"/>
        </w:rPr>
        <w:t>growth</w:t>
        <w:tab/>
        <w:t>2011</w:t>
        <w:tab/>
        <w:t>2012</w:t>
        <w:tab/>
        <w:t>2013</w:t>
        <w:tab/>
        <w:t>2014</w:t>
        <w:tab/>
        <w:t>2015</w:t>
        <w:tab/>
      </w:r>
      <w:r>
        <w:rPr>
          <w:position w:val="6"/>
          <w:sz w:val="18"/>
        </w:rPr>
        <w:t>Per cent</w:t>
      </w:r>
    </w:p>
    <w:p>
      <w:pPr>
        <w:spacing w:line="179" w:lineRule="exact" w:before="0"/>
        <w:ind w:left="9123" w:right="0" w:firstLine="0"/>
        <w:jc w:val="left"/>
        <w:rPr>
          <w:sz w:val="18"/>
        </w:rPr>
      </w:pPr>
      <w:r>
        <w:rPr/>
        <w:pict>
          <v:group style="position:absolute;margin-left:75.360001pt;margin-top:3.889852pt;width:416.65pt;height:161.15pt;mso-position-horizontal-relative:page;mso-position-vertical-relative:paragraph;z-index:251661312" coordorigin="1507,78" coordsize="8333,3223">
            <v:rect style="position:absolute;left:1527;top:82;width:8259;height:3216" filled="false" stroked="true" strokeweight=".140pt" strokecolor="#000000">
              <v:stroke dashstyle="solid"/>
            </v:rect>
            <v:shape style="position:absolute;left:1526;top:81;width:8314;height:3216" coordorigin="1526,81" coordsize="8314,3216" path="m9785,3297l9785,81m9785,3297l9840,3297m9785,2897l9840,2897m9785,2493l9840,2493m9785,2093l9840,2093m9785,1689l9840,1689m9785,1289l9840,1289m9785,885l9840,885m9785,485l9840,485m9785,81l9840,81m1526,3297l9785,3297m1526,3245l1526,3297m2964,3245l2964,3297m4399,3245l4399,3297m5837,3245l5837,3297m7272,3245l7272,3297m8707,3245l8707,3297e" filled="false" stroked="true" strokeweight=".24pt" strokecolor="#000000">
              <v:path arrowok="t"/>
              <v:stroke dashstyle="solid"/>
            </v:shape>
            <v:shape style="position:absolute;left:1526;top:2326;width:2513;height:323" coordorigin="1526,2326" coordsize="2513,323" path="m1526,2326l1886,2342,2604,2426,3322,2342,4039,2649e" filled="false" stroked="true" strokeweight="1.92pt" strokecolor="#000080">
              <v:path arrowok="t"/>
              <v:stroke dashstyle="solid"/>
            </v:shape>
            <v:shape style="position:absolute;left:1526;top:2238;width:3951;height:540" coordorigin="1526,2239" coordsize="3951,540" path="m1526,2294l1886,2321,2604,2239,3322,2263,4039,2525,4759,2731,5477,2779e" filled="false" stroked="true" strokeweight="1.92pt" strokecolor="#ff00ff">
              <v:path arrowok="t"/>
              <v:stroke dashstyle="solid"/>
            </v:shape>
            <v:shape style="position:absolute;left:1526;top:2258;width:5386;height:572" coordorigin="1526,2258" coordsize="5386,572" path="m1526,2300l1886,2318,2604,2258,3322,2292,4039,2340,4759,2481,5477,2681,6194,2803,6912,2829e" filled="false" stroked="true" strokeweight="1.92pt" strokecolor="#008000">
              <v:path arrowok="t"/>
              <v:stroke dashstyle="solid"/>
            </v:shape>
            <v:shape style="position:absolute;left:1526;top:2241;width:6824;height:320" coordorigin="1526,2241" coordsize="6824,320" path="m1526,2341l1886,2347,2604,2289,3322,2306,4039,2241,4759,2318,5477,2383,6194,2395,6912,2481,7632,2405,8350,2561e" filled="false" stroked="true" strokeweight="1.92pt" strokecolor="#00ffff">
              <v:path arrowok="t"/>
              <v:stroke dashstyle="solid"/>
            </v:shape>
            <v:shape style="position:absolute;left:1886;top:2207;width:7899;height:296" coordorigin="1886,2208" coordsize="7899,296" path="m1886,2371l2604,2330,3322,2323,4039,2208,4759,2239,5477,2253,6194,2258,6912,2304,7632,2354,8350,2354,9067,2347,9785,2503e" filled="false" stroked="true" strokeweight="1.92pt" strokecolor="#ff0000">
              <v:path arrowok="t"/>
              <v:stroke dashstyle="solid"/>
            </v:shape>
            <v:shape style="position:absolute;left:1526;top:669;width:2513;height:110" coordorigin="1526,669" coordsize="2513,110" path="m1526,779l1886,696,2604,710,3322,669,4039,727e" filled="false" stroked="true" strokeweight="1.92pt" strokecolor="#000080">
              <v:path arrowok="t"/>
              <v:stroke dashstyle="dash"/>
            </v:shape>
            <v:shape style="position:absolute;left:1526;top:650;width:3951;height:526" coordorigin="1526,650" coordsize="3951,526" path="m1526,691l1886,650,2604,679,3322,691,4039,857,4759,1022,5477,1176e" filled="false" stroked="true" strokeweight="1.92pt" strokecolor="#ff00ff">
              <v:path arrowok="t"/>
              <v:stroke dashstyle="dash"/>
            </v:shape>
            <v:shape style="position:absolute;left:1526;top:628;width:5386;height:840" coordorigin="1526,629" coordsize="5386,840" path="m1526,641l1886,629,2604,653,3322,672,4039,693,4759,869,5477,1032,6194,1164,6912,1469e" filled="false" stroked="true" strokeweight="1.92pt" strokecolor="#008000">
              <v:path arrowok="t"/>
              <v:stroke dashstyle="dash"/>
            </v:shape>
            <v:shape style="position:absolute;left:1526;top:599;width:6824;height:917" coordorigin="1526,600" coordsize="6824,917" path="m1526,624l1886,600,2604,626,3322,621,4039,643,4759,821,5477,929,6194,1001,6912,1257,7632,1327,8350,1517e" filled="false" stroked="true" strokeweight="1.92pt" strokecolor="#00ffff">
              <v:path arrowok="t"/>
              <v:stroke dashstyle="dash"/>
            </v:shape>
            <v:shape style="position:absolute;left:1886;top:604;width:7899;height:1100" coordorigin="1886,605" coordsize="7899,1100" path="m1886,605l2604,621,3322,607,4039,619,4759,777,5477,859,6194,893,6912,1149,7632,1159,8350,1308,9067,1586,9785,1704e" filled="false" stroked="true" strokeweight="1.92pt" strokecolor="#ff0000">
              <v:path arrowok="t"/>
              <v:stroke dashstyle="dash"/>
            </v:shape>
            <v:shape style="position:absolute;left:3970;top:686;width:140;height:140" coordorigin="3970,687" coordsize="140,140" path="m4040,687l4110,757,4040,827,3970,757,4040,687e" filled="false" stroked="true" strokeweight=".72pt" strokecolor="#000080">
              <v:path arrowok="t"/>
              <v:stroke dashstyle="shortdash"/>
            </v:shape>
            <v:shape style="position:absolute;left:5406;top:1133;width:140;height:140" coordorigin="5407,1133" coordsize="140,140" path="m5477,1133l5547,1203,5477,1273,5407,1203,5477,1133e" filled="false" stroked="true" strokeweight=".72pt" strokecolor="#ff00ff">
              <v:path arrowok="t"/>
              <v:stroke dashstyle="shortdash"/>
            </v:shape>
            <v:shape style="position:absolute;left:6842;top:1227;width:140;height:140" coordorigin="6843,1228" coordsize="140,140" path="m6913,1228l6983,1298,6913,1368,6843,1298,6913,1228e" filled="false" stroked="true" strokeweight=".72pt" strokecolor="#008000">
              <v:path arrowok="t"/>
              <v:stroke dashstyle="shortdash"/>
            </v:shape>
            <v:shape style="position:absolute;left:8279;top:1368;width:140;height:140" coordorigin="8279,1369" coordsize="140,140" path="m8349,1369l8419,1439,8349,1509,8279,1439,8349,1369e" filled="false" stroked="true" strokeweight=".72pt" strokecolor="#00ffff">
              <v:path arrowok="t"/>
              <v:stroke dashstyle="shortdash"/>
            </v:shape>
            <v:shape style="position:absolute;left:3970;top:2546;width:140;height:140" coordorigin="3970,2546" coordsize="140,140" path="m4040,2546l3970,2616,4040,2686,4110,2616,4040,2546xe" filled="true" fillcolor="#000080" stroked="false">
              <v:path arrowok="t"/>
              <v:fill type="solid"/>
            </v:shape>
            <v:shape style="position:absolute;left:5406;top:2749;width:140;height:140" coordorigin="5407,2749" coordsize="140,140" path="m5477,2749l5407,2819,5477,2889,5547,2819,5477,2749xe" filled="true" fillcolor="#ff00ff" stroked="false">
              <v:path arrowok="t"/>
              <v:fill type="solid"/>
            </v:shape>
            <v:shape style="position:absolute;left:6842;top:2769;width:140;height:140" coordorigin="6843,2769" coordsize="140,140" path="m6913,2769l6843,2839,6913,2909,6983,2839,6913,2769xe" filled="true" fillcolor="#008000" stroked="false">
              <v:path arrowok="t"/>
              <v:fill type="solid"/>
            </v:shape>
            <v:shape style="position:absolute;left:8279;top:2491;width:140;height:140" coordorigin="8279,2492" coordsize="140,140" path="m8349,2492l8279,2562,8349,2632,8419,2562,8349,2492xe" filled="true" fillcolor="#00ffff" stroked="false">
              <v:path arrowok="t"/>
              <v:fill type="solid"/>
            </v:shape>
            <v:shape style="position:absolute;left:1729;top:77;width:2867;height:410" type="#_x0000_t202" filled="false" stroked="false">
              <v:textbox inset="0,0,0,0">
                <w:txbxContent>
                  <w:p>
                    <w:pPr>
                      <w:spacing w:line="242" w:lineRule="auto" w:before="0"/>
                      <w:ind w:left="0" w:right="0" w:firstLine="0"/>
                      <w:jc w:val="left"/>
                      <w:rPr>
                        <w:i/>
                        <w:sz w:val="18"/>
                      </w:rPr>
                    </w:pPr>
                    <w:r>
                      <w:rPr>
                        <w:i/>
                        <w:sz w:val="18"/>
                      </w:rPr>
                      <w:t>Dotted lines = Emerging economies </w:t>
                    </w:r>
                    <w:r>
                      <w:rPr>
                        <w:i/>
                        <w:sz w:val="18"/>
                      </w:rPr>
                      <w:t>Solid lines = Advanced economies</w:t>
                    </w:r>
                  </w:p>
                </w:txbxContent>
              </v:textbox>
              <w10:wrap type="none"/>
            </v:shape>
            <w10:wrap type="none"/>
          </v:group>
        </w:pict>
      </w:r>
      <w:r>
        <w:rPr>
          <w:w w:val="99"/>
          <w:sz w:val="18"/>
        </w:rPr>
        <w:t>8</w:t>
      </w:r>
    </w:p>
    <w:p>
      <w:pPr>
        <w:pStyle w:val="BodyText"/>
        <w:spacing w:before="11"/>
        <w:rPr>
          <w:sz w:val="16"/>
        </w:rPr>
      </w:pPr>
    </w:p>
    <w:p>
      <w:pPr>
        <w:spacing w:before="0"/>
        <w:ind w:left="9123" w:right="0" w:firstLine="0"/>
        <w:jc w:val="left"/>
        <w:rPr>
          <w:sz w:val="18"/>
        </w:rPr>
      </w:pPr>
      <w:r>
        <w:rPr>
          <w:w w:val="99"/>
          <w:sz w:val="18"/>
        </w:rPr>
        <w:t>7</w:t>
      </w:r>
    </w:p>
    <w:p>
      <w:pPr>
        <w:pStyle w:val="BodyText"/>
        <w:spacing w:before="9"/>
        <w:rPr>
          <w:sz w:val="8"/>
        </w:rPr>
      </w:pPr>
    </w:p>
    <w:p>
      <w:pPr>
        <w:spacing w:before="94"/>
        <w:ind w:left="0" w:right="1861" w:firstLine="0"/>
        <w:jc w:val="right"/>
        <w:rPr>
          <w:sz w:val="18"/>
        </w:rPr>
      </w:pPr>
      <w:r>
        <w:rPr>
          <w:w w:val="99"/>
          <w:sz w:val="18"/>
        </w:rPr>
        <w:t>6</w:t>
      </w:r>
    </w:p>
    <w:p>
      <w:pPr>
        <w:pStyle w:val="BodyText"/>
        <w:spacing w:before="11"/>
        <w:rPr>
          <w:sz w:val="16"/>
        </w:rPr>
      </w:pPr>
    </w:p>
    <w:p>
      <w:pPr>
        <w:spacing w:before="0"/>
        <w:ind w:left="0" w:right="1861" w:firstLine="0"/>
        <w:jc w:val="right"/>
        <w:rPr>
          <w:sz w:val="18"/>
        </w:rPr>
      </w:pPr>
      <w:r>
        <w:rPr>
          <w:w w:val="99"/>
          <w:sz w:val="18"/>
        </w:rPr>
        <w:t>5</w:t>
      </w:r>
    </w:p>
    <w:p>
      <w:pPr>
        <w:pStyle w:val="BodyText"/>
        <w:spacing w:before="9"/>
        <w:rPr>
          <w:sz w:val="8"/>
        </w:rPr>
      </w:pPr>
    </w:p>
    <w:p>
      <w:pPr>
        <w:spacing w:before="95"/>
        <w:ind w:left="0" w:right="1861" w:firstLine="0"/>
        <w:jc w:val="right"/>
        <w:rPr>
          <w:sz w:val="18"/>
        </w:rPr>
      </w:pPr>
      <w:r>
        <w:rPr>
          <w:w w:val="99"/>
          <w:sz w:val="18"/>
        </w:rPr>
        <w:t>4</w:t>
      </w:r>
    </w:p>
    <w:p>
      <w:pPr>
        <w:pStyle w:val="BodyText"/>
        <w:spacing w:before="8"/>
        <w:rPr>
          <w:sz w:val="8"/>
        </w:rPr>
      </w:pPr>
    </w:p>
    <w:p>
      <w:pPr>
        <w:spacing w:before="95"/>
        <w:ind w:left="0" w:right="1861" w:firstLine="0"/>
        <w:jc w:val="right"/>
        <w:rPr>
          <w:sz w:val="18"/>
        </w:rPr>
      </w:pPr>
      <w:r>
        <w:rPr>
          <w:w w:val="99"/>
          <w:sz w:val="18"/>
        </w:rPr>
        <w:t>3</w:t>
      </w:r>
    </w:p>
    <w:p>
      <w:pPr>
        <w:pStyle w:val="BodyText"/>
        <w:spacing w:before="10"/>
        <w:rPr>
          <w:sz w:val="16"/>
        </w:rPr>
      </w:pPr>
    </w:p>
    <w:p>
      <w:pPr>
        <w:spacing w:before="1"/>
        <w:ind w:left="0" w:right="1861" w:firstLine="0"/>
        <w:jc w:val="right"/>
        <w:rPr>
          <w:sz w:val="18"/>
        </w:rPr>
      </w:pPr>
      <w:r>
        <w:rPr>
          <w:w w:val="99"/>
          <w:sz w:val="18"/>
        </w:rPr>
        <w:t>2</w:t>
      </w:r>
    </w:p>
    <w:p>
      <w:pPr>
        <w:pStyle w:val="BodyText"/>
        <w:spacing w:before="9"/>
        <w:rPr>
          <w:sz w:val="8"/>
        </w:rPr>
      </w:pPr>
    </w:p>
    <w:p>
      <w:pPr>
        <w:spacing w:before="94"/>
        <w:ind w:left="9123" w:right="0" w:firstLine="0"/>
        <w:jc w:val="left"/>
        <w:rPr>
          <w:sz w:val="18"/>
        </w:rPr>
      </w:pPr>
      <w:r>
        <w:rPr>
          <w:w w:val="99"/>
          <w:sz w:val="18"/>
        </w:rPr>
        <w:t>1</w:t>
      </w:r>
    </w:p>
    <w:p>
      <w:pPr>
        <w:pStyle w:val="BodyText"/>
        <w:spacing w:before="10"/>
        <w:rPr>
          <w:sz w:val="16"/>
        </w:rPr>
      </w:pPr>
    </w:p>
    <w:p>
      <w:pPr>
        <w:spacing w:before="1"/>
        <w:ind w:left="9123" w:right="0" w:firstLine="0"/>
        <w:jc w:val="left"/>
        <w:rPr>
          <w:sz w:val="18"/>
        </w:rPr>
      </w:pPr>
      <w:r>
        <w:rPr>
          <w:w w:val="99"/>
          <w:sz w:val="18"/>
        </w:rPr>
        <w:t>0</w:t>
      </w:r>
    </w:p>
    <w:p>
      <w:pPr>
        <w:tabs>
          <w:tab w:pos="1944" w:val="left" w:leader="none"/>
          <w:tab w:pos="3381" w:val="left" w:leader="none"/>
          <w:tab w:pos="4817" w:val="left" w:leader="none"/>
          <w:tab w:pos="6254" w:val="left" w:leader="none"/>
          <w:tab w:pos="7690" w:val="left" w:leader="none"/>
        </w:tabs>
        <w:spacing w:before="7"/>
        <w:ind w:left="508" w:right="0" w:firstLine="0"/>
        <w:jc w:val="left"/>
        <w:rPr>
          <w:sz w:val="18"/>
        </w:rPr>
      </w:pPr>
      <w:r>
        <w:rPr>
          <w:sz w:val="18"/>
        </w:rPr>
        <w:t>2010</w:t>
        <w:tab/>
        <w:t>2011</w:t>
        <w:tab/>
        <w:t>2012</w:t>
        <w:tab/>
        <w:t>2013</w:t>
        <w:tab/>
        <w:t>2014</w:t>
        <w:tab/>
        <w:t>2015</w:t>
      </w:r>
    </w:p>
    <w:p>
      <w:pPr>
        <w:spacing w:before="146"/>
        <w:ind w:left="313" w:right="0" w:firstLine="0"/>
        <w:jc w:val="left"/>
        <w:rPr>
          <w:sz w:val="16"/>
        </w:rPr>
      </w:pPr>
      <w:r>
        <w:rPr>
          <w:sz w:val="16"/>
        </w:rPr>
        <w:t>Source: IMF</w:t>
      </w:r>
    </w:p>
    <w:p>
      <w:pPr>
        <w:pStyle w:val="BodyText"/>
      </w:pPr>
    </w:p>
    <w:p>
      <w:pPr>
        <w:pStyle w:val="BodyText"/>
        <w:spacing w:before="2"/>
        <w:rPr>
          <w:sz w:val="18"/>
        </w:rPr>
      </w:pPr>
    </w:p>
    <w:p>
      <w:pPr>
        <w:pStyle w:val="BodyText"/>
        <w:spacing w:line="360" w:lineRule="auto"/>
        <w:ind w:left="313" w:right="1129"/>
      </w:pPr>
      <w:r>
        <w:rPr/>
        <w:t>That is not to suggest that such stimulus is without value or impact. Accommodative monetary policy can support activity while parts of the economy delever. Monetary stimulus can avoid hysteresis in the labour market. And monetary stimulus can buy time for structural adjustments which shift activity from public to private, external to domestic, and declining to rising sectors.</w:t>
      </w:r>
    </w:p>
    <w:p>
      <w:pPr>
        <w:pStyle w:val="BodyText"/>
        <w:spacing w:before="1"/>
        <w:rPr>
          <w:sz w:val="30"/>
        </w:rPr>
      </w:pPr>
    </w:p>
    <w:p>
      <w:pPr>
        <w:pStyle w:val="BodyText"/>
        <w:spacing w:line="360" w:lineRule="auto"/>
        <w:ind w:left="313" w:right="1366"/>
        <w:jc w:val="both"/>
      </w:pPr>
      <w:r>
        <w:rPr/>
        <w:t>The time purchased by stimulus has been well spent fixing the fault lines which caused the global financial crisis. Derivative markets have been made simpler and safer. Fragile shadow banking activities are being transformed into stronger market-based finance. And the scourge of too-big-to-fail is ending.</w:t>
      </w:r>
      <w:r>
        <w:rPr>
          <w:vertAlign w:val="superscript"/>
        </w:rPr>
        <w:t>2</w:t>
      </w:r>
    </w:p>
    <w:p>
      <w:pPr>
        <w:pStyle w:val="BodyText"/>
        <w:rPr>
          <w:sz w:val="30"/>
        </w:rPr>
      </w:pPr>
    </w:p>
    <w:p>
      <w:pPr>
        <w:pStyle w:val="BodyText"/>
        <w:spacing w:line="360" w:lineRule="auto"/>
        <w:ind w:left="313" w:right="1129"/>
      </w:pPr>
      <w:r>
        <w:rPr/>
        <w:t>Most notably, a more resilient global banking system is being built. The dog that hasn’t barked in recent months has been financial distress at the core. This means banks are poised to dampen rather than amplify the impact on households and businesses of recent global financial shocks.</w:t>
      </w:r>
    </w:p>
    <w:p>
      <w:pPr>
        <w:pStyle w:val="BodyText"/>
        <w:spacing w:before="1"/>
        <w:rPr>
          <w:sz w:val="17"/>
        </w:rPr>
      </w:pPr>
      <w:r>
        <w:rPr/>
        <w:pict>
          <v:shape style="position:absolute;margin-left:56.664001pt;margin-top:12.030843pt;width:144.050pt;height:.1pt;mso-position-horizontal-relative:page;mso-position-vertical-relative:paragraph;z-index:-251657216;mso-wrap-distance-left:0;mso-wrap-distance-right:0" coordorigin="1133,241" coordsize="2881,0" path="m1133,241l4014,241e" filled="false" stroked="true" strokeweight=".47998pt" strokecolor="#000000">
            <v:path arrowok="t"/>
            <v:stroke dashstyle="solid"/>
            <w10:wrap type="topAndBottom"/>
          </v:shape>
        </w:pict>
      </w:r>
    </w:p>
    <w:p>
      <w:pPr>
        <w:spacing w:before="27"/>
        <w:ind w:left="313" w:right="1163" w:firstLine="0"/>
        <w:jc w:val="left"/>
        <w:rPr>
          <w:sz w:val="16"/>
        </w:rPr>
      </w:pPr>
      <w:r>
        <w:rPr>
          <w:position w:val="8"/>
          <w:sz w:val="10"/>
        </w:rPr>
        <w:t>1 </w:t>
      </w:r>
      <w:r>
        <w:rPr>
          <w:sz w:val="16"/>
        </w:rPr>
        <w:t>The IMF has downgraded their growth forecast for the fifth consecutive year; and now expects global growth to be around 3 ½% in 2016 and 2017. In part, this reflects a reduction in the IMF’s assessment of global potential growth to below the around 4% average growth rate in the decade prior to the crisis. At the Bank of England, our protections are slightly weaker still. We expect PPP-weighted global growth this year to be just 3.0%, a quarter of a point lower than our estimate for 2015.</w:t>
      </w:r>
    </w:p>
    <w:p>
      <w:pPr>
        <w:spacing w:line="184" w:lineRule="exact" w:before="4"/>
        <w:ind w:left="313" w:right="1129" w:firstLine="0"/>
        <w:jc w:val="left"/>
        <w:rPr>
          <w:sz w:val="16"/>
        </w:rPr>
      </w:pPr>
      <w:r>
        <w:rPr>
          <w:position w:val="8"/>
          <w:sz w:val="10"/>
        </w:rPr>
        <w:t>2 </w:t>
      </w:r>
      <w:r>
        <w:rPr>
          <w:sz w:val="16"/>
        </w:rPr>
        <w:t>With domestic and European legislation on resolution powers and on structural reforms in place and with a global approach to bail-in debt now agreed, the broad elements of the framework are settled. The principal challenge now is to implement.</w:t>
      </w:r>
    </w:p>
    <w:p>
      <w:pPr>
        <w:spacing w:after="0" w:line="184" w:lineRule="exact"/>
        <w:jc w:val="left"/>
        <w:rPr>
          <w:sz w:val="16"/>
        </w:rPr>
        <w:sectPr>
          <w:footerReference w:type="default" r:id="rId7"/>
          <w:pgSz w:w="11910" w:h="16840"/>
          <w:pgMar w:footer="1338" w:header="0" w:top="1520" w:bottom="1520" w:left="820" w:right="0"/>
          <w:pgNumType w:start="2"/>
        </w:sectPr>
      </w:pPr>
    </w:p>
    <w:p>
      <w:pPr>
        <w:pStyle w:val="BodyText"/>
        <w:spacing w:line="360" w:lineRule="auto" w:before="79"/>
        <w:ind w:left="313" w:right="1451"/>
      </w:pPr>
      <w:r>
        <w:rPr/>
        <w:t>Monetary stimulus has also made room for the repair – if not yet the completion – of European Monetary Union. Over the past year, euro-area growth has broadened, though in the ECB’s judgment, it has not yet strengthened to a degree consistent with its price stability objective let alone the expectations of Europe’s citizens.</w:t>
      </w:r>
    </w:p>
    <w:p>
      <w:pPr>
        <w:pStyle w:val="BodyText"/>
        <w:spacing w:before="10"/>
        <w:rPr>
          <w:sz w:val="29"/>
        </w:rPr>
      </w:pPr>
    </w:p>
    <w:p>
      <w:pPr>
        <w:pStyle w:val="BodyText"/>
        <w:spacing w:line="360" w:lineRule="auto"/>
        <w:ind w:left="313" w:right="2006"/>
      </w:pPr>
      <w:r>
        <w:rPr/>
        <w:t>More fundamentally, global growth has disappointed because the innovation and ambition of global monetary policy has not been matched by structural measures.</w:t>
      </w:r>
    </w:p>
    <w:p>
      <w:pPr>
        <w:pStyle w:val="BodyText"/>
        <w:spacing w:before="11"/>
        <w:rPr>
          <w:sz w:val="29"/>
        </w:rPr>
      </w:pPr>
    </w:p>
    <w:p>
      <w:pPr>
        <w:pStyle w:val="BodyText"/>
        <w:spacing w:line="360" w:lineRule="auto"/>
        <w:ind w:left="313" w:right="1163"/>
      </w:pPr>
      <w:r>
        <w:rPr/>
        <w:t>In most advanced economies, difficult structural reforms have been deferred. In parallel, in a number of emerging market economies, the post-crisis period was marked by credit booms reinforced by foreign capital inflows, which are now brutally reversing (</w:t>
      </w:r>
      <w:r>
        <w:rPr>
          <w:b/>
        </w:rPr>
        <w:t>Charts 2 </w:t>
      </w:r>
      <w:r>
        <w:rPr/>
        <w:t>and </w:t>
      </w:r>
      <w:r>
        <w:rPr>
          <w:b/>
        </w:rPr>
        <w:t>3</w:t>
      </w:r>
      <w:r>
        <w:rPr/>
        <w:t>). The international financial and monetary architecture has been tinkered with rather than transformed. With the forces of fragmentation now rising in many countries, it will be more challenging to build a truly open, global system. The consequences of such timidity are reflected in the sizeable downside risks which currently plague the global outlook.</w:t>
      </w:r>
    </w:p>
    <w:p>
      <w:pPr>
        <w:pStyle w:val="BodyText"/>
        <w:rPr>
          <w:sz w:val="22"/>
        </w:rPr>
      </w:pPr>
    </w:p>
    <w:p>
      <w:pPr>
        <w:pStyle w:val="BodyText"/>
        <w:rPr>
          <w:sz w:val="22"/>
        </w:rPr>
      </w:pPr>
    </w:p>
    <w:p>
      <w:pPr>
        <w:pStyle w:val="Heading1"/>
        <w:spacing w:before="182"/>
      </w:pPr>
      <w:r>
        <w:rPr/>
        <w:t>Chart 2: Credit booms across EMEs</w:t>
      </w:r>
    </w:p>
    <w:p>
      <w:pPr>
        <w:pStyle w:val="BodyText"/>
        <w:spacing w:before="9"/>
        <w:rPr>
          <w:b/>
          <w:sz w:val="10"/>
        </w:rPr>
      </w:pPr>
    </w:p>
    <w:p>
      <w:pPr>
        <w:spacing w:before="68"/>
        <w:ind w:left="0" w:right="2409" w:firstLine="0"/>
        <w:jc w:val="right"/>
        <w:rPr>
          <w:rFonts w:ascii="Calibri"/>
          <w:sz w:val="16"/>
        </w:rPr>
      </w:pPr>
      <w:r>
        <w:rPr>
          <w:rFonts w:ascii="Calibri"/>
          <w:sz w:val="16"/>
        </w:rPr>
        <w:t>Percentage points</w:t>
      </w:r>
    </w:p>
    <w:p>
      <w:pPr>
        <w:spacing w:before="21"/>
        <w:ind w:left="0" w:right="2484" w:firstLine="0"/>
        <w:jc w:val="right"/>
        <w:rPr>
          <w:sz w:val="16"/>
        </w:rPr>
      </w:pPr>
      <w:r>
        <w:rPr/>
        <w:pict>
          <v:group style="position:absolute;margin-left:73.800003pt;margin-top:5.603912pt;width:385.55pt;height:116.55pt;mso-position-horizontal-relative:page;mso-position-vertical-relative:paragraph;z-index:251672576" coordorigin="1476,112" coordsize="7711,2331">
            <v:shape style="position:absolute;left:1483;top:119;width:7666;height:2316" coordorigin="1483,119" coordsize="7666,2316" path="m1483,2435l9101,2435,9101,119,1483,119,1483,2435xm9101,2435l9101,119m9101,2435l9149,2435m9101,2104l9149,2104m9101,1775l9149,1775m9101,1444l9149,1444m9101,1113l9149,1113m9101,782l9149,782m9101,450l9149,450m9101,119l9149,119m1483,1444l9101,1444m1483,1396l1483,1444m1906,1396l1906,1444m2328,1396l2328,1444m2753,1396l2753,1444m3175,1396l3175,1444m3598,1396l3598,1444m4022,1396l4022,1444m4445,1396l4445,1444m4870,1396l4870,1444m5292,1396l5292,1444m5714,1396l5714,1444m6139,1396l6139,1444m6562,1396l6562,1444m6984,1396l6984,1444m7409,1396l7409,1444m7831,1396l7831,1444m8254,1396l8254,1444m8678,1396l8678,1444m9101,1396l9101,1444m1694,434l1694,2231m2117,866l2117,2094m2542,1348l2542,1934m2964,1266l2964,1679m3386,1178l3386,1859m3811,1293l3811,1490m4234,1242l4234,1494m4656,1350l4656,1454m5081,1384l5081,1420m5503,1334l5503,1425m5926,1348l5926,1449m6350,1307l6350,1406m6773,1250l6773,1480m7198,1190l7198,1502m7620,1178l7620,1266m8042,1108l8042,1425m8467,1017l8467,1614m8890,693l8890,1233e" filled="false" stroked="true" strokeweight=".72pt" strokecolor="#000000">
              <v:path arrowok="t"/>
              <v:stroke dashstyle="solid"/>
            </v:shape>
            <v:shape style="position:absolute;left:3337;top:1125;width:101;height:101" type="#_x0000_t75" stroked="false">
              <v:imagedata r:id="rId8" o:title=""/>
            </v:shape>
            <v:shape style="position:absolute;left:3759;top:1240;width:101;height:101" type="#_x0000_t75" stroked="false">
              <v:imagedata r:id="rId9" o:title=""/>
            </v:shape>
            <v:shape style="position:absolute;left:4184;top:1192;width:101;height:101" type="#_x0000_t75" stroked="false">
              <v:imagedata r:id="rId8" o:title=""/>
            </v:shape>
            <v:shape style="position:absolute;left:4606;top:1257;width:1793;height:240" coordorigin="4607,1257" coordsize="1793,240" path="m4708,1351l4704,1331,4693,1315,4677,1304,4657,1300,4638,1304,4622,1315,4611,1331,4607,1351,4611,1370,4622,1386,4638,1397,4657,1401,4677,1397,4693,1386,4704,1370,4708,1351m5130,1418l5126,1398,5115,1382,5099,1371,5080,1367,5060,1371,5044,1382,5033,1398,5029,1418,5033,1438,5044,1454,5060,1464,5080,1468,5099,1464,5115,1454,5126,1438,5130,1418m5555,1331l5551,1312,5540,1296,5524,1285,5504,1281,5485,1285,5469,1296,5458,1312,5454,1331,5458,1351,5469,1367,5485,1378,5504,1382,5524,1378,5540,1367,5551,1351,5555,1331m5977,1447l5973,1427,5962,1411,5946,1400,5927,1396,5907,1400,5891,1411,5880,1427,5876,1447,5880,1466,5891,1482,5907,1493,5927,1497,5946,1493,5962,1482,5973,1466,5977,1447m6400,1307l6396,1288,6385,1272,6369,1261,6349,1257,6330,1261,6314,1272,6303,1288,6299,1307,6303,1327,6314,1343,6330,1354,6349,1358,6369,1354,6385,1343,6396,1327,6400,1307e" filled="true" fillcolor="#165687" stroked="false">
              <v:path arrowok="t"/>
              <v:fill type="solid"/>
            </v:shape>
            <v:shape style="position:absolute;left:7146;top:1449;width:101;height:101" type="#_x0000_t75" stroked="false">
              <v:imagedata r:id="rId8" o:title=""/>
            </v:shape>
            <v:shape style="position:absolute;left:6723;top:1429;width:101;height:101" type="#_x0000_t75" stroked="false">
              <v:imagedata r:id="rId9" o:title=""/>
            </v:shape>
            <v:shape style="position:absolute;left:7568;top:1216;width:101;height:101" coordorigin="7568,1216" coordsize="101,101" path="m7619,1216l7599,1220,7583,1231,7572,1247,7568,1267,7572,1286,7583,1302,7599,1313,7619,1317,7638,1313,7654,1302,7665,1286,7669,1267,7665,1247,7654,1231,7638,1220,7619,1216xe" filled="true" fillcolor="#165687" stroked="false">
              <v:path arrowok="t"/>
              <v:fill type="solid"/>
            </v:shape>
            <v:shape style="position:absolute;left:7993;top:1374;width:101;height:101" type="#_x0000_t75" stroked="false">
              <v:imagedata r:id="rId10" o:title=""/>
            </v:shape>
            <v:shape style="position:absolute;left:8415;top:1561;width:101;height:101" type="#_x0000_t75" stroked="false">
              <v:imagedata r:id="rId9" o:title=""/>
            </v:shape>
            <v:shape style="position:absolute;left:3337;top:1672;width:101;height:101" type="#_x0000_t75" stroked="false">
              <v:imagedata r:id="rId11" o:title=""/>
            </v:shape>
            <v:shape style="position:absolute;left:8838;top:1182;width:101;height:101" type="#_x0000_t75" stroked="false">
              <v:imagedata r:id="rId9" o:title=""/>
            </v:shape>
            <v:shape style="position:absolute;left:3759;top:654;width:5180;height:888" coordorigin="3760,655" coordsize="5180,888" path="m3860,1447l3856,1427,3846,1411,3830,1400,3810,1396,3790,1400,3774,1411,3764,1427,3760,1447,3764,1466,3774,1482,3790,1493,3810,1497,3830,1493,3846,1482,3856,1466,3860,1447m4285,1492l4281,1473,4270,1457,4254,1446,4235,1442,4215,1446,4199,1457,4188,1473,4184,1492,4188,1512,4199,1528,4215,1539,4235,1543,4254,1539,4270,1528,4281,1512,4285,1492m4708,1451l4704,1432,4693,1416,4677,1405,4657,1401,4638,1405,4622,1416,4611,1432,4607,1451,4611,1471,4622,1487,4638,1498,4657,1502,4677,1498,4693,1487,4704,1471,4708,1451m5130,1382l5126,1362,5115,1346,5099,1335,5080,1331,5060,1335,5044,1346,5033,1362,5029,1382,5033,1402,5044,1418,5060,1428,5080,1432,5099,1428,5115,1418,5126,1402,5130,1382m5555,1425l5551,1405,5540,1389,5524,1379,5504,1375,5485,1379,5469,1389,5458,1405,5454,1425,5458,1445,5469,1461,5485,1472,5504,1475,5524,1472,5540,1461,5551,1445,5555,1425m5977,1360l5973,1341,5962,1325,5946,1314,5927,1310,5907,1314,5891,1325,5880,1341,5876,1360,5880,1380,5891,1396,5907,1407,5927,1411,5946,1407,5962,1396,5973,1380,5977,1360m6400,1406l6396,1386,6385,1370,6369,1359,6349,1355,6330,1359,6314,1370,6303,1386,6299,1406,6303,1426,6314,1442,6330,1452,6349,1456,6369,1452,6385,1442,6396,1426,6400,1406m6824,1250l6820,1230,6810,1214,6794,1203,6774,1199,6754,1203,6738,1214,6728,1230,6724,1250,6728,1270,6738,1286,6754,1296,6774,1300,6794,1296,6810,1286,6820,1270,6824,1250m7247,1257l7243,1237,7232,1221,7216,1211,7196,1207,7177,1211,7161,1221,7150,1237,7146,1257,7150,1277,7161,1293,7177,1304,7196,1307,7216,1304,7232,1293,7243,1277,7247,1257m7669,1199l7665,1180,7654,1164,7638,1153,7619,1149,7599,1153,7583,1164,7572,1180,7568,1199,7572,1219,7583,1235,7599,1246,7619,1250,7638,1246,7654,1235,7665,1219,7669,1199m8094,1106l8090,1086,8079,1070,8063,1059,8044,1055,8024,1059,8008,1070,7997,1086,7993,1106,7997,1126,8008,1142,8024,1152,8044,1156,8063,1152,8079,1142,8090,1126,8094,1106m8516,1051l8512,1031,8502,1015,8486,1004,8466,1000,8446,1004,8430,1015,8420,1031,8416,1051,8420,1070,8430,1086,8446,1097,8466,1101,8486,1097,8502,1086,8512,1070,8516,1051m8939,705l8935,685,8924,669,8908,659,8888,655,8869,659,8853,669,8842,685,8838,705,8842,725,8853,741,8869,752,8888,755,8908,752,8924,741,8935,725,8939,705e" filled="true" fillcolor="#993366" stroked="false">
              <v:path arrowok="t"/>
              <v:fill type="solid"/>
            </v:shape>
            <v:shape style="position:absolute;left:3337;top:1809;width:101;height:101" type="#_x0000_t75" stroked="false">
              <v:imagedata r:id="rId12" o:title=""/>
            </v:shape>
            <v:shape style="position:absolute;left:3759;top:640;width:5180;height:900" coordorigin="3760,640" coordsize="5180,900" path="m3860,1490l3856,1470,3846,1454,3830,1443,3810,1439,3790,1443,3774,1454,3764,1470,3760,1490,3764,1510,3774,1526,3790,1536,3810,1540,3830,1536,3846,1526,3856,1510,3860,1490m4285,1473l4281,1453,4270,1437,4254,1427,4235,1423,4215,1427,4199,1437,4188,1453,4184,1473,4188,1493,4199,1509,4215,1520,4235,1523,4254,1520,4270,1509,4281,1493,4285,1473m4708,1449l4704,1429,4693,1413,4677,1403,4657,1399,4638,1403,4622,1413,4611,1429,4607,1449,4611,1469,4622,1485,4638,1496,4657,1499,4677,1496,4693,1485,4704,1469,4708,1449m5130,1406l5126,1386,5115,1370,5099,1359,5080,1355,5060,1359,5044,1370,5033,1386,5029,1406,5033,1426,5044,1442,5060,1452,5080,1456,5099,1452,5115,1442,5126,1426,5130,1406m5555,1387l5551,1367,5540,1351,5524,1340,5504,1336,5485,1340,5469,1351,5458,1367,5454,1387,5458,1406,5469,1422,5485,1433,5504,1437,5524,1433,5540,1422,5551,1406,5555,1387m5977,1348l5973,1329,5962,1313,5946,1302,5927,1298,5907,1302,5891,1313,5880,1329,5876,1348,5880,1368,5891,1384,5907,1395,5927,1399,5946,1395,5962,1384,5973,1368,5977,1348m6400,1346l6396,1326,6385,1310,6369,1299,6349,1295,6330,1299,6314,1310,6303,1326,6299,1346,6303,1366,6314,1382,6330,1392,6349,1396,6369,1392,6385,1382,6396,1366,6400,1346m6824,1252l6820,1233,6810,1217,6794,1206,6774,1202,6754,1206,6738,1217,6728,1233,6724,1252,6728,1272,6738,1288,6754,1299,6774,1303,6794,1299,6810,1288,6820,1272,6824,1252m7247,1190l7243,1170,7232,1154,7216,1143,7196,1139,7177,1143,7161,1154,7150,1170,7146,1190,7150,1210,7161,1226,7177,1236,7196,1240,7216,1236,7232,1226,7243,1210,7247,1190m7669,1175l7665,1156,7654,1140,7638,1129,7619,1125,7599,1129,7583,1140,7572,1156,7568,1175,7572,1195,7583,1211,7599,1222,7619,1226,7638,1222,7654,1211,7665,1195,7669,1175m8094,1118l8090,1098,8079,1082,8063,1071,8044,1067,8024,1071,8008,1082,7997,1098,7993,1118,7997,1138,8008,1154,8024,1164,8044,1168,8063,1164,8079,1154,8090,1138,8094,1118m8516,1017l8512,997,8502,981,8486,971,8466,967,8446,971,8430,981,8420,997,8416,1017,8420,1037,8430,1053,8446,1064,8466,1067,8486,1064,8502,1053,8512,1037,8516,1017m8939,691l8935,671,8924,655,8908,644,8888,640,8869,644,8853,655,8842,671,8838,691,8842,710,8853,726,8869,737,8888,741,8908,737,8924,726,8935,710,8939,691e" filled="true" fillcolor="#efab00" stroked="false">
              <v:path arrowok="t"/>
              <v:fill type="solid"/>
            </v:shape>
            <v:shape style="position:absolute;left:1642;top:383;width:101;height:101" type="#_x0000_t75" stroked="false">
              <v:imagedata r:id="rId13" o:title=""/>
            </v:shape>
            <v:shape style="position:absolute;left:2067;top:813;width:101;height:101" type="#_x0000_t75" stroked="false">
              <v:imagedata r:id="rId10" o:title=""/>
            </v:shape>
            <v:shape style="position:absolute;left:2490;top:1297;width:101;height:101" type="#_x0000_t75" stroked="false">
              <v:imagedata r:id="rId8" o:title=""/>
            </v:shape>
            <v:shape style="position:absolute;left:2912;top:1216;width:101;height:101" type="#_x0000_t75" stroked="false">
              <v:imagedata r:id="rId14" o:title=""/>
            </v:shape>
            <v:shape style="position:absolute;left:1642;top:1857;width:101;height:101" type="#_x0000_t75" stroked="false">
              <v:imagedata r:id="rId15" o:title=""/>
            </v:shape>
            <v:shape style="position:absolute;left:2067;top:1912;width:101;height:101" type="#_x0000_t75" stroked="false">
              <v:imagedata r:id="rId11" o:title=""/>
            </v:shape>
            <v:shape style="position:absolute;left:2490;top:1626;width:524;height:339" coordorigin="2490,1627" coordsize="524,339" path="m2591,1915l2587,1895,2576,1879,2560,1868,2540,1864,2521,1868,2505,1879,2494,1895,2490,1915,2494,1934,2505,1950,2521,1961,2540,1965,2560,1961,2576,1950,2587,1934,2591,1915m3013,1677l3009,1657,2998,1641,2982,1631,2963,1627,2943,1631,2927,1641,2916,1657,2912,1677,2916,1697,2927,1713,2943,1724,2963,1727,2982,1724,2998,1713,3009,1697,3013,1677e" filled="true" fillcolor="#993366" stroked="false">
              <v:path arrowok="t"/>
              <v:fill type="solid"/>
            </v:shape>
            <v:shape style="position:absolute;left:1642;top:2181;width:101;height:101" type="#_x0000_t75" stroked="false">
              <v:imagedata r:id="rId16" o:title=""/>
            </v:shape>
            <v:shape style="position:absolute;left:2067;top:2044;width:101;height:101" type="#_x0000_t75" stroked="false">
              <v:imagedata r:id="rId17" o:title=""/>
            </v:shape>
            <v:shape style="position:absolute;left:2490;top:1602;width:524;height:380" coordorigin="2490,1603" coordsize="524,380" path="m2591,1931l2587,1912,2576,1896,2560,1885,2540,1881,2521,1885,2505,1896,2494,1912,2490,1931,2494,1951,2505,1967,2521,1978,2540,1982,2560,1978,2576,1967,2587,1951,2591,1931m3013,1653l3009,1633,2998,1617,2982,1607,2963,1603,2943,1607,2927,1617,2916,1633,2912,1653,2916,1673,2927,1689,2943,1700,2963,1703,2982,1700,2998,1689,3009,1673,3013,1653e" filled="true" fillcolor="#efab00" stroked="false">
              <v:path arrowok="t"/>
              <v:fill type="solid"/>
            </v:shape>
            <v:shape style="position:absolute;left:3808;top:284;width:80;height:80" coordorigin="3809,285" coordsize="80,80" path="m3848,285l3833,288,3820,297,3812,309,3809,324,3812,340,3820,352,3833,361,3848,364,3864,361,3876,352,3885,340,3888,324,3885,309,3876,297,3864,288,3848,285xe" filled="true" fillcolor="#165687" stroked="false">
              <v:path arrowok="t"/>
              <v:fill type="solid"/>
            </v:shape>
            <v:shape style="position:absolute;left:5152;top:284;width:82;height:80" coordorigin="5153,285" coordsize="82,80" path="m5194,285l5178,288,5165,297,5156,309,5153,324,5156,340,5165,352,5178,361,5194,364,5210,361,5222,352,5231,340,5234,324,5231,309,5222,297,5210,288,5194,285xe" filled="true" fillcolor="#993366" stroked="false">
              <v:path arrowok="t"/>
              <v:fill type="solid"/>
            </v:shape>
            <v:shape style="position:absolute;left:6499;top:284;width:80;height:80" coordorigin="6499,285" coordsize="80,80" path="m6539,285l6523,288,6511,297,6502,309,6499,324,6502,340,6511,352,6523,361,6539,364,6554,361,6567,352,6575,340,6578,324,6575,309,6567,297,6554,288,6539,285xe" filled="true" fillcolor="#efab00" stroked="false">
              <v:path arrowok="t"/>
              <v:fill type="solid"/>
            </v:shape>
            <v:shape style="position:absolute;left:3924;top:230;width:636;height:180" type="#_x0000_t202" filled="false" stroked="false">
              <v:textbox inset="0,0,0,0">
                <w:txbxContent>
                  <w:p>
                    <w:pPr>
                      <w:spacing w:line="179" w:lineRule="exact" w:before="0"/>
                      <w:ind w:left="0" w:right="0" w:firstLine="0"/>
                      <w:jc w:val="left"/>
                      <w:rPr>
                        <w:sz w:val="16"/>
                      </w:rPr>
                    </w:pPr>
                    <w:r>
                      <w:rPr>
                        <w:sz w:val="16"/>
                      </w:rPr>
                      <w:t>2008 Q2</w:t>
                    </w:r>
                  </w:p>
                </w:txbxContent>
              </v:textbox>
              <w10:wrap type="none"/>
            </v:shape>
            <v:shape style="position:absolute;left:5269;top:230;width:636;height:180" type="#_x0000_t202" filled="false" stroked="false">
              <v:textbox inset="0,0,0,0">
                <w:txbxContent>
                  <w:p>
                    <w:pPr>
                      <w:spacing w:line="179" w:lineRule="exact" w:before="0"/>
                      <w:ind w:left="0" w:right="0" w:firstLine="0"/>
                      <w:jc w:val="left"/>
                      <w:rPr>
                        <w:sz w:val="16"/>
                      </w:rPr>
                    </w:pPr>
                    <w:r>
                      <w:rPr>
                        <w:sz w:val="16"/>
                      </w:rPr>
                      <w:t>2014 Q1</w:t>
                    </w:r>
                  </w:p>
                </w:txbxContent>
              </v:textbox>
              <w10:wrap type="none"/>
            </v:shape>
            <v:shape style="position:absolute;left:6613;top:230;width:636;height:180" type="#_x0000_t202" filled="false" stroked="false">
              <v:textbox inset="0,0,0,0">
                <w:txbxContent>
                  <w:p>
                    <w:pPr>
                      <w:spacing w:line="179" w:lineRule="exact" w:before="0"/>
                      <w:ind w:left="0" w:right="0" w:firstLine="0"/>
                      <w:jc w:val="left"/>
                      <w:rPr>
                        <w:sz w:val="16"/>
                      </w:rPr>
                    </w:pPr>
                    <w:r>
                      <w:rPr>
                        <w:sz w:val="16"/>
                      </w:rPr>
                      <w:t>2015 Q1</w:t>
                    </w:r>
                  </w:p>
                </w:txbxContent>
              </v:textbox>
              <w10:wrap type="none"/>
            </v:shape>
            <v:shape style="position:absolute;left:9075;top:1223;width:111;height:363" type="#_x0000_t202" filled="false" stroked="false">
              <v:textbox inset="0,0,0,0">
                <w:txbxContent>
                  <w:p>
                    <w:pPr>
                      <w:spacing w:line="178" w:lineRule="exact" w:before="0"/>
                      <w:ind w:left="0" w:right="0" w:firstLine="0"/>
                      <w:jc w:val="left"/>
                      <w:rPr>
                        <w:rFonts w:ascii="Times New Roman"/>
                        <w:sz w:val="16"/>
                      </w:rPr>
                    </w:pPr>
                    <w:r>
                      <w:rPr>
                        <w:rFonts w:ascii="Times New Roman"/>
                        <w:w w:val="100"/>
                        <w:sz w:val="16"/>
                      </w:rPr>
                      <w:t>+</w:t>
                    </w:r>
                  </w:p>
                  <w:p>
                    <w:pPr>
                      <w:spacing w:before="1"/>
                      <w:ind w:left="0" w:right="0" w:firstLine="0"/>
                      <w:jc w:val="left"/>
                      <w:rPr>
                        <w:rFonts w:ascii="Times New Roman"/>
                        <w:sz w:val="16"/>
                      </w:rPr>
                    </w:pPr>
                    <w:r>
                      <w:rPr>
                        <w:rFonts w:ascii="Times New Roman"/>
                        <w:w w:val="100"/>
                        <w:sz w:val="16"/>
                      </w:rPr>
                      <w:t>-</w:t>
                    </w:r>
                  </w:p>
                </w:txbxContent>
              </v:textbox>
              <w10:wrap type="none"/>
            </v:shape>
            <w10:wrap type="none"/>
          </v:group>
        </w:pict>
      </w:r>
      <w:r>
        <w:rPr>
          <w:spacing w:val="-1"/>
          <w:sz w:val="16"/>
        </w:rPr>
        <w:t>80</w:t>
      </w:r>
    </w:p>
    <w:p>
      <w:pPr>
        <w:spacing w:before="147"/>
        <w:ind w:left="0" w:right="2484" w:firstLine="0"/>
        <w:jc w:val="right"/>
        <w:rPr>
          <w:sz w:val="16"/>
        </w:rPr>
      </w:pPr>
      <w:r>
        <w:rPr>
          <w:spacing w:val="-1"/>
          <w:sz w:val="16"/>
        </w:rPr>
        <w:t>60</w:t>
      </w:r>
    </w:p>
    <w:p>
      <w:pPr>
        <w:spacing w:before="147"/>
        <w:ind w:left="0" w:right="2484" w:firstLine="0"/>
        <w:jc w:val="right"/>
        <w:rPr>
          <w:sz w:val="16"/>
        </w:rPr>
      </w:pPr>
      <w:r>
        <w:rPr>
          <w:spacing w:val="-1"/>
          <w:sz w:val="16"/>
        </w:rPr>
        <w:t>40</w:t>
      </w:r>
    </w:p>
    <w:p>
      <w:pPr>
        <w:spacing w:before="146"/>
        <w:ind w:left="0" w:right="2484" w:firstLine="0"/>
        <w:jc w:val="right"/>
        <w:rPr>
          <w:sz w:val="16"/>
        </w:rPr>
      </w:pPr>
      <w:r>
        <w:rPr>
          <w:spacing w:val="-1"/>
          <w:sz w:val="16"/>
        </w:rPr>
        <w:t>20</w:t>
      </w:r>
    </w:p>
    <w:p>
      <w:pPr>
        <w:spacing w:before="148"/>
        <w:ind w:left="0" w:right="2574" w:firstLine="0"/>
        <w:jc w:val="right"/>
        <w:rPr>
          <w:sz w:val="16"/>
        </w:rPr>
      </w:pPr>
      <w:r>
        <w:rPr>
          <w:w w:val="100"/>
          <w:sz w:val="16"/>
        </w:rPr>
        <w:t>0</w:t>
      </w:r>
    </w:p>
    <w:p>
      <w:pPr>
        <w:spacing w:before="146"/>
        <w:ind w:left="0" w:right="2484" w:firstLine="0"/>
        <w:jc w:val="right"/>
        <w:rPr>
          <w:sz w:val="16"/>
        </w:rPr>
      </w:pPr>
      <w:r>
        <w:rPr>
          <w:spacing w:val="-1"/>
          <w:sz w:val="16"/>
        </w:rPr>
        <w:t>20</w:t>
      </w:r>
    </w:p>
    <w:p>
      <w:pPr>
        <w:spacing w:before="147"/>
        <w:ind w:left="0" w:right="2484" w:firstLine="0"/>
        <w:jc w:val="right"/>
        <w:rPr>
          <w:sz w:val="16"/>
        </w:rPr>
      </w:pPr>
      <w:r>
        <w:rPr>
          <w:spacing w:val="-1"/>
          <w:sz w:val="16"/>
        </w:rPr>
        <w:t>40</w:t>
      </w:r>
    </w:p>
    <w:p>
      <w:pPr>
        <w:spacing w:before="147"/>
        <w:ind w:left="0" w:right="2484" w:firstLine="0"/>
        <w:jc w:val="right"/>
        <w:rPr>
          <w:sz w:val="16"/>
        </w:rPr>
      </w:pPr>
      <w:r>
        <w:rPr/>
        <w:pict>
          <v:shape style="position:absolute;margin-left:79.227875pt;margin-top:16.111269pt;width:11.05pt;height:26.55pt;mso-position-horizontal-relative:page;mso-position-vertical-relative:paragraph;z-index:251673600" type="#_x0000_t202" filled="false" stroked="false">
            <v:textbox inset="0,0,0,0" style="layout-flow:vertical;mso-layout-flow-alt:bottom-to-top">
              <w:txbxContent>
                <w:p>
                  <w:pPr>
                    <w:spacing w:before="16"/>
                    <w:ind w:left="20" w:right="0" w:firstLine="0"/>
                    <w:jc w:val="left"/>
                    <w:rPr>
                      <w:sz w:val="16"/>
                    </w:rPr>
                  </w:pPr>
                  <w:r>
                    <w:rPr>
                      <w:sz w:val="16"/>
                    </w:rPr>
                    <w:t>Ireland</w:t>
                  </w:r>
                </w:p>
              </w:txbxContent>
            </v:textbox>
            <w10:wrap type="none"/>
          </v:shape>
        </w:pict>
      </w:r>
      <w:r>
        <w:rPr/>
        <w:pict>
          <v:shape style="position:absolute;margin-left:100.391602pt;margin-top:16.202293pt;width:11pt;height:22.45pt;mso-position-horizontal-relative:page;mso-position-vertical-relative:paragraph;z-index:251674624" type="#_x0000_t202" filled="false" stroked="false">
            <v:textbox inset="0,0,0,0" style="layout-flow:vertical;mso-layout-flow-alt:bottom-to-top">
              <w:txbxContent>
                <w:p>
                  <w:pPr>
                    <w:spacing w:before="15"/>
                    <w:ind w:left="20" w:right="0" w:firstLine="0"/>
                    <w:jc w:val="left"/>
                    <w:rPr>
                      <w:sz w:val="16"/>
                    </w:rPr>
                  </w:pPr>
                  <w:r>
                    <w:rPr>
                      <w:sz w:val="16"/>
                    </w:rPr>
                    <w:t>Spain</w:t>
                  </w:r>
                </w:p>
              </w:txbxContent>
            </v:textbox>
            <w10:wrap type="none"/>
          </v:shape>
        </w:pict>
      </w:r>
      <w:r>
        <w:rPr/>
        <w:pict>
          <v:shape style="position:absolute;margin-left:121.5616pt;margin-top:16.156572pt;width:11pt;height:58.95pt;mso-position-horizontal-relative:page;mso-position-vertical-relative:paragraph;z-index:251675648" type="#_x0000_t202" filled="false" stroked="false">
            <v:textbox inset="0,0,0,0" style="layout-flow:vertical;mso-layout-flow-alt:bottom-to-top">
              <w:txbxContent>
                <w:p>
                  <w:pPr>
                    <w:spacing w:before="15"/>
                    <w:ind w:left="20" w:right="0" w:firstLine="0"/>
                    <w:jc w:val="left"/>
                    <w:rPr>
                      <w:sz w:val="16"/>
                    </w:rPr>
                  </w:pPr>
                  <w:r>
                    <w:rPr>
                      <w:sz w:val="16"/>
                    </w:rPr>
                    <w:t>United Kingdom</w:t>
                  </w:r>
                </w:p>
              </w:txbxContent>
            </v:textbox>
            <w10:wrap type="none"/>
          </v:shape>
        </w:pict>
      </w:r>
      <w:r>
        <w:rPr/>
        <w:pict>
          <v:shape style="position:absolute;margin-left:142.731598pt;margin-top:16.172934pt;width:11pt;height:50.05pt;mso-position-horizontal-relative:page;mso-position-vertical-relative:paragraph;z-index:251676672" type="#_x0000_t202" filled="false" stroked="false">
            <v:textbox inset="0,0,0,0" style="layout-flow:vertical;mso-layout-flow-alt:bottom-to-top">
              <w:txbxContent>
                <w:p>
                  <w:pPr>
                    <w:spacing w:before="15"/>
                    <w:ind w:left="20" w:right="0" w:firstLine="0"/>
                    <w:jc w:val="left"/>
                    <w:rPr>
                      <w:sz w:val="16"/>
                    </w:rPr>
                  </w:pPr>
                  <w:r>
                    <w:rPr>
                      <w:sz w:val="16"/>
                    </w:rPr>
                    <w:t>United States</w:t>
                  </w:r>
                </w:p>
              </w:txbxContent>
            </v:textbox>
            <w10:wrap type="none"/>
          </v:shape>
        </w:pict>
      </w:r>
      <w:r>
        <w:rPr/>
        <w:pict>
          <v:shape style="position:absolute;margin-left:163.901596pt;margin-top:16.135254pt;width:11pt;height:32.3pt;mso-position-horizontal-relative:page;mso-position-vertical-relative:paragraph;z-index:251677696" type="#_x0000_t202" filled="false" stroked="false">
            <v:textbox inset="0,0,0,0" style="layout-flow:vertical;mso-layout-flow-alt:bottom-to-top">
              <w:txbxContent>
                <w:p>
                  <w:pPr>
                    <w:spacing w:before="15"/>
                    <w:ind w:left="20" w:right="0" w:firstLine="0"/>
                    <w:jc w:val="left"/>
                    <w:rPr>
                      <w:sz w:val="16"/>
                    </w:rPr>
                  </w:pPr>
                  <w:r>
                    <w:rPr>
                      <w:sz w:val="16"/>
                    </w:rPr>
                    <w:t>Hungary</w:t>
                  </w:r>
                </w:p>
              </w:txbxContent>
            </v:textbox>
            <w10:wrap type="none"/>
          </v:shape>
        </w:pict>
      </w:r>
      <w:r>
        <w:rPr/>
        <w:pict>
          <v:shape style="position:absolute;margin-left:185.0616pt;margin-top:16.127295pt;width:11pt;height:19.45pt;mso-position-horizontal-relative:page;mso-position-vertical-relative:paragraph;z-index:251678720" type="#_x0000_t202" filled="false" stroked="false">
            <v:textbox inset="0,0,0,0" style="layout-flow:vertical;mso-layout-flow-alt:bottom-to-top">
              <w:txbxContent>
                <w:p>
                  <w:pPr>
                    <w:spacing w:before="15"/>
                    <w:ind w:left="20" w:right="0" w:firstLine="0"/>
                    <w:jc w:val="left"/>
                    <w:rPr>
                      <w:sz w:val="16"/>
                    </w:rPr>
                  </w:pPr>
                  <w:r>
                    <w:rPr>
                      <w:sz w:val="16"/>
                    </w:rPr>
                    <w:t>India</w:t>
                  </w:r>
                </w:p>
              </w:txbxContent>
            </v:textbox>
            <w10:wrap type="none"/>
          </v:shape>
        </w:pict>
      </w:r>
      <w:r>
        <w:rPr/>
        <w:pict>
          <v:shape style="position:absolute;margin-left:206.231598pt;margin-top:16.195133pt;width:11pt;height:45.6pt;mso-position-horizontal-relative:page;mso-position-vertical-relative:paragraph;z-index:251679744" type="#_x0000_t202" filled="false" stroked="false">
            <v:textbox inset="0,0,0,0" style="layout-flow:vertical;mso-layout-flow-alt:bottom-to-top">
              <w:txbxContent>
                <w:p>
                  <w:pPr>
                    <w:spacing w:before="15"/>
                    <w:ind w:left="20" w:right="0" w:firstLine="0"/>
                    <w:jc w:val="left"/>
                    <w:rPr>
                      <w:sz w:val="16"/>
                    </w:rPr>
                  </w:pPr>
                  <w:r>
                    <w:rPr>
                      <w:sz w:val="16"/>
                    </w:rPr>
                    <w:t>South Africa</w:t>
                  </w:r>
                </w:p>
              </w:txbxContent>
            </v:textbox>
            <w10:wrap type="none"/>
          </v:shape>
        </w:pict>
      </w:r>
      <w:r>
        <w:rPr/>
        <w:pict>
          <v:shape style="position:absolute;margin-left:227.401596pt;margin-top:16.121655pt;width:11pt;height:27pt;mso-position-horizontal-relative:page;mso-position-vertical-relative:paragraph;z-index:251680768" type="#_x0000_t202" filled="false" stroked="false">
            <v:textbox inset="0,0,0,0" style="layout-flow:vertical;mso-layout-flow-alt:bottom-to-top">
              <w:txbxContent>
                <w:p>
                  <w:pPr>
                    <w:spacing w:before="15"/>
                    <w:ind w:left="20" w:right="0" w:firstLine="0"/>
                    <w:jc w:val="left"/>
                    <w:rPr>
                      <w:sz w:val="16"/>
                    </w:rPr>
                  </w:pPr>
                  <w:r>
                    <w:rPr>
                      <w:sz w:val="16"/>
                    </w:rPr>
                    <w:t>Poland</w:t>
                  </w:r>
                </w:p>
              </w:txbxContent>
            </v:textbox>
            <w10:wrap type="none"/>
          </v:shape>
        </w:pict>
      </w:r>
      <w:r>
        <w:rPr/>
        <w:pict>
          <v:shape style="position:absolute;margin-left:248.571594pt;margin-top:16.189573pt;width:11pt;height:36.25pt;mso-position-horizontal-relative:page;mso-position-vertical-relative:paragraph;z-index:251681792" type="#_x0000_t202" filled="false" stroked="false">
            <v:textbox inset="0,0,0,0" style="layout-flow:vertical;mso-layout-flow-alt:bottom-to-top">
              <w:txbxContent>
                <w:p>
                  <w:pPr>
                    <w:spacing w:before="15"/>
                    <w:ind w:left="20" w:right="0" w:firstLine="0"/>
                    <w:jc w:val="left"/>
                    <w:rPr>
                      <w:sz w:val="16"/>
                    </w:rPr>
                  </w:pPr>
                  <w:r>
                    <w:rPr>
                      <w:sz w:val="16"/>
                    </w:rPr>
                    <w:t>Argentina</w:t>
                  </w:r>
                </w:p>
              </w:txbxContent>
            </v:textbox>
            <w10:wrap type="none"/>
          </v:shape>
        </w:pict>
      </w:r>
      <w:r>
        <w:rPr/>
        <w:pict>
          <v:shape style="position:absolute;margin-left:269.741608pt;margin-top:16.128372pt;width:11pt;height:46.55pt;mso-position-horizontal-relative:page;mso-position-vertical-relative:paragraph;z-index:251682816" type="#_x0000_t202" filled="false" stroked="false">
            <v:textbox inset="0,0,0,0" style="layout-flow:vertical;mso-layout-flow-alt:bottom-to-top">
              <w:txbxContent>
                <w:p>
                  <w:pPr>
                    <w:spacing w:before="15"/>
                    <w:ind w:left="20" w:right="0" w:firstLine="0"/>
                    <w:jc w:val="left"/>
                    <w:rPr>
                      <w:sz w:val="16"/>
                    </w:rPr>
                  </w:pPr>
                  <w:r>
                    <w:rPr>
                      <w:sz w:val="16"/>
                    </w:rPr>
                    <w:t>South Korea</w:t>
                  </w:r>
                </w:p>
              </w:txbxContent>
            </v:textbox>
            <w10:wrap type="none"/>
          </v:shape>
        </w:pict>
      </w:r>
      <w:r>
        <w:rPr/>
        <w:pict>
          <v:shape style="position:absolute;margin-left:290.901611pt;margin-top:16.173775pt;width:11pt;height:27.35pt;mso-position-horizontal-relative:page;mso-position-vertical-relative:paragraph;z-index:251683840" type="#_x0000_t202" filled="false" stroked="false">
            <v:textbox inset="0,0,0,0" style="layout-flow:vertical;mso-layout-flow-alt:bottom-to-top">
              <w:txbxContent>
                <w:p>
                  <w:pPr>
                    <w:spacing w:before="15"/>
                    <w:ind w:left="20" w:right="0" w:firstLine="0"/>
                    <w:jc w:val="left"/>
                    <w:rPr>
                      <w:sz w:val="16"/>
                    </w:rPr>
                  </w:pPr>
                  <w:r>
                    <w:rPr>
                      <w:sz w:val="16"/>
                    </w:rPr>
                    <w:t>Mexico</w:t>
                  </w:r>
                </w:p>
              </w:txbxContent>
            </v:textbox>
            <w10:wrap type="none"/>
          </v:shape>
        </w:pict>
      </w:r>
      <w:r>
        <w:rPr/>
        <w:pict>
          <v:shape style="position:absolute;margin-left:312.071594pt;margin-top:16.152094pt;width:11pt;height:26.5pt;mso-position-horizontal-relative:page;mso-position-vertical-relative:paragraph;z-index:251684864" type="#_x0000_t202" filled="false" stroked="false">
            <v:textbox inset="0,0,0,0" style="layout-flow:vertical;mso-layout-flow-alt:bottom-to-top">
              <w:txbxContent>
                <w:p>
                  <w:pPr>
                    <w:spacing w:before="15"/>
                    <w:ind w:left="20" w:right="0" w:firstLine="0"/>
                    <w:jc w:val="left"/>
                    <w:rPr>
                      <w:sz w:val="16"/>
                    </w:rPr>
                  </w:pPr>
                  <w:r>
                    <w:rPr>
                      <w:sz w:val="16"/>
                    </w:rPr>
                    <w:t>Russia</w:t>
                  </w:r>
                </w:p>
              </w:txbxContent>
            </v:textbox>
            <w10:wrap type="none"/>
          </v:shape>
        </w:pict>
      </w:r>
      <w:r>
        <w:rPr/>
        <w:pict>
          <v:shape style="position:absolute;margin-left:333.241608pt;margin-top:16.199333pt;width:11pt;height:36.7pt;mso-position-horizontal-relative:page;mso-position-vertical-relative:paragraph;z-index:251685888" type="#_x0000_t202" filled="false" stroked="false">
            <v:textbox inset="0,0,0,0" style="layout-flow:vertical;mso-layout-flow-alt:bottom-to-top">
              <w:txbxContent>
                <w:p>
                  <w:pPr>
                    <w:spacing w:before="15"/>
                    <w:ind w:left="20" w:right="0" w:firstLine="0"/>
                    <w:jc w:val="left"/>
                    <w:rPr>
                      <w:sz w:val="16"/>
                    </w:rPr>
                  </w:pPr>
                  <w:r>
                    <w:rPr>
                      <w:sz w:val="16"/>
                    </w:rPr>
                    <w:t>Indonesia</w:t>
                  </w:r>
                </w:p>
              </w:txbxContent>
            </v:textbox>
            <w10:wrap type="none"/>
          </v:shape>
        </w:pict>
      </w:r>
      <w:r>
        <w:rPr/>
        <w:pict>
          <v:shape style="position:absolute;margin-left:354.411591pt;margin-top:16.170374pt;width:11pt;height:22.05pt;mso-position-horizontal-relative:page;mso-position-vertical-relative:paragraph;z-index:251686912" type="#_x0000_t202" filled="false" stroked="false">
            <v:textbox inset="0,0,0,0" style="layout-flow:vertical;mso-layout-flow-alt:bottom-to-top">
              <w:txbxContent>
                <w:p>
                  <w:pPr>
                    <w:spacing w:before="15"/>
                    <w:ind w:left="20" w:right="0" w:firstLine="0"/>
                    <w:jc w:val="left"/>
                    <w:rPr>
                      <w:sz w:val="16"/>
                    </w:rPr>
                  </w:pPr>
                  <w:r>
                    <w:rPr>
                      <w:sz w:val="16"/>
                    </w:rPr>
                    <w:t>Brazil</w:t>
                  </w:r>
                </w:p>
              </w:txbxContent>
            </v:textbox>
            <w10:wrap type="none"/>
          </v:shape>
        </w:pict>
      </w:r>
      <w:r>
        <w:rPr/>
        <w:pict>
          <v:shape style="position:absolute;margin-left:375.581604pt;margin-top:16.208374pt;width:11pt;height:26.45pt;mso-position-horizontal-relative:page;mso-position-vertical-relative:paragraph;z-index:251687936" type="#_x0000_t202" filled="false" stroked="false">
            <v:textbox inset="0,0,0,0" style="layout-flow:vertical;mso-layout-flow-alt:bottom-to-top">
              <w:txbxContent>
                <w:p>
                  <w:pPr>
                    <w:spacing w:before="15"/>
                    <w:ind w:left="20" w:right="0" w:firstLine="0"/>
                    <w:jc w:val="left"/>
                    <w:rPr>
                      <w:sz w:val="16"/>
                    </w:rPr>
                  </w:pPr>
                  <w:r>
                    <w:rPr>
                      <w:sz w:val="16"/>
                    </w:rPr>
                    <w:t>Turkey</w:t>
                  </w:r>
                </w:p>
              </w:txbxContent>
            </v:textbox>
            <w10:wrap type="none"/>
          </v:shape>
        </w:pict>
      </w:r>
      <w:r>
        <w:rPr/>
        <w:pict>
          <v:shape style="position:absolute;margin-left:396.741608pt;margin-top:16.160334pt;width:11pt;height:38.5pt;mso-position-horizontal-relative:page;mso-position-vertical-relative:paragraph;z-index:251688960" type="#_x0000_t202" filled="false" stroked="false">
            <v:textbox inset="0,0,0,0" style="layout-flow:vertical;mso-layout-flow-alt:bottom-to-top">
              <w:txbxContent>
                <w:p>
                  <w:pPr>
                    <w:spacing w:before="15"/>
                    <w:ind w:left="20" w:right="0" w:firstLine="0"/>
                    <w:jc w:val="left"/>
                    <w:rPr>
                      <w:sz w:val="16"/>
                    </w:rPr>
                  </w:pPr>
                  <w:r>
                    <w:rPr>
                      <w:sz w:val="16"/>
                    </w:rPr>
                    <w:t>Singapore</w:t>
                  </w:r>
                </w:p>
              </w:txbxContent>
            </v:textbox>
            <w10:wrap type="none"/>
          </v:shape>
        </w:pict>
      </w:r>
      <w:r>
        <w:rPr/>
        <w:pict>
          <v:shape style="position:absolute;margin-left:417.911591pt;margin-top:16.163815pt;width:11pt;height:22.95pt;mso-position-horizontal-relative:page;mso-position-vertical-relative:paragraph;z-index:251689984" type="#_x0000_t202" filled="false" stroked="false">
            <v:textbox inset="0,0,0,0" style="layout-flow:vertical;mso-layout-flow-alt:bottom-to-top">
              <w:txbxContent>
                <w:p>
                  <w:pPr>
                    <w:spacing w:before="15"/>
                    <w:ind w:left="20" w:right="0" w:firstLine="0"/>
                    <w:jc w:val="left"/>
                    <w:rPr>
                      <w:sz w:val="16"/>
                    </w:rPr>
                  </w:pPr>
                  <w:r>
                    <w:rPr>
                      <w:sz w:val="16"/>
                    </w:rPr>
                    <w:t>China</w:t>
                  </w:r>
                </w:p>
              </w:txbxContent>
            </v:textbox>
            <w10:wrap type="none"/>
          </v:shape>
        </w:pict>
      </w:r>
      <w:r>
        <w:rPr/>
        <w:pict>
          <v:shape style="position:absolute;margin-left:439.081604pt;margin-top:16.126453pt;width:11pt;height:42.1pt;mso-position-horizontal-relative:page;mso-position-vertical-relative:paragraph;z-index:251691008" type="#_x0000_t202" filled="false" stroked="false">
            <v:textbox inset="0,0,0,0" style="layout-flow:vertical;mso-layout-flow-alt:bottom-to-top">
              <w:txbxContent>
                <w:p>
                  <w:pPr>
                    <w:spacing w:before="15"/>
                    <w:ind w:left="20" w:right="0" w:firstLine="0"/>
                    <w:jc w:val="left"/>
                    <w:rPr>
                      <w:sz w:val="16"/>
                    </w:rPr>
                  </w:pPr>
                  <w:r>
                    <w:rPr>
                      <w:sz w:val="16"/>
                    </w:rPr>
                    <w:t>Hong Kong</w:t>
                  </w:r>
                </w:p>
              </w:txbxContent>
            </v:textbox>
            <w10:wrap type="none"/>
          </v:shape>
        </w:pict>
      </w:r>
      <w:r>
        <w:rPr>
          <w:spacing w:val="-1"/>
          <w:sz w:val="16"/>
        </w:rPr>
        <w:t>60</w:t>
      </w:r>
    </w:p>
    <w:p>
      <w:pPr>
        <w:pStyle w:val="BodyText"/>
      </w:pPr>
    </w:p>
    <w:p>
      <w:pPr>
        <w:pStyle w:val="BodyText"/>
      </w:pPr>
    </w:p>
    <w:p>
      <w:pPr>
        <w:pStyle w:val="BodyText"/>
      </w:pPr>
    </w:p>
    <w:p>
      <w:pPr>
        <w:pStyle w:val="BodyText"/>
      </w:pPr>
    </w:p>
    <w:p>
      <w:pPr>
        <w:pStyle w:val="BodyText"/>
        <w:rPr>
          <w:sz w:val="24"/>
        </w:rPr>
      </w:pPr>
    </w:p>
    <w:p>
      <w:pPr>
        <w:spacing w:before="96"/>
        <w:ind w:left="313" w:right="0" w:firstLine="0"/>
        <w:jc w:val="left"/>
        <w:rPr>
          <w:sz w:val="16"/>
        </w:rPr>
      </w:pPr>
      <w:r>
        <w:rPr>
          <w:sz w:val="16"/>
        </w:rPr>
        <w:t>Sources: BIS </w:t>
      </w:r>
      <w:r>
        <w:rPr>
          <w:i/>
          <w:sz w:val="16"/>
        </w:rPr>
        <w:t>total credit statistics </w:t>
      </w:r>
      <w:r>
        <w:rPr>
          <w:sz w:val="16"/>
        </w:rPr>
        <w:t>and Bank calculations.</w:t>
      </w:r>
    </w:p>
    <w:p>
      <w:pPr>
        <w:spacing w:after="0"/>
        <w:jc w:val="left"/>
        <w:rPr>
          <w:sz w:val="16"/>
        </w:rPr>
        <w:sectPr>
          <w:pgSz w:w="11910" w:h="16840"/>
          <w:pgMar w:header="0" w:footer="1338" w:top="1520" w:bottom="1520" w:left="820" w:right="0"/>
        </w:sectPr>
      </w:pPr>
    </w:p>
    <w:p>
      <w:pPr>
        <w:pStyle w:val="Heading1"/>
        <w:spacing w:before="76"/>
      </w:pPr>
      <w:r>
        <w:rPr/>
        <w:t>Chart 3: EME capital flows reversing</w:t>
      </w:r>
    </w:p>
    <w:p>
      <w:pPr>
        <w:spacing w:before="161"/>
        <w:ind w:left="0" w:right="2438" w:firstLine="0"/>
        <w:jc w:val="right"/>
        <w:rPr>
          <w:rFonts w:ascii="Calibri"/>
          <w:sz w:val="18"/>
        </w:rPr>
      </w:pPr>
      <w:r>
        <w:rPr>
          <w:rFonts w:ascii="Calibri"/>
          <w:sz w:val="18"/>
        </w:rPr>
        <w:t>Per cent of GDP</w:t>
      </w:r>
    </w:p>
    <w:p>
      <w:pPr>
        <w:spacing w:before="87"/>
        <w:ind w:left="0" w:right="2596" w:firstLine="0"/>
        <w:jc w:val="right"/>
        <w:rPr>
          <w:rFonts w:ascii="Calibri"/>
          <w:sz w:val="16"/>
        </w:rPr>
      </w:pPr>
      <w:r>
        <w:rPr/>
        <w:pict>
          <v:group style="position:absolute;margin-left:70.800003pt;margin-top:9.32718pt;width:385.45pt;height:176.8pt;mso-position-horizontal-relative:page;mso-position-vertical-relative:paragraph;z-index:251695104" coordorigin="1416,187" coordsize="7709,3536">
            <v:rect style="position:absolute;left:1423;top:193;width:7652;height:3521" filled="false" stroked="true" strokeweight=".72pt" strokecolor="#000000">
              <v:stroke dashstyle="solid"/>
            </v:rect>
            <v:rect style="position:absolute;left:1560;top:2149;width:180;height:63" filled="true" fillcolor="#ff0000" stroked="false">
              <v:fill type="solid"/>
            </v:rect>
            <v:shape style="position:absolute;left:2008;top:1530;width:1980;height:620" coordorigin="2009,1531" coordsize="1980,620" path="m2189,1960l2009,1960,2009,2150,2189,2150,2189,1960m2640,1907l2460,1907,2460,2150,2640,2150,2640,1907m3089,1759l2909,1759,2909,2150,3089,2150,3089,1759m3540,1531l3360,1531,3360,2150,3540,2150,3540,1531m3989,1816l3809,1816,3809,2150,3989,2150,3989,1816e" filled="true" fillcolor="#ff0000" stroked="false">
              <v:path arrowok="t"/>
              <v:fill type="solid"/>
            </v:shape>
            <v:rect style="position:absolute;left:4260;top:2116;width:180;height:34" filled="true" fillcolor="#ff0000" stroked="false">
              <v:fill type="solid"/>
            </v:rect>
            <v:rect style="position:absolute;left:4708;top:1926;width:180;height:224" filled="true" fillcolor="#ff0000" stroked="false">
              <v:fill type="solid"/>
            </v:rect>
            <v:rect style="position:absolute;left:5160;top:2015;width:180;height:135" filled="true" fillcolor="#ff0000" stroked="false">
              <v:fill type="solid"/>
            </v:rect>
            <v:shape style="position:absolute;left:5608;top:1698;width:3332;height:1436" coordorigin="5609,1699" coordsize="3332,1436" path="m5789,1823l5609,1823,5609,2150,5789,2150,5789,1823m6240,1699l6060,1699,6060,2150,6240,2150,6240,1699m6689,1737l6509,1737,6509,2150,6689,2150,6689,1737m7140,2150l6960,2150,6960,2332,7140,2332,7140,2150m7589,1737l7409,1737,7409,2150,7589,2150,7589,1737m8040,2150l7860,2150,7860,2291,8040,2291,8040,2150m8489,2150l8309,2150,8309,3134,8489,3134,8489,2150m8940,2150l8760,2150,8760,2947,8940,2947,8940,2150e" filled="true" fillcolor="#ff0000" stroked="false">
              <v:path arrowok="t"/>
              <v:fill type="solid"/>
            </v:shape>
            <v:rect style="position:absolute;left:1560;top:1962;width:180;height:188" filled="true" fillcolor="#165687" stroked="false">
              <v:fill type="solid"/>
            </v:rect>
            <v:shape style="position:absolute;left:2008;top:1784;width:632;height:176" coordorigin="2009,1785" coordsize="632,176" path="m2189,1886l2009,1886,2009,1960,2189,1960,2189,1886m2640,1785l2460,1785,2460,1907,2640,1907,2640,1785e" filled="true" fillcolor="#165687" stroked="false">
              <v:path arrowok="t"/>
              <v:fill type="solid"/>
            </v:shape>
            <v:shape style="position:absolute;left:2908;top:608;width:1980;height:1508" coordorigin="2909,609" coordsize="1980,1508" path="m3089,1399l2909,1399,2909,1759,3089,1759,3089,1399m3540,1180l3360,1180,3360,1531,3540,1531,3540,1180m3989,1591l3809,1591,3809,1816,3989,1816,3989,1591m4440,1744l4260,1744,4260,2116,4440,2116,4440,1744m4889,609l4709,609,4709,1927,4889,1927,4889,609e" filled="true" fillcolor="#165687" stroked="false">
              <v:path arrowok="t"/>
              <v:fill type="solid"/>
            </v:shape>
            <v:rect style="position:absolute;left:5160;top:2149;width:180;height:89" filled="true" fillcolor="#165687" stroked="false">
              <v:fill type="solid"/>
            </v:rect>
            <v:shape style="position:absolute;left:5608;top:1088;width:1532;height:1061" coordorigin="5609,1089" coordsize="1532,1061" path="m5789,1591l5609,1591,5609,1823,5789,1823,5789,1591m6240,1089l6060,1089,6060,1699,6240,1699,6240,1089m6689,1415l6509,1415,6509,1737,6689,1737,6689,1415m7140,1838l6960,1838,6960,2150,7140,2150,7140,1838e" filled="true" fillcolor="#165687" stroked="false">
              <v:path arrowok="t"/>
              <v:fill type="solid"/>
            </v:shape>
            <v:rect style="position:absolute;left:7408;top:1657;width:180;height:80" filled="true" fillcolor="#165687" stroked="false">
              <v:fill type="solid"/>
            </v:rect>
            <v:line style="position:absolute" from="7860,2299" to="8040,2299" stroked="true" strokeweight=".72pt" strokecolor="#165687">
              <v:stroke dashstyle="solid"/>
            </v:line>
            <v:rect style="position:absolute;left:8308;top:3133;width:180;height:87" filled="true" fillcolor="#165687" stroked="false">
              <v:fill type="solid"/>
            </v:rect>
            <v:rect style="position:absolute;left:8760;top:1998;width:180;height:152" filled="true" fillcolor="#165687" stroked="false">
              <v:fill type="solid"/>
            </v:rect>
            <v:shape style="position:absolute;left:1423;top:193;width:7702;height:3521" coordorigin="1423,194" coordsize="7702,3521" path="m9074,3715l9074,194m9074,3715l9125,3715m9074,3323l9125,3323m9074,2932l9125,2932m9074,2541l9125,2541m9074,2150l9125,2150m9074,1759l9125,1759m9074,1367l9125,1367m9074,976l9125,976m9074,585l9125,585m9074,194l9125,194m1423,2150l9074,2150m1423,2150l1423,2207m2323,2150l2323,2207m3223,2150l3223,2207m4123,2150l4123,2207m5023,2150l5023,2207m5923,2150l5923,2207m6826,2150l6826,2207m7726,2150l7726,2207m8626,2150l8626,2207e" filled="false" stroked="true" strokeweight=".72pt" strokecolor="#000000">
              <v:path arrowok="t"/>
              <v:stroke dashstyle="solid"/>
            </v:shape>
            <v:rect style="position:absolute;left:1840;top:462;width:99;height:99" filled="true" fillcolor="#165687" stroked="false">
              <v:fill type="solid"/>
            </v:rect>
            <v:rect style="position:absolute;left:3120;top:462;width:99;height:99" filled="true" fillcolor="#ff0000" stroked="false">
              <v:fill type="solid"/>
            </v:rect>
            <v:line style="position:absolute" from="8636,202" to="8636,3682" stroked="true" strokeweight="1.5pt" strokecolor="#000000">
              <v:stroke dashstyle="shortdash"/>
            </v:line>
            <v:shape style="position:absolute;left:1982;top:427;width:968;height:180" type="#_x0000_t202" filled="false" stroked="false">
              <v:textbox inset="0,0,0,0">
                <w:txbxContent>
                  <w:p>
                    <w:pPr>
                      <w:spacing w:line="180" w:lineRule="exact" w:before="0"/>
                      <w:ind w:left="0" w:right="0" w:firstLine="0"/>
                      <w:jc w:val="left"/>
                      <w:rPr>
                        <w:rFonts w:ascii="Calibri"/>
                        <w:sz w:val="18"/>
                      </w:rPr>
                    </w:pPr>
                    <w:r>
                      <w:rPr>
                        <w:rFonts w:ascii="Calibri"/>
                        <w:sz w:val="18"/>
                      </w:rPr>
                      <w:t>EM ex. China</w:t>
                    </w:r>
                  </w:p>
                </w:txbxContent>
              </v:textbox>
              <w10:wrap type="none"/>
            </v:shape>
            <v:shape style="position:absolute;left:3263;top:427;width:433;height:180" type="#_x0000_t202" filled="false" stroked="false">
              <v:textbox inset="0,0,0,0">
                <w:txbxContent>
                  <w:p>
                    <w:pPr>
                      <w:spacing w:line="180" w:lineRule="exact" w:before="0"/>
                      <w:ind w:left="0" w:right="0" w:firstLine="0"/>
                      <w:jc w:val="left"/>
                      <w:rPr>
                        <w:rFonts w:ascii="Calibri"/>
                        <w:sz w:val="18"/>
                      </w:rPr>
                    </w:pPr>
                    <w:r>
                      <w:rPr>
                        <w:rFonts w:ascii="Calibri"/>
                        <w:sz w:val="18"/>
                      </w:rPr>
                      <w:t>China</w:t>
                    </w:r>
                  </w:p>
                </w:txbxContent>
              </v:textbox>
              <w10:wrap type="none"/>
            </v:shape>
            <v:shape style="position:absolute;left:8247;top:306;width:260;height:221" type="#_x0000_t202" filled="false" stroked="false">
              <v:textbox inset="0,0,0,0">
                <w:txbxContent>
                  <w:p>
                    <w:pPr>
                      <w:spacing w:line="221" w:lineRule="exact" w:before="0"/>
                      <w:ind w:left="0" w:right="0" w:firstLine="0"/>
                      <w:jc w:val="left"/>
                      <w:rPr>
                        <w:rFonts w:ascii="Calibri"/>
                        <w:sz w:val="22"/>
                      </w:rPr>
                    </w:pPr>
                    <w:r>
                      <w:rPr>
                        <w:rFonts w:ascii="Calibri"/>
                        <w:sz w:val="22"/>
                      </w:rPr>
                      <w:t>(a)</w:t>
                    </w:r>
                  </w:p>
                </w:txbxContent>
              </v:textbox>
              <w10:wrap type="none"/>
            </v:shape>
            <w10:wrap type="none"/>
          </v:group>
        </w:pict>
      </w:r>
      <w:r>
        <w:rPr>
          <w:rFonts w:ascii="Calibri"/>
          <w:w w:val="100"/>
          <w:sz w:val="16"/>
        </w:rPr>
        <w:t>5</w:t>
      </w:r>
    </w:p>
    <w:p>
      <w:pPr>
        <w:pStyle w:val="BodyText"/>
        <w:spacing w:before="5"/>
        <w:rPr>
          <w:rFonts w:ascii="Calibri"/>
          <w:sz w:val="10"/>
        </w:rPr>
      </w:pPr>
    </w:p>
    <w:p>
      <w:pPr>
        <w:spacing w:before="69"/>
        <w:ind w:left="0" w:right="2596" w:firstLine="0"/>
        <w:jc w:val="right"/>
        <w:rPr>
          <w:rFonts w:ascii="Calibri"/>
          <w:sz w:val="16"/>
        </w:rPr>
      </w:pPr>
      <w:r>
        <w:rPr>
          <w:rFonts w:ascii="Calibri"/>
          <w:w w:val="100"/>
          <w:sz w:val="16"/>
        </w:rPr>
        <w:t>4</w:t>
      </w:r>
    </w:p>
    <w:p>
      <w:pPr>
        <w:pStyle w:val="BodyText"/>
        <w:spacing w:before="5"/>
        <w:rPr>
          <w:rFonts w:ascii="Calibri"/>
          <w:sz w:val="10"/>
        </w:rPr>
      </w:pPr>
    </w:p>
    <w:p>
      <w:pPr>
        <w:spacing w:before="69"/>
        <w:ind w:left="0" w:right="2596" w:firstLine="0"/>
        <w:jc w:val="right"/>
        <w:rPr>
          <w:rFonts w:ascii="Calibri"/>
          <w:sz w:val="16"/>
        </w:rPr>
      </w:pPr>
      <w:r>
        <w:rPr>
          <w:rFonts w:ascii="Calibri"/>
          <w:w w:val="100"/>
          <w:sz w:val="16"/>
        </w:rPr>
        <w:t>3</w:t>
      </w:r>
    </w:p>
    <w:p>
      <w:pPr>
        <w:pStyle w:val="BodyText"/>
        <w:spacing w:before="5"/>
        <w:rPr>
          <w:rFonts w:ascii="Calibri"/>
          <w:sz w:val="10"/>
        </w:rPr>
      </w:pPr>
    </w:p>
    <w:p>
      <w:pPr>
        <w:spacing w:before="69"/>
        <w:ind w:left="0" w:right="2596" w:firstLine="0"/>
        <w:jc w:val="right"/>
        <w:rPr>
          <w:rFonts w:ascii="Calibri"/>
          <w:sz w:val="16"/>
        </w:rPr>
      </w:pPr>
      <w:r>
        <w:rPr>
          <w:rFonts w:ascii="Calibri"/>
          <w:w w:val="100"/>
          <w:sz w:val="16"/>
        </w:rPr>
        <w:t>2</w:t>
      </w:r>
    </w:p>
    <w:p>
      <w:pPr>
        <w:pStyle w:val="BodyText"/>
        <w:spacing w:before="5"/>
        <w:rPr>
          <w:rFonts w:ascii="Calibri"/>
          <w:sz w:val="10"/>
        </w:rPr>
      </w:pPr>
    </w:p>
    <w:p>
      <w:pPr>
        <w:spacing w:line="176" w:lineRule="exact" w:before="68"/>
        <w:ind w:left="8406" w:right="0" w:firstLine="0"/>
        <w:jc w:val="left"/>
        <w:rPr>
          <w:rFonts w:ascii="Calibri"/>
          <w:sz w:val="16"/>
        </w:rPr>
      </w:pPr>
      <w:r>
        <w:rPr>
          <w:rFonts w:ascii="Calibri"/>
          <w:w w:val="100"/>
          <w:sz w:val="16"/>
        </w:rPr>
        <w:t>1</w:t>
      </w:r>
    </w:p>
    <w:p>
      <w:pPr>
        <w:spacing w:line="165" w:lineRule="exact" w:before="0"/>
        <w:ind w:left="8329" w:right="0" w:firstLine="0"/>
        <w:jc w:val="left"/>
        <w:rPr>
          <w:rFonts w:ascii="Times New Roman"/>
          <w:sz w:val="16"/>
        </w:rPr>
      </w:pPr>
      <w:r>
        <w:rPr>
          <w:rFonts w:ascii="Times New Roman"/>
          <w:w w:val="100"/>
          <w:sz w:val="16"/>
        </w:rPr>
        <w:t>+</w:t>
      </w:r>
    </w:p>
    <w:p>
      <w:pPr>
        <w:spacing w:line="165" w:lineRule="exact" w:before="51"/>
        <w:ind w:left="8406" w:right="0" w:firstLine="0"/>
        <w:jc w:val="left"/>
        <w:rPr>
          <w:rFonts w:ascii="Calibri"/>
          <w:sz w:val="16"/>
        </w:rPr>
      </w:pPr>
      <w:r>
        <w:rPr>
          <w:rFonts w:ascii="Calibri"/>
          <w:w w:val="100"/>
          <w:sz w:val="16"/>
        </w:rPr>
        <w:t>0</w:t>
      </w:r>
    </w:p>
    <w:p>
      <w:pPr>
        <w:spacing w:line="154" w:lineRule="exact" w:before="0"/>
        <w:ind w:left="8329" w:right="0" w:firstLine="0"/>
        <w:jc w:val="left"/>
        <w:rPr>
          <w:rFonts w:ascii="Times New Roman"/>
          <w:sz w:val="16"/>
        </w:rPr>
      </w:pPr>
      <w:r>
        <w:rPr>
          <w:rFonts w:ascii="Times New Roman"/>
          <w:w w:val="100"/>
          <w:sz w:val="16"/>
        </w:rPr>
        <w:t>-</w:t>
      </w:r>
    </w:p>
    <w:p>
      <w:pPr>
        <w:spacing w:before="72"/>
        <w:ind w:left="8406" w:right="0" w:firstLine="0"/>
        <w:jc w:val="left"/>
        <w:rPr>
          <w:rFonts w:ascii="Calibri"/>
          <w:sz w:val="16"/>
        </w:rPr>
      </w:pPr>
      <w:r>
        <w:rPr>
          <w:rFonts w:ascii="Calibri"/>
          <w:sz w:val="16"/>
        </w:rPr>
        <w:t>-1</w:t>
      </w:r>
    </w:p>
    <w:p>
      <w:pPr>
        <w:pStyle w:val="BodyText"/>
        <w:spacing w:before="6"/>
        <w:rPr>
          <w:rFonts w:ascii="Calibri"/>
          <w:sz w:val="10"/>
        </w:rPr>
      </w:pPr>
    </w:p>
    <w:p>
      <w:pPr>
        <w:spacing w:before="68"/>
        <w:ind w:left="0" w:right="2550" w:firstLine="0"/>
        <w:jc w:val="right"/>
        <w:rPr>
          <w:rFonts w:ascii="Calibri"/>
          <w:sz w:val="16"/>
        </w:rPr>
      </w:pPr>
      <w:r>
        <w:rPr>
          <w:rFonts w:ascii="Calibri"/>
          <w:spacing w:val="-3"/>
          <w:sz w:val="16"/>
        </w:rPr>
        <w:t>-2</w:t>
      </w:r>
    </w:p>
    <w:p>
      <w:pPr>
        <w:pStyle w:val="BodyText"/>
        <w:spacing w:before="5"/>
        <w:rPr>
          <w:rFonts w:ascii="Calibri"/>
          <w:sz w:val="10"/>
        </w:rPr>
      </w:pPr>
    </w:p>
    <w:p>
      <w:pPr>
        <w:spacing w:before="69"/>
        <w:ind w:left="0" w:right="2550" w:firstLine="0"/>
        <w:jc w:val="right"/>
        <w:rPr>
          <w:rFonts w:ascii="Calibri"/>
          <w:sz w:val="16"/>
        </w:rPr>
      </w:pPr>
      <w:r>
        <w:rPr>
          <w:rFonts w:ascii="Calibri"/>
          <w:spacing w:val="-3"/>
          <w:sz w:val="16"/>
        </w:rPr>
        <w:t>-3</w:t>
      </w:r>
    </w:p>
    <w:p>
      <w:pPr>
        <w:pStyle w:val="BodyText"/>
        <w:spacing w:before="5"/>
        <w:rPr>
          <w:rFonts w:ascii="Calibri"/>
          <w:sz w:val="10"/>
        </w:rPr>
      </w:pPr>
    </w:p>
    <w:p>
      <w:pPr>
        <w:spacing w:before="69"/>
        <w:ind w:left="8406" w:right="0" w:firstLine="0"/>
        <w:jc w:val="left"/>
        <w:rPr>
          <w:rFonts w:ascii="Calibri"/>
          <w:sz w:val="16"/>
        </w:rPr>
      </w:pPr>
      <w:r>
        <w:rPr>
          <w:rFonts w:ascii="Calibri"/>
          <w:sz w:val="16"/>
        </w:rPr>
        <w:t>-4</w:t>
      </w:r>
    </w:p>
    <w:p>
      <w:pPr>
        <w:tabs>
          <w:tab w:pos="1548" w:val="left" w:leader="none"/>
          <w:tab w:pos="2448" w:val="left" w:leader="none"/>
          <w:tab w:pos="3348" w:val="left" w:leader="none"/>
          <w:tab w:pos="4249" w:val="left" w:leader="none"/>
          <w:tab w:pos="5149" w:val="left" w:leader="none"/>
          <w:tab w:pos="6049" w:val="left" w:leader="none"/>
          <w:tab w:pos="6950" w:val="left" w:leader="none"/>
          <w:tab w:pos="7850" w:val="left" w:leader="none"/>
        </w:tabs>
        <w:spacing w:before="25"/>
        <w:ind w:left="648" w:right="0" w:firstLine="0"/>
        <w:jc w:val="left"/>
        <w:rPr>
          <w:rFonts w:ascii="Calibri"/>
          <w:sz w:val="18"/>
        </w:rPr>
      </w:pPr>
      <w:r>
        <w:rPr>
          <w:rFonts w:ascii="Calibri"/>
          <w:sz w:val="18"/>
        </w:rPr>
        <w:t>2000</w:t>
        <w:tab/>
        <w:t>2002</w:t>
        <w:tab/>
        <w:t>2004</w:t>
        <w:tab/>
        <w:t>2006</w:t>
        <w:tab/>
        <w:t>2008</w:t>
        <w:tab/>
        <w:t>2010</w:t>
        <w:tab/>
        <w:t>2012</w:t>
        <w:tab/>
        <w:t>2014</w:t>
        <w:tab/>
        <w:t>2016</w:t>
      </w:r>
    </w:p>
    <w:p>
      <w:pPr>
        <w:pStyle w:val="BodyText"/>
        <w:spacing w:before="5"/>
        <w:rPr>
          <w:rFonts w:ascii="Calibri"/>
          <w:sz w:val="19"/>
        </w:rPr>
      </w:pPr>
    </w:p>
    <w:p>
      <w:pPr>
        <w:spacing w:line="183" w:lineRule="exact" w:before="96"/>
        <w:ind w:left="313" w:right="0" w:firstLine="0"/>
        <w:jc w:val="left"/>
        <w:rPr>
          <w:sz w:val="16"/>
        </w:rPr>
      </w:pPr>
      <w:r>
        <w:rPr>
          <w:sz w:val="16"/>
        </w:rPr>
        <w:t>Source: IMF</w:t>
      </w:r>
    </w:p>
    <w:p>
      <w:pPr>
        <w:spacing w:line="183" w:lineRule="exact" w:before="0"/>
        <w:ind w:left="313" w:right="0" w:firstLine="0"/>
        <w:jc w:val="left"/>
        <w:rPr>
          <w:sz w:val="16"/>
        </w:rPr>
      </w:pPr>
      <w:r>
        <w:rPr>
          <w:sz w:val="16"/>
        </w:rPr>
        <w:t>(a) 2016 is a forecast.</w:t>
      </w:r>
    </w:p>
    <w:p>
      <w:pPr>
        <w:pStyle w:val="BodyText"/>
        <w:rPr>
          <w:sz w:val="18"/>
        </w:rPr>
      </w:pPr>
    </w:p>
    <w:p>
      <w:pPr>
        <w:pStyle w:val="BodyText"/>
        <w:rPr>
          <w:sz w:val="18"/>
        </w:rPr>
      </w:pPr>
    </w:p>
    <w:p>
      <w:pPr>
        <w:pStyle w:val="BodyText"/>
        <w:spacing w:before="3"/>
        <w:rPr>
          <w:sz w:val="14"/>
        </w:rPr>
      </w:pPr>
    </w:p>
    <w:p>
      <w:pPr>
        <w:pStyle w:val="BodyText"/>
        <w:spacing w:line="360" w:lineRule="auto"/>
        <w:ind w:left="313" w:right="1451"/>
      </w:pPr>
      <w:r>
        <w:rPr/>
        <w:t>These shortcomings also explain much of the sharp fall in global nominal growth since the crisis. Since 2007, global nominal GDP growth (in dollars) has been cut in half from over 8% to 4% last year, thereby compounding the challenges of private and public deleveraging (</w:t>
      </w:r>
      <w:r>
        <w:rPr>
          <w:b/>
        </w:rPr>
        <w:t>Table 1</w:t>
      </w:r>
      <w:r>
        <w:rPr/>
        <w:t>). In an unforgiving global environment even those economies with resilient private demand, like the UK, must manage policy with vigilance and dexterity.</w:t>
      </w:r>
    </w:p>
    <w:p>
      <w:pPr>
        <w:pStyle w:val="BodyText"/>
        <w:spacing w:before="8"/>
        <w:rPr>
          <w:sz w:val="29"/>
        </w:rPr>
      </w:pPr>
    </w:p>
    <w:p>
      <w:pPr>
        <w:pStyle w:val="Heading1"/>
      </w:pPr>
      <w:r>
        <w:rPr/>
        <w:t>Table 1: Global nominal growth halved since 2007</w:t>
      </w:r>
    </w:p>
    <w:p>
      <w:pPr>
        <w:pStyle w:val="BodyText"/>
        <w:spacing w:before="2"/>
        <w:rPr>
          <w:b/>
          <w:sz w:val="12"/>
        </w:rPr>
      </w:pPr>
    </w:p>
    <w:tbl>
      <w:tblPr>
        <w:tblW w:w="0" w:type="auto"/>
        <w:jc w:val="left"/>
        <w:tblInd w:w="3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1294"/>
        <w:gridCol w:w="1307"/>
        <w:gridCol w:w="1304"/>
        <w:gridCol w:w="1307"/>
        <w:gridCol w:w="1304"/>
        <w:gridCol w:w="1307"/>
        <w:gridCol w:w="1297"/>
      </w:tblGrid>
      <w:tr>
        <w:trPr>
          <w:trHeight w:val="556" w:hRule="atLeast"/>
        </w:trPr>
        <w:tc>
          <w:tcPr>
            <w:tcW w:w="1294" w:type="dxa"/>
            <w:tcBorders>
              <w:top w:val="nil"/>
              <w:left w:val="nil"/>
            </w:tcBorders>
            <w:shd w:val="clear" w:color="auto" w:fill="E9ECF4"/>
          </w:tcPr>
          <w:p>
            <w:pPr>
              <w:pStyle w:val="TableParagraph"/>
              <w:rPr>
                <w:b/>
                <w:sz w:val="21"/>
              </w:rPr>
            </w:pPr>
          </w:p>
          <w:p>
            <w:pPr>
              <w:pStyle w:val="TableParagraph"/>
              <w:ind w:left="4"/>
              <w:rPr>
                <w:b/>
                <w:sz w:val="18"/>
              </w:rPr>
            </w:pPr>
            <w:r>
              <w:rPr>
                <w:b/>
                <w:w w:val="99"/>
                <w:sz w:val="18"/>
              </w:rPr>
              <w:t>%</w:t>
            </w:r>
          </w:p>
        </w:tc>
        <w:tc>
          <w:tcPr>
            <w:tcW w:w="1307" w:type="dxa"/>
            <w:tcBorders>
              <w:top w:val="nil"/>
            </w:tcBorders>
            <w:shd w:val="clear" w:color="auto" w:fill="E9ECF4"/>
          </w:tcPr>
          <w:p>
            <w:pPr>
              <w:pStyle w:val="TableParagraph"/>
              <w:rPr>
                <w:b/>
                <w:sz w:val="21"/>
              </w:rPr>
            </w:pPr>
          </w:p>
          <w:p>
            <w:pPr>
              <w:pStyle w:val="TableParagraph"/>
              <w:ind w:left="207" w:right="207"/>
              <w:jc w:val="center"/>
              <w:rPr>
                <w:b/>
                <w:sz w:val="18"/>
              </w:rPr>
            </w:pPr>
            <w:r>
              <w:rPr>
                <w:b/>
                <w:sz w:val="18"/>
              </w:rPr>
              <w:t>China</w:t>
            </w:r>
          </w:p>
        </w:tc>
        <w:tc>
          <w:tcPr>
            <w:tcW w:w="1304" w:type="dxa"/>
            <w:tcBorders>
              <w:top w:val="nil"/>
            </w:tcBorders>
            <w:shd w:val="clear" w:color="auto" w:fill="E9ECF4"/>
          </w:tcPr>
          <w:p>
            <w:pPr>
              <w:pStyle w:val="TableParagraph"/>
              <w:rPr>
                <w:b/>
                <w:sz w:val="21"/>
              </w:rPr>
            </w:pPr>
          </w:p>
          <w:p>
            <w:pPr>
              <w:pStyle w:val="TableParagraph"/>
              <w:ind w:left="516"/>
              <w:rPr>
                <w:b/>
                <w:sz w:val="18"/>
              </w:rPr>
            </w:pPr>
            <w:r>
              <w:rPr>
                <w:b/>
                <w:sz w:val="18"/>
              </w:rPr>
              <w:t>US</w:t>
            </w:r>
          </w:p>
        </w:tc>
        <w:tc>
          <w:tcPr>
            <w:tcW w:w="1307" w:type="dxa"/>
            <w:tcBorders>
              <w:top w:val="nil"/>
            </w:tcBorders>
            <w:shd w:val="clear" w:color="auto" w:fill="E9ECF4"/>
          </w:tcPr>
          <w:p>
            <w:pPr>
              <w:pStyle w:val="TableParagraph"/>
              <w:rPr>
                <w:b/>
                <w:sz w:val="21"/>
              </w:rPr>
            </w:pPr>
          </w:p>
          <w:p>
            <w:pPr>
              <w:pStyle w:val="TableParagraph"/>
              <w:ind w:left="207" w:right="209"/>
              <w:jc w:val="center"/>
              <w:rPr>
                <w:b/>
                <w:sz w:val="18"/>
              </w:rPr>
            </w:pPr>
            <w:r>
              <w:rPr>
                <w:b/>
                <w:sz w:val="18"/>
              </w:rPr>
              <w:t>Euro area</w:t>
            </w:r>
          </w:p>
        </w:tc>
        <w:tc>
          <w:tcPr>
            <w:tcW w:w="1304" w:type="dxa"/>
            <w:tcBorders>
              <w:top w:val="nil"/>
            </w:tcBorders>
            <w:shd w:val="clear" w:color="auto" w:fill="E9ECF4"/>
          </w:tcPr>
          <w:p>
            <w:pPr>
              <w:pStyle w:val="TableParagraph"/>
              <w:rPr>
                <w:b/>
                <w:sz w:val="21"/>
              </w:rPr>
            </w:pPr>
          </w:p>
          <w:p>
            <w:pPr>
              <w:pStyle w:val="TableParagraph"/>
              <w:ind w:left="491" w:right="493"/>
              <w:jc w:val="center"/>
              <w:rPr>
                <w:b/>
                <w:sz w:val="18"/>
              </w:rPr>
            </w:pPr>
            <w:r>
              <w:rPr>
                <w:b/>
                <w:sz w:val="18"/>
              </w:rPr>
              <w:t>UK</w:t>
            </w:r>
          </w:p>
        </w:tc>
        <w:tc>
          <w:tcPr>
            <w:tcW w:w="1307" w:type="dxa"/>
            <w:tcBorders>
              <w:top w:val="nil"/>
            </w:tcBorders>
            <w:shd w:val="clear" w:color="auto" w:fill="E9ECF4"/>
          </w:tcPr>
          <w:p>
            <w:pPr>
              <w:pStyle w:val="TableParagraph"/>
              <w:rPr>
                <w:b/>
                <w:sz w:val="21"/>
              </w:rPr>
            </w:pPr>
          </w:p>
          <w:p>
            <w:pPr>
              <w:pStyle w:val="TableParagraph"/>
              <w:ind w:left="207" w:right="209"/>
              <w:jc w:val="center"/>
              <w:rPr>
                <w:b/>
                <w:sz w:val="18"/>
              </w:rPr>
            </w:pPr>
            <w:r>
              <w:rPr>
                <w:b/>
                <w:sz w:val="18"/>
              </w:rPr>
              <w:t>Japan</w:t>
            </w:r>
          </w:p>
        </w:tc>
        <w:tc>
          <w:tcPr>
            <w:tcW w:w="1297" w:type="dxa"/>
            <w:tcBorders>
              <w:top w:val="nil"/>
              <w:right w:val="nil"/>
            </w:tcBorders>
            <w:shd w:val="clear" w:color="auto" w:fill="E9ECF4"/>
          </w:tcPr>
          <w:p>
            <w:pPr>
              <w:pStyle w:val="TableParagraph"/>
              <w:rPr>
                <w:b/>
                <w:sz w:val="21"/>
              </w:rPr>
            </w:pPr>
          </w:p>
          <w:p>
            <w:pPr>
              <w:pStyle w:val="TableParagraph"/>
              <w:ind w:left="203" w:right="209"/>
              <w:jc w:val="center"/>
              <w:rPr>
                <w:b/>
                <w:sz w:val="18"/>
              </w:rPr>
            </w:pPr>
            <w:r>
              <w:rPr>
                <w:b/>
                <w:sz w:val="18"/>
              </w:rPr>
              <w:t>World</w:t>
            </w:r>
          </w:p>
        </w:tc>
      </w:tr>
      <w:tr>
        <w:trPr>
          <w:trHeight w:val="541" w:hRule="atLeast"/>
        </w:trPr>
        <w:tc>
          <w:tcPr>
            <w:tcW w:w="1294" w:type="dxa"/>
            <w:tcBorders>
              <w:left w:val="nil"/>
            </w:tcBorders>
            <w:shd w:val="clear" w:color="auto" w:fill="E9ECF4"/>
          </w:tcPr>
          <w:p>
            <w:pPr>
              <w:pStyle w:val="TableParagraph"/>
              <w:spacing w:line="207" w:lineRule="exact" w:before="3"/>
              <w:ind w:left="4"/>
              <w:rPr>
                <w:sz w:val="18"/>
              </w:rPr>
            </w:pPr>
            <w:r>
              <w:rPr>
                <w:sz w:val="18"/>
              </w:rPr>
              <w:t>1998-2007</w:t>
            </w:r>
          </w:p>
          <w:p>
            <w:pPr>
              <w:pStyle w:val="TableParagraph"/>
              <w:spacing w:line="207" w:lineRule="exact"/>
              <w:ind w:left="4"/>
              <w:rPr>
                <w:sz w:val="18"/>
              </w:rPr>
            </w:pPr>
            <w:r>
              <w:rPr>
                <w:sz w:val="18"/>
              </w:rPr>
              <w:t>average</w:t>
            </w:r>
          </w:p>
        </w:tc>
        <w:tc>
          <w:tcPr>
            <w:tcW w:w="1307" w:type="dxa"/>
            <w:shd w:val="clear" w:color="auto" w:fill="E9ECF4"/>
          </w:tcPr>
          <w:p>
            <w:pPr>
              <w:pStyle w:val="TableParagraph"/>
              <w:spacing w:before="166"/>
              <w:ind w:left="207" w:right="208"/>
              <w:jc w:val="center"/>
              <w:rPr>
                <w:sz w:val="18"/>
              </w:rPr>
            </w:pPr>
            <w:r>
              <w:rPr>
                <w:sz w:val="18"/>
              </w:rPr>
              <w:t>13.0</w:t>
            </w:r>
          </w:p>
        </w:tc>
        <w:tc>
          <w:tcPr>
            <w:tcW w:w="1304" w:type="dxa"/>
            <w:shd w:val="clear" w:color="auto" w:fill="E9ECF4"/>
          </w:tcPr>
          <w:p>
            <w:pPr>
              <w:pStyle w:val="TableParagraph"/>
              <w:spacing w:before="166"/>
              <w:ind w:left="516"/>
              <w:rPr>
                <w:sz w:val="18"/>
              </w:rPr>
            </w:pPr>
            <w:r>
              <w:rPr>
                <w:sz w:val="18"/>
              </w:rPr>
              <w:t>5.3</w:t>
            </w:r>
          </w:p>
        </w:tc>
        <w:tc>
          <w:tcPr>
            <w:tcW w:w="1307" w:type="dxa"/>
            <w:shd w:val="clear" w:color="auto" w:fill="E9ECF4"/>
          </w:tcPr>
          <w:p>
            <w:pPr>
              <w:pStyle w:val="TableParagraph"/>
              <w:spacing w:before="166"/>
              <w:ind w:left="207" w:right="209"/>
              <w:jc w:val="center"/>
              <w:rPr>
                <w:sz w:val="18"/>
              </w:rPr>
            </w:pPr>
            <w:r>
              <w:rPr>
                <w:sz w:val="18"/>
              </w:rPr>
              <w:t>4.4</w:t>
            </w:r>
          </w:p>
        </w:tc>
        <w:tc>
          <w:tcPr>
            <w:tcW w:w="1304" w:type="dxa"/>
            <w:shd w:val="clear" w:color="auto" w:fill="E9ECF4"/>
          </w:tcPr>
          <w:p>
            <w:pPr>
              <w:pStyle w:val="TableParagraph"/>
              <w:spacing w:before="166"/>
              <w:ind w:left="491" w:right="492"/>
              <w:jc w:val="center"/>
              <w:rPr>
                <w:sz w:val="18"/>
              </w:rPr>
            </w:pPr>
            <w:r>
              <w:rPr>
                <w:sz w:val="18"/>
              </w:rPr>
              <w:t>5.3</w:t>
            </w:r>
          </w:p>
        </w:tc>
        <w:tc>
          <w:tcPr>
            <w:tcW w:w="1307" w:type="dxa"/>
            <w:shd w:val="clear" w:color="auto" w:fill="E9ECF4"/>
          </w:tcPr>
          <w:p>
            <w:pPr>
              <w:pStyle w:val="TableParagraph"/>
              <w:spacing w:before="166"/>
              <w:ind w:left="207" w:right="209"/>
              <w:jc w:val="center"/>
              <w:rPr>
                <w:sz w:val="18"/>
              </w:rPr>
            </w:pPr>
            <w:r>
              <w:rPr>
                <w:sz w:val="18"/>
              </w:rPr>
              <w:t>-0.2</w:t>
            </w:r>
          </w:p>
        </w:tc>
        <w:tc>
          <w:tcPr>
            <w:tcW w:w="1297" w:type="dxa"/>
            <w:tcBorders>
              <w:right w:val="nil"/>
            </w:tcBorders>
            <w:shd w:val="clear" w:color="auto" w:fill="E9ECF4"/>
          </w:tcPr>
          <w:p>
            <w:pPr>
              <w:pStyle w:val="TableParagraph"/>
              <w:spacing w:before="166"/>
              <w:ind w:left="202" w:right="209"/>
              <w:jc w:val="center"/>
              <w:rPr>
                <w:sz w:val="18"/>
              </w:rPr>
            </w:pPr>
            <w:r>
              <w:rPr>
                <w:sz w:val="18"/>
              </w:rPr>
              <w:t>6.5</w:t>
            </w:r>
          </w:p>
        </w:tc>
      </w:tr>
      <w:tr>
        <w:trPr>
          <w:trHeight w:val="539" w:hRule="atLeast"/>
        </w:trPr>
        <w:tc>
          <w:tcPr>
            <w:tcW w:w="1294" w:type="dxa"/>
            <w:tcBorders>
              <w:left w:val="nil"/>
            </w:tcBorders>
            <w:shd w:val="clear" w:color="auto" w:fill="E9ECF4"/>
          </w:tcPr>
          <w:p>
            <w:pPr>
              <w:pStyle w:val="TableParagraph"/>
              <w:spacing w:before="1"/>
              <w:rPr>
                <w:b/>
                <w:sz w:val="20"/>
              </w:rPr>
            </w:pPr>
          </w:p>
          <w:p>
            <w:pPr>
              <w:pStyle w:val="TableParagraph"/>
              <w:ind w:left="4"/>
              <w:rPr>
                <w:sz w:val="18"/>
              </w:rPr>
            </w:pPr>
            <w:r>
              <w:rPr>
                <w:sz w:val="18"/>
              </w:rPr>
              <w:t>2007</w:t>
            </w:r>
          </w:p>
        </w:tc>
        <w:tc>
          <w:tcPr>
            <w:tcW w:w="1307" w:type="dxa"/>
            <w:shd w:val="clear" w:color="auto" w:fill="E9ECF4"/>
          </w:tcPr>
          <w:p>
            <w:pPr>
              <w:pStyle w:val="TableParagraph"/>
              <w:spacing w:before="1"/>
              <w:rPr>
                <w:b/>
                <w:sz w:val="20"/>
              </w:rPr>
            </w:pPr>
          </w:p>
          <w:p>
            <w:pPr>
              <w:pStyle w:val="TableParagraph"/>
              <w:ind w:left="207" w:right="208"/>
              <w:jc w:val="center"/>
              <w:rPr>
                <w:sz w:val="18"/>
              </w:rPr>
            </w:pPr>
            <w:r>
              <w:rPr>
                <w:sz w:val="18"/>
              </w:rPr>
              <w:t>23.1</w:t>
            </w:r>
          </w:p>
        </w:tc>
        <w:tc>
          <w:tcPr>
            <w:tcW w:w="1304" w:type="dxa"/>
            <w:shd w:val="clear" w:color="auto" w:fill="E9ECF4"/>
          </w:tcPr>
          <w:p>
            <w:pPr>
              <w:pStyle w:val="TableParagraph"/>
              <w:spacing w:before="1"/>
              <w:rPr>
                <w:b/>
                <w:sz w:val="20"/>
              </w:rPr>
            </w:pPr>
          </w:p>
          <w:p>
            <w:pPr>
              <w:pStyle w:val="TableParagraph"/>
              <w:ind w:left="516"/>
              <w:rPr>
                <w:sz w:val="18"/>
              </w:rPr>
            </w:pPr>
            <w:r>
              <w:rPr>
                <w:sz w:val="18"/>
              </w:rPr>
              <w:t>4.5</w:t>
            </w:r>
          </w:p>
        </w:tc>
        <w:tc>
          <w:tcPr>
            <w:tcW w:w="1307" w:type="dxa"/>
            <w:shd w:val="clear" w:color="auto" w:fill="E9ECF4"/>
          </w:tcPr>
          <w:p>
            <w:pPr>
              <w:pStyle w:val="TableParagraph"/>
              <w:spacing w:before="1"/>
              <w:rPr>
                <w:b/>
                <w:sz w:val="20"/>
              </w:rPr>
            </w:pPr>
          </w:p>
          <w:p>
            <w:pPr>
              <w:pStyle w:val="TableParagraph"/>
              <w:ind w:left="207" w:right="209"/>
              <w:jc w:val="center"/>
              <w:rPr>
                <w:sz w:val="18"/>
              </w:rPr>
            </w:pPr>
            <w:r>
              <w:rPr>
                <w:sz w:val="18"/>
              </w:rPr>
              <w:t>5.6</w:t>
            </w:r>
          </w:p>
        </w:tc>
        <w:tc>
          <w:tcPr>
            <w:tcW w:w="1304" w:type="dxa"/>
            <w:shd w:val="clear" w:color="auto" w:fill="E9ECF4"/>
          </w:tcPr>
          <w:p>
            <w:pPr>
              <w:pStyle w:val="TableParagraph"/>
              <w:spacing w:before="1"/>
              <w:rPr>
                <w:b/>
                <w:sz w:val="20"/>
              </w:rPr>
            </w:pPr>
          </w:p>
          <w:p>
            <w:pPr>
              <w:pStyle w:val="TableParagraph"/>
              <w:ind w:left="491" w:right="492"/>
              <w:jc w:val="center"/>
              <w:rPr>
                <w:sz w:val="18"/>
              </w:rPr>
            </w:pPr>
            <w:r>
              <w:rPr>
                <w:sz w:val="18"/>
              </w:rPr>
              <w:t>5.5</w:t>
            </w:r>
          </w:p>
        </w:tc>
        <w:tc>
          <w:tcPr>
            <w:tcW w:w="1307" w:type="dxa"/>
            <w:shd w:val="clear" w:color="auto" w:fill="E9ECF4"/>
          </w:tcPr>
          <w:p>
            <w:pPr>
              <w:pStyle w:val="TableParagraph"/>
              <w:spacing w:before="1"/>
              <w:rPr>
                <w:b/>
                <w:sz w:val="20"/>
              </w:rPr>
            </w:pPr>
          </w:p>
          <w:p>
            <w:pPr>
              <w:pStyle w:val="TableParagraph"/>
              <w:ind w:left="205" w:right="209"/>
              <w:jc w:val="center"/>
              <w:rPr>
                <w:sz w:val="18"/>
              </w:rPr>
            </w:pPr>
            <w:r>
              <w:rPr>
                <w:sz w:val="18"/>
              </w:rPr>
              <w:t>1.2</w:t>
            </w:r>
          </w:p>
        </w:tc>
        <w:tc>
          <w:tcPr>
            <w:tcW w:w="1297" w:type="dxa"/>
            <w:tcBorders>
              <w:right w:val="nil"/>
            </w:tcBorders>
            <w:shd w:val="clear" w:color="auto" w:fill="E9ECF4"/>
          </w:tcPr>
          <w:p>
            <w:pPr>
              <w:pStyle w:val="TableParagraph"/>
              <w:spacing w:before="1"/>
              <w:rPr>
                <w:b/>
                <w:sz w:val="20"/>
              </w:rPr>
            </w:pPr>
          </w:p>
          <w:p>
            <w:pPr>
              <w:pStyle w:val="TableParagraph"/>
              <w:ind w:left="202" w:right="209"/>
              <w:jc w:val="center"/>
              <w:rPr>
                <w:sz w:val="18"/>
              </w:rPr>
            </w:pPr>
            <w:r>
              <w:rPr>
                <w:sz w:val="18"/>
              </w:rPr>
              <w:t>8.4</w:t>
            </w:r>
          </w:p>
        </w:tc>
      </w:tr>
      <w:tr>
        <w:trPr>
          <w:trHeight w:val="541" w:hRule="atLeast"/>
        </w:trPr>
        <w:tc>
          <w:tcPr>
            <w:tcW w:w="1294" w:type="dxa"/>
            <w:tcBorders>
              <w:left w:val="nil"/>
            </w:tcBorders>
            <w:shd w:val="clear" w:color="auto" w:fill="E9ECF4"/>
          </w:tcPr>
          <w:p>
            <w:pPr>
              <w:pStyle w:val="TableParagraph"/>
              <w:spacing w:before="1"/>
              <w:rPr>
                <w:b/>
                <w:sz w:val="20"/>
              </w:rPr>
            </w:pPr>
          </w:p>
          <w:p>
            <w:pPr>
              <w:pStyle w:val="TableParagraph"/>
              <w:ind w:left="4"/>
              <w:rPr>
                <w:sz w:val="18"/>
              </w:rPr>
            </w:pPr>
            <w:r>
              <w:rPr>
                <w:sz w:val="18"/>
              </w:rPr>
              <w:t>2013</w:t>
            </w:r>
          </w:p>
        </w:tc>
        <w:tc>
          <w:tcPr>
            <w:tcW w:w="1307" w:type="dxa"/>
            <w:shd w:val="clear" w:color="auto" w:fill="E9ECF4"/>
          </w:tcPr>
          <w:p>
            <w:pPr>
              <w:pStyle w:val="TableParagraph"/>
              <w:spacing w:before="1"/>
              <w:rPr>
                <w:b/>
                <w:sz w:val="20"/>
              </w:rPr>
            </w:pPr>
          </w:p>
          <w:p>
            <w:pPr>
              <w:pStyle w:val="TableParagraph"/>
              <w:ind w:left="207" w:right="208"/>
              <w:jc w:val="center"/>
              <w:rPr>
                <w:sz w:val="18"/>
              </w:rPr>
            </w:pPr>
            <w:r>
              <w:rPr>
                <w:sz w:val="18"/>
              </w:rPr>
              <w:t>10.1</w:t>
            </w:r>
          </w:p>
        </w:tc>
        <w:tc>
          <w:tcPr>
            <w:tcW w:w="1304" w:type="dxa"/>
            <w:shd w:val="clear" w:color="auto" w:fill="E9ECF4"/>
          </w:tcPr>
          <w:p>
            <w:pPr>
              <w:pStyle w:val="TableParagraph"/>
              <w:spacing w:before="1"/>
              <w:rPr>
                <w:b/>
                <w:sz w:val="20"/>
              </w:rPr>
            </w:pPr>
          </w:p>
          <w:p>
            <w:pPr>
              <w:pStyle w:val="TableParagraph"/>
              <w:ind w:left="516"/>
              <w:rPr>
                <w:sz w:val="18"/>
              </w:rPr>
            </w:pPr>
            <w:r>
              <w:rPr>
                <w:sz w:val="18"/>
              </w:rPr>
              <w:t>3.1</w:t>
            </w:r>
          </w:p>
        </w:tc>
        <w:tc>
          <w:tcPr>
            <w:tcW w:w="1307" w:type="dxa"/>
            <w:shd w:val="clear" w:color="auto" w:fill="E9ECF4"/>
          </w:tcPr>
          <w:p>
            <w:pPr>
              <w:pStyle w:val="TableParagraph"/>
              <w:spacing w:before="1"/>
              <w:rPr>
                <w:b/>
                <w:sz w:val="20"/>
              </w:rPr>
            </w:pPr>
          </w:p>
          <w:p>
            <w:pPr>
              <w:pStyle w:val="TableParagraph"/>
              <w:ind w:left="207" w:right="209"/>
              <w:jc w:val="center"/>
              <w:rPr>
                <w:sz w:val="18"/>
              </w:rPr>
            </w:pPr>
            <w:r>
              <w:rPr>
                <w:sz w:val="18"/>
              </w:rPr>
              <w:t>1.0</w:t>
            </w:r>
          </w:p>
        </w:tc>
        <w:tc>
          <w:tcPr>
            <w:tcW w:w="1304" w:type="dxa"/>
            <w:shd w:val="clear" w:color="auto" w:fill="E9ECF4"/>
          </w:tcPr>
          <w:p>
            <w:pPr>
              <w:pStyle w:val="TableParagraph"/>
              <w:spacing w:before="1"/>
              <w:rPr>
                <w:b/>
                <w:sz w:val="20"/>
              </w:rPr>
            </w:pPr>
          </w:p>
          <w:p>
            <w:pPr>
              <w:pStyle w:val="TableParagraph"/>
              <w:ind w:left="491" w:right="492"/>
              <w:jc w:val="center"/>
              <w:rPr>
                <w:sz w:val="18"/>
              </w:rPr>
            </w:pPr>
            <w:r>
              <w:rPr>
                <w:sz w:val="18"/>
              </w:rPr>
              <w:t>4.2</w:t>
            </w:r>
          </w:p>
        </w:tc>
        <w:tc>
          <w:tcPr>
            <w:tcW w:w="1307" w:type="dxa"/>
            <w:shd w:val="clear" w:color="auto" w:fill="E9ECF4"/>
          </w:tcPr>
          <w:p>
            <w:pPr>
              <w:pStyle w:val="TableParagraph"/>
              <w:spacing w:before="1"/>
              <w:rPr>
                <w:b/>
                <w:sz w:val="20"/>
              </w:rPr>
            </w:pPr>
          </w:p>
          <w:p>
            <w:pPr>
              <w:pStyle w:val="TableParagraph"/>
              <w:ind w:left="205" w:right="209"/>
              <w:jc w:val="center"/>
              <w:rPr>
                <w:sz w:val="18"/>
              </w:rPr>
            </w:pPr>
            <w:r>
              <w:rPr>
                <w:sz w:val="18"/>
              </w:rPr>
              <w:t>0.8</w:t>
            </w:r>
          </w:p>
        </w:tc>
        <w:tc>
          <w:tcPr>
            <w:tcW w:w="1297" w:type="dxa"/>
            <w:tcBorders>
              <w:right w:val="nil"/>
            </w:tcBorders>
            <w:shd w:val="clear" w:color="auto" w:fill="E9ECF4"/>
          </w:tcPr>
          <w:p>
            <w:pPr>
              <w:pStyle w:val="TableParagraph"/>
              <w:spacing w:before="1"/>
              <w:rPr>
                <w:b/>
                <w:sz w:val="20"/>
              </w:rPr>
            </w:pPr>
          </w:p>
          <w:p>
            <w:pPr>
              <w:pStyle w:val="TableParagraph"/>
              <w:ind w:left="202" w:right="209"/>
              <w:jc w:val="center"/>
              <w:rPr>
                <w:sz w:val="18"/>
              </w:rPr>
            </w:pPr>
            <w:r>
              <w:rPr>
                <w:sz w:val="18"/>
              </w:rPr>
              <w:t>4.9</w:t>
            </w:r>
          </w:p>
        </w:tc>
      </w:tr>
      <w:tr>
        <w:trPr>
          <w:trHeight w:val="541" w:hRule="atLeast"/>
        </w:trPr>
        <w:tc>
          <w:tcPr>
            <w:tcW w:w="1294" w:type="dxa"/>
            <w:tcBorders>
              <w:left w:val="nil"/>
            </w:tcBorders>
            <w:shd w:val="clear" w:color="auto" w:fill="E9ECF4"/>
          </w:tcPr>
          <w:p>
            <w:pPr>
              <w:pStyle w:val="TableParagraph"/>
              <w:spacing w:before="1"/>
              <w:rPr>
                <w:b/>
                <w:sz w:val="20"/>
              </w:rPr>
            </w:pPr>
          </w:p>
          <w:p>
            <w:pPr>
              <w:pStyle w:val="TableParagraph"/>
              <w:ind w:left="4"/>
              <w:rPr>
                <w:sz w:val="18"/>
              </w:rPr>
            </w:pPr>
            <w:r>
              <w:rPr>
                <w:sz w:val="18"/>
              </w:rPr>
              <w:t>2014</w:t>
            </w:r>
          </w:p>
        </w:tc>
        <w:tc>
          <w:tcPr>
            <w:tcW w:w="1307" w:type="dxa"/>
            <w:shd w:val="clear" w:color="auto" w:fill="E9ECF4"/>
          </w:tcPr>
          <w:p>
            <w:pPr>
              <w:pStyle w:val="TableParagraph"/>
              <w:spacing w:before="1"/>
              <w:rPr>
                <w:b/>
                <w:sz w:val="20"/>
              </w:rPr>
            </w:pPr>
          </w:p>
          <w:p>
            <w:pPr>
              <w:pStyle w:val="TableParagraph"/>
              <w:ind w:left="207" w:right="208"/>
              <w:jc w:val="center"/>
              <w:rPr>
                <w:sz w:val="18"/>
              </w:rPr>
            </w:pPr>
            <w:r>
              <w:rPr>
                <w:sz w:val="18"/>
              </w:rPr>
              <w:t>8.2</w:t>
            </w:r>
          </w:p>
        </w:tc>
        <w:tc>
          <w:tcPr>
            <w:tcW w:w="1304" w:type="dxa"/>
            <w:shd w:val="clear" w:color="auto" w:fill="E9ECF4"/>
          </w:tcPr>
          <w:p>
            <w:pPr>
              <w:pStyle w:val="TableParagraph"/>
              <w:spacing w:before="1"/>
              <w:rPr>
                <w:b/>
                <w:sz w:val="20"/>
              </w:rPr>
            </w:pPr>
          </w:p>
          <w:p>
            <w:pPr>
              <w:pStyle w:val="TableParagraph"/>
              <w:ind w:left="516"/>
              <w:rPr>
                <w:sz w:val="18"/>
              </w:rPr>
            </w:pPr>
            <w:r>
              <w:rPr>
                <w:sz w:val="18"/>
              </w:rPr>
              <w:t>4.1</w:t>
            </w:r>
          </w:p>
        </w:tc>
        <w:tc>
          <w:tcPr>
            <w:tcW w:w="1307" w:type="dxa"/>
            <w:shd w:val="clear" w:color="auto" w:fill="E9ECF4"/>
          </w:tcPr>
          <w:p>
            <w:pPr>
              <w:pStyle w:val="TableParagraph"/>
              <w:spacing w:before="1"/>
              <w:rPr>
                <w:b/>
                <w:sz w:val="20"/>
              </w:rPr>
            </w:pPr>
          </w:p>
          <w:p>
            <w:pPr>
              <w:pStyle w:val="TableParagraph"/>
              <w:ind w:left="207" w:right="209"/>
              <w:jc w:val="center"/>
              <w:rPr>
                <w:sz w:val="18"/>
              </w:rPr>
            </w:pPr>
            <w:r>
              <w:rPr>
                <w:sz w:val="18"/>
              </w:rPr>
              <w:t>1.8</w:t>
            </w:r>
          </w:p>
        </w:tc>
        <w:tc>
          <w:tcPr>
            <w:tcW w:w="1304" w:type="dxa"/>
            <w:shd w:val="clear" w:color="auto" w:fill="E9ECF4"/>
          </w:tcPr>
          <w:p>
            <w:pPr>
              <w:pStyle w:val="TableParagraph"/>
              <w:spacing w:before="1"/>
              <w:rPr>
                <w:b/>
                <w:sz w:val="20"/>
              </w:rPr>
            </w:pPr>
          </w:p>
          <w:p>
            <w:pPr>
              <w:pStyle w:val="TableParagraph"/>
              <w:ind w:left="491" w:right="492"/>
              <w:jc w:val="center"/>
              <w:rPr>
                <w:sz w:val="18"/>
              </w:rPr>
            </w:pPr>
            <w:r>
              <w:rPr>
                <w:sz w:val="18"/>
              </w:rPr>
              <w:t>4.7</w:t>
            </w:r>
          </w:p>
        </w:tc>
        <w:tc>
          <w:tcPr>
            <w:tcW w:w="1307" w:type="dxa"/>
            <w:shd w:val="clear" w:color="auto" w:fill="E9ECF4"/>
          </w:tcPr>
          <w:p>
            <w:pPr>
              <w:pStyle w:val="TableParagraph"/>
              <w:spacing w:before="1"/>
              <w:rPr>
                <w:b/>
                <w:sz w:val="20"/>
              </w:rPr>
            </w:pPr>
          </w:p>
          <w:p>
            <w:pPr>
              <w:pStyle w:val="TableParagraph"/>
              <w:ind w:left="205" w:right="209"/>
              <w:jc w:val="center"/>
              <w:rPr>
                <w:sz w:val="18"/>
              </w:rPr>
            </w:pPr>
            <w:r>
              <w:rPr>
                <w:sz w:val="18"/>
              </w:rPr>
              <w:t>1.6</w:t>
            </w:r>
          </w:p>
        </w:tc>
        <w:tc>
          <w:tcPr>
            <w:tcW w:w="1297" w:type="dxa"/>
            <w:tcBorders>
              <w:right w:val="nil"/>
            </w:tcBorders>
            <w:shd w:val="clear" w:color="auto" w:fill="E9ECF4"/>
          </w:tcPr>
          <w:p>
            <w:pPr>
              <w:pStyle w:val="TableParagraph"/>
              <w:spacing w:before="1"/>
              <w:rPr>
                <w:b/>
                <w:sz w:val="20"/>
              </w:rPr>
            </w:pPr>
          </w:p>
          <w:p>
            <w:pPr>
              <w:pStyle w:val="TableParagraph"/>
              <w:ind w:left="202" w:right="209"/>
              <w:jc w:val="center"/>
              <w:rPr>
                <w:sz w:val="18"/>
              </w:rPr>
            </w:pPr>
            <w:r>
              <w:rPr>
                <w:sz w:val="18"/>
              </w:rPr>
              <w:t>5.0</w:t>
            </w:r>
          </w:p>
        </w:tc>
      </w:tr>
      <w:tr>
        <w:trPr>
          <w:trHeight w:val="542" w:hRule="atLeast"/>
        </w:trPr>
        <w:tc>
          <w:tcPr>
            <w:tcW w:w="1294" w:type="dxa"/>
            <w:tcBorders>
              <w:left w:val="nil"/>
              <w:bottom w:val="nil"/>
            </w:tcBorders>
            <w:shd w:val="clear" w:color="auto" w:fill="E9ECF4"/>
          </w:tcPr>
          <w:p>
            <w:pPr>
              <w:pStyle w:val="TableParagraph"/>
              <w:spacing w:before="1"/>
              <w:rPr>
                <w:b/>
                <w:sz w:val="20"/>
              </w:rPr>
            </w:pPr>
          </w:p>
          <w:p>
            <w:pPr>
              <w:pStyle w:val="TableParagraph"/>
              <w:ind w:left="4"/>
              <w:rPr>
                <w:sz w:val="18"/>
              </w:rPr>
            </w:pPr>
            <w:r>
              <w:rPr>
                <w:sz w:val="18"/>
              </w:rPr>
              <w:t>2015 (estimate)</w:t>
            </w:r>
          </w:p>
        </w:tc>
        <w:tc>
          <w:tcPr>
            <w:tcW w:w="1307" w:type="dxa"/>
            <w:tcBorders>
              <w:bottom w:val="nil"/>
            </w:tcBorders>
            <w:shd w:val="clear" w:color="auto" w:fill="E9ECF4"/>
          </w:tcPr>
          <w:p>
            <w:pPr>
              <w:pStyle w:val="TableParagraph"/>
              <w:spacing w:before="1"/>
              <w:rPr>
                <w:b/>
                <w:sz w:val="20"/>
              </w:rPr>
            </w:pPr>
          </w:p>
          <w:p>
            <w:pPr>
              <w:pStyle w:val="TableParagraph"/>
              <w:ind w:left="207" w:right="208"/>
              <w:jc w:val="center"/>
              <w:rPr>
                <w:sz w:val="18"/>
              </w:rPr>
            </w:pPr>
            <w:r>
              <w:rPr>
                <w:sz w:val="18"/>
              </w:rPr>
              <w:t>6.5</w:t>
            </w:r>
          </w:p>
        </w:tc>
        <w:tc>
          <w:tcPr>
            <w:tcW w:w="1304" w:type="dxa"/>
            <w:tcBorders>
              <w:bottom w:val="nil"/>
            </w:tcBorders>
            <w:shd w:val="clear" w:color="auto" w:fill="E9ECF4"/>
          </w:tcPr>
          <w:p>
            <w:pPr>
              <w:pStyle w:val="TableParagraph"/>
              <w:spacing w:before="1"/>
              <w:rPr>
                <w:b/>
                <w:sz w:val="20"/>
              </w:rPr>
            </w:pPr>
          </w:p>
          <w:p>
            <w:pPr>
              <w:pStyle w:val="TableParagraph"/>
              <w:ind w:left="516"/>
              <w:rPr>
                <w:sz w:val="18"/>
              </w:rPr>
            </w:pPr>
            <w:r>
              <w:rPr>
                <w:sz w:val="18"/>
              </w:rPr>
              <w:t>3.4</w:t>
            </w:r>
          </w:p>
        </w:tc>
        <w:tc>
          <w:tcPr>
            <w:tcW w:w="1307" w:type="dxa"/>
            <w:tcBorders>
              <w:bottom w:val="nil"/>
            </w:tcBorders>
            <w:shd w:val="clear" w:color="auto" w:fill="E9ECF4"/>
          </w:tcPr>
          <w:p>
            <w:pPr>
              <w:pStyle w:val="TableParagraph"/>
              <w:spacing w:before="1"/>
              <w:rPr>
                <w:b/>
                <w:sz w:val="20"/>
              </w:rPr>
            </w:pPr>
          </w:p>
          <w:p>
            <w:pPr>
              <w:pStyle w:val="TableParagraph"/>
              <w:ind w:left="207" w:right="209"/>
              <w:jc w:val="center"/>
              <w:rPr>
                <w:sz w:val="18"/>
              </w:rPr>
            </w:pPr>
            <w:r>
              <w:rPr>
                <w:sz w:val="18"/>
              </w:rPr>
              <w:t>2.8</w:t>
            </w:r>
          </w:p>
        </w:tc>
        <w:tc>
          <w:tcPr>
            <w:tcW w:w="1304" w:type="dxa"/>
            <w:tcBorders>
              <w:bottom w:val="nil"/>
            </w:tcBorders>
            <w:shd w:val="clear" w:color="auto" w:fill="E9ECF4"/>
          </w:tcPr>
          <w:p>
            <w:pPr>
              <w:pStyle w:val="TableParagraph"/>
              <w:spacing w:before="1"/>
              <w:rPr>
                <w:b/>
                <w:sz w:val="20"/>
              </w:rPr>
            </w:pPr>
          </w:p>
          <w:p>
            <w:pPr>
              <w:pStyle w:val="TableParagraph"/>
              <w:ind w:left="491" w:right="492"/>
              <w:jc w:val="center"/>
              <w:rPr>
                <w:sz w:val="18"/>
              </w:rPr>
            </w:pPr>
            <w:r>
              <w:rPr>
                <w:sz w:val="18"/>
              </w:rPr>
              <w:t>2.6</w:t>
            </w:r>
          </w:p>
        </w:tc>
        <w:tc>
          <w:tcPr>
            <w:tcW w:w="1307" w:type="dxa"/>
            <w:tcBorders>
              <w:bottom w:val="nil"/>
            </w:tcBorders>
            <w:shd w:val="clear" w:color="auto" w:fill="E9ECF4"/>
          </w:tcPr>
          <w:p>
            <w:pPr>
              <w:pStyle w:val="TableParagraph"/>
              <w:spacing w:before="1"/>
              <w:rPr>
                <w:b/>
                <w:sz w:val="20"/>
              </w:rPr>
            </w:pPr>
          </w:p>
          <w:p>
            <w:pPr>
              <w:pStyle w:val="TableParagraph"/>
              <w:ind w:left="205" w:right="209"/>
              <w:jc w:val="center"/>
              <w:rPr>
                <w:sz w:val="18"/>
              </w:rPr>
            </w:pPr>
            <w:r>
              <w:rPr>
                <w:sz w:val="18"/>
              </w:rPr>
              <w:t>2.5</w:t>
            </w:r>
          </w:p>
        </w:tc>
        <w:tc>
          <w:tcPr>
            <w:tcW w:w="1297" w:type="dxa"/>
            <w:tcBorders>
              <w:bottom w:val="nil"/>
              <w:right w:val="nil"/>
            </w:tcBorders>
            <w:shd w:val="clear" w:color="auto" w:fill="E9ECF4"/>
          </w:tcPr>
          <w:p>
            <w:pPr>
              <w:pStyle w:val="TableParagraph"/>
              <w:spacing w:before="1"/>
              <w:rPr>
                <w:b/>
                <w:sz w:val="20"/>
              </w:rPr>
            </w:pPr>
          </w:p>
          <w:p>
            <w:pPr>
              <w:pStyle w:val="TableParagraph"/>
              <w:ind w:left="202" w:right="209"/>
              <w:jc w:val="center"/>
              <w:rPr>
                <w:sz w:val="18"/>
              </w:rPr>
            </w:pPr>
            <w:r>
              <w:rPr>
                <w:sz w:val="18"/>
              </w:rPr>
              <w:t>4.0</w:t>
            </w:r>
          </w:p>
        </w:tc>
      </w:tr>
    </w:tbl>
    <w:p>
      <w:pPr>
        <w:spacing w:before="15"/>
        <w:ind w:left="313" w:right="0" w:firstLine="0"/>
        <w:jc w:val="left"/>
        <w:rPr>
          <w:sz w:val="16"/>
        </w:rPr>
      </w:pPr>
      <w:r>
        <w:rPr>
          <w:sz w:val="16"/>
        </w:rPr>
        <w:t>Source: IMF and Bank calculations.</w:t>
      </w:r>
    </w:p>
    <w:p>
      <w:pPr>
        <w:pStyle w:val="BodyText"/>
        <w:rPr>
          <w:sz w:val="18"/>
        </w:rPr>
      </w:pPr>
    </w:p>
    <w:p>
      <w:pPr>
        <w:pStyle w:val="BodyText"/>
        <w:rPr>
          <w:sz w:val="18"/>
        </w:rPr>
      </w:pPr>
    </w:p>
    <w:p>
      <w:pPr>
        <w:pStyle w:val="BodyText"/>
        <w:spacing w:line="360" w:lineRule="auto" w:before="162"/>
        <w:ind w:left="313" w:right="1129"/>
      </w:pPr>
      <w:r>
        <w:rPr/>
        <w:t>Renewed appreciation of the weak global outlook appears to have been the underlying cause of recent market turbulence. The latest freefall in commodity prices – though largely the product of actual and</w:t>
      </w:r>
    </w:p>
    <w:p>
      <w:pPr>
        <w:spacing w:after="0" w:line="360" w:lineRule="auto"/>
        <w:sectPr>
          <w:pgSz w:w="11910" w:h="16840"/>
          <w:pgMar w:header="0" w:footer="1338" w:top="1520" w:bottom="1520" w:left="820" w:right="0"/>
        </w:sectPr>
      </w:pPr>
    </w:p>
    <w:p>
      <w:pPr>
        <w:pStyle w:val="BodyText"/>
        <w:spacing w:line="357" w:lineRule="auto" w:before="79"/>
        <w:ind w:left="313" w:right="1129"/>
      </w:pPr>
      <w:r>
        <w:rPr/>
        <w:t>potential supply increases – has reinforced concerns about the sluggishness of global demand. And a series of relatively small data disappointments for many major G20 economies have added to these worries.</w:t>
      </w:r>
    </w:p>
    <w:p>
      <w:pPr>
        <w:pStyle w:val="BodyText"/>
        <w:spacing w:before="4"/>
        <w:rPr>
          <w:sz w:val="30"/>
        </w:rPr>
      </w:pPr>
    </w:p>
    <w:p>
      <w:pPr>
        <w:pStyle w:val="BodyText"/>
        <w:spacing w:line="360" w:lineRule="auto"/>
        <w:ind w:left="313" w:right="1129"/>
      </w:pPr>
      <w:r>
        <w:rPr/>
        <w:t>Necessary changes in the stance of monetary policy removed the complacent assumption that “all bad news is good news” (because it brought renewed stimulus) that many felt underpinned markets.</w:t>
      </w:r>
    </w:p>
    <w:p>
      <w:pPr>
        <w:pStyle w:val="BodyText"/>
        <w:spacing w:before="11"/>
        <w:rPr>
          <w:sz w:val="29"/>
        </w:rPr>
      </w:pPr>
    </w:p>
    <w:p>
      <w:pPr>
        <w:pStyle w:val="BodyText"/>
        <w:spacing w:line="360" w:lineRule="auto"/>
        <w:ind w:left="313" w:right="1308"/>
      </w:pPr>
      <w:r>
        <w:rPr/>
        <w:t>And as I will discuss in a moment, several commentators are peddling the myth that monetary policy is “out of ammunition.” Is “the only game in town” over?</w:t>
      </w:r>
    </w:p>
    <w:p>
      <w:pPr>
        <w:pStyle w:val="BodyText"/>
        <w:spacing w:before="11"/>
        <w:rPr>
          <w:sz w:val="29"/>
        </w:rPr>
      </w:pPr>
    </w:p>
    <w:p>
      <w:pPr>
        <w:pStyle w:val="BodyText"/>
        <w:spacing w:line="360" w:lineRule="auto"/>
        <w:ind w:left="313" w:right="1129"/>
      </w:pPr>
      <w:r>
        <w:rPr/>
        <w:t>As a consequence of these developments, investors are now re-considering whether the past seven years have been well spent. Has exceptional monetary policy merely bridged two low-growth equilibria? Or, even worse, has it been a pier, leaving the global economy facing a global liquidity trap? Can more time be purchased? If so, at what cost and, most importantly, how would that time be best spent?</w:t>
      </w:r>
    </w:p>
    <w:p>
      <w:pPr>
        <w:pStyle w:val="BodyText"/>
        <w:spacing w:before="1"/>
        <w:rPr>
          <w:sz w:val="30"/>
        </w:rPr>
      </w:pPr>
    </w:p>
    <w:p>
      <w:pPr>
        <w:pStyle w:val="BodyText"/>
        <w:spacing w:line="360" w:lineRule="auto"/>
        <w:ind w:left="313" w:right="1129"/>
      </w:pPr>
      <w:r>
        <w:rPr/>
        <w:t>These are the questions we should address during China’s G20 Presidency. They must be met with a response that matches the ambition and pragmatism of our hosts across financial reform, monetary policy and structural initiatives.</w:t>
      </w:r>
    </w:p>
    <w:p>
      <w:pPr>
        <w:pStyle w:val="BodyText"/>
        <w:spacing w:before="9"/>
        <w:rPr>
          <w:sz w:val="29"/>
        </w:rPr>
      </w:pPr>
    </w:p>
    <w:p>
      <w:pPr>
        <w:pStyle w:val="Heading1"/>
        <w:spacing w:before="1"/>
      </w:pPr>
      <w:r>
        <w:rPr/>
        <w:t>Recent Market Turbulence</w:t>
      </w:r>
    </w:p>
    <w:p>
      <w:pPr>
        <w:pStyle w:val="BodyText"/>
        <w:rPr>
          <w:b/>
          <w:sz w:val="22"/>
        </w:rPr>
      </w:pPr>
    </w:p>
    <w:p>
      <w:pPr>
        <w:pStyle w:val="BodyText"/>
        <w:spacing w:before="1"/>
        <w:rPr>
          <w:b/>
          <w:sz w:val="18"/>
        </w:rPr>
      </w:pPr>
    </w:p>
    <w:p>
      <w:pPr>
        <w:pStyle w:val="BodyText"/>
        <w:spacing w:line="360" w:lineRule="auto"/>
        <w:ind w:left="313" w:right="1456"/>
        <w:jc w:val="both"/>
      </w:pPr>
      <w:r>
        <w:rPr/>
        <w:t>Since the start of the year, risk sentiment in financial markets has deteriorated sharply, stemming in large part from a renewed appreciation of weak medium-term global growth prospects accompanied by marked downside risks.</w:t>
      </w:r>
    </w:p>
    <w:p>
      <w:pPr>
        <w:pStyle w:val="BodyText"/>
        <w:rPr>
          <w:sz w:val="30"/>
        </w:rPr>
      </w:pPr>
    </w:p>
    <w:p>
      <w:pPr>
        <w:pStyle w:val="BodyText"/>
        <w:spacing w:line="360" w:lineRule="auto"/>
        <w:ind w:left="313" w:right="1263"/>
      </w:pPr>
      <w:r>
        <w:rPr/>
        <w:t>Despite a recent recovery, equity markets are still down materially since the start of the year. Volatility has spilled over into corporate bond markets with US high-yield spreads at levels last seen during the euro-area crisis. The default rate implied by the US high-yield CDX index is more than double its long-run average.</w:t>
      </w:r>
    </w:p>
    <w:p>
      <w:pPr>
        <w:pStyle w:val="BodyText"/>
        <w:spacing w:line="360" w:lineRule="auto"/>
        <w:ind w:left="313" w:right="1163"/>
      </w:pPr>
      <w:r>
        <w:rPr/>
        <w:t>And sterling and US dollar investment grade corporate bond spreads are more than 75bp higher over the past year.</w:t>
      </w:r>
    </w:p>
    <w:p>
      <w:pPr>
        <w:pStyle w:val="BodyText"/>
        <w:spacing w:before="1"/>
        <w:rPr>
          <w:sz w:val="30"/>
        </w:rPr>
      </w:pPr>
    </w:p>
    <w:p>
      <w:pPr>
        <w:pStyle w:val="BodyText"/>
        <w:spacing w:line="360" w:lineRule="auto" w:before="1"/>
        <w:ind w:left="313" w:right="1385"/>
      </w:pPr>
      <w:r>
        <w:rPr/>
        <w:t>On the back of these concerns, risk premia have increased across the board, with ‘safe haven’ assets and currencies benefitting at the expense of equities, credit and commodities. In this ‘risk off’ environment, correlations across asset classes are up sharply.</w:t>
      </w:r>
    </w:p>
    <w:p>
      <w:pPr>
        <w:pStyle w:val="BodyText"/>
        <w:rPr>
          <w:sz w:val="30"/>
        </w:rPr>
      </w:pPr>
    </w:p>
    <w:p>
      <w:pPr>
        <w:pStyle w:val="BodyText"/>
        <w:spacing w:line="360" w:lineRule="auto"/>
        <w:ind w:left="313" w:right="1306"/>
      </w:pPr>
      <w:r>
        <w:rPr/>
        <w:t>Falls in market liquidity have contributed to strains in some markets. In treasuries and gilts, spreads between 30-year yields and the equivalent swaps have risen by over 40 basis points since the beginning of 2015. And there has been a widening in the spread between corporate bond yields and CDS premia which may reflect a reduction in arbitrage as dealers conserve their balance sheets.</w:t>
      </w:r>
    </w:p>
    <w:p>
      <w:pPr>
        <w:spacing w:after="0" w:line="360" w:lineRule="auto"/>
        <w:sectPr>
          <w:pgSz w:w="11910" w:h="16840"/>
          <w:pgMar w:header="0" w:footer="1338" w:top="1520" w:bottom="1520" w:left="820" w:right="0"/>
        </w:sectPr>
      </w:pPr>
    </w:p>
    <w:p>
      <w:pPr>
        <w:pStyle w:val="BodyText"/>
        <w:spacing w:line="357" w:lineRule="auto" w:before="79"/>
        <w:ind w:left="313" w:right="1012"/>
      </w:pPr>
      <w:r>
        <w:rPr/>
        <w:t>Banking stocks have been particularly hard hit, down about a quarter on average over the past three months, across the advanced economies, prompting some to question whether anything has really changed</w:t>
      </w:r>
    </w:p>
    <w:p>
      <w:pPr>
        <w:pStyle w:val="BodyText"/>
        <w:spacing w:line="362" w:lineRule="auto" w:before="1"/>
        <w:ind w:left="313" w:right="1129"/>
      </w:pPr>
      <w:r>
        <w:rPr/>
        <w:t>(</w:t>
      </w:r>
      <w:r>
        <w:rPr>
          <w:b/>
        </w:rPr>
        <w:t>Chart 5</w:t>
      </w:r>
      <w:r>
        <w:rPr/>
        <w:t>). This re-pricing likely reflects first and foremost renewed growth worries. Banks have always been high beta to the economy.</w:t>
      </w:r>
    </w:p>
    <w:p>
      <w:pPr>
        <w:pStyle w:val="BodyText"/>
        <w:spacing w:before="6"/>
        <w:rPr>
          <w:sz w:val="29"/>
        </w:rPr>
      </w:pPr>
    </w:p>
    <w:p>
      <w:pPr>
        <w:pStyle w:val="Heading1"/>
      </w:pPr>
      <w:r>
        <w:rPr/>
        <w:t>Chart 4: Rising dislocations across credit and fixed income markets</w:t>
      </w:r>
    </w:p>
    <w:p>
      <w:pPr>
        <w:pStyle w:val="BodyText"/>
        <w:spacing w:before="10"/>
        <w:rPr>
          <w:b/>
          <w:sz w:val="11"/>
        </w:rPr>
      </w:pPr>
    </w:p>
    <w:p>
      <w:pPr>
        <w:tabs>
          <w:tab w:pos="7614" w:val="left" w:leader="none"/>
        </w:tabs>
        <w:spacing w:before="56"/>
        <w:ind w:left="458" w:right="0" w:firstLine="0"/>
        <w:jc w:val="left"/>
        <w:rPr>
          <w:rFonts w:ascii="Calibri"/>
          <w:sz w:val="22"/>
        </w:rPr>
      </w:pPr>
      <w:r>
        <w:rPr>
          <w:rFonts w:ascii="Calibri"/>
          <w:sz w:val="22"/>
        </w:rPr>
        <w:t>Basis</w:t>
      </w:r>
      <w:r>
        <w:rPr>
          <w:rFonts w:ascii="Calibri"/>
          <w:spacing w:val="-3"/>
          <w:sz w:val="22"/>
        </w:rPr>
        <w:t> </w:t>
      </w:r>
      <w:r>
        <w:rPr>
          <w:rFonts w:ascii="Calibri"/>
          <w:sz w:val="22"/>
        </w:rPr>
        <w:t>points</w:t>
        <w:tab/>
        <w:t>Basis</w:t>
      </w:r>
      <w:r>
        <w:rPr>
          <w:rFonts w:ascii="Calibri"/>
          <w:spacing w:val="-3"/>
          <w:sz w:val="22"/>
        </w:rPr>
        <w:t> </w:t>
      </w:r>
      <w:r>
        <w:rPr>
          <w:rFonts w:ascii="Calibri"/>
          <w:sz w:val="22"/>
        </w:rPr>
        <w:t>points</w:t>
      </w:r>
    </w:p>
    <w:p>
      <w:pPr>
        <w:spacing w:after="0"/>
        <w:jc w:val="left"/>
        <w:rPr>
          <w:rFonts w:ascii="Calibri"/>
          <w:sz w:val="22"/>
        </w:rPr>
        <w:sectPr>
          <w:pgSz w:w="11910" w:h="16840"/>
          <w:pgMar w:header="0" w:footer="1338" w:top="1520" w:bottom="1520" w:left="820" w:right="0"/>
        </w:sectPr>
      </w:pPr>
    </w:p>
    <w:p>
      <w:pPr>
        <w:pStyle w:val="BodyText"/>
        <w:spacing w:before="57"/>
        <w:ind w:right="39"/>
        <w:jc w:val="right"/>
        <w:rPr>
          <w:rFonts w:ascii="Calibri"/>
        </w:rPr>
      </w:pPr>
      <w:r>
        <w:rPr>
          <w:rFonts w:ascii="Calibri"/>
          <w:spacing w:val="-1"/>
          <w:w w:val="95"/>
        </w:rPr>
        <w:t>10</w:t>
      </w:r>
    </w:p>
    <w:p>
      <w:pPr>
        <w:pStyle w:val="BodyText"/>
        <w:spacing w:before="22"/>
        <w:ind w:right="38"/>
        <w:jc w:val="right"/>
        <w:rPr>
          <w:rFonts w:ascii="Calibri"/>
        </w:rPr>
      </w:pPr>
      <w:r>
        <w:rPr>
          <w:rFonts w:ascii="Calibri"/>
          <w:w w:val="99"/>
        </w:rPr>
        <w:t>0</w:t>
      </w:r>
    </w:p>
    <w:p>
      <w:pPr>
        <w:pStyle w:val="BodyText"/>
        <w:spacing w:before="21"/>
        <w:ind w:right="38"/>
        <w:jc w:val="right"/>
        <w:rPr>
          <w:rFonts w:ascii="Calibri"/>
        </w:rPr>
      </w:pPr>
      <w:r>
        <w:rPr>
          <w:rFonts w:ascii="Calibri"/>
          <w:w w:val="95"/>
        </w:rPr>
        <w:t>-10</w:t>
      </w:r>
    </w:p>
    <w:p>
      <w:pPr>
        <w:pStyle w:val="BodyText"/>
        <w:spacing w:before="22"/>
        <w:ind w:right="38"/>
        <w:jc w:val="right"/>
        <w:rPr>
          <w:rFonts w:ascii="Calibri"/>
        </w:rPr>
      </w:pPr>
      <w:r>
        <w:rPr>
          <w:rFonts w:ascii="Calibri"/>
          <w:w w:val="95"/>
        </w:rPr>
        <w:t>-20</w:t>
      </w:r>
    </w:p>
    <w:p>
      <w:pPr>
        <w:pStyle w:val="BodyText"/>
        <w:spacing w:before="22"/>
        <w:ind w:right="38"/>
        <w:jc w:val="right"/>
        <w:rPr>
          <w:rFonts w:ascii="Calibri"/>
        </w:rPr>
      </w:pPr>
      <w:r>
        <w:rPr>
          <w:rFonts w:ascii="Calibri"/>
          <w:w w:val="95"/>
        </w:rPr>
        <w:t>-30</w:t>
      </w:r>
    </w:p>
    <w:p>
      <w:pPr>
        <w:pStyle w:val="BodyText"/>
        <w:spacing w:before="21"/>
        <w:ind w:right="38"/>
        <w:jc w:val="right"/>
        <w:rPr>
          <w:rFonts w:ascii="Calibri"/>
        </w:rPr>
      </w:pPr>
      <w:r>
        <w:rPr>
          <w:rFonts w:ascii="Calibri"/>
          <w:w w:val="95"/>
        </w:rPr>
        <w:t>-40</w:t>
      </w:r>
    </w:p>
    <w:p>
      <w:pPr>
        <w:pStyle w:val="BodyText"/>
        <w:spacing w:before="21"/>
        <w:ind w:right="38"/>
        <w:jc w:val="right"/>
        <w:rPr>
          <w:rFonts w:ascii="Calibri"/>
        </w:rPr>
      </w:pPr>
      <w:r>
        <w:rPr>
          <w:rFonts w:ascii="Calibri"/>
          <w:w w:val="95"/>
        </w:rPr>
        <w:t>-50</w:t>
      </w:r>
    </w:p>
    <w:p>
      <w:pPr>
        <w:pStyle w:val="BodyText"/>
        <w:spacing w:before="22"/>
        <w:ind w:right="38"/>
        <w:jc w:val="right"/>
        <w:rPr>
          <w:rFonts w:ascii="Calibri"/>
        </w:rPr>
      </w:pPr>
      <w:r>
        <w:rPr>
          <w:rFonts w:ascii="Calibri"/>
          <w:w w:val="95"/>
        </w:rPr>
        <w:t>-60</w:t>
      </w:r>
    </w:p>
    <w:p>
      <w:pPr>
        <w:pStyle w:val="BodyText"/>
        <w:spacing w:before="22"/>
        <w:ind w:right="38"/>
        <w:jc w:val="right"/>
        <w:rPr>
          <w:rFonts w:ascii="Calibri"/>
        </w:rPr>
      </w:pPr>
      <w:r>
        <w:rPr>
          <w:rFonts w:ascii="Calibri"/>
          <w:w w:val="95"/>
        </w:rPr>
        <w:t>-70</w:t>
      </w:r>
    </w:p>
    <w:p>
      <w:pPr>
        <w:pStyle w:val="BodyText"/>
        <w:spacing w:before="21"/>
        <w:ind w:right="38"/>
        <w:jc w:val="right"/>
        <w:rPr>
          <w:rFonts w:ascii="Calibri"/>
        </w:rPr>
      </w:pPr>
      <w:r>
        <w:rPr>
          <w:rFonts w:ascii="Calibri"/>
          <w:w w:val="95"/>
        </w:rPr>
        <w:t>-80</w:t>
      </w:r>
    </w:p>
    <w:p>
      <w:pPr>
        <w:pStyle w:val="BodyText"/>
        <w:spacing w:before="22"/>
        <w:ind w:right="38"/>
        <w:jc w:val="right"/>
        <w:rPr>
          <w:rFonts w:ascii="Calibri"/>
        </w:rPr>
      </w:pPr>
      <w:r>
        <w:rPr/>
        <w:pict>
          <v:shape style="position:absolute;margin-left:97.510002pt;margin-top:13.203622pt;width:12pt;height:28.4pt;mso-position-horizontal-relative:page;mso-position-vertical-relative:paragraph;z-index:251704320" type="#_x0000_t202" filled="false" stroked="false">
            <v:textbox inset="0,0,0,0" style="layout-flow:vertical;mso-layout-flow-alt:bottom-to-top">
              <w:txbxContent>
                <w:p>
                  <w:pPr>
                    <w:pStyle w:val="BodyText"/>
                    <w:spacing w:line="223" w:lineRule="exact"/>
                    <w:ind w:left="20"/>
                    <w:rPr>
                      <w:rFonts w:ascii="Calibri"/>
                    </w:rPr>
                  </w:pPr>
                  <w:r>
                    <w:rPr>
                      <w:rFonts w:ascii="Calibri"/>
                    </w:rPr>
                    <w:t>Jan-14</w:t>
                  </w:r>
                </w:p>
              </w:txbxContent>
            </v:textbox>
            <w10:wrap type="none"/>
          </v:shape>
        </w:pict>
      </w:r>
      <w:r>
        <w:rPr/>
        <w:pict>
          <v:shape style="position:absolute;margin-left:124.269997pt;margin-top:13.166546pt;width:12pt;height:32.0500pt;mso-position-horizontal-relative:page;mso-position-vertical-relative:paragraph;z-index:251705344" type="#_x0000_t202" filled="false" stroked="false">
            <v:textbox inset="0,0,0,0" style="layout-flow:vertical;mso-layout-flow-alt:bottom-to-top">
              <w:txbxContent>
                <w:p>
                  <w:pPr>
                    <w:pStyle w:val="BodyText"/>
                    <w:spacing w:line="223" w:lineRule="exact"/>
                    <w:ind w:left="20"/>
                    <w:rPr>
                      <w:rFonts w:ascii="Calibri"/>
                    </w:rPr>
                  </w:pPr>
                  <w:r>
                    <w:rPr>
                      <w:rFonts w:ascii="Calibri"/>
                    </w:rPr>
                    <w:t>Mar-14</w:t>
                  </w:r>
                </w:p>
              </w:txbxContent>
            </v:textbox>
            <w10:wrap type="none"/>
          </v:shape>
        </w:pict>
      </w:r>
      <w:r>
        <w:rPr/>
        <w:pict>
          <v:shape style="position:absolute;margin-left:151.970001pt;margin-top:13.147593pt;width:12pt;height:33.1pt;mso-position-horizontal-relative:page;mso-position-vertical-relative:paragraph;z-index:251706368" type="#_x0000_t202" filled="false" stroked="false">
            <v:textbox inset="0,0,0,0" style="layout-flow:vertical;mso-layout-flow-alt:bottom-to-top">
              <w:txbxContent>
                <w:p>
                  <w:pPr>
                    <w:pStyle w:val="BodyText"/>
                    <w:spacing w:line="223" w:lineRule="exact"/>
                    <w:ind w:left="20"/>
                    <w:rPr>
                      <w:rFonts w:ascii="Calibri"/>
                    </w:rPr>
                  </w:pPr>
                  <w:r>
                    <w:rPr>
                      <w:rFonts w:ascii="Calibri"/>
                    </w:rPr>
                    <w:t>May-14</w:t>
                  </w:r>
                </w:p>
              </w:txbxContent>
            </v:textbox>
            <w10:wrap type="none"/>
          </v:shape>
        </w:pict>
      </w:r>
      <w:r>
        <w:rPr/>
        <w:pict>
          <v:shape style="position:absolute;margin-left:179.639999pt;margin-top:13.227353pt;width:12pt;height:25.9pt;mso-position-horizontal-relative:page;mso-position-vertical-relative:paragraph;z-index:251707392" type="#_x0000_t202" filled="false" stroked="false">
            <v:textbox inset="0,0,0,0" style="layout-flow:vertical;mso-layout-flow-alt:bottom-to-top">
              <w:txbxContent>
                <w:p>
                  <w:pPr>
                    <w:pStyle w:val="BodyText"/>
                    <w:spacing w:line="223" w:lineRule="exact"/>
                    <w:ind w:left="20"/>
                    <w:rPr>
                      <w:rFonts w:ascii="Calibri"/>
                    </w:rPr>
                  </w:pPr>
                  <w:r>
                    <w:rPr>
                      <w:rFonts w:ascii="Calibri"/>
                    </w:rPr>
                    <w:t>Jul-14</w:t>
                  </w:r>
                </w:p>
              </w:txbxContent>
            </v:textbox>
            <w10:wrap type="none"/>
          </v:shape>
        </w:pict>
      </w:r>
      <w:r>
        <w:rPr/>
        <w:pict>
          <v:shape style="position:absolute;margin-left:207.770004pt;margin-top:13.232858pt;width:12pt;height:29.95pt;mso-position-horizontal-relative:page;mso-position-vertical-relative:paragraph;z-index:251708416" type="#_x0000_t202" filled="false" stroked="false">
            <v:textbox inset="0,0,0,0" style="layout-flow:vertical;mso-layout-flow-alt:bottom-to-top">
              <w:txbxContent>
                <w:p>
                  <w:pPr>
                    <w:pStyle w:val="BodyText"/>
                    <w:spacing w:line="223" w:lineRule="exact"/>
                    <w:ind w:left="20"/>
                    <w:rPr>
                      <w:rFonts w:ascii="Calibri"/>
                    </w:rPr>
                  </w:pPr>
                  <w:r>
                    <w:rPr>
                      <w:rFonts w:ascii="Calibri"/>
                    </w:rPr>
                    <w:t>Sep-14</w:t>
                  </w:r>
                </w:p>
              </w:txbxContent>
            </v:textbox>
            <w10:wrap type="none"/>
          </v:shape>
        </w:pict>
      </w:r>
      <w:r>
        <w:rPr/>
        <w:pict>
          <v:shape style="position:absolute;margin-left:235.440002pt;margin-top:13.209514pt;width:12pt;height:31.4pt;mso-position-horizontal-relative:page;mso-position-vertical-relative:paragraph;z-index:251709440" type="#_x0000_t202" filled="false" stroked="false">
            <v:textbox inset="0,0,0,0" style="layout-flow:vertical;mso-layout-flow-alt:bottom-to-top">
              <w:txbxContent>
                <w:p>
                  <w:pPr>
                    <w:pStyle w:val="BodyText"/>
                    <w:spacing w:line="223" w:lineRule="exact"/>
                    <w:ind w:left="20"/>
                    <w:rPr>
                      <w:rFonts w:ascii="Calibri"/>
                    </w:rPr>
                  </w:pPr>
                  <w:r>
                    <w:rPr>
                      <w:rFonts w:ascii="Calibri"/>
                    </w:rPr>
                    <w:t>Nov-14</w:t>
                  </w:r>
                </w:p>
              </w:txbxContent>
            </v:textbox>
            <w10:wrap type="none"/>
          </v:shape>
        </w:pict>
      </w:r>
      <w:r>
        <w:rPr/>
        <w:pict>
          <v:shape style="position:absolute;margin-left:263.109985pt;margin-top:13.203622pt;width:12pt;height:28.4pt;mso-position-horizontal-relative:page;mso-position-vertical-relative:paragraph;z-index:251710464" type="#_x0000_t202" filled="false" stroked="false">
            <v:textbox inset="0,0,0,0" style="layout-flow:vertical;mso-layout-flow-alt:bottom-to-top">
              <w:txbxContent>
                <w:p>
                  <w:pPr>
                    <w:pStyle w:val="BodyText"/>
                    <w:spacing w:line="223" w:lineRule="exact"/>
                    <w:ind w:left="20"/>
                    <w:rPr>
                      <w:rFonts w:ascii="Calibri"/>
                    </w:rPr>
                  </w:pPr>
                  <w:r>
                    <w:rPr>
                      <w:rFonts w:ascii="Calibri"/>
                    </w:rPr>
                    <w:t>Jan-15</w:t>
                  </w:r>
                </w:p>
              </w:txbxContent>
            </v:textbox>
            <w10:wrap type="none"/>
          </v:shape>
        </w:pict>
      </w:r>
      <w:r>
        <w:rPr/>
        <w:pict>
          <v:shape style="position:absolute;margin-left:289.869995pt;margin-top:13.166546pt;width:12pt;height:32.0500pt;mso-position-horizontal-relative:page;mso-position-vertical-relative:paragraph;z-index:251711488" type="#_x0000_t202" filled="false" stroked="false">
            <v:textbox inset="0,0,0,0" style="layout-flow:vertical;mso-layout-flow-alt:bottom-to-top">
              <w:txbxContent>
                <w:p>
                  <w:pPr>
                    <w:pStyle w:val="BodyText"/>
                    <w:spacing w:line="223" w:lineRule="exact"/>
                    <w:ind w:left="20"/>
                    <w:rPr>
                      <w:rFonts w:ascii="Calibri"/>
                    </w:rPr>
                  </w:pPr>
                  <w:r>
                    <w:rPr>
                      <w:rFonts w:ascii="Calibri"/>
                    </w:rPr>
                    <w:t>Mar-15</w:t>
                  </w:r>
                </w:p>
              </w:txbxContent>
            </v:textbox>
            <w10:wrap type="none"/>
          </v:shape>
        </w:pict>
      </w:r>
      <w:r>
        <w:rPr/>
        <w:pict>
          <v:shape style="position:absolute;margin-left:317.570007pt;margin-top:13.147593pt;width:12pt;height:33.1pt;mso-position-horizontal-relative:page;mso-position-vertical-relative:paragraph;z-index:251712512" type="#_x0000_t202" filled="false" stroked="false">
            <v:textbox inset="0,0,0,0" style="layout-flow:vertical;mso-layout-flow-alt:bottom-to-top">
              <w:txbxContent>
                <w:p>
                  <w:pPr>
                    <w:pStyle w:val="BodyText"/>
                    <w:spacing w:line="223" w:lineRule="exact"/>
                    <w:ind w:left="20"/>
                    <w:rPr>
                      <w:rFonts w:ascii="Calibri"/>
                    </w:rPr>
                  </w:pPr>
                  <w:r>
                    <w:rPr>
                      <w:rFonts w:ascii="Calibri"/>
                    </w:rPr>
                    <w:t>May-15</w:t>
                  </w:r>
                </w:p>
              </w:txbxContent>
            </v:textbox>
            <w10:wrap type="none"/>
          </v:shape>
        </w:pict>
      </w:r>
      <w:r>
        <w:rPr/>
        <w:pict>
          <v:shape style="position:absolute;margin-left:345.23999pt;margin-top:13.227353pt;width:12pt;height:25.9pt;mso-position-horizontal-relative:page;mso-position-vertical-relative:paragraph;z-index:251713536" type="#_x0000_t202" filled="false" stroked="false">
            <v:textbox inset="0,0,0,0" style="layout-flow:vertical;mso-layout-flow-alt:bottom-to-top">
              <w:txbxContent>
                <w:p>
                  <w:pPr>
                    <w:pStyle w:val="BodyText"/>
                    <w:spacing w:line="223" w:lineRule="exact"/>
                    <w:ind w:left="20"/>
                    <w:rPr>
                      <w:rFonts w:ascii="Calibri"/>
                    </w:rPr>
                  </w:pPr>
                  <w:r>
                    <w:rPr>
                      <w:rFonts w:ascii="Calibri"/>
                    </w:rPr>
                    <w:t>Jul-15</w:t>
                  </w:r>
                </w:p>
              </w:txbxContent>
            </v:textbox>
            <w10:wrap type="none"/>
          </v:shape>
        </w:pict>
      </w:r>
      <w:r>
        <w:rPr/>
        <w:pict>
          <v:shape style="position:absolute;margin-left:373.369995pt;margin-top:13.232858pt;width:12pt;height:29.95pt;mso-position-horizontal-relative:page;mso-position-vertical-relative:paragraph;z-index:251714560" type="#_x0000_t202" filled="false" stroked="false">
            <v:textbox inset="0,0,0,0" style="layout-flow:vertical;mso-layout-flow-alt:bottom-to-top">
              <w:txbxContent>
                <w:p>
                  <w:pPr>
                    <w:pStyle w:val="BodyText"/>
                    <w:spacing w:line="223" w:lineRule="exact"/>
                    <w:ind w:left="20"/>
                    <w:rPr>
                      <w:rFonts w:ascii="Calibri"/>
                    </w:rPr>
                  </w:pPr>
                  <w:r>
                    <w:rPr>
                      <w:rFonts w:ascii="Calibri"/>
                    </w:rPr>
                    <w:t>Sep-15</w:t>
                  </w:r>
                </w:p>
              </w:txbxContent>
            </v:textbox>
            <w10:wrap type="none"/>
          </v:shape>
        </w:pict>
      </w:r>
      <w:r>
        <w:rPr>
          <w:rFonts w:ascii="Calibri"/>
          <w:w w:val="95"/>
        </w:rPr>
        <w:t>-90</w:t>
      </w:r>
    </w:p>
    <w:p>
      <w:pPr>
        <w:spacing w:before="57"/>
        <w:ind w:left="777" w:right="0" w:firstLine="0"/>
        <w:jc w:val="left"/>
        <w:rPr>
          <w:rFonts w:ascii="Calibri"/>
          <w:sz w:val="20"/>
        </w:rPr>
      </w:pPr>
      <w:r>
        <w:rPr/>
        <w:br w:type="column"/>
      </w:r>
      <w:r>
        <w:rPr>
          <w:rFonts w:ascii="Calibri"/>
          <w:sz w:val="20"/>
        </w:rPr>
        <w:t>5</w:t>
      </w:r>
    </w:p>
    <w:p>
      <w:pPr>
        <w:pStyle w:val="BodyText"/>
        <w:spacing w:before="6"/>
        <w:rPr>
          <w:rFonts w:ascii="Calibri"/>
          <w:sz w:val="23"/>
        </w:rPr>
      </w:pPr>
    </w:p>
    <w:p>
      <w:pPr>
        <w:pStyle w:val="BodyText"/>
        <w:ind w:left="777"/>
        <w:rPr>
          <w:rFonts w:ascii="Calibri"/>
        </w:rPr>
      </w:pPr>
      <w:r>
        <w:rPr/>
        <w:pict>
          <v:group style="position:absolute;margin-left:99.120003pt;margin-top:-20.258537pt;width:344.8pt;height:133.6pt;mso-position-horizontal-relative:page;mso-position-vertical-relative:paragraph;z-index:251697152" coordorigin="1982,-405" coordsize="6896,2672">
            <v:shape style="position:absolute;left:1982;top:-398;width:6896;height:2657" coordorigin="1982,-398" coordsize="6896,2657" path="m2045,2259l8813,2259,8813,-398,2045,-398,2045,2259xm8813,2259l8813,-398m8813,2259l8878,2259m8813,1728l8878,1728m8813,1196l8878,1196m8813,665l8878,665m8813,132l8878,132m8813,-398l8878,-398m2045,2259l2047,-398m1982,2259l2045,2259m1982,1992l2045,1992m1982,1728l2045,1728m1982,1462l2045,1462m1982,1196l2045,1196m1982,932l2045,932m1982,665l2045,665m1982,399l2045,399m1982,132l2045,132m1982,-132l2045,-132m1982,-398l2045,-398m2045,-132l8813,-132m2045,-132l2045,-69m2582,-132l2582,-69m3134,-132l3134,-69m3689,-132l3689,-69m4250,-132l4250,-69m4805,-132l4805,-69m5357,-132l5357,-69m5892,-132l5892,-69m6446,-132l6446,-69m6998,-132l6998,-69m7562,-132l7562,-69m8114,-132l8114,-69m8669,-132l8669,-69e" filled="false" stroked="true" strokeweight=".72pt" strokecolor="#000000">
              <v:path arrowok="t"/>
              <v:stroke dashstyle="solid"/>
            </v:shape>
            <v:shape style="position:absolute;left:2359;top:-154;width:5081;height:816" coordorigin="2359,-153" coordsize="5081,816" path="m2359,-93l2369,-84,2376,-60,2386,-64,2395,-50,2422,-38,2431,-33,2441,-38,2450,-45,2458,-50,2486,-57,2496,-64,2503,-84,2513,-81,2522,-57,2549,-76,2558,-76,2568,-74,2578,-72,2585,-69,2614,-88,2623,-93,2630,-88,2640,-98,2650,-93,2676,-98,2686,-93,2695,-86,2705,-103,2712,-93,2741,-105,2748,-110,2758,-122,2767,-117,2777,-120,2803,-93,2813,-110,2822,-105,2830,-105,2839,-120,2868,-117,2875,-100,2885,-98,2894,-122,2904,-129,2930,-127,2940,-115,2950,-105,2957,-84,2966,-55,2995,-33,3002,-48,3012,-69,3022,-62,3031,-67,3058,-72,3067,-50,3077,-31,3084,-31,3094,-33,3120,-33,3130,-38,3139,-60,3149,-72,3158,-76,3185,-98,3194,-100,3202,-110,3211,-100,3221,-88,3247,-76,3257,-67,3266,-45,3276,-36,3283,-40,3312,-40,3322,-38,3329,-38,3338,-19,3348,-19,3374,-14,3384,-43,3394,-57,3403,-69,3410,-69,3439,-52,3449,-50,3456,-31,3466,-26,3475,-26,3502,-33,3511,-33,3521,-50,3530,-55,3538,-43,3566,-40,3574,-48,3583,-45,3593,-62,3602,-50,3629,-57,3638,-57,3648,-60,3655,-48,3665,-40,3694,-55,3701,-60,3710,-72,3720,-81,3730,-76,3756,-72,3766,-76,3775,-64,3782,-60,3792,-52,3818,-55,3828,-40,3838,-36,3847,-55,3857,-60,3883,-76,3893,-81,3902,-91,3910,-84,3919,-91,3946,-76,3955,-64,3965,-81,3974,-103,3984,-98,4010,-98,4020,-50,4027,-36,4037,-40,4046,-50,4073,-60,4082,-79,4092,-98,4102,-103,4109,-105,4138,-120,4147,-115,4154,-115,4164,-115,4174,-115,4200,-76,4210,-74,4219,-88,4229,-110,4236,-88,4265,-110,4272,-115,4282,-127,4291,-124,4301,-153,4327,-146,4337,-153,4346,-122,4356,-88,4363,-88,4392,-86,4399,-115,4409,-136,4418,-141,4428,-120,4454,-98,4464,-88,4474,-72,4481,-84,4490,-84,4519,-88,4526,-62,4536,-69,4546,-86,4555,-98,4582,-93,4591,-98,4601,-98,4608,-86,4618,-69,4644,-48,4654,-45,4663,-33,4673,-33,4682,-60,4709,-40,4718,-40,4726,-40,4735,-40,4745,-45,4771,-55,4781,-67,4790,-81,4800,-79,4853,-50,4862,-36,4872,-28,4898,-50,4908,-48,4918,-28,4927,-50,4934,-36,4963,-40,4973,-28,4980,-9,4990,-9,4999,-16,5026,-2,5035,-7,5045,-19,5054,-12,5062,-7,5090,-9,5098,-7,5107,-7,5117,-7,5126,0,5153,10,5162,44,5172,15,5179,5,5189,24,5218,34,5225,60,5234,70,5244,65,5254,75,5280,75,5290,53,5299,68,5306,77,5316,68,5345,60,5352,51,5362,68,5371,70,5381,63,5407,89,5417,80,5426,80,5434,101,5443,99,5470,101,5479,111,5489,128,5498,130,5508,147,5534,140,5544,140,5551,140,5561,128,5570,137,5597,118,5606,111,5616,128,5626,140,5633,154,5662,164,5671,164,5678,161,5688,161,5698,188,5724,200,5734,207,5743,212,5753,214,5760,209,5789,219,5798,233,5806,320,5815,332,5825,288,5851,308,5861,300,5870,296,5880,279,5887,296,5916,281,5923,262,5933,252,5942,245,5952,233,5978,240,5988,267,5998,298,6005,300,6014,300,6043,312,6050,322,6060,312,6070,339,6079,363,6106,413,6115,461,6125,473,6132,531,6142,473,6170,461,6178,447,6187,471,6197,440,6206,440,6233,442,6242,473,6252,473,6259,492,6269,492,6295,500,6305,512,6314,557,6324,579,6334,545,6360,600,6370,656,6377,663,6386,639,6396,586,6422,591,6432,557,6442,536,6451,504,6458,485,6487,526,6497,543,6504,504,6514,456,6523,440,6550,452,6559,461,6569,473,6578,466,6586,452,6614,468,6624,464,6631,507,6641,540,6650,545,6677,545,6686,512,6696,459,6706,413,6713,411,6742,370,6749,358,6758,401,6768,382,6778,413,6804,341,6814,348,6823,365,6830,423,6840,440,6869,432,6876,452,6886,435,6895,418,6905,396,6931,408,6941,408,6950,377,6958,372,6967,365,6996,370,7003,392,7013,396,7022,370,7032,387,7058,404,7068,377,7078,372,7085,353,7094,336,7121,377,7130,380,7140,389,7150,387,7159,370,7186,356,7195,365,7202,360,7212,348,7222,375,7248,432,7258,444,7267,504,7277,435,7284,454,7313,483,7322,552,7330,528,7339,497,7349,500,7375,500,7385,574,7394,624,7404,608,7411,569,7440,538e" filled="false" stroked="true" strokeweight="2.16pt" strokecolor="#7c5f9f">
              <v:path arrowok="t"/>
              <v:stroke dashstyle="solid"/>
            </v:shape>
            <v:shape style="position:absolute;left:7440;top:538;width:1371;height:759" coordorigin="7440,538" coordsize="1371,759" path="m7440,538l7450,574,7457,615,7466,612,7476,557,7502,591,7512,608,7522,612,7531,617,7538,668,7567,704,7574,797,7584,759,7594,699,7603,718,7630,677,7639,694,7649,720,7656,720,7666,728,7694,725,7702,773,7711,850,7721,819,7730,797,7757,809,7766,804,7776,792,7783,792,7793,812,7819,860,7829,860,7838,862,7848,905,7858,900,7884,896,7894,927,7903,1018,7910,989,7920,939,7946,951,7956,970,7966,953,7975,1025,7985,1016,8011,1030,8021,1076,8028,1097,8038,1136,8047,1162,8074,1097,8083,1071,8093,1068,8102,1071,8110,1071,8138,1056,8148,1001,8155,934,8165,946,8174,924,8201,905,8210,891,8220,876,8230,785,8237,732,8266,848,8273,821,8282,778,8292,768,8302,759,8328,744,8338,764,8347,809,8357,819,8364,804,8393,804,8400,867,8410,908,8419,917,8429,917,8455,893,8465,946,8474,956,8482,999,8491,1095,8520,1155,8527,1140,8537,1138,8546,1167,8556,1136,8582,1136,8592,1148,8602,1124,8609,1092,8618,1088,8645,1092,8654,1100,8664,1073,8674,1104,8683,1136,8710,1124,8719,1143,8726,1174,8736,1056,8746,1011,8772,984,8782,1054,8791,1143,8801,1296,8810,1251e" filled="false" stroked="true" strokeweight="2.16pt" strokecolor="#7c5f9f">
              <v:path arrowok="t"/>
              <v:stroke dashstyle="solid"/>
            </v:shape>
            <v:shape style="position:absolute;left:2049;top:-158;width:2660;height:567" coordorigin="2050,-158" coordsize="2660,567" path="m2050,298l2059,269,2069,269,2078,200,2105,192,2114,224,2124,231,2131,255,2141,264,2170,310,2177,344,2186,332,2242,346,2251,327,2258,341,2268,344,2294,363,2304,358,2314,341,2323,344,2333,334,2359,336,2369,370,2376,382,2386,382,2395,396,2422,404,2431,394,2441,375,2450,353,2458,324,2486,358,2496,392,2503,356,2513,101,2522,99,2549,72,2558,46,2568,-4,2578,-28,2585,-33,2614,-9,2623,32,2630,17,2640,0,2650,-7,2676,-40,2686,-38,2695,-19,2705,-28,2712,-76,2741,-81,2748,-108,2758,-112,2767,-86,2803,-69,2813,-48,2822,-48,2830,-55,2839,-57,2868,-84,2875,-36,2885,-40,2894,-57,2904,-64,2930,-62,2940,-62,2950,-36,2957,-31,2966,-36,2995,-48,3002,-36,3012,-36,3022,-48,3031,-40,3058,-36,3067,-57,3077,-19,3084,-4,3094,0,3130,3,3139,5,3149,15,3158,-14,3185,20,3194,12,3202,8,3211,34,3221,58,3247,111,3257,123,3266,137,3276,132,3283,144,3312,140,3322,154,3329,137,3338,166,3348,228,3374,195,3384,168,3394,149,3403,147,3410,149,3439,185,3449,183,3456,173,3466,166,3502,128,3511,123,3521,135,3530,120,3538,125,3566,168,3574,113,3583,120,3593,60,3602,77,3629,39,3638,56,3648,60,3655,53,3665,39,3694,20,3701,-7,3710,-2,3720,-81,3730,-98,3756,-69,3766,-98,3775,-91,3782,-96,3792,-52,3818,-24,3828,5,3838,41,3847,48,3857,12,3883,65,3893,87,3902,99,3910,89,3919,104,3946,96,3955,99,3965,75,3974,41,3984,34,4020,94,4027,116,4037,147,4046,154,4073,130,4082,111,4092,113,4102,113,4109,118,4138,96,4147,92,4154,108,4164,120,4174,128,4200,183,4210,159,4219,154,4229,96,4236,96,4265,12,4272,48,4282,34,4291,77,4301,108,4327,-124,4337,-158,4346,-84,4356,-124,4363,-74,4399,-98,4409,-141,4418,-28,4428,5,4454,27,4464,96,4474,104,4481,125,4490,123,4519,116,4526,173,4536,183,4546,207,4555,236,4582,303,4591,317,4601,312,4608,286,4618,272,4644,310,4663,324,4673,348,4682,375,4709,408e" filled="false" stroked="true" strokeweight="2.16pt" strokecolor="#46aac5">
              <v:path arrowok="t"/>
              <v:stroke dashstyle="solid"/>
            </v:shape>
            <v:shape style="position:absolute;left:4708;top:286;width:2631;height:1143" coordorigin="4709,286" coordsize="2631,1143" path="m4709,408l4718,459,4726,468,4735,478,4745,459,4771,471,4781,468,4790,473,4810,454,4836,514,4846,533,4853,538,4862,550,4872,543,4898,471,4908,492,4918,476,4927,490,4934,464,4963,447,4973,514,4980,641,4990,632,4999,579,5026,576,5035,598,5045,603,5062,605,5090,617,5098,612,5107,608,5126,596,5153,550,5162,550,5172,543,5179,528,5189,524,5218,514,5225,536,5234,550,5244,552,5254,562,5290,519,5299,550,5306,557,5316,533,5345,540,5352,514,5362,514,5371,536,5381,519,5407,564,5417,562,5426,526,5434,538,5443,480,5470,442,5479,408,5489,404,5498,425,5508,418,5544,399,5551,368,5561,324,5570,317,5597,286,5616,332,5626,348,5633,360,5662,377,5671,382,5678,356,5688,377,5698,351,5724,351,5734,329,5743,351,5753,368,5760,368,5789,435,5798,488,5806,564,5815,574,5825,536,5851,536,5861,557,5870,574,5880,581,5887,564,5916,572,5923,528,5933,538,5942,526,5952,524,5978,540,5988,540,5998,548,6005,548,6014,560,6043,581,6050,588,6060,593,6070,584,6079,555,6106,538,6115,526,6125,528,6132,519,6142,509,6170,509,6178,533,6187,562,6197,548,6206,562,6233,567,6242,560,6252,533,6259,533,6269,562,6295,564,6305,560,6314,567,6324,572,6334,581,6360,572,6370,598,6377,648,6386,653,6396,663,6432,620,6442,653,6451,646,6458,656,6487,723,6497,742,6504,730,6514,718,6523,716,6550,696,6559,706,6569,716,6578,735,6586,773,6614,776,6624,792,6631,792,6641,828,6650,857,6677,939,6686,934,6696,917,6706,908,6713,908,6742,915,6749,886,6758,840,6768,812,6804,773,6814,783,6823,807,6830,860,6840,886,6869,910,6876,948,6886,965,6895,999,6905,941,6931,958,6941,984,6950,960,6958,963,6967,951,6996,963,7003,1040,7013,1073,7022,1047,7032,1059,7058,1052,7068,1059,7078,1066,7085,1059,7094,1061,7121,1097,7130,1095,7140,1184,7150,1208,7159,1205,7186,1215,7195,1205,7202,1172,7212,1174,7222,1181,7248,1222,7258,1270,7267,1359,7277,1395,7284,1428,7313,1383,7322,1376,7330,1392,7339,1361e" filled="false" stroked="true" strokeweight="2.16pt" strokecolor="#46aac5">
              <v:path arrowok="t"/>
              <v:stroke dashstyle="solid"/>
            </v:shape>
            <v:shape style="position:absolute;left:7339;top:1003;width:1472;height:917" coordorigin="7339,1004" coordsize="1472,917" path="m7339,1361l7349,1356,7385,1409,7394,1395,7404,1397,7411,1392,7440,1376,7450,1424,7457,1433,7466,1402,7476,1352,7502,1301,7512,1256,7522,1270,7531,1260,7538,1277,7567,1227,7574,1383,7584,1354,7594,1287,7603,1284,7630,1361,7639,1414,7649,1452,7656,1445,7666,1436,7702,1436,7711,1457,7721,1486,7730,1448,7757,1443,7766,1452,7776,1397,7783,1388,7793,1400,7819,1397,7829,1361,7838,1436,7848,1428,7858,1436,7884,1479,7894,1551,7903,1527,7910,1500,7920,1366,7946,1354,7956,1304,7975,1282,7985,1270,8011,1299,8021,1296,8028,1337,8038,1344,8047,1359,8074,1272,8083,1248,8093,1263,8110,1260,8138,1239,8148,1292,8155,1263,8165,1311,8174,1260,8201,1184,8210,1179,8220,1188,8230,1160,8237,1004,8266,1258,8273,1383,8282,1359,8292,1263,8302,1241,8328,1272,8338,1299,8347,1376,8357,1388,8393,1342,8400,1376,8410,1361,8419,1359,8455,1316,8465,1349,8474,1284,8482,1347,8491,1234,8520,1265,8527,1313,8537,1260,8546,1385,8556,1359,8592,1424,8602,1544,8609,1671,8618,1654,8645,1632,8654,1740,8664,1702,8674,1824,8683,1868,8710,1880,8719,1851,8726,1920,8736,1846,8746,1714,8772,1570,8782,1719,8791,1774,8801,1858,8810,1875e" filled="false" stroked="true" strokeweight="2.16pt" strokecolor="#46aac5">
              <v:path arrowok="t"/>
              <v:stroke dashstyle="solid"/>
            </v:shape>
            <v:shape style="position:absolute;left:2049;top:-125;width:2542;height:1013" coordorigin="2050,-124" coordsize="2542,1013" path="m2050,281l2059,142,2069,192,2078,279,2105,152,2114,252,2124,257,2131,329,2141,428,2170,353,2177,353,2186,276,2196,339,2206,382,2232,382,2242,351,2251,166,2258,327,2268,276,2294,324,2304,250,2314,200,2323,195,2333,130,2359,39,2369,149,2376,149,2386,125,2395,-7,2422,32,2431,12,2441,34,2450,-124,2458,12,2486,173,2496,185,2503,72,2513,130,2522,164,2549,56,2558,120,2568,128,2578,231,2585,310,2614,394,2623,430,2630,413,2640,430,2650,389,2676,384,2686,401,2695,545,2705,348,2712,365,2741,406,2748,370,2758,418,2767,384,2777,384,2803,404,2813,449,2822,377,2830,334,2839,221,2868,372,2875,365,2885,516,2894,485,2904,440,2930,380,2940,233,2950,327,2957,377,2966,440,2995,562,3002,560,3012,468,3022,317,3031,312,3058,240,3067,183,3077,252,3084,377,3094,401,3120,401,3130,389,3139,348,3149,346,3158,353,3185,339,3194,346,3202,324,3211,401,3221,596,3247,437,3257,375,3266,248,3276,75,3283,132,3312,89,3322,113,3329,363,3338,305,3348,22,3374,164,3384,130,3394,291,3403,224,3410,245,3439,154,3449,250,3456,224,3466,348,3475,348,3502,272,3511,190,3521,240,3530,257,3538,180,3566,176,3574,197,3583,219,3593,5,3602,192,3629,219,3638,252,3648,250,3655,257,3665,216,3694,245,3701,180,3710,216,3720,56,3730,3,3756,236,3766,70,3775,132,3782,-62,3792,204,3818,159,3828,111,3838,305,3847,356,3857,358,3883,449,3893,305,3902,231,3910,356,3919,164,3946,329,3955,310,3965,284,3974,291,3984,284,4010,286,4020,252,4027,238,4037,216,4046,365,4073,329,4082,108,4092,248,4102,231,4109,183,4138,116,4147,260,4154,339,4164,423,4174,521,4200,128,4210,89,4219,279,4229,279,4236,255,4265,276,4272,413,4282,370,4291,485,4301,723,4327,620,4337,543,4346,848,4356,704,4363,600,4392,600,4399,701,4409,814,4418,684,4428,754,4454,792,4464,848,4474,648,4481,771,4490,874,4519,888,4526,807,4536,694,4546,716,4555,840,4582,756,4591,689e" filled="false" stroked="true" strokeweight="2.16pt" strokecolor="#97b853">
              <v:path arrowok="t"/>
              <v:stroke dashstyle="solid"/>
            </v:shape>
            <v:shape style="position:absolute;left:4591;top:67;width:2540;height:1011" coordorigin="4591,68" coordsize="2540,1011" path="m4591,689l4601,689,4608,804,4618,790,4644,824,4654,826,4663,838,4673,797,4682,716,4709,624,4718,605,4726,694,4735,718,4745,754,4771,893,4781,802,4790,855,4800,852,4810,826,4836,814,4846,800,4853,831,4862,838,4872,831,4898,800,4908,802,4918,718,4927,634,4934,560,4963,569,4973,598,4980,804,4990,927,4999,980,5026,776,5035,862,5045,886,5054,886,5062,910,5090,716,5098,663,5107,742,5117,742,5126,624,5153,639,5162,608,5172,692,5179,773,5189,764,5218,771,5225,749,5234,917,5244,761,5254,862,5280,867,5290,884,5299,932,5306,960,5316,903,5345,1078,5352,999,5362,840,5371,984,5381,725,5407,881,5417,963,5426,728,5434,869,5443,764,5470,740,5479,768,5489,684,5498,747,5508,802,5534,804,5544,747,5551,821,5561,759,5570,826,5597,816,5606,132,5616,879,5626,836,5633,821,5662,869,5671,749,5678,737,5688,876,5698,696,5724,567,5734,576,5743,572,5753,644,5760,538,5789,682,5798,756,5806,932,5815,802,5825,764,5851,776,5861,689,5870,495,5880,492,5887,468,5916,437,5923,490,5933,502,5942,555,5952,504,5978,569,5988,543,5998,473,6005,447,6014,339,6043,202,6050,226,6060,312,6070,255,6079,178,6106,269,6115,327,6125,404,6132,449,6142,478,6170,485,6178,456,6187,327,6197,252,6206,315,6233,300,6242,245,6252,156,6259,168,6269,411,6295,214,6305,240,6314,204,6324,394,6334,504,6360,432,6370,406,6377,356,6386,428,6396,387,6422,387,6432,382,6442,452,6451,380,6458,392,6487,435,6497,435,6504,291,6514,240,6523,168,6550,106,6559,209,6569,368,6578,365,6586,212,6614,68,6624,204,6631,130,6641,274,6650,276,6677,320,6686,303,6696,166,6706,204,6713,204,6742,142,6749,351,6758,452,6768,488,6778,488,6804,365,6814,466,6823,288,6830,252,6840,485,6869,603,6876,622,6886,641,6895,800,6905,838,6931,804,6941,759,6950,672,6958,728,6967,795,6996,747,7003,759,7013,696,7022,591,7032,704,7058,684,7068,651,7078,742,7085,684,7094,732,7121,816,7130,771e" filled="false" stroked="true" strokeweight="2.16pt" strokecolor="#97b853">
              <v:path arrowok="t"/>
              <v:stroke dashstyle="solid"/>
            </v:shape>
            <v:shape style="position:absolute;left:7130;top:394;width:1680;height:1611" coordorigin="7130,394" coordsize="1680,1611" path="m7130,771l7140,752,7150,706,7159,742,7186,773,7195,797,7202,850,7212,848,7222,783,7248,718,7258,754,7267,984,7277,905,7284,648,7313,440,7322,425,7330,536,7339,476,7349,401,7375,401,7385,680,7394,394,7404,538,7411,528,7440,646,7450,699,7457,754,7466,689,7476,680,7502,749,7512,804,7522,754,7531,761,7538,641,7567,788,7574,658,7584,644,7594,684,7603,915,7630,1025,7639,708,7649,768,7656,951,7666,764,7694,764,7702,684,7711,634,7721,836,7730,953,7757,996,7766,848,7776,735,7783,800,7793,1001,7819,977,7829,999,7838,977,7848,881,7858,912,7884,1025,7894,927,7903,732,7910,857,7920,852,7946,843,7956,936,7966,934,7975,936,7985,917,8011,1124,8021,1042,8028,1193,8038,1054,8047,1148,8074,1232,8083,1239,8093,1320,8102,1320,8110,1332,8138,1510,8148,1517,8155,1409,8165,1287,8174,1479,8201,1491,8210,1496,8220,1455,8230,1292,8237,1220,8266,1647,8273,1529,8282,1630,8292,1340,8302,1227,8328,1198,8338,1438,8347,1414,8357,1428,8364,1428,8393,1416,8400,1546,8410,1498,8419,1481,8429,1481,8455,1570,8465,1496,8474,1611,8482,1594,8491,1676,8520,1892,8527,1906,8537,1692,8546,1731,8556,1748,8582,1748,8592,1712,8602,1935,8609,1815,8618,2004,8645,1875,8654,1908,8664,1968,8674,1918,8683,1796,8710,1757,8719,1824,8726,1832,8736,1676,8746,1443,8772,1589,8782,1736,8791,1560,8801,1652,8810,1649e" filled="false" stroked="true" strokeweight="2.16pt" strokecolor="#97b853">
              <v:path arrowok="t"/>
              <v:stroke dashstyle="solid"/>
            </v:shape>
            <v:line style="position:absolute" from="2930,1637" to="3314,1637" stroked="true" strokeweight="2.16pt" strokecolor="#7c5f9f">
              <v:stroke dashstyle="solid"/>
            </v:line>
            <v:line style="position:absolute" from="2930,1870" to="3314,1870" stroked="true" strokeweight="2.16pt" strokecolor="#46aac5">
              <v:stroke dashstyle="solid"/>
            </v:line>
            <v:line style="position:absolute" from="2930,2105" to="3314,2105" stroked="true" strokeweight="2.16pt" strokecolor="#97b853">
              <v:stroke dashstyle="solid"/>
            </v:line>
            <v:shape style="position:absolute;left:1982;top:-406;width:6896;height:2672"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8"/>
                      <w:rPr>
                        <w:sz w:val="26"/>
                      </w:rPr>
                    </w:pPr>
                  </w:p>
                  <w:p>
                    <w:pPr>
                      <w:spacing w:line="230" w:lineRule="auto" w:before="0"/>
                      <w:ind w:left="1375" w:right="4090" w:firstLine="0"/>
                      <w:jc w:val="left"/>
                      <w:rPr>
                        <w:rFonts w:ascii="Calibri"/>
                        <w:sz w:val="20"/>
                      </w:rPr>
                    </w:pPr>
                    <w:r>
                      <w:rPr>
                        <w:rFonts w:ascii="Calibri"/>
                        <w:sz w:val="20"/>
                      </w:rPr>
                      <w:t>30yr swap spread CDS-cash basis</w:t>
                    </w:r>
                  </w:p>
                  <w:p>
                    <w:pPr>
                      <w:spacing w:line="235" w:lineRule="exact" w:before="0"/>
                      <w:ind w:left="1375" w:right="0" w:firstLine="0"/>
                      <w:jc w:val="left"/>
                      <w:rPr>
                        <w:rFonts w:ascii="Calibri"/>
                        <w:sz w:val="20"/>
                      </w:rPr>
                    </w:pPr>
                    <w:r>
                      <w:rPr>
                        <w:rFonts w:ascii="Calibri"/>
                        <w:sz w:val="20"/>
                      </w:rPr>
                      <w:t>IG skew (rhs)</w:t>
                    </w:r>
                  </w:p>
                </w:txbxContent>
              </v:textbox>
              <w10:wrap type="none"/>
            </v:shape>
            <w10:wrap type="none"/>
          </v:group>
        </w:pict>
      </w:r>
      <w:r>
        <w:rPr>
          <w:rFonts w:ascii="Calibri"/>
          <w:w w:val="99"/>
        </w:rPr>
        <w:t>0</w:t>
      </w:r>
    </w:p>
    <w:p>
      <w:pPr>
        <w:pStyle w:val="BodyText"/>
        <w:spacing w:before="7"/>
        <w:rPr>
          <w:rFonts w:ascii="Calibri"/>
          <w:sz w:val="23"/>
        </w:rPr>
      </w:pPr>
    </w:p>
    <w:p>
      <w:pPr>
        <w:pStyle w:val="BodyText"/>
        <w:ind w:left="777"/>
        <w:rPr>
          <w:rFonts w:ascii="Calibri"/>
        </w:rPr>
      </w:pPr>
      <w:r>
        <w:rPr>
          <w:rFonts w:ascii="Calibri"/>
        </w:rPr>
        <w:t>-5</w:t>
      </w:r>
    </w:p>
    <w:p>
      <w:pPr>
        <w:pStyle w:val="BodyText"/>
        <w:spacing w:before="6"/>
        <w:rPr>
          <w:rFonts w:ascii="Calibri"/>
          <w:sz w:val="23"/>
        </w:rPr>
      </w:pPr>
    </w:p>
    <w:p>
      <w:pPr>
        <w:pStyle w:val="BodyText"/>
        <w:spacing w:before="1"/>
        <w:ind w:left="777"/>
        <w:rPr>
          <w:rFonts w:ascii="Calibri"/>
        </w:rPr>
      </w:pPr>
      <w:r>
        <w:rPr>
          <w:rFonts w:ascii="Calibri"/>
        </w:rPr>
        <w:t>-10</w:t>
      </w:r>
    </w:p>
    <w:p>
      <w:pPr>
        <w:pStyle w:val="BodyText"/>
        <w:spacing w:before="6"/>
        <w:rPr>
          <w:rFonts w:ascii="Calibri"/>
          <w:sz w:val="23"/>
        </w:rPr>
      </w:pPr>
    </w:p>
    <w:p>
      <w:pPr>
        <w:pStyle w:val="BodyText"/>
        <w:ind w:left="777"/>
        <w:rPr>
          <w:rFonts w:ascii="Calibri"/>
        </w:rPr>
      </w:pPr>
      <w:r>
        <w:rPr>
          <w:rFonts w:ascii="Calibri"/>
        </w:rPr>
        <w:t>-15</w:t>
      </w:r>
    </w:p>
    <w:p>
      <w:pPr>
        <w:pStyle w:val="BodyText"/>
        <w:spacing w:before="6"/>
        <w:rPr>
          <w:rFonts w:ascii="Calibri"/>
          <w:sz w:val="23"/>
        </w:rPr>
      </w:pPr>
    </w:p>
    <w:p>
      <w:pPr>
        <w:pStyle w:val="BodyText"/>
        <w:spacing w:before="1"/>
        <w:ind w:left="777"/>
        <w:rPr>
          <w:rFonts w:ascii="Calibri"/>
        </w:rPr>
      </w:pPr>
      <w:r>
        <w:rPr/>
        <w:pict>
          <v:shape style="position:absolute;margin-left:401.040009pt;margin-top:12.159513pt;width:12pt;height:31.4pt;mso-position-horizontal-relative:page;mso-position-vertical-relative:paragraph;z-index:251715584" type="#_x0000_t202" filled="false" stroked="false">
            <v:textbox inset="0,0,0,0" style="layout-flow:vertical;mso-layout-flow-alt:bottom-to-top">
              <w:txbxContent>
                <w:p>
                  <w:pPr>
                    <w:pStyle w:val="BodyText"/>
                    <w:spacing w:line="223" w:lineRule="exact"/>
                    <w:ind w:left="20"/>
                    <w:rPr>
                      <w:rFonts w:ascii="Calibri"/>
                    </w:rPr>
                  </w:pPr>
                  <w:r>
                    <w:rPr>
                      <w:rFonts w:ascii="Calibri"/>
                    </w:rPr>
                    <w:t>Nov-15</w:t>
                  </w:r>
                </w:p>
              </w:txbxContent>
            </v:textbox>
            <w10:wrap type="none"/>
          </v:shape>
        </w:pict>
      </w:r>
      <w:r>
        <w:rPr/>
        <w:pict>
          <v:shape style="position:absolute;margin-left:428.709991pt;margin-top:12.153622pt;width:12pt;height:28.4pt;mso-position-horizontal-relative:page;mso-position-vertical-relative:paragraph;z-index:251716608" type="#_x0000_t202" filled="false" stroked="false">
            <v:textbox inset="0,0,0,0" style="layout-flow:vertical;mso-layout-flow-alt:bottom-to-top">
              <w:txbxContent>
                <w:p>
                  <w:pPr>
                    <w:pStyle w:val="BodyText"/>
                    <w:spacing w:line="223" w:lineRule="exact"/>
                    <w:ind w:left="20"/>
                    <w:rPr>
                      <w:rFonts w:ascii="Calibri"/>
                    </w:rPr>
                  </w:pPr>
                  <w:r>
                    <w:rPr>
                      <w:rFonts w:ascii="Calibri"/>
                    </w:rPr>
                    <w:t>Jan-16</w:t>
                  </w:r>
                </w:p>
              </w:txbxContent>
            </v:textbox>
            <w10:wrap type="none"/>
          </v:shape>
        </w:pict>
      </w:r>
      <w:r>
        <w:rPr>
          <w:rFonts w:ascii="Calibri"/>
        </w:rPr>
        <w:t>-20</w:t>
      </w:r>
    </w:p>
    <w:p>
      <w:pPr>
        <w:spacing w:after="0"/>
        <w:rPr>
          <w:rFonts w:ascii="Calibri"/>
        </w:rPr>
        <w:sectPr>
          <w:type w:val="continuous"/>
          <w:pgSz w:w="11910" w:h="16840"/>
          <w:pgMar w:top="1180" w:bottom="1520" w:left="820" w:right="0"/>
          <w:cols w:num="2" w:equalWidth="0">
            <w:col w:w="1083" w:space="6322"/>
            <w:col w:w="3685"/>
          </w:cols>
        </w:sectPr>
      </w:pPr>
    </w:p>
    <w:p>
      <w:pPr>
        <w:pStyle w:val="BodyText"/>
        <w:rPr>
          <w:rFonts w:ascii="Calibri"/>
        </w:rPr>
      </w:pPr>
    </w:p>
    <w:p>
      <w:pPr>
        <w:pStyle w:val="BodyText"/>
        <w:spacing w:before="8"/>
        <w:rPr>
          <w:rFonts w:ascii="Calibri"/>
          <w:sz w:val="26"/>
        </w:rPr>
      </w:pPr>
    </w:p>
    <w:p>
      <w:pPr>
        <w:spacing w:before="96"/>
        <w:ind w:left="313" w:right="1268" w:firstLine="0"/>
        <w:jc w:val="left"/>
        <w:rPr>
          <w:sz w:val="16"/>
        </w:rPr>
      </w:pPr>
      <w:r>
        <w:rPr>
          <w:sz w:val="16"/>
        </w:rPr>
        <w:t>Source: Barclays Live and Bank calculations. IG skew refers to the difference between US CDX.IG index and single-name CDS (SNCDS), 10-year swap spread is the spread between 10-yr USD swap and 10yr US treasury note, and CDS-cash basis is the spread between SNCDS and a basket of equivalent cash bonds.</w:t>
      </w:r>
    </w:p>
    <w:p>
      <w:pPr>
        <w:pStyle w:val="BodyText"/>
        <w:rPr>
          <w:sz w:val="18"/>
        </w:rPr>
      </w:pPr>
    </w:p>
    <w:p>
      <w:pPr>
        <w:pStyle w:val="BodyText"/>
        <w:rPr>
          <w:sz w:val="18"/>
        </w:rPr>
      </w:pPr>
    </w:p>
    <w:p>
      <w:pPr>
        <w:pStyle w:val="BodyText"/>
        <w:rPr>
          <w:sz w:val="24"/>
        </w:rPr>
      </w:pPr>
    </w:p>
    <w:p>
      <w:pPr>
        <w:pStyle w:val="Heading1"/>
      </w:pPr>
      <w:r>
        <w:rPr/>
        <w:t>Chart 5: Bank equities down 25% since end 2015</w:t>
      </w:r>
    </w:p>
    <w:p>
      <w:pPr>
        <w:pStyle w:val="BodyText"/>
        <w:rPr>
          <w:b/>
          <w:sz w:val="13"/>
        </w:rPr>
      </w:pPr>
    </w:p>
    <w:p>
      <w:pPr>
        <w:spacing w:after="0"/>
        <w:rPr>
          <w:sz w:val="13"/>
        </w:rPr>
        <w:sectPr>
          <w:type w:val="continuous"/>
          <w:pgSz w:w="11910" w:h="16840"/>
          <w:pgMar w:top="1180" w:bottom="1520" w:left="820" w:right="0"/>
        </w:sectPr>
      </w:pPr>
    </w:p>
    <w:p>
      <w:pPr>
        <w:tabs>
          <w:tab w:pos="1940" w:val="left" w:leader="none"/>
          <w:tab w:pos="2691" w:val="left" w:leader="none"/>
          <w:tab w:pos="3950" w:val="left" w:leader="none"/>
        </w:tabs>
        <w:spacing w:before="64"/>
        <w:ind w:left="1179" w:right="0" w:firstLine="0"/>
        <w:jc w:val="left"/>
        <w:rPr>
          <w:rFonts w:ascii="Calibri"/>
          <w:sz w:val="18"/>
        </w:rPr>
      </w:pPr>
      <w:r>
        <w:rPr/>
        <w:pict>
          <v:line style="position:absolute;mso-position-horizontal-relative:page;mso-position-vertical-relative:paragraph;z-index:251699200" from="78.720001pt,9.179339pt" to="97.920001pt,9.179339pt" stroked="true" strokeweight="1.92pt" strokecolor="#000080">
            <v:stroke dashstyle="solid"/>
            <w10:wrap type="none"/>
          </v:line>
        </w:pict>
      </w:r>
      <w:r>
        <w:rPr/>
        <w:pict>
          <v:line style="position:absolute;mso-position-horizontal-relative:page;mso-position-vertical-relative:paragraph;z-index:-252994560" from="116.760002pt,9.179339pt" to="135.960002pt,9.179339pt" stroked="true" strokeweight="1.92pt" strokecolor="#ff00ff">
            <v:stroke dashstyle="solid"/>
            <w10:wrap type="none"/>
          </v:line>
        </w:pict>
      </w:r>
      <w:r>
        <w:rPr/>
        <w:pict>
          <v:line style="position:absolute;mso-position-horizontal-relative:page;mso-position-vertical-relative:paragraph;z-index:-252993536" from="154.320007pt,9.179339pt" to="173.520007pt,9.179339pt" stroked="true" strokeweight="1.92pt" strokecolor="#008000">
            <v:stroke dashstyle="solid"/>
            <w10:wrap type="none"/>
          </v:line>
        </w:pict>
      </w:r>
      <w:r>
        <w:rPr/>
        <w:pict>
          <v:line style="position:absolute;mso-position-horizontal-relative:page;mso-position-vertical-relative:paragraph;z-index:-252992512" from="217.199997pt,9.179339pt" to="236.399997pt,9.179339pt" stroked="true" strokeweight="1.92pt" strokecolor="#00ffff">
            <v:stroke dashstyle="solid"/>
            <w10:wrap type="none"/>
          </v:line>
        </w:pict>
      </w:r>
      <w:r>
        <w:rPr>
          <w:rFonts w:ascii="Calibri"/>
          <w:sz w:val="18"/>
        </w:rPr>
        <w:t>UK</w:t>
        <w:tab/>
        <w:t>US</w:t>
        <w:tab/>
        <w:t>Euro</w:t>
      </w:r>
      <w:r>
        <w:rPr>
          <w:rFonts w:ascii="Calibri"/>
          <w:spacing w:val="-1"/>
          <w:sz w:val="18"/>
        </w:rPr>
        <w:t> </w:t>
      </w:r>
      <w:r>
        <w:rPr>
          <w:rFonts w:ascii="Calibri"/>
          <w:sz w:val="18"/>
        </w:rPr>
        <w:t>area</w:t>
        <w:tab/>
        <w:t>Japan</w:t>
      </w:r>
    </w:p>
    <w:p>
      <w:pPr>
        <w:pStyle w:val="BodyText"/>
        <w:rPr>
          <w:rFonts w:ascii="Calibri"/>
          <w:sz w:val="18"/>
        </w:rPr>
      </w:pPr>
      <w:r>
        <w:rPr/>
        <w:br w:type="column"/>
      </w:r>
      <w:r>
        <w:rPr>
          <w:rFonts w:ascii="Calibri"/>
          <w:sz w:val="18"/>
        </w:rPr>
      </w:r>
    </w:p>
    <w:p>
      <w:pPr>
        <w:spacing w:before="0"/>
        <w:ind w:left="1179" w:right="0" w:firstLine="0"/>
        <w:jc w:val="left"/>
        <w:rPr>
          <w:rFonts w:ascii="Calibri"/>
          <w:sz w:val="18"/>
        </w:rPr>
      </w:pPr>
      <w:r>
        <w:rPr/>
        <w:pict>
          <v:group style="position:absolute;margin-left:95.519997pt;margin-top:5.519341pt;width:350.05pt;height:151.950pt;mso-position-horizontal-relative:page;mso-position-vertical-relative:paragraph;z-index:251698176" coordorigin="1910,110" coordsize="7001,3039">
            <v:rect style="position:absolute;left:1929;top:119;width:6924;height:3020" filled="false" stroked="true" strokeweight=".96pt" strokecolor="#000000">
              <v:stroke dashstyle="solid"/>
            </v:rect>
            <v:shape style="position:absolute;left:1929;top:119;width:6982;height:3020" coordorigin="1930,120" coordsize="6982,3020" path="m8854,3139l8854,120m8854,3139l8911,3139m8854,2760l8911,2760m8854,2383l8911,2383m8854,2006l8911,2006m8854,1630l8911,1630m8854,1253l8911,1253m8854,876l8911,876m8854,497l8911,497m8854,120l8911,120m1930,3139l8854,3139m1930,3082l1930,3139m3293,3082l3293,3139m4654,3082l4654,3139m6017,3082l6017,3139m7380,3082l7380,3139m8741,3082l8741,3139e" filled="false" stroked="true" strokeweight=".24pt" strokecolor="#000000">
              <v:path arrowok="t"/>
              <v:stroke dashstyle="solid"/>
            </v:shape>
            <v:shape style="position:absolute;left:1929;top:496;width:6924;height:2223" coordorigin="1930,497" coordsize="6924,2223" path="m1930,497l2045,566,2158,672,2270,674,2386,734,2498,922,2611,852,2724,852,2839,1022,2952,1157,3065,1001,3180,924,3293,833,3406,854,3518,878,3634,852,3746,658,3859,619,3974,619,4087,638,4200,646,4315,722,4428,802,4541,802,4654,1022,4769,1018,4882,1171,4994,1318,5110,1404,5222,1426,5335,1423,5450,1430,5563,1529,5676,1788,5789,1891,5904,1836,6017,2071,6130,1990,6245,1783,6358,2004,6470,1908,6583,1930,6698,1946,6811,1872,6924,1896,7039,2129,7152,2254,7265,2066,7380,2124,7493,2434,7606,2527,7718,2441,7834,2719,7946,2410,8059,2292,8174,2330,8287,2158,8400,2258,8515,2330,8628,2347,8741,2460,8854,2633e" filled="false" stroked="true" strokeweight="1.92pt" strokecolor="#000080">
              <v:path arrowok="t"/>
              <v:stroke dashstyle="solid"/>
            </v:shape>
            <v:shape style="position:absolute;left:1929;top:489;width:6924;height:1928" coordorigin="1930,490" coordsize="6924,1928" path="m1930,497l2045,593,2158,698,2270,490,2386,574,2498,706,2611,773,2724,742,2839,912,2952,905,3065,689,3180,552,3293,672,3406,888,3518,821,3634,785,3746,679,3859,686,3974,686,4087,722,4200,646,4315,720,4428,790,4541,790,4654,979,4769,979,4882,1097,4994,1337,5110,1471,5222,1440,5335,1378,5450,1591,5563,1514,5676,1716,5789,1716,5904,1771,6017,1894,6130,1944,6245,1822,6358,2023,6470,1894,6583,1860,6698,1817,6811,1622,6924,1670,7039,1882,7152,1908,7265,1822,7380,1906,7493,2100,7606,2114,7718,2167,7834,2417,7946,2078,8059,2078,8174,1934,8287,1889,8400,1990,8515,1975,8628,1853,8741,2038,8854,2069e" filled="false" stroked="true" strokeweight="1.92pt" strokecolor="#ff00ff">
              <v:path arrowok="t"/>
              <v:stroke dashstyle="solid"/>
            </v:shape>
            <v:shape style="position:absolute;left:1929;top:338;width:6924;height:2045" coordorigin="1930,338" coordsize="6924,2045" path="m1930,497l2045,636,2158,403,2270,338,2386,444,2498,622,2611,550,2724,631,2839,670,2952,770,3065,658,3180,612,3293,624,3406,672,3518,710,3634,612,3746,612,3859,497,3974,497,4087,547,4200,564,4315,607,4428,710,4541,710,4654,962,4769,1054,4882,1169,4994,1226,5110,1265,5222,1346,5335,1313,5450,1260,5563,1404,5676,1505,5789,1793,5904,1754,6017,2035,6130,1966,6245,1793,6358,1975,6470,1817,6583,1836,6698,1954,6811,1920,6924,1918,7039,2170,7152,2242,7265,1910,7380,1915,7493,2292,7606,2383,7718,2160,7834,2347,7946,2165,8059,2054,8174,2081,8287,1882,8400,2107,8515,2203,8628,2083,8741,2213,8854,2383e" filled="false" stroked="true" strokeweight="1.92pt" strokecolor="#008000">
              <v:path arrowok="t"/>
              <v:stroke dashstyle="solid"/>
            </v:shape>
            <v:shape style="position:absolute;left:1929;top:491;width:6924;height:2492" coordorigin="1930,492" coordsize="6924,2492" path="m1930,497l2045,521,2158,492,2270,583,2386,564,2498,636,2611,622,2724,624,2839,612,2952,679,3065,881,3180,672,3293,648,3406,718,3518,722,3634,684,3746,689,3859,638,3974,722,4087,638,4200,581,4315,590,4428,574,4541,574,4654,641,4769,612,4882,698,4994,833,5110,900,5222,878,5335,1171,5450,1010,5563,1128,5676,1106,5789,1253,5904,1354,6017,1524,6130,1788,6245,1553,6358,1514,6470,1661,6583,1392,6698,1442,6811,1742,6924,2172,7039,2146,7152,2234,7265,2206,7380,2357,7493,2273,7606,2628,7718,2906,7834,2786,7946,2983,8059,2618,8174,2503,8287,2609,8400,2450,8515,2582,8628,2698,8741,2645,8854,2582e" filled="false" stroked="true" strokeweight="1.92pt" strokecolor="#00ffff">
              <v:path arrowok="t"/>
              <v:stroke dashstyle="solid"/>
            </v:shape>
            <v:line style="position:absolute" from="1920,497" to="8863,497" stroked="true" strokeweight=".96pt" strokecolor="#000000">
              <v:stroke dashstyle="solid"/>
            </v:line>
            <w10:wrap type="none"/>
          </v:group>
        </w:pict>
      </w:r>
      <w:r>
        <w:rPr>
          <w:rFonts w:ascii="Calibri"/>
          <w:sz w:val="18"/>
        </w:rPr>
        <w:t>105</w:t>
      </w:r>
    </w:p>
    <w:p>
      <w:pPr>
        <w:spacing w:after="0"/>
        <w:jc w:val="left"/>
        <w:rPr>
          <w:rFonts w:ascii="Calibri"/>
          <w:sz w:val="18"/>
        </w:rPr>
        <w:sectPr>
          <w:type w:val="continuous"/>
          <w:pgSz w:w="11910" w:h="16840"/>
          <w:pgMar w:top="1180" w:bottom="1520" w:left="820" w:right="0"/>
          <w:cols w:num="2" w:equalWidth="0">
            <w:col w:w="4410" w:space="2616"/>
            <w:col w:w="4064"/>
          </w:cols>
        </w:sectPr>
      </w:pPr>
    </w:p>
    <w:p>
      <w:pPr>
        <w:spacing w:before="158"/>
        <w:ind w:left="0" w:right="2605" w:firstLine="0"/>
        <w:jc w:val="right"/>
        <w:rPr>
          <w:rFonts w:ascii="Calibri"/>
          <w:sz w:val="18"/>
        </w:rPr>
      </w:pPr>
      <w:r>
        <w:rPr>
          <w:rFonts w:ascii="Calibri"/>
          <w:sz w:val="18"/>
        </w:rPr>
        <w:t>100</w:t>
      </w:r>
    </w:p>
    <w:p>
      <w:pPr>
        <w:spacing w:before="157"/>
        <w:ind w:left="0" w:right="2697" w:firstLine="0"/>
        <w:jc w:val="right"/>
        <w:rPr>
          <w:rFonts w:ascii="Calibri"/>
          <w:sz w:val="18"/>
        </w:rPr>
      </w:pPr>
      <w:r>
        <w:rPr>
          <w:rFonts w:ascii="Calibri"/>
          <w:spacing w:val="-1"/>
          <w:sz w:val="18"/>
        </w:rPr>
        <w:t>95</w:t>
      </w:r>
    </w:p>
    <w:p>
      <w:pPr>
        <w:spacing w:before="158"/>
        <w:ind w:left="0" w:right="2697" w:firstLine="0"/>
        <w:jc w:val="right"/>
        <w:rPr>
          <w:rFonts w:ascii="Calibri"/>
          <w:sz w:val="18"/>
        </w:rPr>
      </w:pPr>
      <w:r>
        <w:rPr/>
        <w:pict>
          <v:shape style="position:absolute;margin-left:465.230011pt;margin-top:1.959345pt;width:12pt;height:70.55pt;mso-position-horizontal-relative:page;mso-position-vertical-relative:paragraph;z-index:251703296" type="#_x0000_t202" filled="false" stroked="false">
            <v:textbox inset="0,0,0,0" style="layout-flow:vertical">
              <w:txbxContent>
                <w:p>
                  <w:pPr>
                    <w:pStyle w:val="BodyText"/>
                    <w:spacing w:line="223" w:lineRule="exact"/>
                    <w:ind w:left="20"/>
                    <w:rPr>
                      <w:rFonts w:ascii="Calibri"/>
                    </w:rPr>
                  </w:pPr>
                  <w:r>
                    <w:rPr>
                      <w:rFonts w:ascii="Calibri"/>
                    </w:rPr>
                    <w:t>(Dec 2015 = 100)</w:t>
                  </w:r>
                </w:p>
              </w:txbxContent>
            </v:textbox>
            <w10:wrap type="none"/>
          </v:shape>
        </w:pict>
      </w:r>
      <w:r>
        <w:rPr>
          <w:rFonts w:ascii="Calibri"/>
          <w:spacing w:val="-1"/>
          <w:sz w:val="18"/>
        </w:rPr>
        <w:t>90</w:t>
      </w:r>
    </w:p>
    <w:p>
      <w:pPr>
        <w:spacing w:before="157"/>
        <w:ind w:left="0" w:right="2697" w:firstLine="0"/>
        <w:jc w:val="right"/>
        <w:rPr>
          <w:rFonts w:ascii="Calibri"/>
          <w:sz w:val="18"/>
        </w:rPr>
      </w:pPr>
      <w:r>
        <w:rPr>
          <w:rFonts w:ascii="Calibri"/>
          <w:spacing w:val="-1"/>
          <w:sz w:val="18"/>
        </w:rPr>
        <w:t>85</w:t>
      </w:r>
    </w:p>
    <w:p>
      <w:pPr>
        <w:spacing w:before="158"/>
        <w:ind w:left="0" w:right="2697" w:firstLine="0"/>
        <w:jc w:val="right"/>
        <w:rPr>
          <w:rFonts w:ascii="Calibri"/>
          <w:sz w:val="18"/>
        </w:rPr>
      </w:pPr>
      <w:r>
        <w:rPr>
          <w:rFonts w:ascii="Calibri"/>
          <w:spacing w:val="-1"/>
          <w:sz w:val="18"/>
        </w:rPr>
        <w:t>80</w:t>
      </w:r>
    </w:p>
    <w:p>
      <w:pPr>
        <w:spacing w:before="157"/>
        <w:ind w:left="0" w:right="2697" w:firstLine="0"/>
        <w:jc w:val="right"/>
        <w:rPr>
          <w:rFonts w:ascii="Calibri"/>
          <w:sz w:val="18"/>
        </w:rPr>
      </w:pPr>
      <w:r>
        <w:rPr>
          <w:rFonts w:ascii="Calibri"/>
          <w:spacing w:val="-1"/>
          <w:sz w:val="18"/>
        </w:rPr>
        <w:t>75</w:t>
      </w:r>
    </w:p>
    <w:p>
      <w:pPr>
        <w:spacing w:before="158"/>
        <w:ind w:left="0" w:right="2697" w:firstLine="0"/>
        <w:jc w:val="right"/>
        <w:rPr>
          <w:rFonts w:ascii="Calibri"/>
          <w:sz w:val="18"/>
        </w:rPr>
      </w:pPr>
      <w:r>
        <w:rPr>
          <w:rFonts w:ascii="Calibri"/>
          <w:spacing w:val="-1"/>
          <w:sz w:val="18"/>
        </w:rPr>
        <w:t>70</w:t>
      </w:r>
    </w:p>
    <w:p>
      <w:pPr>
        <w:spacing w:before="157"/>
        <w:ind w:left="8205" w:right="0" w:firstLine="0"/>
        <w:jc w:val="left"/>
        <w:rPr>
          <w:rFonts w:ascii="Calibri"/>
          <w:sz w:val="18"/>
        </w:rPr>
      </w:pPr>
      <w:r>
        <w:rPr>
          <w:rFonts w:ascii="Calibri"/>
          <w:sz w:val="18"/>
        </w:rPr>
        <w:t>65</w:t>
      </w:r>
    </w:p>
    <w:p>
      <w:pPr>
        <w:tabs>
          <w:tab w:pos="2382" w:val="left" w:leader="none"/>
          <w:tab w:pos="3745" w:val="left" w:leader="none"/>
          <w:tab w:pos="5107" w:val="left" w:leader="none"/>
          <w:tab w:pos="6470" w:val="left" w:leader="none"/>
          <w:tab w:pos="7832" w:val="left" w:leader="none"/>
        </w:tabs>
        <w:spacing w:line="205" w:lineRule="exact" w:before="15"/>
        <w:ind w:left="1020" w:right="0" w:firstLine="0"/>
        <w:jc w:val="left"/>
        <w:rPr>
          <w:rFonts w:ascii="Calibri"/>
          <w:sz w:val="18"/>
        </w:rPr>
      </w:pPr>
      <w:r>
        <w:rPr>
          <w:rFonts w:ascii="Calibri"/>
          <w:sz w:val="18"/>
        </w:rPr>
        <w:t>01</w:t>
        <w:tab/>
        <w:t>17</w:t>
        <w:tab/>
        <w:t>04</w:t>
        <w:tab/>
        <w:t>20</w:t>
        <w:tab/>
        <w:t>05</w:t>
        <w:tab/>
        <w:t>23</w:t>
      </w:r>
    </w:p>
    <w:p>
      <w:pPr>
        <w:pStyle w:val="BodyText"/>
        <w:tabs>
          <w:tab w:pos="3674" w:val="left" w:leader="none"/>
          <w:tab w:pos="6463" w:val="left" w:leader="none"/>
        </w:tabs>
        <w:spacing w:line="204" w:lineRule="exact"/>
        <w:ind w:left="748"/>
        <w:rPr>
          <w:rFonts w:ascii="Calibri"/>
        </w:rPr>
      </w:pPr>
      <w:r>
        <w:rPr>
          <w:rFonts w:ascii="Calibri"/>
        </w:rPr>
        <w:t>December</w:t>
        <w:tab/>
        <w:t>January</w:t>
        <w:tab/>
        <w:t>February</w:t>
      </w:r>
    </w:p>
    <w:p>
      <w:pPr>
        <w:pStyle w:val="BodyText"/>
        <w:tabs>
          <w:tab w:pos="3671" w:val="left" w:leader="none"/>
        </w:tabs>
        <w:spacing w:line="238" w:lineRule="exact"/>
        <w:ind w:left="701"/>
        <w:rPr>
          <w:rFonts w:ascii="Calibri"/>
        </w:rPr>
      </w:pPr>
      <w:r>
        <w:rPr>
          <w:rFonts w:ascii="Calibri"/>
        </w:rPr>
        <w:t>2015</w:t>
        <w:tab/>
      </w:r>
      <w:r>
        <w:rPr>
          <w:rFonts w:ascii="Calibri"/>
          <w:position w:val="2"/>
        </w:rPr>
        <w:t>2016</w:t>
      </w:r>
    </w:p>
    <w:p>
      <w:pPr>
        <w:spacing w:before="73"/>
        <w:ind w:left="313" w:right="0" w:firstLine="0"/>
        <w:jc w:val="left"/>
        <w:rPr>
          <w:sz w:val="16"/>
        </w:rPr>
      </w:pPr>
      <w:r>
        <w:rPr>
          <w:sz w:val="16"/>
        </w:rPr>
        <w:t>Source: Thomson Reuters Datastream and Bank Calculations.</w:t>
      </w:r>
    </w:p>
    <w:p>
      <w:pPr>
        <w:spacing w:after="0"/>
        <w:jc w:val="left"/>
        <w:rPr>
          <w:sz w:val="16"/>
        </w:rPr>
        <w:sectPr>
          <w:type w:val="continuous"/>
          <w:pgSz w:w="11910" w:h="16840"/>
          <w:pgMar w:top="1180" w:bottom="1520" w:left="820" w:right="0"/>
        </w:sectPr>
      </w:pPr>
    </w:p>
    <w:p>
      <w:pPr>
        <w:pStyle w:val="Heading1"/>
        <w:spacing w:before="116"/>
      </w:pPr>
      <w:r>
        <w:rPr/>
        <w:t>Chart 6: UK banks’ ROE down 11pp since 2006</w:t>
      </w:r>
      <w:r>
        <w:rPr>
          <w:vertAlign w:val="superscript"/>
        </w:rPr>
        <w:t>(a)</w:t>
      </w:r>
    </w:p>
    <w:p>
      <w:pPr>
        <w:pStyle w:val="BodyText"/>
        <w:spacing w:before="5"/>
        <w:rPr>
          <w:b/>
          <w:sz w:val="11"/>
        </w:rPr>
      </w:pPr>
    </w:p>
    <w:p>
      <w:pPr>
        <w:spacing w:after="0"/>
        <w:rPr>
          <w:sz w:val="11"/>
        </w:rPr>
        <w:sectPr>
          <w:pgSz w:w="11910" w:h="16840"/>
          <w:pgMar w:header="0" w:footer="1338" w:top="1480" w:bottom="1520" w:left="820" w:right="0"/>
        </w:sectPr>
      </w:pPr>
    </w:p>
    <w:p>
      <w:pPr>
        <w:pStyle w:val="BodyText"/>
        <w:spacing w:before="59"/>
        <w:jc w:val="right"/>
        <w:rPr>
          <w:rFonts w:ascii="Calibri"/>
        </w:rPr>
      </w:pPr>
      <w:r>
        <w:rPr>
          <w:rFonts w:ascii="Calibri"/>
        </w:rPr>
        <w:t>Per cent</w:t>
      </w:r>
    </w:p>
    <w:p>
      <w:pPr>
        <w:pStyle w:val="BodyText"/>
        <w:spacing w:before="4"/>
        <w:rPr>
          <w:rFonts w:ascii="Calibri"/>
          <w:sz w:val="28"/>
        </w:rPr>
      </w:pPr>
      <w:r>
        <w:rPr/>
        <w:br w:type="column"/>
      </w:r>
      <w:r>
        <w:rPr>
          <w:rFonts w:ascii="Calibri"/>
          <w:sz w:val="28"/>
        </w:rPr>
      </w:r>
    </w:p>
    <w:p>
      <w:pPr>
        <w:pStyle w:val="BodyText"/>
        <w:ind w:left="186"/>
        <w:rPr>
          <w:rFonts w:ascii="Calibri"/>
        </w:rPr>
      </w:pPr>
      <w:r>
        <w:rPr/>
        <w:pict>
          <v:group style="position:absolute;margin-left:71.879997pt;margin-top:6.181472pt;width:382.45pt;height:166.7pt;mso-position-horizontal-relative:page;mso-position-vertical-relative:paragraph;z-index:251718656" coordorigin="1438,124" coordsize="7649,3334">
            <v:rect style="position:absolute;left:1456;top:133;width:7568;height:3315" filled="false" stroked="true" strokeweight=".96pt" strokecolor="#000000">
              <v:stroke dashstyle="solid"/>
            </v:rect>
            <v:shape style="position:absolute;left:1456;top:133;width:7630;height:3315" coordorigin="1457,133" coordsize="7630,3315" path="m9024,3448l9024,133m9024,3448l9086,3448m9024,3078l9086,3078m9024,2711l9086,2711m9024,2341l9086,2341m9024,1974l9086,1974m9024,1607l9086,1607m9024,1237l9086,1237m9024,870l9086,870m9024,500l9086,500m9024,133l9086,133m1457,3448l9024,3448m1457,3383l1457,3448m1997,3383l1997,3448m2537,3383l2537,3448m3077,3383l3077,3448m3617,3383l3617,3448m4159,3383l4159,3448m4699,3383l4699,3448m5239,3383l5239,3448m5779,3383l5779,3448m6322,3383l6322,3448m6862,3383l6862,3448m7402,3383l7402,3448m7942,3383l7942,3448m8482,3383l8482,3448m9024,3383l9024,3448e" filled="false" stroked="true" strokeweight=".24pt" strokecolor="#000000">
              <v:path arrowok="t"/>
              <v:stroke dashstyle="solid"/>
            </v:shape>
            <v:shape style="position:absolute;left:1456;top:560;width:7568;height:2568" coordorigin="1457,560" coordsize="7568,2568" path="m1457,856l1997,1048,2537,719,3077,616,3617,560,4159,668,4699,947,5239,3128,5779,2072,6322,1835,6862,1933,7402,2125,7942,2101,8482,1847,9024,1669e" filled="false" stroked="true" strokeweight="1.92pt" strokecolor="#3366ff">
              <v:path arrowok="t"/>
              <v:stroke dashstyle="solid"/>
            </v:shape>
            <v:shape style="position:absolute;left:1456;top:1026;width:7568;height:1928" coordorigin="1457,1026" coordsize="7568,1928" path="m1457,1340l1997,1506,2537,1204,3077,1148,3617,1026,4159,1105,4699,1081,5239,2953,5779,1885,6322,2010,6862,2084,7402,2298,7942,2293,8482,2125,9024,1871e" filled="false" stroked="true" strokeweight="1.92pt" strokecolor="#993366">
              <v:path arrowok="t"/>
              <v:stroke dashstyle="solid"/>
            </v:shape>
            <v:line style="position:absolute" from="1447,2341" to="9034,2341" stroked="true" strokeweight=".96pt" strokecolor="#000000">
              <v:stroke dashstyle="solid"/>
            </v:line>
            <v:line style="position:absolute" from="1884,2567" to="2268,2567" stroked="true" strokeweight="1.92pt" strokecolor="#3366ff">
              <v:stroke dashstyle="solid"/>
            </v:line>
            <v:line style="position:absolute" from="1884,2953" to="2268,2953" stroked="true" strokeweight="1.92pt" strokecolor="#993366">
              <v:stroke dashstyle="solid"/>
            </v:line>
            <v:shape style="position:absolute;left:2309;top:2476;width:684;height:585" type="#_x0000_t202" filled="false" stroked="false">
              <v:textbox inset="0,0,0,0">
                <w:txbxContent>
                  <w:p>
                    <w:pPr>
                      <w:spacing w:line="203" w:lineRule="exact" w:before="0"/>
                      <w:ind w:left="0" w:right="0" w:firstLine="0"/>
                      <w:jc w:val="left"/>
                      <w:rPr>
                        <w:rFonts w:ascii="Calibri"/>
                        <w:sz w:val="20"/>
                      </w:rPr>
                    </w:pPr>
                    <w:r>
                      <w:rPr>
                        <w:rFonts w:ascii="Calibri"/>
                        <w:sz w:val="20"/>
                      </w:rPr>
                      <w:t>Pre-tax</w:t>
                    </w:r>
                  </w:p>
                  <w:p>
                    <w:pPr>
                      <w:spacing w:line="240" w:lineRule="exact" w:before="141"/>
                      <w:ind w:left="0" w:right="0" w:firstLine="0"/>
                      <w:jc w:val="left"/>
                      <w:rPr>
                        <w:rFonts w:ascii="Calibri"/>
                        <w:sz w:val="20"/>
                      </w:rPr>
                    </w:pPr>
                    <w:r>
                      <w:rPr>
                        <w:rFonts w:ascii="Calibri"/>
                        <w:sz w:val="20"/>
                      </w:rPr>
                      <w:t>Post-tax</w:t>
                    </w:r>
                  </w:p>
                </w:txbxContent>
              </v:textbox>
              <w10:wrap type="none"/>
            </v:shape>
            <w10:wrap type="none"/>
          </v:group>
        </w:pict>
      </w:r>
      <w:r>
        <w:rPr>
          <w:rFonts w:ascii="Calibri"/>
        </w:rPr>
        <w:t>30</w:t>
      </w:r>
    </w:p>
    <w:p>
      <w:pPr>
        <w:pStyle w:val="BodyText"/>
        <w:spacing w:before="124"/>
        <w:ind w:left="186"/>
        <w:rPr>
          <w:rFonts w:ascii="Calibri"/>
        </w:rPr>
      </w:pPr>
      <w:r>
        <w:rPr>
          <w:rFonts w:ascii="Calibri"/>
        </w:rPr>
        <w:t>25</w:t>
      </w:r>
    </w:p>
    <w:p>
      <w:pPr>
        <w:pStyle w:val="BodyText"/>
        <w:spacing w:before="125"/>
        <w:ind w:left="186"/>
        <w:rPr>
          <w:rFonts w:ascii="Calibri"/>
        </w:rPr>
      </w:pPr>
      <w:r>
        <w:rPr>
          <w:rFonts w:ascii="Calibri"/>
        </w:rPr>
        <w:t>20</w:t>
      </w:r>
    </w:p>
    <w:p>
      <w:pPr>
        <w:pStyle w:val="BodyText"/>
        <w:spacing w:before="123"/>
        <w:ind w:left="186"/>
        <w:rPr>
          <w:rFonts w:ascii="Calibri"/>
        </w:rPr>
      </w:pPr>
      <w:r>
        <w:rPr>
          <w:rFonts w:ascii="Calibri"/>
        </w:rPr>
        <w:t>15</w:t>
      </w:r>
    </w:p>
    <w:p>
      <w:pPr>
        <w:pStyle w:val="BodyText"/>
        <w:spacing w:before="124"/>
        <w:ind w:left="186"/>
        <w:rPr>
          <w:rFonts w:ascii="Calibri"/>
        </w:rPr>
      </w:pPr>
      <w:r>
        <w:rPr>
          <w:rFonts w:ascii="Calibri"/>
        </w:rPr>
        <w:t>10</w:t>
      </w:r>
    </w:p>
    <w:p>
      <w:pPr>
        <w:pStyle w:val="BodyText"/>
        <w:spacing w:before="125"/>
        <w:ind w:left="186"/>
        <w:rPr>
          <w:rFonts w:ascii="Calibri"/>
        </w:rPr>
      </w:pPr>
      <w:r>
        <w:rPr>
          <w:rFonts w:ascii="Calibri"/>
          <w:w w:val="99"/>
        </w:rPr>
        <w:t>5</w:t>
      </w:r>
    </w:p>
    <w:p>
      <w:pPr>
        <w:pStyle w:val="BodyText"/>
        <w:spacing w:before="124"/>
        <w:ind w:left="186"/>
        <w:rPr>
          <w:rFonts w:ascii="Calibri"/>
        </w:rPr>
      </w:pPr>
      <w:r>
        <w:rPr>
          <w:rFonts w:ascii="Calibri"/>
          <w:w w:val="99"/>
        </w:rPr>
        <w:t>0</w:t>
      </w:r>
    </w:p>
    <w:p>
      <w:pPr>
        <w:pStyle w:val="BodyText"/>
        <w:spacing w:before="124"/>
        <w:ind w:left="186"/>
        <w:rPr>
          <w:rFonts w:ascii="Calibri"/>
        </w:rPr>
      </w:pPr>
      <w:r>
        <w:rPr>
          <w:rFonts w:ascii="Calibri"/>
        </w:rPr>
        <w:t>-5</w:t>
      </w:r>
    </w:p>
    <w:p>
      <w:pPr>
        <w:pStyle w:val="BodyText"/>
        <w:spacing w:before="124"/>
        <w:ind w:left="186"/>
        <w:rPr>
          <w:rFonts w:ascii="Calibri"/>
        </w:rPr>
      </w:pPr>
      <w:r>
        <w:rPr>
          <w:rFonts w:ascii="Calibri"/>
        </w:rPr>
        <w:t>-10</w:t>
      </w:r>
    </w:p>
    <w:p>
      <w:pPr>
        <w:pStyle w:val="BodyText"/>
        <w:spacing w:before="124"/>
        <w:ind w:left="186"/>
        <w:rPr>
          <w:rFonts w:ascii="Calibri"/>
        </w:rPr>
      </w:pPr>
      <w:r>
        <w:rPr>
          <w:rFonts w:ascii="Calibri"/>
        </w:rPr>
        <w:t>-15</w:t>
      </w:r>
    </w:p>
    <w:p>
      <w:pPr>
        <w:spacing w:after="0"/>
        <w:rPr>
          <w:rFonts w:ascii="Calibri"/>
        </w:rPr>
        <w:sectPr>
          <w:type w:val="continuous"/>
          <w:pgSz w:w="11910" w:h="16840"/>
          <w:pgMar w:top="1180" w:bottom="1520" w:left="820" w:right="0"/>
          <w:cols w:num="2" w:equalWidth="0">
            <w:col w:w="8167" w:space="40"/>
            <w:col w:w="2883"/>
          </w:cols>
        </w:sectPr>
      </w:pPr>
    </w:p>
    <w:p>
      <w:pPr>
        <w:pStyle w:val="BodyText"/>
        <w:spacing w:before="16"/>
        <w:ind w:left="434"/>
        <w:rPr>
          <w:rFonts w:ascii="Calibri"/>
        </w:rPr>
      </w:pPr>
      <w:r>
        <w:rPr>
          <w:rFonts w:ascii="Calibri"/>
        </w:rPr>
        <w:t>2001 2002 2003 2004 2005 2006 2007 2008 2009 2010 2011 2012 2013 2014 2015</w:t>
      </w:r>
    </w:p>
    <w:p>
      <w:pPr>
        <w:pStyle w:val="BodyText"/>
        <w:spacing w:before="1"/>
        <w:ind w:right="2765"/>
        <w:jc w:val="right"/>
        <w:rPr>
          <w:rFonts w:ascii="Calibri"/>
        </w:rPr>
      </w:pPr>
      <w:r>
        <w:rPr>
          <w:rFonts w:ascii="Calibri"/>
          <w:w w:val="95"/>
        </w:rPr>
        <w:t>H1</w:t>
      </w:r>
    </w:p>
    <w:p>
      <w:pPr>
        <w:pStyle w:val="BodyText"/>
        <w:spacing w:before="4"/>
        <w:rPr>
          <w:rFonts w:ascii="Calibri"/>
          <w:sz w:val="10"/>
        </w:rPr>
      </w:pPr>
    </w:p>
    <w:p>
      <w:pPr>
        <w:spacing w:line="183" w:lineRule="exact" w:before="95"/>
        <w:ind w:left="313" w:right="0" w:firstLine="0"/>
        <w:jc w:val="left"/>
        <w:rPr>
          <w:sz w:val="16"/>
        </w:rPr>
      </w:pPr>
      <w:r>
        <w:rPr>
          <w:sz w:val="16"/>
        </w:rPr>
        <w:t>Sources: Published accounts and Bank calculations.</w:t>
      </w:r>
    </w:p>
    <w:p>
      <w:pPr>
        <w:spacing w:line="183" w:lineRule="exact" w:before="0"/>
        <w:ind w:left="313" w:right="0" w:firstLine="0"/>
        <w:jc w:val="left"/>
        <w:rPr>
          <w:sz w:val="16"/>
        </w:rPr>
      </w:pPr>
      <w:r>
        <w:rPr>
          <w:sz w:val="16"/>
        </w:rPr>
        <w:t>(a) UK Banks are: Barclays, HSBC, LBG, Nationwide, RBS and Santander UK.</w:t>
      </w:r>
    </w:p>
    <w:p>
      <w:pPr>
        <w:pStyle w:val="BodyText"/>
        <w:rPr>
          <w:sz w:val="18"/>
        </w:rPr>
      </w:pPr>
    </w:p>
    <w:p>
      <w:pPr>
        <w:pStyle w:val="BodyText"/>
        <w:rPr>
          <w:sz w:val="18"/>
        </w:rPr>
      </w:pPr>
    </w:p>
    <w:p>
      <w:pPr>
        <w:pStyle w:val="BodyText"/>
        <w:spacing w:before="1"/>
        <w:rPr>
          <w:sz w:val="24"/>
        </w:rPr>
      </w:pPr>
    </w:p>
    <w:p>
      <w:pPr>
        <w:pStyle w:val="Heading1"/>
      </w:pPr>
      <w:r>
        <w:rPr/>
        <w:t>Table 2: Drivers of UK banks’ lower ROE</w:t>
      </w:r>
    </w:p>
    <w:p>
      <w:pPr>
        <w:pStyle w:val="BodyText"/>
        <w:spacing w:before="3"/>
        <w:rPr>
          <w:b/>
          <w:sz w:val="1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2"/>
        <w:gridCol w:w="1058"/>
        <w:gridCol w:w="1008"/>
      </w:tblGrid>
      <w:tr>
        <w:trPr>
          <w:trHeight w:val="481" w:hRule="atLeast"/>
        </w:trPr>
        <w:tc>
          <w:tcPr>
            <w:tcW w:w="7862" w:type="dxa"/>
            <w:tcBorders>
              <w:top w:val="single" w:sz="4" w:space="0" w:color="000000"/>
              <w:left w:val="single" w:sz="4" w:space="0" w:color="000000"/>
              <w:bottom w:val="single" w:sz="8" w:space="0" w:color="FFFFFF"/>
              <w:right w:val="single" w:sz="8" w:space="0" w:color="FFFFFF"/>
            </w:tcBorders>
            <w:shd w:val="clear" w:color="auto" w:fill="94B3D6"/>
          </w:tcPr>
          <w:p>
            <w:pPr>
              <w:pStyle w:val="TableParagraph"/>
              <w:spacing w:before="66"/>
              <w:ind w:left="144"/>
              <w:rPr>
                <w:b/>
                <w:sz w:val="20"/>
              </w:rPr>
            </w:pPr>
            <w:r>
              <w:rPr>
                <w:b/>
                <w:sz w:val="20"/>
              </w:rPr>
              <w:t>Total reduction in post-tax return on equity, 2006-H1 2015</w:t>
            </w:r>
            <w:r>
              <w:rPr>
                <w:b/>
                <w:sz w:val="20"/>
                <w:vertAlign w:val="superscript"/>
              </w:rPr>
              <w:t>(a)</w:t>
            </w:r>
          </w:p>
        </w:tc>
        <w:tc>
          <w:tcPr>
            <w:tcW w:w="1058" w:type="dxa"/>
            <w:tcBorders>
              <w:top w:val="single" w:sz="4" w:space="0" w:color="000000"/>
              <w:left w:val="single" w:sz="8" w:space="0" w:color="FFFFFF"/>
              <w:bottom w:val="single" w:sz="8" w:space="0" w:color="FFFFFF"/>
              <w:right w:val="single" w:sz="8" w:space="0" w:color="FFFFFF"/>
            </w:tcBorders>
            <w:shd w:val="clear" w:color="auto" w:fill="94B3D6"/>
          </w:tcPr>
          <w:p>
            <w:pPr>
              <w:pStyle w:val="TableParagraph"/>
              <w:spacing w:before="66"/>
              <w:ind w:left="357" w:right="350"/>
              <w:jc w:val="center"/>
              <w:rPr>
                <w:b/>
                <w:sz w:val="20"/>
              </w:rPr>
            </w:pPr>
            <w:r>
              <w:rPr>
                <w:b/>
                <w:sz w:val="20"/>
              </w:rPr>
              <w:t>-11</w:t>
            </w:r>
          </w:p>
        </w:tc>
        <w:tc>
          <w:tcPr>
            <w:tcW w:w="1008" w:type="dxa"/>
            <w:tcBorders>
              <w:top w:val="single" w:sz="4" w:space="0" w:color="000000"/>
              <w:left w:val="single" w:sz="8" w:space="0" w:color="FFFFFF"/>
              <w:bottom w:val="single" w:sz="8" w:space="0" w:color="FFFFFF"/>
              <w:right w:val="single" w:sz="4" w:space="0" w:color="000000"/>
            </w:tcBorders>
            <w:shd w:val="clear" w:color="auto" w:fill="94B3D6"/>
          </w:tcPr>
          <w:p>
            <w:pPr>
              <w:pStyle w:val="TableParagraph"/>
              <w:rPr>
                <w:rFonts w:ascii="Times New Roman"/>
                <w:sz w:val="18"/>
              </w:rPr>
            </w:pPr>
          </w:p>
        </w:tc>
      </w:tr>
      <w:tr>
        <w:trPr>
          <w:trHeight w:val="407" w:hRule="atLeast"/>
        </w:trPr>
        <w:tc>
          <w:tcPr>
            <w:tcW w:w="7862" w:type="dxa"/>
            <w:tcBorders>
              <w:top w:val="single" w:sz="8" w:space="0" w:color="FFFFFF"/>
              <w:left w:val="single" w:sz="4" w:space="0" w:color="000000"/>
              <w:bottom w:val="single" w:sz="8" w:space="0" w:color="FFFFFF"/>
              <w:right w:val="single" w:sz="8" w:space="0" w:color="FFFFFF"/>
            </w:tcBorders>
            <w:shd w:val="clear" w:color="auto" w:fill="ECEAEF"/>
          </w:tcPr>
          <w:p>
            <w:pPr>
              <w:pStyle w:val="TableParagraph"/>
              <w:spacing w:before="69"/>
              <w:ind w:left="144"/>
              <w:rPr>
                <w:sz w:val="20"/>
              </w:rPr>
            </w:pPr>
            <w:r>
              <w:rPr>
                <w:sz w:val="20"/>
              </w:rPr>
              <w:t>Due to reduction in leverage</w:t>
            </w:r>
          </w:p>
        </w:tc>
        <w:tc>
          <w:tcPr>
            <w:tcW w:w="1058" w:type="dxa"/>
            <w:tcBorders>
              <w:top w:val="single" w:sz="8" w:space="0" w:color="FFFFFF"/>
              <w:left w:val="single" w:sz="8" w:space="0" w:color="FFFFFF"/>
              <w:bottom w:val="single" w:sz="8" w:space="0" w:color="FFFFFF"/>
              <w:right w:val="single" w:sz="8" w:space="0" w:color="FFFFFF"/>
            </w:tcBorders>
            <w:shd w:val="clear" w:color="auto" w:fill="ECEAEF"/>
          </w:tcPr>
          <w:p>
            <w:pPr>
              <w:pStyle w:val="TableParagraph"/>
              <w:spacing w:before="69"/>
              <w:ind w:left="357" w:right="350"/>
              <w:jc w:val="center"/>
              <w:rPr>
                <w:sz w:val="20"/>
              </w:rPr>
            </w:pPr>
            <w:r>
              <w:rPr>
                <w:sz w:val="20"/>
              </w:rPr>
              <w:t>-4</w:t>
            </w:r>
          </w:p>
        </w:tc>
        <w:tc>
          <w:tcPr>
            <w:tcW w:w="1008" w:type="dxa"/>
            <w:tcBorders>
              <w:top w:val="single" w:sz="8" w:space="0" w:color="FFFFFF"/>
              <w:left w:val="single" w:sz="8" w:space="0" w:color="FFFFFF"/>
              <w:bottom w:val="single" w:sz="8" w:space="0" w:color="FFFFFF"/>
              <w:right w:val="single" w:sz="4" w:space="0" w:color="000000"/>
            </w:tcBorders>
            <w:shd w:val="clear" w:color="auto" w:fill="ECEAEF"/>
          </w:tcPr>
          <w:p>
            <w:pPr>
              <w:pStyle w:val="TableParagraph"/>
              <w:rPr>
                <w:rFonts w:ascii="Times New Roman"/>
                <w:sz w:val="18"/>
              </w:rPr>
            </w:pPr>
          </w:p>
        </w:tc>
      </w:tr>
      <w:tr>
        <w:trPr>
          <w:trHeight w:val="400" w:hRule="atLeast"/>
        </w:trPr>
        <w:tc>
          <w:tcPr>
            <w:tcW w:w="7862" w:type="dxa"/>
            <w:tcBorders>
              <w:top w:val="single" w:sz="8" w:space="0" w:color="FFFFFF"/>
              <w:left w:val="single" w:sz="4" w:space="0" w:color="000000"/>
              <w:right w:val="single" w:sz="8" w:space="0" w:color="FFFFFF"/>
            </w:tcBorders>
            <w:shd w:val="clear" w:color="auto" w:fill="D7D2DF"/>
          </w:tcPr>
          <w:p>
            <w:pPr>
              <w:pStyle w:val="TableParagraph"/>
              <w:spacing w:before="69"/>
              <w:ind w:left="144"/>
              <w:rPr>
                <w:sz w:val="20"/>
              </w:rPr>
            </w:pPr>
            <w:r>
              <w:rPr>
                <w:sz w:val="20"/>
              </w:rPr>
              <w:t>Due to fall in return on assets</w:t>
            </w:r>
          </w:p>
        </w:tc>
        <w:tc>
          <w:tcPr>
            <w:tcW w:w="1058" w:type="dxa"/>
            <w:tcBorders>
              <w:top w:val="single" w:sz="8" w:space="0" w:color="FFFFFF"/>
              <w:left w:val="single" w:sz="8" w:space="0" w:color="FFFFFF"/>
              <w:right w:val="single" w:sz="8" w:space="0" w:color="FFFFFF"/>
            </w:tcBorders>
            <w:shd w:val="clear" w:color="auto" w:fill="D7D2DF"/>
          </w:tcPr>
          <w:p>
            <w:pPr>
              <w:pStyle w:val="TableParagraph"/>
              <w:spacing w:before="69"/>
              <w:ind w:left="357" w:right="350"/>
              <w:jc w:val="center"/>
              <w:rPr>
                <w:sz w:val="20"/>
              </w:rPr>
            </w:pPr>
            <w:r>
              <w:rPr>
                <w:sz w:val="20"/>
              </w:rPr>
              <w:t>-7</w:t>
            </w:r>
          </w:p>
        </w:tc>
        <w:tc>
          <w:tcPr>
            <w:tcW w:w="1008" w:type="dxa"/>
            <w:tcBorders>
              <w:top w:val="single" w:sz="8" w:space="0" w:color="FFFFFF"/>
              <w:left w:val="single" w:sz="8" w:space="0" w:color="FFFFFF"/>
              <w:right w:val="single" w:sz="4" w:space="0" w:color="000000"/>
            </w:tcBorders>
            <w:shd w:val="clear" w:color="auto" w:fill="D7D2DF"/>
          </w:tcPr>
          <w:p>
            <w:pPr>
              <w:pStyle w:val="TableParagraph"/>
              <w:rPr>
                <w:rFonts w:ascii="Times New Roman"/>
                <w:sz w:val="18"/>
              </w:rPr>
            </w:pPr>
          </w:p>
        </w:tc>
      </w:tr>
      <w:tr>
        <w:trPr>
          <w:trHeight w:val="422" w:hRule="atLeast"/>
        </w:trPr>
        <w:tc>
          <w:tcPr>
            <w:tcW w:w="7862" w:type="dxa"/>
            <w:tcBorders>
              <w:left w:val="single" w:sz="4" w:space="0" w:color="000000"/>
            </w:tcBorders>
          </w:tcPr>
          <w:p>
            <w:pPr>
              <w:pStyle w:val="TableParagraph"/>
              <w:tabs>
                <w:tab w:pos="1487" w:val="left" w:leader="none"/>
              </w:tabs>
              <w:spacing w:before="91"/>
              <w:ind w:left="420"/>
              <w:rPr>
                <w:sz w:val="20"/>
              </w:rPr>
            </w:pPr>
            <w:r>
              <w:rPr>
                <w:sz w:val="20"/>
              </w:rPr>
              <w:t>of</w:t>
            </w:r>
            <w:r>
              <w:rPr>
                <w:spacing w:val="1"/>
                <w:sz w:val="20"/>
              </w:rPr>
              <w:t> </w:t>
            </w:r>
            <w:r>
              <w:rPr>
                <w:sz w:val="20"/>
              </w:rPr>
              <w:t>which:</w:t>
              <w:tab/>
              <w:t>Net interest</w:t>
            </w:r>
            <w:r>
              <w:rPr>
                <w:spacing w:val="2"/>
                <w:sz w:val="20"/>
              </w:rPr>
              <w:t> </w:t>
            </w:r>
            <w:r>
              <w:rPr>
                <w:sz w:val="20"/>
              </w:rPr>
              <w:t>income</w:t>
            </w:r>
          </w:p>
        </w:tc>
        <w:tc>
          <w:tcPr>
            <w:tcW w:w="1058" w:type="dxa"/>
          </w:tcPr>
          <w:p>
            <w:pPr>
              <w:pStyle w:val="TableParagraph"/>
              <w:rPr>
                <w:rFonts w:ascii="Times New Roman"/>
                <w:sz w:val="18"/>
              </w:rPr>
            </w:pPr>
          </w:p>
        </w:tc>
        <w:tc>
          <w:tcPr>
            <w:tcW w:w="1008" w:type="dxa"/>
            <w:tcBorders>
              <w:right w:val="single" w:sz="4" w:space="0" w:color="000000"/>
            </w:tcBorders>
          </w:tcPr>
          <w:p>
            <w:pPr>
              <w:pStyle w:val="TableParagraph"/>
              <w:spacing w:before="91"/>
              <w:ind w:left="400" w:right="384"/>
              <w:jc w:val="center"/>
              <w:rPr>
                <w:sz w:val="20"/>
              </w:rPr>
            </w:pPr>
            <w:r>
              <w:rPr>
                <w:sz w:val="20"/>
              </w:rPr>
              <w:t>-4</w:t>
            </w:r>
          </w:p>
        </w:tc>
      </w:tr>
      <w:tr>
        <w:trPr>
          <w:trHeight w:val="420" w:hRule="atLeast"/>
        </w:trPr>
        <w:tc>
          <w:tcPr>
            <w:tcW w:w="7862" w:type="dxa"/>
            <w:tcBorders>
              <w:left w:val="single" w:sz="4" w:space="0" w:color="000000"/>
            </w:tcBorders>
          </w:tcPr>
          <w:p>
            <w:pPr>
              <w:pStyle w:val="TableParagraph"/>
              <w:spacing w:before="94"/>
              <w:ind w:left="1641"/>
              <w:rPr>
                <w:sz w:val="20"/>
              </w:rPr>
            </w:pPr>
            <w:r>
              <w:rPr>
                <w:sz w:val="20"/>
              </w:rPr>
              <w:t>Trading income and fees</w:t>
            </w:r>
          </w:p>
        </w:tc>
        <w:tc>
          <w:tcPr>
            <w:tcW w:w="1058" w:type="dxa"/>
          </w:tcPr>
          <w:p>
            <w:pPr>
              <w:pStyle w:val="TableParagraph"/>
              <w:rPr>
                <w:rFonts w:ascii="Times New Roman"/>
                <w:sz w:val="18"/>
              </w:rPr>
            </w:pPr>
          </w:p>
        </w:tc>
        <w:tc>
          <w:tcPr>
            <w:tcW w:w="1008" w:type="dxa"/>
            <w:tcBorders>
              <w:right w:val="single" w:sz="4" w:space="0" w:color="000000"/>
            </w:tcBorders>
          </w:tcPr>
          <w:p>
            <w:pPr>
              <w:pStyle w:val="TableParagraph"/>
              <w:spacing w:before="94"/>
              <w:ind w:left="400" w:right="384"/>
              <w:jc w:val="center"/>
              <w:rPr>
                <w:sz w:val="20"/>
              </w:rPr>
            </w:pPr>
            <w:r>
              <w:rPr>
                <w:sz w:val="20"/>
              </w:rPr>
              <w:t>-6</w:t>
            </w:r>
          </w:p>
        </w:tc>
      </w:tr>
      <w:tr>
        <w:trPr>
          <w:trHeight w:val="426" w:hRule="atLeast"/>
        </w:trPr>
        <w:tc>
          <w:tcPr>
            <w:tcW w:w="7862" w:type="dxa"/>
            <w:tcBorders>
              <w:left w:val="single" w:sz="4" w:space="0" w:color="000000"/>
            </w:tcBorders>
          </w:tcPr>
          <w:p>
            <w:pPr>
              <w:pStyle w:val="TableParagraph"/>
              <w:spacing w:before="89"/>
              <w:ind w:left="1644"/>
              <w:rPr>
                <w:sz w:val="20"/>
              </w:rPr>
            </w:pPr>
            <w:r>
              <w:rPr>
                <w:sz w:val="20"/>
              </w:rPr>
              <w:t>Misconduct costs</w:t>
            </w:r>
          </w:p>
        </w:tc>
        <w:tc>
          <w:tcPr>
            <w:tcW w:w="1058" w:type="dxa"/>
          </w:tcPr>
          <w:p>
            <w:pPr>
              <w:pStyle w:val="TableParagraph"/>
              <w:rPr>
                <w:rFonts w:ascii="Times New Roman"/>
                <w:sz w:val="18"/>
              </w:rPr>
            </w:pPr>
          </w:p>
        </w:tc>
        <w:tc>
          <w:tcPr>
            <w:tcW w:w="1008" w:type="dxa"/>
            <w:tcBorders>
              <w:right w:val="single" w:sz="4" w:space="0" w:color="000000"/>
            </w:tcBorders>
          </w:tcPr>
          <w:p>
            <w:pPr>
              <w:pStyle w:val="TableParagraph"/>
              <w:spacing w:before="89"/>
              <w:ind w:left="400" w:right="384"/>
              <w:jc w:val="center"/>
              <w:rPr>
                <w:sz w:val="20"/>
              </w:rPr>
            </w:pPr>
            <w:r>
              <w:rPr>
                <w:sz w:val="20"/>
              </w:rPr>
              <w:t>-3</w:t>
            </w:r>
          </w:p>
        </w:tc>
      </w:tr>
      <w:tr>
        <w:trPr>
          <w:trHeight w:val="445" w:hRule="atLeast"/>
        </w:trPr>
        <w:tc>
          <w:tcPr>
            <w:tcW w:w="7862" w:type="dxa"/>
            <w:tcBorders>
              <w:left w:val="single" w:sz="4" w:space="0" w:color="000000"/>
            </w:tcBorders>
          </w:tcPr>
          <w:p>
            <w:pPr>
              <w:pStyle w:val="TableParagraph"/>
              <w:spacing w:before="100"/>
              <w:ind w:left="1641"/>
              <w:rPr>
                <w:sz w:val="20"/>
              </w:rPr>
            </w:pPr>
            <w:r>
              <w:rPr>
                <w:sz w:val="20"/>
              </w:rPr>
              <w:t>Other income and expenses</w:t>
            </w:r>
          </w:p>
        </w:tc>
        <w:tc>
          <w:tcPr>
            <w:tcW w:w="1058" w:type="dxa"/>
          </w:tcPr>
          <w:p>
            <w:pPr>
              <w:pStyle w:val="TableParagraph"/>
              <w:rPr>
                <w:rFonts w:ascii="Times New Roman"/>
                <w:sz w:val="18"/>
              </w:rPr>
            </w:pPr>
          </w:p>
        </w:tc>
        <w:tc>
          <w:tcPr>
            <w:tcW w:w="1008" w:type="dxa"/>
            <w:tcBorders>
              <w:right w:val="single" w:sz="4" w:space="0" w:color="000000"/>
            </w:tcBorders>
          </w:tcPr>
          <w:p>
            <w:pPr>
              <w:pStyle w:val="TableParagraph"/>
              <w:spacing w:before="100"/>
              <w:ind w:left="400" w:right="384"/>
              <w:jc w:val="center"/>
              <w:rPr>
                <w:sz w:val="20"/>
              </w:rPr>
            </w:pPr>
            <w:r>
              <w:rPr>
                <w:sz w:val="20"/>
              </w:rPr>
              <w:t>-4</w:t>
            </w:r>
          </w:p>
        </w:tc>
      </w:tr>
      <w:tr>
        <w:trPr>
          <w:trHeight w:val="408" w:hRule="atLeast"/>
        </w:trPr>
        <w:tc>
          <w:tcPr>
            <w:tcW w:w="7862" w:type="dxa"/>
            <w:tcBorders>
              <w:left w:val="single" w:sz="4" w:space="0" w:color="000000"/>
              <w:right w:val="single" w:sz="8" w:space="0" w:color="FFFFFF"/>
            </w:tcBorders>
            <w:shd w:val="clear" w:color="auto" w:fill="D6E3BC"/>
          </w:tcPr>
          <w:p>
            <w:pPr>
              <w:pStyle w:val="TableParagraph"/>
              <w:spacing w:before="69"/>
              <w:ind w:left="144"/>
              <w:rPr>
                <w:sz w:val="20"/>
              </w:rPr>
            </w:pPr>
            <w:r>
              <w:rPr>
                <w:sz w:val="20"/>
              </w:rPr>
              <w:t>Increases due to</w:t>
            </w:r>
          </w:p>
        </w:tc>
        <w:tc>
          <w:tcPr>
            <w:tcW w:w="1058" w:type="dxa"/>
            <w:tcBorders>
              <w:left w:val="single" w:sz="8" w:space="0" w:color="FFFFFF"/>
              <w:right w:val="single" w:sz="8" w:space="0" w:color="FFFFFF"/>
            </w:tcBorders>
            <w:shd w:val="clear" w:color="auto" w:fill="D6E3BC"/>
          </w:tcPr>
          <w:p>
            <w:pPr>
              <w:pStyle w:val="TableParagraph"/>
              <w:rPr>
                <w:rFonts w:ascii="Times New Roman"/>
                <w:sz w:val="18"/>
              </w:rPr>
            </w:pPr>
          </w:p>
        </w:tc>
        <w:tc>
          <w:tcPr>
            <w:tcW w:w="1008" w:type="dxa"/>
            <w:tcBorders>
              <w:left w:val="single" w:sz="8" w:space="0" w:color="FFFFFF"/>
              <w:right w:val="single" w:sz="4" w:space="0" w:color="000000"/>
            </w:tcBorders>
            <w:shd w:val="clear" w:color="auto" w:fill="D6E3BC"/>
          </w:tcPr>
          <w:p>
            <w:pPr>
              <w:pStyle w:val="TableParagraph"/>
              <w:rPr>
                <w:rFonts w:ascii="Times New Roman"/>
                <w:sz w:val="18"/>
              </w:rPr>
            </w:pPr>
          </w:p>
        </w:tc>
      </w:tr>
      <w:tr>
        <w:trPr>
          <w:trHeight w:val="456" w:hRule="atLeast"/>
        </w:trPr>
        <w:tc>
          <w:tcPr>
            <w:tcW w:w="7862" w:type="dxa"/>
            <w:tcBorders>
              <w:left w:val="single" w:sz="4" w:space="0" w:color="000000"/>
            </w:tcBorders>
          </w:tcPr>
          <w:p>
            <w:pPr>
              <w:pStyle w:val="TableParagraph"/>
              <w:spacing w:before="88"/>
              <w:ind w:left="1641"/>
              <w:rPr>
                <w:sz w:val="20"/>
              </w:rPr>
            </w:pPr>
            <w:r>
              <w:rPr>
                <w:sz w:val="20"/>
              </w:rPr>
              <w:t>Impairments</w:t>
            </w:r>
          </w:p>
        </w:tc>
        <w:tc>
          <w:tcPr>
            <w:tcW w:w="1058" w:type="dxa"/>
          </w:tcPr>
          <w:p>
            <w:pPr>
              <w:pStyle w:val="TableParagraph"/>
              <w:rPr>
                <w:rFonts w:ascii="Times New Roman"/>
                <w:sz w:val="18"/>
              </w:rPr>
            </w:pPr>
          </w:p>
        </w:tc>
        <w:tc>
          <w:tcPr>
            <w:tcW w:w="1008" w:type="dxa"/>
            <w:tcBorders>
              <w:right w:val="single" w:sz="4" w:space="0" w:color="000000"/>
            </w:tcBorders>
          </w:tcPr>
          <w:p>
            <w:pPr>
              <w:pStyle w:val="TableParagraph"/>
              <w:spacing w:before="88"/>
              <w:ind w:left="16"/>
              <w:jc w:val="center"/>
              <w:rPr>
                <w:sz w:val="20"/>
              </w:rPr>
            </w:pPr>
            <w:r>
              <w:rPr>
                <w:w w:val="99"/>
                <w:sz w:val="20"/>
              </w:rPr>
              <w:t>3</w:t>
            </w:r>
          </w:p>
        </w:tc>
      </w:tr>
      <w:tr>
        <w:trPr>
          <w:trHeight w:val="539" w:hRule="atLeast"/>
        </w:trPr>
        <w:tc>
          <w:tcPr>
            <w:tcW w:w="7862" w:type="dxa"/>
            <w:tcBorders>
              <w:left w:val="single" w:sz="4" w:space="0" w:color="000000"/>
              <w:bottom w:val="single" w:sz="4" w:space="0" w:color="000000"/>
            </w:tcBorders>
          </w:tcPr>
          <w:p>
            <w:pPr>
              <w:pStyle w:val="TableParagraph"/>
              <w:spacing w:before="131"/>
              <w:ind w:left="1641"/>
              <w:rPr>
                <w:sz w:val="20"/>
              </w:rPr>
            </w:pPr>
            <w:r>
              <w:rPr>
                <w:sz w:val="20"/>
              </w:rPr>
              <w:t>Operating expenses</w:t>
            </w:r>
          </w:p>
        </w:tc>
        <w:tc>
          <w:tcPr>
            <w:tcW w:w="1058" w:type="dxa"/>
            <w:tcBorders>
              <w:bottom w:val="single" w:sz="4" w:space="0" w:color="000000"/>
            </w:tcBorders>
          </w:tcPr>
          <w:p>
            <w:pPr>
              <w:pStyle w:val="TableParagraph"/>
              <w:rPr>
                <w:rFonts w:ascii="Times New Roman"/>
                <w:sz w:val="18"/>
              </w:rPr>
            </w:pPr>
          </w:p>
        </w:tc>
        <w:tc>
          <w:tcPr>
            <w:tcW w:w="1008" w:type="dxa"/>
            <w:tcBorders>
              <w:bottom w:val="single" w:sz="4" w:space="0" w:color="000000"/>
              <w:right w:val="single" w:sz="4" w:space="0" w:color="000000"/>
            </w:tcBorders>
          </w:tcPr>
          <w:p>
            <w:pPr>
              <w:pStyle w:val="TableParagraph"/>
              <w:spacing w:before="131"/>
              <w:ind w:left="16"/>
              <w:jc w:val="center"/>
              <w:rPr>
                <w:sz w:val="20"/>
              </w:rPr>
            </w:pPr>
            <w:r>
              <w:rPr>
                <w:w w:val="99"/>
                <w:sz w:val="20"/>
              </w:rPr>
              <w:t>7</w:t>
            </w:r>
          </w:p>
        </w:tc>
      </w:tr>
    </w:tbl>
    <w:p>
      <w:pPr>
        <w:spacing w:before="0"/>
        <w:ind w:left="313" w:right="1129" w:firstLine="0"/>
        <w:jc w:val="left"/>
        <w:rPr>
          <w:sz w:val="16"/>
        </w:rPr>
      </w:pPr>
      <w:r>
        <w:rPr>
          <w:sz w:val="16"/>
        </w:rPr>
        <w:t>Sources: Published accounts, bank data submissions and Bank calculations. (a) UK banks are Barclays, Co-operative Bank, HSBC, Lloyds Banking Group, Nationwide, RBS and Santander UK.</w:t>
      </w:r>
    </w:p>
    <w:p>
      <w:pPr>
        <w:pStyle w:val="BodyText"/>
        <w:rPr>
          <w:sz w:val="18"/>
        </w:rPr>
      </w:pPr>
    </w:p>
    <w:p>
      <w:pPr>
        <w:pStyle w:val="BodyText"/>
        <w:rPr>
          <w:sz w:val="18"/>
        </w:rPr>
      </w:pPr>
    </w:p>
    <w:p>
      <w:pPr>
        <w:pStyle w:val="BodyText"/>
        <w:spacing w:before="1"/>
        <w:rPr>
          <w:sz w:val="24"/>
        </w:rPr>
      </w:pPr>
    </w:p>
    <w:p>
      <w:pPr>
        <w:pStyle w:val="BodyText"/>
        <w:spacing w:line="360" w:lineRule="auto" w:before="1"/>
        <w:ind w:left="313" w:right="1340"/>
      </w:pPr>
      <w:r>
        <w:rPr/>
        <w:t>More fundamentally, banks are out of favour because of a new-found exasperation with their returns rather than due to old concerns about their resilience.</w:t>
      </w:r>
    </w:p>
    <w:p>
      <w:pPr>
        <w:spacing w:after="0" w:line="360" w:lineRule="auto"/>
        <w:sectPr>
          <w:type w:val="continuous"/>
          <w:pgSz w:w="11910" w:h="16840"/>
          <w:pgMar w:top="1180" w:bottom="1520" w:left="820" w:right="0"/>
        </w:sectPr>
      </w:pPr>
    </w:p>
    <w:p>
      <w:pPr>
        <w:pStyle w:val="BodyText"/>
        <w:spacing w:line="360" w:lineRule="auto" w:before="79"/>
        <w:ind w:left="313" w:right="1343"/>
      </w:pPr>
      <w:r>
        <w:rPr/>
        <w:t>UK banks, for example, have seen a sharp decline in profitability since the crisis, with average group-level post-tax returns on equity falling from 17% in 2006 to 6% in the first half of 2015 (</w:t>
      </w:r>
      <w:r>
        <w:rPr>
          <w:b/>
        </w:rPr>
        <w:t>Chart 6</w:t>
      </w:r>
      <w:r>
        <w:rPr/>
        <w:t>). Of course, with hindsight, a substantial proportion of the pre-crisis return was ephemeral, reliant on short-term funding, capital-light balance sheets and massive synthetic leverage.</w:t>
      </w:r>
    </w:p>
    <w:p>
      <w:pPr>
        <w:pStyle w:val="BodyText"/>
        <w:spacing w:before="10"/>
        <w:rPr>
          <w:sz w:val="29"/>
        </w:rPr>
      </w:pPr>
    </w:p>
    <w:p>
      <w:pPr>
        <w:pStyle w:val="BodyText"/>
        <w:ind w:left="313"/>
      </w:pPr>
      <w:r>
        <w:rPr/>
        <w:t>Banks are facing continuing pressures on their business models from a number of sources, including:</w:t>
      </w:r>
    </w:p>
    <w:p>
      <w:pPr>
        <w:pStyle w:val="BodyText"/>
        <w:rPr>
          <w:sz w:val="22"/>
        </w:rPr>
      </w:pPr>
    </w:p>
    <w:p>
      <w:pPr>
        <w:pStyle w:val="BodyText"/>
        <w:spacing w:before="3"/>
        <w:rPr>
          <w:sz w:val="18"/>
        </w:rPr>
      </w:pPr>
    </w:p>
    <w:p>
      <w:pPr>
        <w:pStyle w:val="ListParagraph"/>
        <w:numPr>
          <w:ilvl w:val="0"/>
          <w:numId w:val="1"/>
        </w:numPr>
        <w:tabs>
          <w:tab w:pos="1033" w:val="left" w:leader="none"/>
          <w:tab w:pos="1034" w:val="left" w:leader="none"/>
        </w:tabs>
        <w:spacing w:line="240" w:lineRule="auto" w:before="0" w:after="0"/>
        <w:ind w:left="1033" w:right="0" w:hanging="361"/>
        <w:jc w:val="left"/>
        <w:rPr>
          <w:sz w:val="20"/>
        </w:rPr>
      </w:pPr>
      <w:r>
        <w:rPr>
          <w:sz w:val="20"/>
        </w:rPr>
        <w:t>The consequences of a low growth, low rates environment with ongoing private</w:t>
      </w:r>
      <w:r>
        <w:rPr>
          <w:spacing w:val="-5"/>
          <w:sz w:val="20"/>
        </w:rPr>
        <w:t> </w:t>
      </w:r>
      <w:r>
        <w:rPr>
          <w:sz w:val="20"/>
        </w:rPr>
        <w:t>deleveraging;</w:t>
      </w:r>
    </w:p>
    <w:p>
      <w:pPr>
        <w:pStyle w:val="BodyText"/>
        <w:spacing w:before="4"/>
        <w:rPr>
          <w:sz w:val="26"/>
        </w:rPr>
      </w:pPr>
    </w:p>
    <w:p>
      <w:pPr>
        <w:pStyle w:val="ListParagraph"/>
        <w:numPr>
          <w:ilvl w:val="0"/>
          <w:numId w:val="1"/>
        </w:numPr>
        <w:tabs>
          <w:tab w:pos="1033" w:val="left" w:leader="none"/>
          <w:tab w:pos="1034" w:val="left" w:leader="none"/>
        </w:tabs>
        <w:spacing w:line="240" w:lineRule="auto" w:before="0" w:after="0"/>
        <w:ind w:left="1033" w:right="0" w:hanging="361"/>
        <w:jc w:val="left"/>
        <w:rPr>
          <w:sz w:val="20"/>
        </w:rPr>
      </w:pPr>
      <w:r>
        <w:rPr>
          <w:sz w:val="20"/>
        </w:rPr>
        <w:t>The impact of a new regulatory framework designed to fix the fault lines that caused the crisis;</w:t>
      </w:r>
      <w:r>
        <w:rPr>
          <w:spacing w:val="-19"/>
          <w:sz w:val="20"/>
        </w:rPr>
        <w:t> </w:t>
      </w:r>
      <w:r>
        <w:rPr>
          <w:sz w:val="20"/>
        </w:rPr>
        <w:t>and</w:t>
      </w:r>
    </w:p>
    <w:p>
      <w:pPr>
        <w:pStyle w:val="BodyText"/>
        <w:spacing w:before="4"/>
        <w:rPr>
          <w:sz w:val="26"/>
        </w:rPr>
      </w:pPr>
    </w:p>
    <w:p>
      <w:pPr>
        <w:pStyle w:val="ListParagraph"/>
        <w:numPr>
          <w:ilvl w:val="0"/>
          <w:numId w:val="1"/>
        </w:numPr>
        <w:tabs>
          <w:tab w:pos="1033" w:val="left" w:leader="none"/>
          <w:tab w:pos="1034" w:val="left" w:leader="none"/>
        </w:tabs>
        <w:spacing w:line="240" w:lineRule="auto" w:before="0" w:after="0"/>
        <w:ind w:left="1033" w:right="0" w:hanging="361"/>
        <w:jc w:val="left"/>
        <w:rPr>
          <w:sz w:val="20"/>
        </w:rPr>
      </w:pPr>
      <w:r>
        <w:rPr>
          <w:sz w:val="20"/>
        </w:rPr>
        <w:t>The effect of determined progress on removing the implicit public subsidy of</w:t>
      </w:r>
      <w:r>
        <w:rPr>
          <w:spacing w:val="-10"/>
          <w:sz w:val="20"/>
        </w:rPr>
        <w:t> </w:t>
      </w:r>
      <w:r>
        <w:rPr>
          <w:sz w:val="20"/>
        </w:rPr>
        <w:t>Too-Big-To-Fail.</w:t>
      </w:r>
    </w:p>
    <w:p>
      <w:pPr>
        <w:pStyle w:val="BodyText"/>
        <w:rPr>
          <w:sz w:val="22"/>
        </w:rPr>
      </w:pPr>
    </w:p>
    <w:p>
      <w:pPr>
        <w:pStyle w:val="BodyText"/>
        <w:rPr>
          <w:sz w:val="22"/>
        </w:rPr>
      </w:pPr>
    </w:p>
    <w:p>
      <w:pPr>
        <w:pStyle w:val="BodyText"/>
        <w:spacing w:line="360" w:lineRule="auto" w:before="141"/>
        <w:ind w:left="313" w:right="1129"/>
      </w:pPr>
      <w:r>
        <w:rPr/>
        <w:t>Finally, some residual concerns about regulatory uncertainty, particularly in the euro area, may have been secondary reinforcements to the macroeconomic drivers of recent market turbulence.</w:t>
      </w:r>
    </w:p>
    <w:p>
      <w:pPr>
        <w:pStyle w:val="BodyText"/>
        <w:spacing w:before="9"/>
        <w:rPr>
          <w:sz w:val="29"/>
        </w:rPr>
      </w:pPr>
    </w:p>
    <w:p>
      <w:pPr>
        <w:pStyle w:val="Heading1"/>
      </w:pPr>
      <w:r>
        <w:rPr/>
        <w:t>Financial reform and the state of the financial system</w:t>
      </w:r>
    </w:p>
    <w:p>
      <w:pPr>
        <w:pStyle w:val="BodyText"/>
        <w:rPr>
          <w:b/>
          <w:sz w:val="22"/>
        </w:rPr>
      </w:pPr>
    </w:p>
    <w:p>
      <w:pPr>
        <w:pStyle w:val="BodyText"/>
        <w:spacing w:before="4"/>
        <w:rPr>
          <w:b/>
          <w:sz w:val="18"/>
        </w:rPr>
      </w:pPr>
    </w:p>
    <w:p>
      <w:pPr>
        <w:pStyle w:val="BodyText"/>
        <w:ind w:left="313"/>
      </w:pPr>
      <w:r>
        <w:rPr/>
        <w:t>However, this is not 2008.</w:t>
      </w:r>
    </w:p>
    <w:p>
      <w:pPr>
        <w:pStyle w:val="BodyText"/>
        <w:rPr>
          <w:sz w:val="22"/>
        </w:rPr>
      </w:pPr>
    </w:p>
    <w:p>
      <w:pPr>
        <w:pStyle w:val="BodyText"/>
        <w:spacing w:before="10"/>
        <w:rPr>
          <w:sz w:val="17"/>
        </w:rPr>
      </w:pPr>
    </w:p>
    <w:p>
      <w:pPr>
        <w:pStyle w:val="BodyText"/>
        <w:spacing w:line="360" w:lineRule="auto"/>
        <w:ind w:left="313" w:right="1207"/>
      </w:pPr>
      <w:r>
        <w:rPr/>
        <w:t>The largest cross-border banks are considerably stronger than during prior episodes of market stress. Common equity requirements are seven times the pre-crisis standard for most banks. For global systemically important banks (G-SIBs), they are more than ten times higher. Global standards require</w:t>
      </w:r>
      <w:r>
        <w:rPr>
          <w:spacing w:val="-30"/>
        </w:rPr>
        <w:t> </w:t>
      </w:r>
      <w:r>
        <w:rPr/>
        <w:t>banks to hold much higher liquid asset buffers, to strengthen their trading books, and to reduce and simplify the formerly complex web of interbank</w:t>
      </w:r>
      <w:r>
        <w:rPr>
          <w:spacing w:val="-2"/>
        </w:rPr>
        <w:t> </w:t>
      </w:r>
      <w:r>
        <w:rPr/>
        <w:t>exposures.</w:t>
      </w:r>
    </w:p>
    <w:p>
      <w:pPr>
        <w:pStyle w:val="BodyText"/>
        <w:spacing w:before="11"/>
        <w:rPr>
          <w:sz w:val="29"/>
        </w:rPr>
      </w:pPr>
    </w:p>
    <w:p>
      <w:pPr>
        <w:pStyle w:val="BodyText"/>
        <w:spacing w:line="362" w:lineRule="auto"/>
        <w:ind w:left="313" w:right="1129"/>
      </w:pPr>
      <w:r>
        <w:rPr/>
        <w:t>In response, banks have built higher and better quality capital buffers (</w:t>
      </w:r>
      <w:r>
        <w:rPr>
          <w:b/>
        </w:rPr>
        <w:t>Chart 7</w:t>
      </w:r>
      <w:r>
        <w:rPr/>
        <w:t>), largely through retained earnings, and have reduced leverage. Between 2008 and 2015, advanced economy G-SIBs raised close to</w:t>
      </w:r>
    </w:p>
    <w:p>
      <w:pPr>
        <w:pStyle w:val="BodyText"/>
        <w:spacing w:line="360" w:lineRule="auto"/>
        <w:ind w:left="313" w:right="1518"/>
      </w:pPr>
      <w:r>
        <w:rPr/>
        <w:t>$800bn of equity, while almost $200bn was raised by major UK banks, over a period during which these banks’ risk-weighted assets fell. It is expected that the aggregate common equity tier one ratio across all G-SIBs, as calculated on the basis of the fully-loaded Basel III requirements, was more than 11% at</w:t>
      </w:r>
    </w:p>
    <w:p>
      <w:pPr>
        <w:pStyle w:val="BodyText"/>
        <w:spacing w:line="357" w:lineRule="auto"/>
        <w:ind w:left="313" w:right="1129"/>
      </w:pPr>
      <w:r>
        <w:rPr/>
        <w:t>end-2015, double the ratio in 2009. In parallel, authorities have tightened both the definition of total capital and the requirements on trading activities.</w:t>
      </w:r>
    </w:p>
    <w:p>
      <w:pPr>
        <w:pStyle w:val="BodyText"/>
        <w:spacing w:before="3"/>
        <w:rPr>
          <w:sz w:val="30"/>
        </w:rPr>
      </w:pPr>
    </w:p>
    <w:p>
      <w:pPr>
        <w:pStyle w:val="BodyText"/>
        <w:ind w:left="313"/>
      </w:pPr>
      <w:r>
        <w:rPr/>
        <w:t>Bank funding profiles have also improved since the crisis. For UK banks, liquid asset holdings have tripled to</w:t>
      </w:r>
    </w:p>
    <w:p>
      <w:pPr>
        <w:pStyle w:val="BodyText"/>
        <w:spacing w:line="360" w:lineRule="auto" w:before="113"/>
        <w:ind w:left="313" w:right="1132"/>
      </w:pPr>
      <w:r>
        <w:rPr/>
        <w:t>£500bn and, for the system as a whole, customer loan books are now entirely funded by customer deposits – up from around 75%. Trading assets are down by a third and inter-bank exposures have shrunk by two thirds.</w:t>
      </w:r>
    </w:p>
    <w:p>
      <w:pPr>
        <w:spacing w:after="0" w:line="360" w:lineRule="auto"/>
        <w:sectPr>
          <w:pgSz w:w="11910" w:h="16840"/>
          <w:pgMar w:header="0" w:footer="1338" w:top="1520" w:bottom="1520" w:left="820" w:right="0"/>
        </w:sectPr>
      </w:pPr>
    </w:p>
    <w:p>
      <w:pPr>
        <w:pStyle w:val="BodyText"/>
        <w:spacing w:line="357" w:lineRule="auto" w:before="79"/>
        <w:ind w:left="313" w:right="1012"/>
      </w:pPr>
      <w:r>
        <w:rPr/>
        <w:t>Moreover, in the United Kingdom, banks have already been stress tested to ensure they have enough capital to cover two severe scenarios: a hard landing in emerging markets, and a UK balance of payments shock.</w:t>
      </w:r>
    </w:p>
    <w:p>
      <w:pPr>
        <w:pStyle w:val="BodyText"/>
        <w:spacing w:before="1"/>
        <w:rPr>
          <w:sz w:val="30"/>
        </w:rPr>
      </w:pPr>
    </w:p>
    <w:p>
      <w:pPr>
        <w:pStyle w:val="Heading1"/>
        <w:spacing w:before="1"/>
      </w:pPr>
      <w:r>
        <w:rPr/>
        <w:t>Chart 7: Capital ratios up materially</w:t>
      </w:r>
    </w:p>
    <w:p>
      <w:pPr>
        <w:pStyle w:val="BodyText"/>
        <w:spacing w:before="5"/>
        <w:rPr>
          <w:b/>
          <w:sz w:val="22"/>
        </w:rPr>
      </w:pPr>
    </w:p>
    <w:p>
      <w:pPr>
        <w:tabs>
          <w:tab w:pos="3680" w:val="left" w:leader="none"/>
          <w:tab w:pos="7869" w:val="left" w:leader="none"/>
        </w:tabs>
        <w:spacing w:line="225" w:lineRule="auto" w:before="108"/>
        <w:ind w:left="8251" w:right="2378" w:hanging="7289"/>
        <w:jc w:val="left"/>
        <w:rPr>
          <w:sz w:val="18"/>
        </w:rPr>
      </w:pPr>
      <w:r>
        <w:rPr/>
        <w:pict>
          <v:group style="position:absolute;margin-left:74.389999pt;margin-top:22.615383pt;width:371.45pt;height:193.95pt;mso-position-horizontal-relative:page;mso-position-vertical-relative:paragraph;z-index:-252973056" coordorigin="1488,452" coordsize="7429,3879">
            <v:rect style="position:absolute;left:1489;top:453;width:7424;height:3224" filled="false" stroked="true" strokeweight=".140pt" strokecolor="#000000">
              <v:stroke dashstyle="solid"/>
            </v:rect>
            <v:shape style="position:absolute;left:1768;top:944;width:6867;height:2732" coordorigin="1769,945" coordsize="6867,2732" path="m2138,2085l1769,2085,1769,3676,2138,3676,2138,2085m3067,997l2695,997,2695,3676,3067,3676,3067,997m3996,2094l3624,2094,3624,3676,3996,3676,3996,2094m4922,1528l4553,1528,4553,3676,4922,3676,4922,1528m5851,2207l5479,2207,5479,3676,5851,3676,5851,2207m6780,945l6408,945,6408,3676,6780,3676,6780,945m7706,2557l7337,2557,7337,3676,7706,3676,7706,2557m8635,971l8263,971,8263,3676,8635,3676,8635,971e" filled="true" fillcolor="#00afef" stroked="false">
              <v:path arrowok="t"/>
              <v:fill type="solid"/>
            </v:shape>
            <v:shape style="position:absolute;left:2695;top:788;width:2228;height:740" coordorigin="2695,789" coordsize="2228,740" path="m3067,789l2695,789,2695,997,3067,997,3067,789m4922,1000l4553,1000,4553,1528,4922,1528,4922,1000e" filled="true" fillcolor="#c00000" stroked="false">
              <v:path arrowok="t"/>
              <v:fill type="solid"/>
            </v:shape>
            <v:rect style="position:absolute;left:8263;top:855;width:372;height:116" filled="true" fillcolor="#c00000" stroked="false">
              <v:fill type="solid"/>
            </v:rect>
            <v:shape style="position:absolute;left:1490;top:454;width:7424;height:3876" coordorigin="1490,455" coordsize="7424,3876" path="m8914,3676l8914,455m8858,3676l8914,3676m8858,3217l8914,3217m8858,2757l8914,2757m8858,2296l8914,2296m8858,1835l8914,1835m8858,1374l8914,1374m8858,916l8914,916m8858,455l8914,455m1490,3676l8914,3676m1490,3623l1490,3676,1490,4002m2417,3623l2417,3676,2417,4002m3346,3623l3346,3676,3346,4002m4274,3623l4274,3676,4274,4002m5201,3623l5201,3676,5201,4002m6130,3623l6130,3676,6130,4002m7058,3623l7058,3676,7058,4002m7985,3623l7985,3676,7985,4002m8914,3623l8914,3676,8914,4002m1490,4002l1490,4331m3346,4002l3346,4331m5201,4002l5201,4331m7058,4002l7058,4331m8914,4002l8914,4331e" filled="false" stroked="true" strokeweight=".24pt" strokecolor="#000000">
              <v:path arrowok="t"/>
              <v:stroke dashstyle="solid"/>
            </v:shape>
            <v:shape style="position:absolute;left:1487;top:452;width:7429;height:3879"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3"/>
                      <w:rPr>
                        <w:sz w:val="29"/>
                      </w:rPr>
                    </w:pPr>
                  </w:p>
                  <w:p>
                    <w:pPr>
                      <w:tabs>
                        <w:tab w:pos="1055" w:val="left" w:leader="none"/>
                        <w:tab w:pos="2123" w:val="left" w:leader="none"/>
                        <w:tab w:pos="2911" w:val="left" w:leader="none"/>
                        <w:tab w:pos="3979" w:val="left" w:leader="none"/>
                        <w:tab w:pos="4767" w:val="left" w:leader="none"/>
                        <w:tab w:pos="5836" w:val="left" w:leader="none"/>
                        <w:tab w:pos="6624" w:val="left" w:leader="none"/>
                      </w:tabs>
                      <w:spacing w:before="0"/>
                      <w:ind w:left="267" w:right="0" w:firstLine="0"/>
                      <w:jc w:val="left"/>
                      <w:rPr>
                        <w:sz w:val="18"/>
                      </w:rPr>
                    </w:pPr>
                    <w:r>
                      <w:rPr>
                        <w:sz w:val="18"/>
                      </w:rPr>
                      <w:t>2008</w:t>
                      <w:tab/>
                      <w:t>2015</w:t>
                    </w:r>
                    <w:r>
                      <w:rPr>
                        <w:spacing w:val="-1"/>
                        <w:sz w:val="18"/>
                      </w:rPr>
                      <w:t> </w:t>
                    </w:r>
                    <w:r>
                      <w:rPr>
                        <w:sz w:val="18"/>
                      </w:rPr>
                      <w:t>H1</w:t>
                      <w:tab/>
                      <w:t>2008</w:t>
                      <w:tab/>
                      <w:t>2015</w:t>
                    </w:r>
                    <w:r>
                      <w:rPr>
                        <w:spacing w:val="-1"/>
                        <w:sz w:val="18"/>
                      </w:rPr>
                      <w:t> </w:t>
                    </w:r>
                    <w:r>
                      <w:rPr>
                        <w:sz w:val="18"/>
                      </w:rPr>
                      <w:t>H1</w:t>
                      <w:tab/>
                      <w:t>2008</w:t>
                      <w:tab/>
                      <w:t>2015</w:t>
                    </w:r>
                    <w:r>
                      <w:rPr>
                        <w:spacing w:val="-1"/>
                        <w:sz w:val="18"/>
                      </w:rPr>
                      <w:t> </w:t>
                    </w:r>
                    <w:r>
                      <w:rPr>
                        <w:sz w:val="18"/>
                      </w:rPr>
                      <w:t>H1</w:t>
                      <w:tab/>
                      <w:t>2008</w:t>
                      <w:tab/>
                      <w:t>2015 H1</w:t>
                    </w:r>
                  </w:p>
                  <w:p>
                    <w:pPr>
                      <w:tabs>
                        <w:tab w:pos="2265" w:val="left" w:leader="none"/>
                        <w:tab w:pos="4519" w:val="left" w:leader="none"/>
                        <w:tab w:pos="6375" w:val="left" w:leader="none"/>
                      </w:tabs>
                      <w:spacing w:before="123"/>
                      <w:ind w:left="598" w:right="0" w:firstLine="0"/>
                      <w:jc w:val="left"/>
                      <w:rPr>
                        <w:sz w:val="18"/>
                      </w:rPr>
                    </w:pPr>
                    <w:r>
                      <w:rPr>
                        <w:sz w:val="18"/>
                      </w:rPr>
                      <w:t>€A</w:t>
                    </w:r>
                    <w:r>
                      <w:rPr>
                        <w:spacing w:val="-1"/>
                        <w:sz w:val="18"/>
                      </w:rPr>
                      <w:t> </w:t>
                    </w:r>
                    <w:r>
                      <w:rPr>
                        <w:sz w:val="18"/>
                      </w:rPr>
                      <w:t>Core</w:t>
                      <w:tab/>
                      <w:t>€A Periphery</w:t>
                      <w:tab/>
                      <w:t>UK</w:t>
                      <w:tab/>
                      <w:t>US</w:t>
                    </w:r>
                  </w:p>
                </w:txbxContent>
              </v:textbox>
              <w10:wrap type="none"/>
            </v:shape>
            <w10:wrap type="none"/>
          </v:group>
        </w:pict>
      </w:r>
      <w:r>
        <w:rPr/>
        <w:pict>
          <v:rect style="position:absolute;margin-left:82.68pt;margin-top:10.745383pt;width:4.560pt;height:4.560pt;mso-position-horizontal-relative:page;mso-position-vertical-relative:paragraph;z-index:251722752" filled="true" fillcolor="#00afef" stroked="false">
            <v:fill type="solid"/>
            <w10:wrap type="none"/>
          </v:rect>
        </w:pict>
      </w:r>
      <w:r>
        <w:rPr/>
        <w:pict>
          <v:rect style="position:absolute;margin-left:218.520004pt;margin-top:10.745383pt;width:4.560pt;height:4.560pt;mso-position-horizontal-relative:page;mso-position-vertical-relative:paragraph;z-index:-252971008" filled="true" fillcolor="#c00000" stroked="false">
            <v:fill type="solid"/>
            <w10:wrap type="none"/>
          </v:rect>
        </w:pict>
      </w:r>
      <w:r>
        <w:rPr>
          <w:sz w:val="18"/>
        </w:rPr>
        <w:t>CET1 (net</w:t>
      </w:r>
      <w:r>
        <w:rPr>
          <w:spacing w:val="-4"/>
          <w:sz w:val="18"/>
        </w:rPr>
        <w:t> </w:t>
      </w:r>
      <w:r>
        <w:rPr>
          <w:sz w:val="18"/>
        </w:rPr>
        <w:t>of</w:t>
      </w:r>
      <w:r>
        <w:rPr>
          <w:spacing w:val="-2"/>
          <w:sz w:val="18"/>
        </w:rPr>
        <w:t> </w:t>
      </w:r>
      <w:r>
        <w:rPr>
          <w:sz w:val="18"/>
        </w:rPr>
        <w:t>transitionals)</w:t>
        <w:tab/>
        <w:t>Transitional</w:t>
      </w:r>
      <w:r>
        <w:rPr>
          <w:spacing w:val="-3"/>
          <w:sz w:val="18"/>
        </w:rPr>
        <w:t> </w:t>
      </w:r>
      <w:r>
        <w:rPr>
          <w:sz w:val="18"/>
        </w:rPr>
        <w:t>adjustments</w:t>
        <w:tab/>
      </w:r>
      <w:r>
        <w:rPr>
          <w:position w:val="5"/>
          <w:sz w:val="18"/>
        </w:rPr>
        <w:t>% of </w:t>
      </w:r>
      <w:r>
        <w:rPr>
          <w:spacing w:val="-4"/>
          <w:position w:val="5"/>
          <w:sz w:val="18"/>
        </w:rPr>
        <w:t>RWA </w:t>
      </w:r>
      <w:r>
        <w:rPr>
          <w:sz w:val="18"/>
        </w:rPr>
        <w:t>14</w:t>
      </w:r>
    </w:p>
    <w:p>
      <w:pPr>
        <w:pStyle w:val="BodyText"/>
        <w:spacing w:before="1"/>
        <w:rPr>
          <w:sz w:val="14"/>
        </w:rPr>
      </w:pPr>
    </w:p>
    <w:p>
      <w:pPr>
        <w:spacing w:before="94"/>
        <w:ind w:left="0" w:right="2631" w:firstLine="0"/>
        <w:jc w:val="right"/>
        <w:rPr>
          <w:sz w:val="18"/>
        </w:rPr>
      </w:pPr>
      <w:r>
        <w:rPr>
          <w:spacing w:val="-1"/>
          <w:sz w:val="18"/>
        </w:rPr>
        <w:t>12</w:t>
      </w:r>
    </w:p>
    <w:p>
      <w:pPr>
        <w:pStyle w:val="BodyText"/>
        <w:spacing w:before="9"/>
        <w:rPr>
          <w:sz w:val="13"/>
        </w:rPr>
      </w:pPr>
    </w:p>
    <w:p>
      <w:pPr>
        <w:spacing w:before="95"/>
        <w:ind w:left="0" w:right="2631" w:firstLine="0"/>
        <w:jc w:val="right"/>
        <w:rPr>
          <w:sz w:val="18"/>
        </w:rPr>
      </w:pPr>
      <w:r>
        <w:rPr>
          <w:spacing w:val="-1"/>
          <w:sz w:val="18"/>
        </w:rPr>
        <w:t>10</w:t>
      </w:r>
    </w:p>
    <w:p>
      <w:pPr>
        <w:pStyle w:val="BodyText"/>
        <w:spacing w:before="9"/>
        <w:rPr>
          <w:sz w:val="13"/>
        </w:rPr>
      </w:pPr>
    </w:p>
    <w:p>
      <w:pPr>
        <w:spacing w:before="95"/>
        <w:ind w:left="0" w:right="2732" w:firstLine="0"/>
        <w:jc w:val="right"/>
        <w:rPr>
          <w:sz w:val="18"/>
        </w:rPr>
      </w:pPr>
      <w:r>
        <w:rPr>
          <w:w w:val="99"/>
          <w:sz w:val="18"/>
        </w:rPr>
        <w:t>8</w:t>
      </w:r>
    </w:p>
    <w:p>
      <w:pPr>
        <w:pStyle w:val="BodyText"/>
        <w:spacing w:before="9"/>
        <w:rPr>
          <w:sz w:val="13"/>
        </w:rPr>
      </w:pPr>
    </w:p>
    <w:p>
      <w:pPr>
        <w:spacing w:before="94"/>
        <w:ind w:left="0" w:right="2732" w:firstLine="0"/>
        <w:jc w:val="right"/>
        <w:rPr>
          <w:sz w:val="18"/>
        </w:rPr>
      </w:pPr>
      <w:r>
        <w:rPr>
          <w:w w:val="99"/>
          <w:sz w:val="18"/>
        </w:rPr>
        <w:t>6</w:t>
      </w:r>
    </w:p>
    <w:p>
      <w:pPr>
        <w:pStyle w:val="BodyText"/>
        <w:spacing w:before="10"/>
        <w:rPr>
          <w:sz w:val="13"/>
        </w:rPr>
      </w:pPr>
    </w:p>
    <w:p>
      <w:pPr>
        <w:spacing w:before="94"/>
        <w:ind w:left="0" w:right="2732" w:firstLine="0"/>
        <w:jc w:val="right"/>
        <w:rPr>
          <w:sz w:val="18"/>
        </w:rPr>
      </w:pPr>
      <w:r>
        <w:rPr>
          <w:w w:val="99"/>
          <w:sz w:val="18"/>
        </w:rPr>
        <w:t>4</w:t>
      </w:r>
    </w:p>
    <w:p>
      <w:pPr>
        <w:pStyle w:val="BodyText"/>
        <w:spacing w:before="10"/>
        <w:rPr>
          <w:sz w:val="13"/>
        </w:rPr>
      </w:pPr>
    </w:p>
    <w:p>
      <w:pPr>
        <w:spacing w:before="94"/>
        <w:ind w:left="0" w:right="2732" w:firstLine="0"/>
        <w:jc w:val="right"/>
        <w:rPr>
          <w:sz w:val="18"/>
        </w:rPr>
      </w:pPr>
      <w:r>
        <w:rPr>
          <w:w w:val="99"/>
          <w:sz w:val="18"/>
        </w:rPr>
        <w:t>2</w:t>
      </w:r>
    </w:p>
    <w:p>
      <w:pPr>
        <w:pStyle w:val="BodyText"/>
        <w:spacing w:before="10"/>
        <w:rPr>
          <w:sz w:val="13"/>
        </w:rPr>
      </w:pPr>
    </w:p>
    <w:p>
      <w:pPr>
        <w:spacing w:before="94"/>
        <w:ind w:left="0" w:right="2732" w:firstLine="0"/>
        <w:jc w:val="right"/>
        <w:rPr>
          <w:sz w:val="18"/>
        </w:rPr>
      </w:pPr>
      <w:r>
        <w:rPr>
          <w:w w:val="99"/>
          <w:sz w:val="18"/>
        </w:rPr>
        <w:t>0</w:t>
      </w:r>
    </w:p>
    <w:p>
      <w:pPr>
        <w:pStyle w:val="BodyText"/>
      </w:pPr>
    </w:p>
    <w:p>
      <w:pPr>
        <w:pStyle w:val="BodyText"/>
      </w:pPr>
    </w:p>
    <w:p>
      <w:pPr>
        <w:pStyle w:val="BodyText"/>
        <w:spacing w:before="7"/>
        <w:rPr>
          <w:sz w:val="27"/>
        </w:rPr>
      </w:pPr>
    </w:p>
    <w:p>
      <w:pPr>
        <w:spacing w:before="96"/>
        <w:ind w:left="313" w:right="0" w:firstLine="0"/>
        <w:jc w:val="left"/>
        <w:rPr>
          <w:sz w:val="16"/>
        </w:rPr>
      </w:pPr>
      <w:r>
        <w:rPr>
          <w:sz w:val="16"/>
        </w:rPr>
        <w:t>Source: SNL, EBA and Bank calculations.</w:t>
      </w:r>
    </w:p>
    <w:p>
      <w:pPr>
        <w:pStyle w:val="BodyText"/>
        <w:rPr>
          <w:sz w:val="18"/>
        </w:rPr>
      </w:pPr>
    </w:p>
    <w:p>
      <w:pPr>
        <w:pStyle w:val="BodyText"/>
        <w:spacing w:line="360" w:lineRule="auto" w:before="138"/>
        <w:ind w:left="313" w:right="1129"/>
      </w:pPr>
      <w:r>
        <w:rPr/>
        <w:t>Policymakers can help banks transition to more sustainable business models by giving the maximum regulatory clarity. With the agreements reached in recent years, including Basel III and the global agreement on Total Loss Absorbing Capacity, the overall international regulatory and resolution framework for banks is now largely settled.</w:t>
      </w:r>
    </w:p>
    <w:p>
      <w:pPr>
        <w:pStyle w:val="BodyText"/>
        <w:rPr>
          <w:sz w:val="30"/>
        </w:rPr>
      </w:pPr>
    </w:p>
    <w:p>
      <w:pPr>
        <w:pStyle w:val="BodyText"/>
        <w:spacing w:line="360" w:lineRule="auto" w:before="1"/>
        <w:ind w:left="313" w:right="1507"/>
      </w:pPr>
      <w:r>
        <w:rPr/>
        <w:t>The FSB, Basel Committee and other authorities now need to build confidence about the stability of the overall requirements, deliver transparency about the extent to which institutions meet them, and fix some important remaining details. </w:t>
      </w:r>
      <w:r>
        <w:rPr>
          <w:vertAlign w:val="superscript"/>
        </w:rPr>
        <w:t>3</w:t>
      </w:r>
    </w:p>
    <w:p>
      <w:pPr>
        <w:pStyle w:val="BodyText"/>
        <w:rPr>
          <w:sz w:val="30"/>
        </w:rPr>
      </w:pPr>
    </w:p>
    <w:p>
      <w:pPr>
        <w:pStyle w:val="BodyText"/>
        <w:spacing w:line="360" w:lineRule="auto"/>
        <w:ind w:left="313" w:right="1129"/>
      </w:pPr>
      <w:r>
        <w:rPr/>
        <w:t>For example, the Basel Committee is continuing to work on elements of the Basel III framework to ensure its overall coherence and maximise its effectiveness. In doing so, authorities are focused on not significantly increasing overall capital requirements across the banking sector.</w:t>
      </w:r>
    </w:p>
    <w:p>
      <w:pPr>
        <w:pStyle w:val="BodyText"/>
        <w:rPr>
          <w:sz w:val="30"/>
        </w:rPr>
      </w:pPr>
    </w:p>
    <w:p>
      <w:pPr>
        <w:pStyle w:val="BodyText"/>
        <w:ind w:left="313"/>
      </w:pPr>
      <w:r>
        <w:rPr/>
        <w:t>In short, there will be no Basel IV.</w:t>
      </w:r>
    </w:p>
    <w:p>
      <w:pPr>
        <w:pStyle w:val="BodyText"/>
      </w:pPr>
    </w:p>
    <w:p>
      <w:pPr>
        <w:pStyle w:val="BodyText"/>
      </w:pPr>
    </w:p>
    <w:p>
      <w:pPr>
        <w:pStyle w:val="BodyText"/>
      </w:pPr>
    </w:p>
    <w:p>
      <w:pPr>
        <w:pStyle w:val="BodyText"/>
      </w:pPr>
    </w:p>
    <w:p>
      <w:pPr>
        <w:pStyle w:val="BodyText"/>
      </w:pPr>
    </w:p>
    <w:p>
      <w:pPr>
        <w:pStyle w:val="BodyText"/>
        <w:spacing w:before="1"/>
        <w:rPr>
          <w:sz w:val="11"/>
        </w:rPr>
      </w:pPr>
      <w:r>
        <w:rPr/>
        <w:pict>
          <v:shape style="position:absolute;margin-left:56.664001pt;margin-top:8.585567pt;width:144.050pt;height:.1pt;mso-position-horizontal-relative:page;mso-position-vertical-relative:paragraph;z-index:-251596800;mso-wrap-distance-left:0;mso-wrap-distance-right:0" coordorigin="1133,172" coordsize="2881,0" path="m1133,172l4014,172e" filled="false" stroked="true" strokeweight=".47998pt" strokecolor="#000000">
            <v:path arrowok="t"/>
            <v:stroke dashstyle="solid"/>
            <w10:wrap type="topAndBottom"/>
          </v:shape>
        </w:pict>
      </w:r>
    </w:p>
    <w:p>
      <w:pPr>
        <w:pStyle w:val="BodyText"/>
        <w:rPr>
          <w:sz w:val="10"/>
        </w:rPr>
      </w:pPr>
    </w:p>
    <w:p>
      <w:pPr>
        <w:spacing w:before="97"/>
        <w:ind w:left="313" w:right="0" w:firstLine="0"/>
        <w:jc w:val="left"/>
        <w:rPr>
          <w:sz w:val="16"/>
        </w:rPr>
      </w:pPr>
      <w:r>
        <w:rPr>
          <w:position w:val="8"/>
          <w:sz w:val="10"/>
        </w:rPr>
        <w:t>3 </w:t>
      </w:r>
      <w:r>
        <w:rPr>
          <w:sz w:val="16"/>
        </w:rPr>
        <w:t>See for example the Bank of England’s Supplement to the December 2015 Financial Stability Report: </w:t>
      </w:r>
      <w:hyperlink r:id="rId18">
        <w:r>
          <w:rPr>
            <w:sz w:val="16"/>
          </w:rPr>
          <w:t>http://www.bankofengland.co.uk/publications/Documents/fsr/2015/fsrsupp.pdf</w:t>
        </w:r>
      </w:hyperlink>
    </w:p>
    <w:p>
      <w:pPr>
        <w:spacing w:after="0"/>
        <w:jc w:val="left"/>
        <w:rPr>
          <w:sz w:val="16"/>
        </w:rPr>
        <w:sectPr>
          <w:pgSz w:w="11910" w:h="16840"/>
          <w:pgMar w:header="0" w:footer="1338" w:top="1520" w:bottom="1520" w:left="820" w:right="0"/>
        </w:sectPr>
      </w:pPr>
    </w:p>
    <w:p>
      <w:pPr>
        <w:pStyle w:val="Heading1"/>
        <w:spacing w:before="76"/>
      </w:pPr>
      <w:r>
        <w:rPr/>
        <w:t>Monetary Policy</w:t>
      </w:r>
    </w:p>
    <w:p>
      <w:pPr>
        <w:pStyle w:val="BodyText"/>
        <w:rPr>
          <w:b/>
          <w:sz w:val="22"/>
        </w:rPr>
      </w:pPr>
    </w:p>
    <w:p>
      <w:pPr>
        <w:pStyle w:val="BodyText"/>
        <w:spacing w:before="2"/>
        <w:rPr>
          <w:b/>
          <w:sz w:val="18"/>
        </w:rPr>
      </w:pPr>
    </w:p>
    <w:p>
      <w:pPr>
        <w:pStyle w:val="BodyText"/>
        <w:spacing w:line="360" w:lineRule="auto"/>
        <w:ind w:left="313" w:right="1719"/>
      </w:pPr>
      <w:r>
        <w:rPr/>
        <w:t>By making the banking system substantially stronger, financial reform has made monetary policy more effective.</w:t>
      </w:r>
    </w:p>
    <w:p>
      <w:pPr>
        <w:pStyle w:val="BodyText"/>
        <w:spacing w:before="11"/>
        <w:rPr>
          <w:sz w:val="29"/>
        </w:rPr>
      </w:pPr>
    </w:p>
    <w:p>
      <w:pPr>
        <w:pStyle w:val="BodyText"/>
        <w:spacing w:line="360" w:lineRule="auto"/>
        <w:ind w:left="313" w:right="1163"/>
      </w:pPr>
      <w:r>
        <w:rPr/>
        <w:t>That is essential because the force of the headwinds facing monetary policy are leading some to claim central banks are out of monetary ammunition. This is wrong, but the widespread absence of global price pressures demands that our firepower be well aimed.</w:t>
      </w:r>
    </w:p>
    <w:p>
      <w:pPr>
        <w:pStyle w:val="BodyText"/>
        <w:rPr>
          <w:sz w:val="30"/>
        </w:rPr>
      </w:pPr>
    </w:p>
    <w:p>
      <w:pPr>
        <w:pStyle w:val="BodyText"/>
        <w:spacing w:line="360" w:lineRule="auto"/>
        <w:ind w:left="313" w:right="1308"/>
      </w:pPr>
      <w:r>
        <w:rPr/>
        <w:t>A set of powerful forces, both secular and cyclical, have depressed ‘equilibrium’ interest rates globally. These forces include demographic change, slower potential growth, higher credit spreads, lower desired investment, a lower relative price of capital, greater income inequality, sustained private deleveraging and lower public investment.</w:t>
      </w:r>
    </w:p>
    <w:p>
      <w:pPr>
        <w:pStyle w:val="BodyText"/>
        <w:spacing w:before="1"/>
        <w:rPr>
          <w:sz w:val="30"/>
        </w:rPr>
      </w:pPr>
    </w:p>
    <w:p>
      <w:pPr>
        <w:pStyle w:val="BodyText"/>
        <w:spacing w:line="360" w:lineRule="auto"/>
        <w:ind w:left="313" w:right="1207"/>
      </w:pPr>
      <w:r>
        <w:rPr/>
        <w:t>Together these dynamics have raised desired savings and lowered desired investment. With more savings chasing fewer investment opportunities, equilibrium safe returns have fallen sharply towards zero (</w:t>
      </w:r>
      <w:r>
        <w:rPr>
          <w:b/>
        </w:rPr>
        <w:t>Chart 8 </w:t>
      </w:r>
      <w:r>
        <w:rPr/>
        <w:t>– see also Annex). Colleagues at the Bank of England estimate that these factors can explain around 400 of the 450 basis points fall in global long-term equilibrium rates since the 1980s.</w:t>
      </w:r>
      <w:r>
        <w:rPr>
          <w:vertAlign w:val="superscript"/>
        </w:rPr>
        <w:t>4</w:t>
      </w:r>
      <w:r>
        <w:rPr>
          <w:vertAlign w:val="baseline"/>
        </w:rPr>
        <w:t> The persistence of many of these trends suggests that the global neutral real rate could settle around 1% over the medium to long term.</w:t>
      </w:r>
    </w:p>
    <w:p>
      <w:pPr>
        <w:pStyle w:val="BodyText"/>
        <w:rPr>
          <w:sz w:val="22"/>
        </w:rPr>
      </w:pPr>
    </w:p>
    <w:p>
      <w:pPr>
        <w:pStyle w:val="Heading1"/>
        <w:spacing w:before="194"/>
      </w:pPr>
      <w:r>
        <w:rPr/>
        <w:drawing>
          <wp:anchor distT="0" distB="0" distL="0" distR="0" allowOverlap="1" layoutInCell="1" locked="0" behindDoc="0" simplePos="0" relativeHeight="65">
            <wp:simplePos x="0" y="0"/>
            <wp:positionH relativeFrom="page">
              <wp:posOffset>775005</wp:posOffset>
            </wp:positionH>
            <wp:positionV relativeFrom="paragraph">
              <wp:posOffset>331659</wp:posOffset>
            </wp:positionV>
            <wp:extent cx="3789661" cy="3140964"/>
            <wp:effectExtent l="0" t="0" r="0" b="0"/>
            <wp:wrapTopAndBottom/>
            <wp:docPr id="3" name="image12.png"/>
            <wp:cNvGraphicFramePr>
              <a:graphicFrameLocks noChangeAspect="1"/>
            </wp:cNvGraphicFramePr>
            <a:graphic>
              <a:graphicData uri="http://schemas.openxmlformats.org/drawingml/2006/picture">
                <pic:pic>
                  <pic:nvPicPr>
                    <pic:cNvPr id="4" name="image12.png"/>
                    <pic:cNvPicPr/>
                  </pic:nvPicPr>
                  <pic:blipFill>
                    <a:blip r:embed="rId20" cstate="print"/>
                    <a:stretch>
                      <a:fillRect/>
                    </a:stretch>
                  </pic:blipFill>
                  <pic:spPr>
                    <a:xfrm>
                      <a:off x="0" y="0"/>
                      <a:ext cx="3789661" cy="3140964"/>
                    </a:xfrm>
                    <a:prstGeom prst="rect">
                      <a:avLst/>
                    </a:prstGeom>
                  </pic:spPr>
                </pic:pic>
              </a:graphicData>
            </a:graphic>
          </wp:anchor>
        </w:drawing>
      </w:r>
      <w:r>
        <w:rPr/>
        <w:t>Chart 8: Secular drivers pushing down on rates</w:t>
      </w:r>
    </w:p>
    <w:p>
      <w:pPr>
        <w:pStyle w:val="BodyText"/>
        <w:rPr>
          <w:b/>
        </w:rPr>
      </w:pPr>
    </w:p>
    <w:p>
      <w:pPr>
        <w:pStyle w:val="BodyText"/>
        <w:rPr>
          <w:b/>
        </w:rPr>
      </w:pPr>
    </w:p>
    <w:p>
      <w:pPr>
        <w:pStyle w:val="BodyText"/>
        <w:spacing w:before="2"/>
        <w:rPr>
          <w:b/>
          <w:sz w:val="25"/>
        </w:rPr>
      </w:pPr>
      <w:r>
        <w:rPr/>
        <w:pict>
          <v:shape style="position:absolute;margin-left:56.664001pt;margin-top:16.686878pt;width:144.050pt;height:.1pt;mso-position-horizontal-relative:page;mso-position-vertical-relative:paragraph;z-index:-251590656;mso-wrap-distance-left:0;mso-wrap-distance-right:0" coordorigin="1133,334" coordsize="2881,0" path="m1133,334l4014,334e" filled="false" stroked="true" strokeweight=".48004pt" strokecolor="#000000">
            <v:path arrowok="t"/>
            <v:stroke dashstyle="solid"/>
            <w10:wrap type="topAndBottom"/>
          </v:shape>
        </w:pict>
      </w:r>
    </w:p>
    <w:p>
      <w:pPr>
        <w:spacing w:before="29"/>
        <w:ind w:left="313" w:right="0" w:firstLine="0"/>
        <w:jc w:val="left"/>
        <w:rPr>
          <w:sz w:val="16"/>
        </w:rPr>
      </w:pPr>
      <w:r>
        <w:rPr>
          <w:position w:val="8"/>
          <w:sz w:val="10"/>
        </w:rPr>
        <w:t>4 </w:t>
      </w:r>
      <w:r>
        <w:rPr>
          <w:sz w:val="16"/>
        </w:rPr>
        <w:t>See Rachel, L and Smith, T (2015), “Secular drivers of the global real interest rate”, Bank of England Working Paper No. 571.</w:t>
      </w:r>
    </w:p>
    <w:p>
      <w:pPr>
        <w:spacing w:after="0"/>
        <w:jc w:val="left"/>
        <w:rPr>
          <w:sz w:val="16"/>
        </w:rPr>
        <w:sectPr>
          <w:footerReference w:type="default" r:id="rId19"/>
          <w:pgSz w:w="11910" w:h="16840"/>
          <w:pgMar w:footer="1338" w:header="0" w:top="1520" w:bottom="1520" w:left="820" w:right="0"/>
          <w:pgNumType w:start="10"/>
        </w:sectPr>
      </w:pPr>
    </w:p>
    <w:p>
      <w:pPr>
        <w:pStyle w:val="BodyText"/>
        <w:spacing w:before="79"/>
        <w:ind w:left="313"/>
      </w:pPr>
      <w:r>
        <w:rPr/>
        <w:t>Why does that matter?</w:t>
      </w:r>
    </w:p>
    <w:p>
      <w:pPr>
        <w:pStyle w:val="BodyText"/>
        <w:rPr>
          <w:sz w:val="22"/>
        </w:rPr>
      </w:pPr>
    </w:p>
    <w:p>
      <w:pPr>
        <w:pStyle w:val="BodyText"/>
        <w:spacing w:before="10"/>
        <w:rPr>
          <w:sz w:val="17"/>
        </w:rPr>
      </w:pPr>
    </w:p>
    <w:p>
      <w:pPr>
        <w:pStyle w:val="BodyText"/>
        <w:spacing w:line="360" w:lineRule="auto"/>
        <w:ind w:left="313" w:right="1136"/>
      </w:pPr>
      <w:r>
        <w:rPr/>
        <w:t>Central banks must set their policy rates with regard to equilibrium interest rates in order to maintain demand growth in line with supply growth and to stabilise inflation. Setting real interest rates substantially above the equilibrium rate would, in time, generate rising unemployment and falling prices. The opposite is true of setting rates substantially below the equilibrium rate. The substantial variance of the equilibrium rate over time means that a 4% policy rate would have been highly stimulative in 1980 but would be highly contractionary today.</w:t>
      </w:r>
    </w:p>
    <w:p>
      <w:pPr>
        <w:pStyle w:val="BodyText"/>
        <w:rPr>
          <w:sz w:val="30"/>
        </w:rPr>
      </w:pPr>
    </w:p>
    <w:p>
      <w:pPr>
        <w:pStyle w:val="BodyText"/>
        <w:spacing w:line="360" w:lineRule="auto"/>
        <w:ind w:left="313" w:right="1185"/>
      </w:pPr>
      <w:r>
        <w:rPr/>
        <w:t>At the onset of the crisis, as households and firms sought to de-lever, the equilibrium rate fell sharply, calling for reductions of conventional policy rates to unprecedented levels.</w:t>
      </w:r>
    </w:p>
    <w:p>
      <w:pPr>
        <w:pStyle w:val="BodyText"/>
        <w:rPr>
          <w:sz w:val="30"/>
        </w:rPr>
      </w:pPr>
    </w:p>
    <w:p>
      <w:pPr>
        <w:pStyle w:val="BodyText"/>
        <w:spacing w:line="360" w:lineRule="auto"/>
        <w:ind w:left="313" w:right="1129"/>
      </w:pPr>
      <w:r>
        <w:rPr/>
        <w:t>The necessary easing, however, went well beyond what central banks could deliver with short rates alone. Unconventional monetary policy measures, including large-scale purchases of government securities, were necessary to deliver effective market rates negative enough to mitigate globally deficient demand. In the UK, forward guidance supplemented such measures, ensuring households and firms could be confident that interest rates would not be raised prematurely, helping to secure the nascent recovery.</w:t>
      </w:r>
    </w:p>
    <w:p>
      <w:pPr>
        <w:pStyle w:val="BodyText"/>
        <w:spacing w:before="1"/>
        <w:rPr>
          <w:sz w:val="30"/>
        </w:rPr>
      </w:pPr>
    </w:p>
    <w:p>
      <w:pPr>
        <w:pStyle w:val="BodyText"/>
        <w:spacing w:line="360" w:lineRule="auto"/>
        <w:ind w:left="313" w:right="1196"/>
      </w:pPr>
      <w:r>
        <w:rPr/>
        <w:t>Central banks have also purchased other assets – in some cases using small-scale programmes to alleviate specific cases of market dysfunction, and, in others, larger ones to inject greater stimulus into the economy.</w:t>
      </w:r>
    </w:p>
    <w:p>
      <w:pPr>
        <w:pStyle w:val="BodyText"/>
        <w:rPr>
          <w:sz w:val="30"/>
        </w:rPr>
      </w:pPr>
    </w:p>
    <w:p>
      <w:pPr>
        <w:pStyle w:val="BodyText"/>
        <w:ind w:left="313"/>
      </w:pPr>
      <w:r>
        <w:rPr/>
        <w:t>By deploying a broad range of ammunition, the economy has been stimulated through a number of channels.</w:t>
      </w:r>
    </w:p>
    <w:p>
      <w:pPr>
        <w:pStyle w:val="BodyText"/>
        <w:rPr>
          <w:sz w:val="22"/>
        </w:rPr>
      </w:pPr>
    </w:p>
    <w:p>
      <w:pPr>
        <w:pStyle w:val="BodyText"/>
        <w:spacing w:before="10"/>
        <w:rPr>
          <w:sz w:val="17"/>
        </w:rPr>
      </w:pPr>
    </w:p>
    <w:p>
      <w:pPr>
        <w:spacing w:line="357" w:lineRule="auto" w:before="1"/>
        <w:ind w:left="313" w:right="1407" w:firstLine="0"/>
        <w:jc w:val="left"/>
        <w:rPr>
          <w:sz w:val="20"/>
        </w:rPr>
      </w:pPr>
      <w:r>
        <w:rPr>
          <w:sz w:val="20"/>
        </w:rPr>
        <w:t>Lower policy rates brought forward consumption to today from spending tomorrow – the </w:t>
      </w:r>
      <w:r>
        <w:rPr>
          <w:b/>
          <w:sz w:val="20"/>
        </w:rPr>
        <w:t>real interest rate channel</w:t>
      </w:r>
      <w:r>
        <w:rPr>
          <w:sz w:val="20"/>
        </w:rPr>
        <w:t>.</w:t>
      </w:r>
    </w:p>
    <w:p>
      <w:pPr>
        <w:pStyle w:val="BodyText"/>
        <w:spacing w:before="3"/>
        <w:rPr>
          <w:sz w:val="30"/>
        </w:rPr>
      </w:pPr>
    </w:p>
    <w:p>
      <w:pPr>
        <w:pStyle w:val="BodyText"/>
        <w:spacing w:line="357" w:lineRule="auto" w:before="1"/>
        <w:ind w:left="313" w:right="1485"/>
      </w:pPr>
      <w:r>
        <w:rPr/>
        <w:t>The all-in costs of borrowing were lowered, boosting existing borrowers’ spending power – the </w:t>
      </w:r>
      <w:r>
        <w:rPr>
          <w:b/>
        </w:rPr>
        <w:t>cash flow channel</w:t>
      </w:r>
      <w:r>
        <w:rPr/>
        <w:t>. And lower funding costs for banks increased the availability of credit – the </w:t>
      </w:r>
      <w:r>
        <w:rPr>
          <w:b/>
        </w:rPr>
        <w:t>credit channel</w:t>
      </w:r>
      <w:r>
        <w:rPr/>
        <w:t>.</w:t>
      </w:r>
    </w:p>
    <w:p>
      <w:pPr>
        <w:pStyle w:val="BodyText"/>
        <w:spacing w:before="4"/>
        <w:rPr>
          <w:sz w:val="30"/>
        </w:rPr>
      </w:pPr>
    </w:p>
    <w:p>
      <w:pPr>
        <w:spacing w:line="720" w:lineRule="auto" w:before="0"/>
        <w:ind w:left="313" w:right="2241" w:firstLine="0"/>
        <w:jc w:val="left"/>
        <w:rPr>
          <w:sz w:val="20"/>
        </w:rPr>
      </w:pPr>
      <w:r>
        <w:rPr>
          <w:sz w:val="20"/>
        </w:rPr>
        <w:t>Lower discount rates and portfolio balance effects supported asset prices – the </w:t>
      </w:r>
      <w:r>
        <w:rPr>
          <w:b/>
          <w:sz w:val="20"/>
        </w:rPr>
        <w:t>wealth channel</w:t>
      </w:r>
      <w:r>
        <w:rPr>
          <w:sz w:val="20"/>
        </w:rPr>
        <w:t>. Currencies’ values fell, boosting competitiveness – the </w:t>
      </w:r>
      <w:r>
        <w:rPr>
          <w:b/>
          <w:sz w:val="20"/>
        </w:rPr>
        <w:t>exchange rate channel</w:t>
      </w:r>
      <w:r>
        <w:rPr>
          <w:sz w:val="20"/>
        </w:rPr>
        <w:t>.</w:t>
      </w:r>
    </w:p>
    <w:p>
      <w:pPr>
        <w:pStyle w:val="BodyText"/>
        <w:spacing w:line="357" w:lineRule="auto" w:before="2"/>
        <w:ind w:left="313" w:right="1129"/>
      </w:pPr>
      <w:r>
        <w:rPr/>
        <w:t>And determined central bank action and forward guidance put a floor under inflation expectations and bolstered sentiment – the </w:t>
      </w:r>
      <w:r>
        <w:rPr>
          <w:b/>
        </w:rPr>
        <w:t>confidence channel</w:t>
      </w:r>
      <w:r>
        <w:rPr/>
        <w:t>.</w:t>
      </w:r>
    </w:p>
    <w:p>
      <w:pPr>
        <w:pStyle w:val="BodyText"/>
        <w:spacing w:before="5"/>
        <w:rPr>
          <w:sz w:val="30"/>
        </w:rPr>
      </w:pPr>
    </w:p>
    <w:p>
      <w:pPr>
        <w:pStyle w:val="BodyText"/>
        <w:ind w:left="313"/>
      </w:pPr>
      <w:r>
        <w:rPr/>
        <w:t>In this way, central bank actions combatted the worst global downturn since the Great Depression.</w:t>
      </w:r>
    </w:p>
    <w:p>
      <w:pPr>
        <w:spacing w:after="0"/>
        <w:sectPr>
          <w:pgSz w:w="11910" w:h="16840"/>
          <w:pgMar w:header="0" w:footer="1338" w:top="1520" w:bottom="1520" w:left="820" w:right="0"/>
        </w:sectPr>
      </w:pPr>
    </w:p>
    <w:p>
      <w:pPr>
        <w:pStyle w:val="BodyText"/>
        <w:spacing w:line="360" w:lineRule="auto" w:before="79"/>
        <w:ind w:left="313" w:right="1187"/>
      </w:pPr>
      <w:r>
        <w:rPr/>
        <w:t>All of these tools, and many variants of them, are still available to central banks if needed. With their arsenal well-stocked, the real questions for global reflation are how best to deploy these weapons and whether they will be reinforced by other policies.</w:t>
      </w:r>
    </w:p>
    <w:p>
      <w:pPr>
        <w:pStyle w:val="BodyText"/>
        <w:rPr>
          <w:sz w:val="30"/>
        </w:rPr>
      </w:pPr>
    </w:p>
    <w:p>
      <w:pPr>
        <w:pStyle w:val="BodyText"/>
        <w:spacing w:line="360" w:lineRule="auto"/>
        <w:ind w:left="313" w:right="1163"/>
      </w:pPr>
      <w:r>
        <w:rPr/>
        <w:t>Low interest real rates have bought time by bringing forward demand to today from tomorrow.</w:t>
      </w:r>
      <w:r>
        <w:rPr>
          <w:vertAlign w:val="superscript"/>
        </w:rPr>
        <w:t>5</w:t>
      </w:r>
      <w:r>
        <w:rPr>
          <w:vertAlign w:val="baseline"/>
        </w:rPr>
        <w:t> But, to paraphrase my predecessor, Lord King, having brought forward demand for years, tomorrow is now yesterday (and he said that three years ago!). In other words, most central banks need the other channels of monetary policy to work harder.</w:t>
      </w:r>
    </w:p>
    <w:p>
      <w:pPr>
        <w:pStyle w:val="BodyText"/>
        <w:spacing w:before="10"/>
        <w:rPr>
          <w:sz w:val="29"/>
        </w:rPr>
      </w:pPr>
    </w:p>
    <w:p>
      <w:pPr>
        <w:pStyle w:val="BodyText"/>
        <w:spacing w:line="360" w:lineRule="auto"/>
        <w:ind w:left="313" w:right="1451"/>
      </w:pPr>
      <w:r>
        <w:rPr/>
        <w:t>The scale of unconventional measures is impressive. Asset purchase programmes have been extended, notably in the euro area and in Japan. The largest four central banks bought assets worth $1.2 trillion in 2015, similar to the amounts purchased post-Lehman and during the 2013 euro-area crisis. Adjusting for lower government debt issuance, that leaves an unprecedented flow of net QE, with only $400bn of additional government debt sold to the private sector, compared to $3 trillion in 2010 (</w:t>
      </w:r>
      <w:r>
        <w:rPr>
          <w:b/>
        </w:rPr>
        <w:t>Chart 9</w:t>
      </w:r>
      <w:r>
        <w:rPr/>
        <w:t>).</w:t>
      </w:r>
    </w:p>
    <w:p>
      <w:pPr>
        <w:pStyle w:val="BodyText"/>
        <w:spacing w:before="7"/>
        <w:rPr>
          <w:sz w:val="18"/>
        </w:rPr>
      </w:pPr>
    </w:p>
    <w:p>
      <w:pPr>
        <w:spacing w:after="0"/>
        <w:rPr>
          <w:sz w:val="18"/>
        </w:rPr>
        <w:sectPr>
          <w:pgSz w:w="11910" w:h="16840"/>
          <w:pgMar w:header="0" w:footer="1338" w:top="1520" w:bottom="1520" w:left="820" w:right="0"/>
        </w:sectPr>
      </w:pPr>
    </w:p>
    <w:p>
      <w:pPr>
        <w:pStyle w:val="Heading1"/>
        <w:spacing w:before="130"/>
      </w:pPr>
      <w:r>
        <w:rPr/>
        <w:pict>
          <v:group style="position:absolute;margin-left:67.320pt;margin-top:41.149883pt;width:369pt;height:180pt;mso-position-horizontal-relative:page;mso-position-vertical-relative:paragraph;z-index:251728896" coordorigin="1346,823" coordsize="7380,3600">
            <v:rect style="position:absolute;left:1353;top:830;width:7325;height:3586" filled="false" stroked="true" strokeweight=".72pt" strokecolor="#000000">
              <v:stroke dashstyle="solid"/>
            </v:rect>
            <v:shape style="position:absolute;left:1668;top:1809;width:6696;height:2139" coordorigin="1668,1809" coordsize="6696,2139" path="m2088,1809l1668,1809,1668,3948,2088,3948,2088,1809m3132,1809l2714,1809,2714,3813,3132,3813,3132,1809m4178,1809l3761,1809,3761,3523,4178,3523,4178,1809m5225,1809l4807,1809,4807,3146,5225,3146,5225,1809m6271,1809l5854,1809,5854,3079,6271,3079,6271,1809m7318,1809l6900,1809,6900,2784,7318,2784,7318,1809m8364,1809l7946,1809,7946,2813,8364,2813,8364,1809e" filled="true" fillcolor="#ff66ff" stroked="false">
              <v:path arrowok="t"/>
              <v:fill type="solid"/>
            </v:shape>
            <v:shape style="position:absolute;left:1668;top:1029;width:6696;height:780" coordorigin="1668,1029" coordsize="6696,780" path="m2088,1046l1668,1046,1668,1809,2088,1809,2088,1046m3132,1603l2714,1603,2714,1809,3132,1809,3132,1603m4178,1219l3761,1219,3761,1809,4178,1809,4178,1219m5225,1509l4807,1509,4807,1809,5225,1809,5225,1509m6271,1029l5854,1029,5854,1809,6271,1809,6271,1029m7318,1269l6900,1269,6900,1809,7318,1809,7318,1269m8364,1053l7946,1053,7946,1809,8364,1809,8364,1053e" filled="true" fillcolor="#3366ff" stroked="false">
              <v:path arrowok="t"/>
              <v:fill type="solid"/>
            </v:shape>
            <v:shape style="position:absolute;left:1353;top:830;width:7373;height:3586" coordorigin="1354,830" coordsize="7373,3586" path="m8678,4416l8678,830m8678,4416l8726,4416m8678,4089l8726,4089m8678,3765l8726,3765m8678,3439l8726,3439m8678,3113l8726,3113m8678,2786l8726,2786m8678,2460l8726,2460m8678,2133l8726,2133m8678,1809l8726,1809m8678,1483l8726,1483m8678,1157l8726,1157m8678,830l8726,830m1354,1809l8678,1809m1354,1759l1354,1809m2400,1759l2400,1809m3446,1759l3446,1809m4493,1759l4493,1809m5539,1759l5539,1809m6586,1759l6586,1809m7632,1759l7632,1809m8678,1759l8678,1809e" filled="false" stroked="true" strokeweight=".72pt" strokecolor="#000000">
              <v:path arrowok="t"/>
              <v:stroke dashstyle="solid"/>
            </v:shape>
            <v:shape style="position:absolute;left:1876;top:2059;width:6279;height:1548" coordorigin="1877,2059" coordsize="6279,1548" path="m1877,3185l2923,3607,3970,2933,5016,2846,6062,2299,7109,2244,8155,2059e" filled="false" stroked="true" strokeweight="2.16pt" strokecolor="#006600">
              <v:path arrowok="t"/>
              <v:stroke dashstyle="solid"/>
            </v:shape>
            <v:line style="position:absolute" from="4980,3618" to="5364,3618" stroked="true" strokeweight="3.96pt" strokecolor="#3366ff">
              <v:stroke dashstyle="solid"/>
            </v:line>
            <v:line style="position:absolute" from="4980,3949" to="5364,3949" stroked="true" strokeweight="3.96pt" strokecolor="#ff66ff">
              <v:stroke dashstyle="solid"/>
            </v:line>
            <v:line style="position:absolute" from="4980,4281" to="5364,4281" stroked="true" strokeweight="2.16pt" strokecolor="#006600">
              <v:stroke dashstyle="solid"/>
            </v:line>
            <v:shape style="position:absolute;left:1346;top:823;width:7380;height:3600" type="#_x0000_t202"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5"/>
                      <w:rPr>
                        <w:sz w:val="26"/>
                      </w:rPr>
                    </w:pPr>
                  </w:p>
                  <w:p>
                    <w:pPr>
                      <w:spacing w:line="332" w:lineRule="exact" w:before="0"/>
                      <w:ind w:left="4060" w:right="818" w:firstLine="0"/>
                      <w:jc w:val="left"/>
                      <w:rPr>
                        <w:sz w:val="16"/>
                      </w:rPr>
                    </w:pPr>
                    <w:r>
                      <w:rPr>
                        <w:sz w:val="16"/>
                      </w:rPr>
                      <w:t>Total central bank asset purchases Total gross public debt issuance Total net</w:t>
                    </w:r>
                  </w:p>
                </w:txbxContent>
              </v:textbox>
              <w10:wrap type="none"/>
            </v:shape>
            <w10:wrap type="none"/>
          </v:group>
        </w:pict>
      </w:r>
      <w:r>
        <w:rPr/>
        <w:t>Chart 9: Unprecedented net QE</w:t>
      </w:r>
      <w:r>
        <w:rPr>
          <w:vertAlign w:val="superscript"/>
        </w:rPr>
        <w:t>(a)</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10"/>
        <w:rPr>
          <w:b/>
          <w:sz w:val="22"/>
        </w:rPr>
      </w:pPr>
    </w:p>
    <w:p>
      <w:pPr>
        <w:tabs>
          <w:tab w:pos="1927" w:val="left" w:leader="none"/>
          <w:tab w:pos="2973" w:val="left" w:leader="none"/>
          <w:tab w:pos="4020" w:val="left" w:leader="none"/>
          <w:tab w:pos="5066" w:val="left" w:leader="none"/>
          <w:tab w:pos="6113" w:val="left" w:leader="none"/>
          <w:tab w:pos="7159" w:val="left" w:leader="none"/>
        </w:tabs>
        <w:spacing w:before="0"/>
        <w:ind w:left="881" w:right="0" w:firstLine="0"/>
        <w:jc w:val="left"/>
        <w:rPr>
          <w:sz w:val="16"/>
        </w:rPr>
      </w:pPr>
      <w:r>
        <w:rPr>
          <w:sz w:val="16"/>
        </w:rPr>
        <w:t>2009</w:t>
        <w:tab/>
        <w:t>2010</w:t>
        <w:tab/>
        <w:t>2011</w:t>
        <w:tab/>
        <w:t>2012</w:t>
        <w:tab/>
        <w:t>2013</w:t>
        <w:tab/>
        <w:t>2014</w:t>
        <w:tab/>
      </w:r>
      <w:r>
        <w:rPr>
          <w:spacing w:val="-6"/>
          <w:sz w:val="16"/>
        </w:rPr>
        <w:t>2015</w:t>
      </w:r>
    </w:p>
    <w:p>
      <w:pPr>
        <w:pStyle w:val="BodyText"/>
      </w:pPr>
      <w:r>
        <w:rPr/>
        <w:br w:type="column"/>
      </w:r>
      <w:r>
        <w:rPr/>
      </w:r>
    </w:p>
    <w:p>
      <w:pPr>
        <w:pStyle w:val="BodyText"/>
        <w:rPr>
          <w:sz w:val="26"/>
        </w:rPr>
      </w:pPr>
    </w:p>
    <w:p>
      <w:pPr>
        <w:spacing w:line="205" w:lineRule="exact" w:before="0"/>
        <w:ind w:left="313" w:right="0" w:firstLine="0"/>
        <w:jc w:val="left"/>
        <w:rPr>
          <w:sz w:val="18"/>
        </w:rPr>
      </w:pPr>
      <w:r>
        <w:rPr>
          <w:sz w:val="18"/>
        </w:rPr>
        <w:t>$ bn</w:t>
      </w:r>
    </w:p>
    <w:p>
      <w:pPr>
        <w:spacing w:line="182" w:lineRule="exact" w:before="0"/>
        <w:ind w:left="455" w:right="0" w:firstLine="0"/>
        <w:jc w:val="left"/>
        <w:rPr>
          <w:sz w:val="16"/>
        </w:rPr>
      </w:pPr>
      <w:r>
        <w:rPr>
          <w:sz w:val="16"/>
        </w:rPr>
        <w:t>1,500</w:t>
      </w:r>
    </w:p>
    <w:p>
      <w:pPr>
        <w:spacing w:before="142"/>
        <w:ind w:left="455" w:right="0" w:firstLine="0"/>
        <w:jc w:val="left"/>
        <w:rPr>
          <w:sz w:val="16"/>
        </w:rPr>
      </w:pPr>
      <w:r>
        <w:rPr>
          <w:sz w:val="16"/>
        </w:rPr>
        <w:t>1,000</w:t>
      </w:r>
    </w:p>
    <w:p>
      <w:pPr>
        <w:spacing w:before="142"/>
        <w:ind w:left="455" w:right="0" w:firstLine="0"/>
        <w:jc w:val="left"/>
        <w:rPr>
          <w:sz w:val="16"/>
        </w:rPr>
      </w:pPr>
      <w:r>
        <w:rPr>
          <w:sz w:val="16"/>
        </w:rPr>
        <w:t>500</w:t>
      </w:r>
    </w:p>
    <w:p>
      <w:pPr>
        <w:spacing w:before="142"/>
        <w:ind w:left="455" w:right="0" w:firstLine="0"/>
        <w:jc w:val="left"/>
        <w:rPr>
          <w:sz w:val="16"/>
        </w:rPr>
      </w:pPr>
      <w:r>
        <w:rPr>
          <w:w w:val="100"/>
          <w:sz w:val="16"/>
        </w:rPr>
        <w:t>-</w:t>
      </w:r>
    </w:p>
    <w:p>
      <w:pPr>
        <w:spacing w:before="142"/>
        <w:ind w:left="409" w:right="0" w:firstLine="0"/>
        <w:jc w:val="left"/>
        <w:rPr>
          <w:sz w:val="16"/>
        </w:rPr>
      </w:pPr>
      <w:r>
        <w:rPr>
          <w:sz w:val="16"/>
        </w:rPr>
        <w:t>-500</w:t>
      </w:r>
    </w:p>
    <w:p>
      <w:pPr>
        <w:spacing w:before="142"/>
        <w:ind w:left="409" w:right="0" w:firstLine="0"/>
        <w:jc w:val="left"/>
        <w:rPr>
          <w:sz w:val="16"/>
        </w:rPr>
      </w:pPr>
      <w:r>
        <w:rPr>
          <w:sz w:val="16"/>
        </w:rPr>
        <w:t>-1,000</w:t>
      </w:r>
    </w:p>
    <w:p>
      <w:pPr>
        <w:spacing w:before="143"/>
        <w:ind w:left="409" w:right="0" w:firstLine="0"/>
        <w:jc w:val="left"/>
        <w:rPr>
          <w:sz w:val="16"/>
        </w:rPr>
      </w:pPr>
      <w:r>
        <w:rPr>
          <w:sz w:val="16"/>
        </w:rPr>
        <w:t>-1,500</w:t>
      </w:r>
    </w:p>
    <w:p>
      <w:pPr>
        <w:spacing w:before="141"/>
        <w:ind w:left="409" w:right="0" w:firstLine="0"/>
        <w:jc w:val="left"/>
        <w:rPr>
          <w:sz w:val="16"/>
        </w:rPr>
      </w:pPr>
      <w:r>
        <w:rPr>
          <w:sz w:val="16"/>
        </w:rPr>
        <w:t>-2,000</w:t>
      </w:r>
    </w:p>
    <w:p>
      <w:pPr>
        <w:spacing w:before="142"/>
        <w:ind w:left="409" w:right="0" w:firstLine="0"/>
        <w:jc w:val="left"/>
        <w:rPr>
          <w:sz w:val="16"/>
        </w:rPr>
      </w:pPr>
      <w:r>
        <w:rPr>
          <w:sz w:val="16"/>
        </w:rPr>
        <w:t>-2,500</w:t>
      </w:r>
    </w:p>
    <w:p>
      <w:pPr>
        <w:spacing w:before="142"/>
        <w:ind w:left="409" w:right="0" w:firstLine="0"/>
        <w:jc w:val="left"/>
        <w:rPr>
          <w:sz w:val="16"/>
        </w:rPr>
      </w:pPr>
      <w:r>
        <w:rPr>
          <w:sz w:val="16"/>
        </w:rPr>
        <w:t>-3,000</w:t>
      </w:r>
    </w:p>
    <w:p>
      <w:pPr>
        <w:spacing w:before="142"/>
        <w:ind w:left="409" w:right="0" w:firstLine="0"/>
        <w:jc w:val="left"/>
        <w:rPr>
          <w:sz w:val="16"/>
        </w:rPr>
      </w:pPr>
      <w:r>
        <w:rPr>
          <w:sz w:val="16"/>
        </w:rPr>
        <w:t>-3,500</w:t>
      </w:r>
    </w:p>
    <w:p>
      <w:pPr>
        <w:spacing w:before="143"/>
        <w:ind w:left="409" w:right="0" w:firstLine="0"/>
        <w:jc w:val="left"/>
        <w:rPr>
          <w:sz w:val="16"/>
        </w:rPr>
      </w:pPr>
      <w:r>
        <w:rPr>
          <w:sz w:val="16"/>
        </w:rPr>
        <w:t>-4,000</w:t>
      </w:r>
    </w:p>
    <w:p>
      <w:pPr>
        <w:spacing w:after="0"/>
        <w:jc w:val="left"/>
        <w:rPr>
          <w:sz w:val="16"/>
        </w:rPr>
        <w:sectPr>
          <w:type w:val="continuous"/>
          <w:pgSz w:w="11910" w:h="16840"/>
          <w:pgMar w:top="1180" w:bottom="1520" w:left="820" w:right="0"/>
          <w:cols w:num="2" w:equalWidth="0">
            <w:col w:w="7516" w:space="73"/>
            <w:col w:w="3501"/>
          </w:cols>
        </w:sectPr>
      </w:pPr>
    </w:p>
    <w:p>
      <w:pPr>
        <w:pStyle w:val="BodyText"/>
      </w:pPr>
    </w:p>
    <w:p>
      <w:pPr>
        <w:pStyle w:val="BodyText"/>
        <w:spacing w:before="3"/>
        <w:rPr>
          <w:sz w:val="22"/>
        </w:rPr>
      </w:pPr>
    </w:p>
    <w:p>
      <w:pPr>
        <w:spacing w:before="0"/>
        <w:ind w:left="313" w:right="0" w:firstLine="0"/>
        <w:jc w:val="left"/>
        <w:rPr>
          <w:sz w:val="16"/>
        </w:rPr>
      </w:pPr>
      <w:r>
        <w:rPr>
          <w:sz w:val="16"/>
        </w:rPr>
        <w:t>Source: BoE, ECB, FRBNY, Bloomberg, Datastream and Bank calculations</w:t>
      </w:r>
    </w:p>
    <w:p>
      <w:pPr>
        <w:spacing w:before="1"/>
        <w:ind w:left="313" w:right="2281" w:firstLine="0"/>
        <w:jc w:val="left"/>
        <w:rPr>
          <w:sz w:val="16"/>
        </w:rPr>
      </w:pPr>
      <w:r>
        <w:rPr>
          <w:sz w:val="16"/>
        </w:rPr>
        <w:t>(a) US, UK, euro area and Japanese QE and government debt issuance. Converted into US dollar terms using end year exchange rates.</w:t>
      </w:r>
    </w:p>
    <w:p>
      <w:pPr>
        <w:pStyle w:val="BodyText"/>
        <w:rPr>
          <w:sz w:val="18"/>
        </w:rPr>
      </w:pPr>
    </w:p>
    <w:p>
      <w:pPr>
        <w:pStyle w:val="BodyText"/>
        <w:rPr>
          <w:sz w:val="18"/>
        </w:rPr>
      </w:pPr>
    </w:p>
    <w:p>
      <w:pPr>
        <w:pStyle w:val="BodyText"/>
        <w:spacing w:before="8"/>
        <w:rPr>
          <w:sz w:val="23"/>
        </w:rPr>
      </w:pPr>
    </w:p>
    <w:p>
      <w:pPr>
        <w:pStyle w:val="BodyText"/>
        <w:spacing w:line="360" w:lineRule="auto"/>
        <w:ind w:left="313" w:right="1129"/>
      </w:pPr>
      <w:r>
        <w:rPr/>
        <w:t>That volume has likely pushed down on the term premia demanded by investors when they lend at long maturities to G4 governments, reducing the cost of borrowing for firms and households (</w:t>
      </w:r>
      <w:r>
        <w:rPr>
          <w:b/>
        </w:rPr>
        <w:t>Chart 10</w:t>
      </w:r>
      <w:r>
        <w:rPr/>
        <w:t>). In this regard, QE works through the credit and cash flow channels.</w:t>
      </w:r>
    </w:p>
    <w:p>
      <w:pPr>
        <w:pStyle w:val="BodyText"/>
      </w:pPr>
    </w:p>
    <w:p>
      <w:pPr>
        <w:pStyle w:val="BodyText"/>
        <w:spacing w:before="7"/>
        <w:rPr>
          <w:sz w:val="28"/>
        </w:rPr>
      </w:pPr>
      <w:r>
        <w:rPr/>
        <w:pict>
          <v:shape style="position:absolute;margin-left:56.664001pt;margin-top:18.653301pt;width:144.050pt;height:.1pt;mso-position-horizontal-relative:page;mso-position-vertical-relative:paragraph;z-index:-251589632;mso-wrap-distance-left:0;mso-wrap-distance-right:0" coordorigin="1133,373" coordsize="2881,0" path="m1133,373l4014,373e" filled="false" stroked="true" strokeweight=".48004pt" strokecolor="#000000">
            <v:path arrowok="t"/>
            <v:stroke dashstyle="solid"/>
            <w10:wrap type="topAndBottom"/>
          </v:shape>
        </w:pict>
      </w:r>
    </w:p>
    <w:p>
      <w:pPr>
        <w:spacing w:before="29"/>
        <w:ind w:left="313" w:right="0" w:firstLine="0"/>
        <w:jc w:val="left"/>
        <w:rPr>
          <w:sz w:val="16"/>
        </w:rPr>
      </w:pPr>
      <w:r>
        <w:rPr>
          <w:position w:val="8"/>
          <w:sz w:val="10"/>
        </w:rPr>
        <w:t>5 </w:t>
      </w:r>
      <w:r>
        <w:rPr>
          <w:sz w:val="16"/>
        </w:rPr>
        <w:t>King, M (2013), Speech given at the CBI Northern Ireland Mid-Winter Dinner, Belfast, 22 January 2013.</w:t>
      </w:r>
    </w:p>
    <w:p>
      <w:pPr>
        <w:spacing w:after="0"/>
        <w:jc w:val="left"/>
        <w:rPr>
          <w:sz w:val="16"/>
        </w:rPr>
        <w:sectPr>
          <w:type w:val="continuous"/>
          <w:pgSz w:w="11910" w:h="16840"/>
          <w:pgMar w:top="1180" w:bottom="1520" w:left="820" w:right="0"/>
        </w:sectPr>
      </w:pPr>
    </w:p>
    <w:p>
      <w:pPr>
        <w:pStyle w:val="Heading1"/>
        <w:spacing w:before="76"/>
      </w:pPr>
      <w:r>
        <w:rPr/>
        <w:pict>
          <v:group style="position:absolute;margin-left:87.959999pt;margin-top:32.49987pt;width:339.15pt;height:157.8pt;mso-position-horizontal-relative:page;mso-position-vertical-relative:paragraph;z-index:251732992" coordorigin="1759,650" coordsize="6783,3156">
            <v:rect style="position:absolute;left:1778;top:659;width:6716;height:3137" filled="false" stroked="true" strokeweight=".96pt" strokecolor="#000000">
              <v:stroke dashstyle="solid"/>
            </v:rect>
            <v:shape style="position:absolute;left:1778;top:659;width:6764;height:3137" coordorigin="1778,660" coordsize="6764,3137" path="m8494,3796l8494,660m8494,3796l8542,3796m8494,3446l8542,3446m8494,3098l8542,3098m8494,2750l8542,2750m8494,2402l8542,2402m8494,2054l8542,2054m8494,1706l8542,1706m8494,1358l8542,1358m8494,1010l8542,1010m8494,660l8542,660m1778,3796l8494,3796m1778,3746l1778,3796m2962,3746l2962,3796m4147,3746l4147,3796m5333,3746l5333,3796m6518,3746l6518,3796m7704,3746l7704,3796e" filled="false" stroked="true" strokeweight=".24pt" strokecolor="#000000">
              <v:path arrowok="t"/>
              <v:stroke dashstyle="solid"/>
            </v:shape>
            <v:shape style="position:absolute;left:1778;top:1276;width:6716;height:2244" coordorigin="1778,1276" coordsize="6716,2244" path="m1778,3254l1810,3043,1843,2973,1877,3079,1908,2877,1942,2894,1975,2959,2009,3208,2040,3009,2074,3225,2107,3520,2138,3362,2172,3242,2206,3340,2239,3472,2270,3379,2304,3460,2338,3314,2369,3266,2402,3175,2436,3139,2470,3134,2501,3168,2534,3076,2568,3103,2599,3045,2633,2925,2666,2728,2700,2774,2731,2892,2765,2870,2798,2832,2830,2618,2863,2714,2897,2748,2930,2702,2962,2841,2995,2721,3029,2678,3060,2596,3094,2608,3127,2714,3161,2397,3192,2560,3226,2517,3259,2455,3290,2565,3324,2570,3358,2596,3391,2433,3422,2428,3456,2383,3490,2534,3521,2460,3554,2407,3588,2601,3622,2570,3653,2599,3686,2548,3720,2604,3754,2611,3785,2630,3818,2709,3852,2632,3883,2719,3917,2678,3950,2743,3984,2716,4015,2721,4049,2721,4082,2750,4114,2812,4147,2786,4181,2877,4214,2839,4246,2882,4279,2872,4313,2872,4344,2870,4378,2932,4411,2889,4445,2937,4476,3019,4510,3048,4543,3103,4574,3105,4608,3004,4642,2908,4675,3000,4706,2959,4740,3012,4774,3139,4805,3124,4838,3204,4872,3211,4906,3139,4937,3120,4970,3180,5004,3110,5035,3091,5069,3074,5102,2916,5136,2954,5167,2940,5201,2740,5234,2839,5266,2656,5299,2649,5333,2659,5366,2467,5398,2390,5431,2532,5465,2736,5496,2697,5530,2704,5563,2762,5597,2503,5628,1860,5662,2246,5695,2148,5729,1519,5760,1689,5794,2006,5827,1737,5858,1608,5892,1982,5926,1860,5959,1934,5990,1872,6024,1845,6058,1780,6089,1504,6122,1572,6156,1276,6190,1370,6221,1437,6254,1550,6288,1636,6319,1682,6353,2008,6386,1922,6420,1797,6451,1672,6485,1677,6518,1593,6550,1680,6583,1680,6617,1699,6650,1718,6682,1581,6715,1824,6749,2030,6780,2337,6814,2268,6847,2359,6881,2503,6912,2515,6946,2390,6979,2354,7010,2448,7044,2769,7078,2661,7111,2740,7142,2733,7176,2733,7210,2649,7241,2752,7274,2676,7308,2479,7342,2438,7373,2582,7406,2697,7440,2474,7471,2140,7505,2116,7538,1982,7572,2068,7603,2112,7637,1987,7670,1881,7704,2107m7704,2107l7735,2104,7769,2160,7802,2217,7834,2320,7867,2383,7901,2460,7934,2676,7966,2628,7999,2656,8033,2815,8064,2920,8098,3228,8131,2935,8165,2992,8196,2839,8230,2834,8263,2707,8294,2846,8328,2858,8362,2930,8395,2832,8426,2896,8460,2872,8494,2935e" filled="false" stroked="true" strokeweight="1.92pt" strokecolor="#000080">
              <v:path arrowok="t"/>
              <v:stroke dashstyle="solid"/>
            </v:shape>
            <v:shape style="position:absolute;left:1778;top:818;width:6716;height:2511" coordorigin="1778,818" coordsize="6716,2511" path="m1778,2618l1810,2428,1843,2311,1877,2320,1908,2301,1942,2124,1975,2138,2009,2059,2040,2025,2074,2061,2107,2049,2138,1946,2172,2239,2206,2388,2239,2625,2270,2606,2304,2527,2338,2553,2369,2659,2402,2736,2436,2517,2470,2637,2501,2714,2534,2673,2568,2416,2599,2443,2633,2239,2666,1999,2700,1888,2731,1905,2765,2018,2798,2052,2830,1723,2863,1833,2897,1526,2930,1454,2962,1533,2995,1524,3029,1449,3060,1550,3094,1464,3127,1497,3161,1480,3192,1648,3226,1764,3259,1514,3290,1502,3324,1612,3358,1624,3391,1742,3422,1644,3456,1670,3490,1915,3521,1804,3554,1212,3588,1384,3622,1560,3653,1447,3686,1526,3720,1521,3754,1615,3785,1701,3818,1711,3852,1536,3883,1533,3917,1658,3950,1749,3984,1900,4015,2025,4049,2088,4082,2080,4114,2239,4147,2486,4181,2503,4214,2491,4246,2668,4279,2820,4313,2932,4344,2880,4378,2995,4411,2877,4445,2820,4476,2844,4510,3024,4543,2995,4574,3084,4608,2858,4642,2695,4675,2721,4706,2786,4740,2839,4774,2947,4805,2992,4838,3021,4872,3093,4906,2990,4937,2966,4970,3009,5004,2899,5035,2930,5069,2877,5102,2750,5136,2769,5167,2661,5201,2520,5234,2592,5266,2428,5299,2344,5333,2112,5366,1941,5398,1848,5431,2076,5465,2066,5496,2164,5530,2071,5563,2097,5597,1771,5628,818,5662,1538,5695,2155,5729,1629,5760,1612,5794,1994,5827,1670,5858,1356,5892,1507,5926,1564,5959,1576,5990,1687,6024,1588,6058,1615,6089,1377,6122,1399,6156,1375,6190,1389,6221,1538,6254,1737,6288,1927,6319,1850,6353,2296,6386,2164,6420,1948,6451,1910,6485,1682,6518,1492,6550,1660,6583,1672,6617,1615,6650,1725,6682,1584,6715,1812,6749,2306,6780,2721,6814,2455,6847,2556,6881,2760,6912,2772,6946,2704,6979,2474,7010,2704,7044,3124,7078,3062,7111,3136,7142,3072,7176,3004,7210,2985,7241,3050,7274,2901,7308,2666,7342,2748,7373,2788,7406,2944,7440,2563,7471,2356,7505,2179,7538,2138,7572,2150,7603,2179,7637,1948,7670,1874,7704,2193m7704,2193l7735,2239,7769,2354,7802,2400,7834,2546,7867,2551,7901,2644,7934,2832,7966,2738,7999,2805,8033,2954,8064,3105,8098,3328,8131,3175,8165,3170,8196,3043,8230,2973,8263,2796,8294,2971,8328,2964,8362,3007,8395,3021,8426,3057,8460,3072,8494,3175e" filled="false" stroked="true" strokeweight="1.92pt" strokecolor="#ff00ff">
              <v:path arrowok="t"/>
              <v:stroke dashstyle="solid"/>
            </v:shape>
            <v:shape style="position:absolute;left:1778;top:1646;width:6716;height:1858" coordorigin="1778,1646" coordsize="6716,1858" path="m1778,2265l1810,2128,1843,2128,1877,2059,1908,1893,1942,1874,1975,1824,2009,1848,2040,1855,2074,1968,2107,1929,2138,1728,2172,1840,2206,1864,2239,2047,2270,2109,2304,2246,2338,2176,2369,2253,2402,2289,2436,2222,2470,2140,2501,2196,2534,2013,2568,2008,2599,2013,2633,1989,2666,2040,2700,1826,2731,1761,2765,1879,2798,1809,2830,1665,2863,1896,2897,1958,2930,1814,2962,2018,2995,1927,3029,1874,3060,1812,3094,1872,3127,1864,3161,1804,3192,1886,3226,1778,3259,1692,3290,1742,3324,1766,3358,1821,3391,1716,3422,1701,3456,1658,3490,1684,3521,1720,3554,1646,3588,1826,3622,1725,3653,1807,3686,1819,3720,1783,3754,1764,3785,1747,3818,1761,3852,1804,3883,1783,3917,1857,3950,1893,3984,1924,4015,1970,4049,1984,4082,2078,4114,2217,4147,2222,4181,2193,4214,2196,4246,2188,4279,2241,4313,2340,4344,2337,4378,2402,4411,2469,4445,2452,4476,2479,4510,2654,4543,2575,4574,2594,4608,2532,4642,2457,4675,2397,4706,2421,4740,2457,4774,2556,4805,2659,4838,2697,4872,2716,4906,2671,4937,2594,4970,2623,5004,2565,5035,2534,5069,2462,5102,2397,5136,2481,5167,2385,5201,2332,5234,2385,5266,2318,5299,2320,5333,2275,5366,2203,5398,2241,5431,2320,5465,2263,5496,2282,5530,2275,5563,2239,5597,2025,5628,1785,5662,2006,5695,2143,5729,2001,5760,1941,5794,1922,5827,1862,5858,1759,5892,1900,5926,1924,5959,1927,5990,1884,6024,1874,6058,1864,6089,1857,6122,1869,6156,1922,6190,1987,6221,2068,6254,2174,6288,2210,6319,2258,6353,2616,6386,2517,6420,2433,6451,2328,6485,2071,6518,2210,6550,2131,6583,2148,6617,2220,6650,2191,6682,2193,6715,2222,6749,2265,6780,2431,6814,2191,6847,1944,6881,2275,6912,2157,6946,2184,6979,2148,7010,2203,7044,2498,7078,2277,7111,2392,7142,2397,7176,2371,7210,2368,7241,2366,7274,2366,7308,2344,7342,2179,7373,2220,7406,2318,7440,2193,7471,2246,7505,2181,7538,2172,7572,2078,7603,2071,7637,2056,7670,2143,7704,2181,7735,2229,7769,2272,7802,2323,7834,2320,7867,2332,7901,2450,7934,2680,7966,2556,7999,2697,8033,2822,8064,2956,8098,3384,8131,3232,8165,3504,8196,3400,8230,3124,8263,2820,8294,3028,8328,2899,8362,3000m8362,3000l8395,3028,8426,2911,8460,2851,8494,3036e" filled="false" stroked="true" strokeweight="1.92pt" strokecolor="#008000">
              <v:path arrowok="t"/>
              <v:stroke dashstyle="solid"/>
            </v:shape>
            <v:line style="position:absolute" from="1777,3099" to="7704,3099" stroked="true" strokeweight=".140pt" strokecolor="#000000">
              <v:stroke dashstyle="solid"/>
            </v:line>
            <v:line style="position:absolute" from="7701,3099" to="8494,3099" stroked="true" strokeweight=".140pt" strokecolor="#000000">
              <v:stroke dashstyle="solid"/>
            </v:line>
            <v:line style="position:absolute" from="2352,952" to="2736,952" stroked="true" strokeweight="1.92pt" strokecolor="#000080">
              <v:stroke dashstyle="solid"/>
            </v:line>
            <v:line style="position:absolute" from="3182,952" to="3566,952" stroked="true" strokeweight="1.92pt" strokecolor="#ff00ff">
              <v:stroke dashstyle="solid"/>
            </v:line>
            <v:line style="position:absolute" from="4010,952" to="4394,952" stroked="true" strokeweight="1.92pt" strokecolor="#008000">
              <v:stroke dashstyle="solid"/>
            </v:line>
            <v:shape style="position:absolute;left:2778;top:858;width:242;height:180" type="#_x0000_t202" filled="false" stroked="false">
              <v:textbox inset="0,0,0,0">
                <w:txbxContent>
                  <w:p>
                    <w:pPr>
                      <w:spacing w:line="179" w:lineRule="exact" w:before="0"/>
                      <w:ind w:left="0" w:right="0" w:firstLine="0"/>
                      <w:jc w:val="left"/>
                      <w:rPr>
                        <w:sz w:val="16"/>
                      </w:rPr>
                    </w:pPr>
                    <w:r>
                      <w:rPr>
                        <w:sz w:val="16"/>
                      </w:rPr>
                      <w:t>UK</w:t>
                    </w:r>
                  </w:p>
                </w:txbxContent>
              </v:textbox>
              <w10:wrap type="none"/>
            </v:shape>
            <v:shape style="position:absolute;left:3607;top:858;width:242;height:180" type="#_x0000_t202" filled="false" stroked="false">
              <v:textbox inset="0,0,0,0">
                <w:txbxContent>
                  <w:p>
                    <w:pPr>
                      <w:spacing w:line="179" w:lineRule="exact" w:before="0"/>
                      <w:ind w:left="0" w:right="0" w:firstLine="0"/>
                      <w:jc w:val="left"/>
                      <w:rPr>
                        <w:sz w:val="16"/>
                      </w:rPr>
                    </w:pPr>
                    <w:r>
                      <w:rPr>
                        <w:sz w:val="16"/>
                      </w:rPr>
                      <w:t>US</w:t>
                    </w:r>
                  </w:p>
                </w:txbxContent>
              </v:textbox>
              <w10:wrap type="none"/>
            </v:shape>
            <v:shape style="position:absolute;left:4437;top:858;width:679;height:180" type="#_x0000_t202" filled="false" stroked="false">
              <v:textbox inset="0,0,0,0">
                <w:txbxContent>
                  <w:p>
                    <w:pPr>
                      <w:spacing w:line="179" w:lineRule="exact" w:before="0"/>
                      <w:ind w:left="0" w:right="0" w:firstLine="0"/>
                      <w:jc w:val="left"/>
                      <w:rPr>
                        <w:sz w:val="16"/>
                      </w:rPr>
                    </w:pPr>
                    <w:r>
                      <w:rPr>
                        <w:sz w:val="16"/>
                      </w:rPr>
                      <w:t>Germany</w:t>
                    </w:r>
                  </w:p>
                </w:txbxContent>
              </v:textbox>
              <w10:wrap type="none"/>
            </v:shape>
            <w10:wrap type="none"/>
          </v:group>
        </w:pict>
      </w:r>
      <w:r>
        <w:rPr/>
        <w:t>Chart 10: Term premia compressed</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5"/>
        <w:rPr>
          <w:b/>
          <w:sz w:val="25"/>
        </w:rPr>
      </w:pPr>
    </w:p>
    <w:p>
      <w:pPr>
        <w:tabs>
          <w:tab w:pos="1966" w:val="left" w:leader="none"/>
          <w:tab w:pos="3151" w:val="left" w:leader="none"/>
          <w:tab w:pos="4337" w:val="left" w:leader="none"/>
          <w:tab w:pos="5522" w:val="left" w:leader="none"/>
          <w:tab w:pos="6707" w:val="left" w:leader="none"/>
        </w:tabs>
        <w:spacing w:before="0"/>
        <w:ind w:left="780" w:right="0" w:firstLine="0"/>
        <w:jc w:val="left"/>
        <w:rPr>
          <w:sz w:val="16"/>
        </w:rPr>
      </w:pPr>
      <w:r>
        <w:rPr>
          <w:sz w:val="16"/>
        </w:rPr>
        <w:t>1999</w:t>
        <w:tab/>
        <w:t>2002</w:t>
        <w:tab/>
        <w:t>2005</w:t>
        <w:tab/>
        <w:t>2008</w:t>
        <w:tab/>
        <w:t>2011</w:t>
        <w:tab/>
        <w:t>2014</w:t>
      </w:r>
    </w:p>
    <w:p>
      <w:pPr>
        <w:pStyle w:val="BodyText"/>
        <w:rPr>
          <w:sz w:val="18"/>
        </w:rPr>
      </w:pPr>
      <w:r>
        <w:rPr/>
        <w:br w:type="column"/>
      </w:r>
      <w:r>
        <w:rPr>
          <w:sz w:val="18"/>
        </w:rPr>
      </w:r>
    </w:p>
    <w:p>
      <w:pPr>
        <w:pStyle w:val="BodyText"/>
        <w:rPr>
          <w:sz w:val="18"/>
        </w:rPr>
      </w:pPr>
    </w:p>
    <w:p>
      <w:pPr>
        <w:spacing w:line="338" w:lineRule="auto" w:before="147"/>
        <w:ind w:left="313" w:right="2680" w:firstLine="0"/>
        <w:jc w:val="left"/>
        <w:rPr>
          <w:sz w:val="16"/>
        </w:rPr>
      </w:pPr>
      <w:r>
        <w:rPr>
          <w:sz w:val="16"/>
        </w:rPr>
        <w:t>3.5 </w:t>
      </w:r>
      <w:r>
        <w:rPr>
          <w:spacing w:val="-16"/>
          <w:position w:val="-8"/>
          <w:sz w:val="16"/>
        </w:rPr>
        <w:t>% </w:t>
      </w:r>
      <w:r>
        <w:rPr>
          <w:sz w:val="16"/>
        </w:rPr>
        <w:t>3.0</w:t>
      </w:r>
    </w:p>
    <w:p>
      <w:pPr>
        <w:spacing w:before="89"/>
        <w:ind w:left="313" w:right="0" w:firstLine="0"/>
        <w:jc w:val="left"/>
        <w:rPr>
          <w:sz w:val="16"/>
        </w:rPr>
      </w:pPr>
      <w:r>
        <w:rPr>
          <w:sz w:val="16"/>
        </w:rPr>
        <w:t>2.5</w:t>
      </w:r>
    </w:p>
    <w:p>
      <w:pPr>
        <w:pStyle w:val="BodyText"/>
        <w:spacing w:before="2"/>
        <w:rPr>
          <w:sz w:val="14"/>
        </w:rPr>
      </w:pPr>
    </w:p>
    <w:p>
      <w:pPr>
        <w:spacing w:before="1"/>
        <w:ind w:left="313" w:right="0" w:firstLine="0"/>
        <w:jc w:val="left"/>
        <w:rPr>
          <w:sz w:val="16"/>
        </w:rPr>
      </w:pPr>
      <w:r>
        <w:rPr>
          <w:sz w:val="16"/>
        </w:rPr>
        <w:t>2.0</w:t>
      </w:r>
    </w:p>
    <w:p>
      <w:pPr>
        <w:pStyle w:val="BodyText"/>
        <w:spacing w:before="3"/>
        <w:rPr>
          <w:sz w:val="14"/>
        </w:rPr>
      </w:pPr>
    </w:p>
    <w:p>
      <w:pPr>
        <w:spacing w:before="0"/>
        <w:ind w:left="313" w:right="0" w:firstLine="0"/>
        <w:jc w:val="left"/>
        <w:rPr>
          <w:sz w:val="16"/>
        </w:rPr>
      </w:pPr>
      <w:r>
        <w:rPr>
          <w:sz w:val="16"/>
        </w:rPr>
        <w:t>1.5</w:t>
      </w:r>
    </w:p>
    <w:p>
      <w:pPr>
        <w:pStyle w:val="BodyText"/>
        <w:spacing w:before="4"/>
        <w:rPr>
          <w:sz w:val="14"/>
        </w:rPr>
      </w:pPr>
    </w:p>
    <w:p>
      <w:pPr>
        <w:spacing w:before="0"/>
        <w:ind w:left="313" w:right="0" w:firstLine="0"/>
        <w:jc w:val="left"/>
        <w:rPr>
          <w:sz w:val="16"/>
        </w:rPr>
      </w:pPr>
      <w:r>
        <w:rPr>
          <w:sz w:val="16"/>
        </w:rPr>
        <w:t>1.0</w:t>
      </w:r>
    </w:p>
    <w:p>
      <w:pPr>
        <w:pStyle w:val="BodyText"/>
        <w:spacing w:before="3"/>
        <w:rPr>
          <w:sz w:val="14"/>
        </w:rPr>
      </w:pPr>
    </w:p>
    <w:p>
      <w:pPr>
        <w:spacing w:before="0"/>
        <w:ind w:left="313" w:right="0" w:firstLine="0"/>
        <w:jc w:val="left"/>
        <w:rPr>
          <w:sz w:val="16"/>
        </w:rPr>
      </w:pPr>
      <w:r>
        <w:rPr>
          <w:sz w:val="16"/>
        </w:rPr>
        <w:t>0.5</w:t>
      </w:r>
    </w:p>
    <w:p>
      <w:pPr>
        <w:pStyle w:val="BodyText"/>
        <w:spacing w:before="3"/>
        <w:rPr>
          <w:sz w:val="14"/>
        </w:rPr>
      </w:pPr>
    </w:p>
    <w:p>
      <w:pPr>
        <w:spacing w:before="0"/>
        <w:ind w:left="313" w:right="0" w:firstLine="0"/>
        <w:jc w:val="left"/>
        <w:rPr>
          <w:sz w:val="16"/>
        </w:rPr>
      </w:pPr>
      <w:r>
        <w:rPr>
          <w:sz w:val="16"/>
        </w:rPr>
        <w:t>0.0</w:t>
      </w:r>
    </w:p>
    <w:p>
      <w:pPr>
        <w:pStyle w:val="BodyText"/>
        <w:spacing w:before="4"/>
        <w:rPr>
          <w:sz w:val="14"/>
        </w:rPr>
      </w:pPr>
    </w:p>
    <w:p>
      <w:pPr>
        <w:spacing w:before="0"/>
        <w:ind w:left="313" w:right="0" w:firstLine="0"/>
        <w:jc w:val="left"/>
        <w:rPr>
          <w:sz w:val="16"/>
        </w:rPr>
      </w:pPr>
      <w:r>
        <w:rPr>
          <w:sz w:val="16"/>
        </w:rPr>
        <w:t>-0.5</w:t>
      </w:r>
    </w:p>
    <w:p>
      <w:pPr>
        <w:pStyle w:val="BodyText"/>
        <w:spacing w:before="3"/>
        <w:rPr>
          <w:sz w:val="14"/>
        </w:rPr>
      </w:pPr>
    </w:p>
    <w:p>
      <w:pPr>
        <w:spacing w:before="0"/>
        <w:ind w:left="313" w:right="0" w:firstLine="0"/>
        <w:jc w:val="left"/>
        <w:rPr>
          <w:sz w:val="16"/>
        </w:rPr>
      </w:pPr>
      <w:r>
        <w:rPr>
          <w:sz w:val="16"/>
        </w:rPr>
        <w:t>-1.0</w:t>
      </w:r>
    </w:p>
    <w:p>
      <w:pPr>
        <w:spacing w:after="0"/>
        <w:jc w:val="left"/>
        <w:rPr>
          <w:sz w:val="16"/>
        </w:rPr>
        <w:sectPr>
          <w:pgSz w:w="11910" w:h="16840"/>
          <w:pgMar w:header="0" w:footer="1338" w:top="1520" w:bottom="1520" w:left="820" w:right="0"/>
          <w:cols w:num="2" w:equalWidth="0">
            <w:col w:w="7104" w:space="397"/>
            <w:col w:w="3589"/>
          </w:cols>
        </w:sectPr>
      </w:pPr>
    </w:p>
    <w:p>
      <w:pPr>
        <w:pStyle w:val="BodyText"/>
        <w:rPr>
          <w:sz w:val="16"/>
        </w:rPr>
      </w:pPr>
    </w:p>
    <w:p>
      <w:pPr>
        <w:spacing w:line="183" w:lineRule="exact" w:before="95"/>
        <w:ind w:left="313" w:right="0" w:firstLine="0"/>
        <w:jc w:val="left"/>
        <w:rPr>
          <w:sz w:val="16"/>
        </w:rPr>
      </w:pPr>
      <w:r>
        <w:rPr>
          <w:sz w:val="16"/>
        </w:rPr>
        <w:t>Sources: Bloomberg, Federal Reserve Bank of New York and Bank calculations.</w:t>
      </w:r>
    </w:p>
    <w:p>
      <w:pPr>
        <w:spacing w:before="0"/>
        <w:ind w:left="313" w:right="1518" w:firstLine="0"/>
        <w:jc w:val="left"/>
        <w:rPr>
          <w:sz w:val="16"/>
        </w:rPr>
      </w:pPr>
      <w:r>
        <w:rPr>
          <w:sz w:val="16"/>
        </w:rPr>
        <w:t>(a) UK estimate is derived using the model described in Malik, S and Meldrum, A (2014), ‘Evaluating the robustness of UK term structure decompositions using linear regression methods’, </w:t>
      </w:r>
      <w:r>
        <w:rPr>
          <w:i/>
          <w:sz w:val="16"/>
        </w:rPr>
        <w:t>Bank of England Working Paper No. 518</w:t>
      </w:r>
      <w:r>
        <w:rPr>
          <w:sz w:val="16"/>
        </w:rPr>
        <w:t>;</w:t>
      </w:r>
      <w:hyperlink r:id="rId21">
        <w:r>
          <w:rPr>
            <w:sz w:val="16"/>
            <w:u w:val="single"/>
          </w:rPr>
          <w:t> www.bankofengland.co.uk/research/Documents/workingpapers/2014/wp518.pdf</w:t>
        </w:r>
        <w:r>
          <w:rPr>
            <w:sz w:val="16"/>
          </w:rPr>
          <w:t>. </w:t>
        </w:r>
      </w:hyperlink>
      <w:r>
        <w:rPr>
          <w:sz w:val="16"/>
        </w:rPr>
        <w:t>The German series is a preliminary estimate based on the same methodology as the UK estimate.</w:t>
      </w:r>
    </w:p>
    <w:p>
      <w:pPr>
        <w:spacing w:before="1"/>
        <w:ind w:left="313" w:right="0" w:firstLine="0"/>
        <w:jc w:val="left"/>
        <w:rPr>
          <w:sz w:val="16"/>
        </w:rPr>
      </w:pPr>
      <w:r>
        <w:rPr>
          <w:sz w:val="16"/>
        </w:rPr>
        <w:t>US estimates are available from </w:t>
      </w:r>
      <w:hyperlink r:id="rId22">
        <w:r>
          <w:rPr>
            <w:sz w:val="16"/>
            <w:u w:val="single"/>
          </w:rPr>
          <w:t>www.newyorkfed.org/research/data_indicators/term_premia.htm</w:t>
        </w:r>
        <w:r>
          <w:rPr>
            <w:sz w:val="16"/>
          </w:rPr>
          <w:t>l.</w:t>
        </w:r>
      </w:hyperlink>
    </w:p>
    <w:p>
      <w:pPr>
        <w:pStyle w:val="BodyText"/>
      </w:pPr>
    </w:p>
    <w:p>
      <w:pPr>
        <w:pStyle w:val="BodyText"/>
      </w:pPr>
    </w:p>
    <w:p>
      <w:pPr>
        <w:pStyle w:val="BodyText"/>
      </w:pPr>
    </w:p>
    <w:p>
      <w:pPr>
        <w:pStyle w:val="BodyText"/>
        <w:spacing w:line="357" w:lineRule="auto"/>
        <w:ind w:left="313" w:right="1130"/>
      </w:pPr>
      <w:r>
        <w:rPr/>
        <w:drawing>
          <wp:anchor distT="0" distB="0" distL="0" distR="0" allowOverlap="1" layoutInCell="1" locked="0" behindDoc="1" simplePos="0" relativeHeight="250355712">
            <wp:simplePos x="0" y="0"/>
            <wp:positionH relativeFrom="page">
              <wp:posOffset>875112</wp:posOffset>
            </wp:positionH>
            <wp:positionV relativeFrom="paragraph">
              <wp:posOffset>1134099</wp:posOffset>
            </wp:positionV>
            <wp:extent cx="3554163" cy="2878931"/>
            <wp:effectExtent l="0" t="0" r="0" b="0"/>
            <wp:wrapNone/>
            <wp:docPr id="5" name="image13.png"/>
            <wp:cNvGraphicFramePr>
              <a:graphicFrameLocks noChangeAspect="1"/>
            </wp:cNvGraphicFramePr>
            <a:graphic>
              <a:graphicData uri="http://schemas.openxmlformats.org/drawingml/2006/picture">
                <pic:pic>
                  <pic:nvPicPr>
                    <pic:cNvPr id="6" name="image13.png"/>
                    <pic:cNvPicPr/>
                  </pic:nvPicPr>
                  <pic:blipFill>
                    <a:blip r:embed="rId23" cstate="print"/>
                    <a:stretch>
                      <a:fillRect/>
                    </a:stretch>
                  </pic:blipFill>
                  <pic:spPr>
                    <a:xfrm>
                      <a:off x="0" y="0"/>
                      <a:ext cx="3554163" cy="2878931"/>
                    </a:xfrm>
                    <a:prstGeom prst="rect">
                      <a:avLst/>
                    </a:prstGeom>
                  </pic:spPr>
                </pic:pic>
              </a:graphicData>
            </a:graphic>
          </wp:anchor>
        </w:drawing>
      </w:r>
      <w:r>
        <w:rPr/>
        <w:t>However, the effect of QE on the wealth channel cannot last forever. Monetary neutrality means real asset prices are not boosted indefinitely by such policies; their economic effects must ultimately unwind (</w:t>
      </w:r>
      <w:r>
        <w:rPr>
          <w:b/>
        </w:rPr>
        <w:t>Chart 11</w:t>
      </w:r>
      <w:r>
        <w:rPr/>
        <w:t>).</w:t>
      </w:r>
    </w:p>
    <w:p>
      <w:pPr>
        <w:pStyle w:val="BodyText"/>
      </w:pPr>
    </w:p>
    <w:p>
      <w:pPr>
        <w:pStyle w:val="BodyText"/>
      </w:pPr>
    </w:p>
    <w:p>
      <w:pPr>
        <w:pStyle w:val="BodyText"/>
        <w:spacing w:before="9" w:after="1"/>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5"/>
      </w:tblGrid>
      <w:tr>
        <w:trPr>
          <w:trHeight w:val="2741" w:hRule="atLeast"/>
        </w:trPr>
        <w:tc>
          <w:tcPr>
            <w:tcW w:w="9155" w:type="dxa"/>
          </w:tcPr>
          <w:p>
            <w:pPr>
              <w:pStyle w:val="TableParagraph"/>
              <w:spacing w:line="223" w:lineRule="exact"/>
              <w:ind w:left="200"/>
              <w:rPr>
                <w:b/>
                <w:sz w:val="20"/>
              </w:rPr>
            </w:pPr>
            <w:r>
              <w:rPr>
                <w:b/>
                <w:sz w:val="20"/>
              </w:rPr>
              <w:t>Chart 11: QE wealth effect ultimately temporary</w:t>
            </w:r>
          </w:p>
        </w:tc>
      </w:tr>
      <w:tr>
        <w:trPr>
          <w:trHeight w:val="2881" w:hRule="atLeast"/>
        </w:trPr>
        <w:tc>
          <w:tcPr>
            <w:tcW w:w="9155"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7"/>
              <w:rPr>
                <w:sz w:val="20"/>
              </w:rPr>
            </w:pPr>
          </w:p>
          <w:p>
            <w:pPr>
              <w:pStyle w:val="TableParagraph"/>
              <w:spacing w:line="183" w:lineRule="exact"/>
              <w:ind w:left="200"/>
              <w:rPr>
                <w:sz w:val="16"/>
              </w:rPr>
            </w:pPr>
            <w:r>
              <w:rPr>
                <w:sz w:val="16"/>
              </w:rPr>
              <w:t>Source: Joyce, M, Tong, M, and Woods, R “The United Kingdom’s quantitative easing policy: design, operation and impact”,</w:t>
            </w:r>
          </w:p>
          <w:p>
            <w:pPr>
              <w:pStyle w:val="TableParagraph"/>
              <w:spacing w:line="163" w:lineRule="exact"/>
              <w:ind w:left="200"/>
              <w:rPr>
                <w:sz w:val="16"/>
              </w:rPr>
            </w:pPr>
            <w:r>
              <w:rPr>
                <w:i/>
                <w:sz w:val="16"/>
              </w:rPr>
              <w:t>Bank of England Quarterly Bulletin</w:t>
            </w:r>
            <w:r>
              <w:rPr>
                <w:sz w:val="16"/>
              </w:rPr>
              <w:t>, 2011, Q3.</w:t>
            </w:r>
          </w:p>
        </w:tc>
      </w:tr>
    </w:tbl>
    <w:p>
      <w:pPr>
        <w:spacing w:after="0" w:line="163" w:lineRule="exact"/>
        <w:rPr>
          <w:sz w:val="16"/>
        </w:rPr>
        <w:sectPr>
          <w:type w:val="continuous"/>
          <w:pgSz w:w="11910" w:h="16840"/>
          <w:pgMar w:top="1180" w:bottom="1520" w:left="820" w:right="0"/>
        </w:sectPr>
      </w:pPr>
    </w:p>
    <w:p>
      <w:pPr>
        <w:pStyle w:val="BodyText"/>
        <w:spacing w:line="360" w:lineRule="auto" w:before="79"/>
        <w:ind w:left="313" w:right="1385"/>
      </w:pPr>
      <w:r>
        <w:rPr/>
        <w:t>Said differently, unless an improvement in fundamentals boosts the underlying cash flows of these assets, real valuations will fall back. That structural policies have not boosted real growth sufficiently is a better justification for the re-pricing in risk markets than any loss of confidence in the power of central banks.</w:t>
      </w:r>
    </w:p>
    <w:p>
      <w:pPr>
        <w:pStyle w:val="BodyText"/>
        <w:rPr>
          <w:sz w:val="30"/>
        </w:rPr>
      </w:pPr>
    </w:p>
    <w:p>
      <w:pPr>
        <w:pStyle w:val="BodyText"/>
        <w:spacing w:line="357" w:lineRule="auto"/>
        <w:ind w:left="313" w:right="1012"/>
      </w:pPr>
      <w:r>
        <w:rPr/>
        <w:t>Central bank innovation has now extended to negative rates, with around a quarter of global output produced in economies where policy rates are literally through the floor.</w:t>
      </w:r>
      <w:r>
        <w:rPr>
          <w:vertAlign w:val="superscript"/>
        </w:rPr>
        <w:t>6</w:t>
      </w:r>
    </w:p>
    <w:p>
      <w:pPr>
        <w:pStyle w:val="BodyText"/>
        <w:spacing w:before="4"/>
        <w:rPr>
          <w:sz w:val="30"/>
        </w:rPr>
      </w:pPr>
    </w:p>
    <w:p>
      <w:pPr>
        <w:pStyle w:val="BodyText"/>
        <w:spacing w:line="357" w:lineRule="auto"/>
        <w:ind w:left="313" w:right="1674"/>
      </w:pPr>
      <w:r>
        <w:rPr/>
        <w:t>Conceptually the more that effective policy rates can be reduced below equilibrium rates, the better the prospects for demand to grow faster than potential supply, promoting global reflation.</w:t>
      </w:r>
    </w:p>
    <w:p>
      <w:pPr>
        <w:pStyle w:val="BodyText"/>
        <w:spacing w:before="4"/>
        <w:rPr>
          <w:sz w:val="30"/>
        </w:rPr>
      </w:pPr>
    </w:p>
    <w:p>
      <w:pPr>
        <w:pStyle w:val="BodyText"/>
        <w:spacing w:line="360" w:lineRule="auto"/>
        <w:ind w:left="313" w:right="1163"/>
      </w:pPr>
      <w:r>
        <w:rPr/>
        <w:t>However, it is critical that stimulus measures are structured to boost domestic demand, particularly from sectors of the economy with healthy balance sheets. There are limits to the extent to which negative rates can achieve this.</w:t>
      </w:r>
    </w:p>
    <w:p>
      <w:pPr>
        <w:pStyle w:val="BodyText"/>
        <w:spacing w:before="1"/>
        <w:rPr>
          <w:sz w:val="30"/>
        </w:rPr>
      </w:pPr>
    </w:p>
    <w:p>
      <w:pPr>
        <w:pStyle w:val="BodyText"/>
        <w:spacing w:line="360" w:lineRule="auto"/>
        <w:ind w:left="313" w:right="1416"/>
        <w:jc w:val="both"/>
      </w:pPr>
      <w:r>
        <w:rPr/>
        <w:t>For example, banks might not pass negative policy rates fully through to their retail customers, shutting off the cash flow and credit channels and thereby limiting the boost to domestic demand.</w:t>
      </w:r>
      <w:r>
        <w:rPr>
          <w:vertAlign w:val="superscript"/>
        </w:rPr>
        <w:t>7</w:t>
      </w:r>
      <w:r>
        <w:rPr>
          <w:vertAlign w:val="baseline"/>
        </w:rPr>
        <w:t> That is associated with a commonly expressed concern that negative rates reduce banks’ profitability.</w:t>
      </w:r>
    </w:p>
    <w:p>
      <w:pPr>
        <w:pStyle w:val="BodyText"/>
        <w:rPr>
          <w:sz w:val="30"/>
        </w:rPr>
      </w:pPr>
    </w:p>
    <w:p>
      <w:pPr>
        <w:pStyle w:val="BodyText"/>
        <w:ind w:left="313"/>
        <w:jc w:val="both"/>
      </w:pPr>
      <w:r>
        <w:rPr/>
        <w:t>To be clear, monetary policy is conducted to achieve price stability not for the benefit of bank shareholders.</w:t>
      </w:r>
    </w:p>
    <w:p>
      <w:pPr>
        <w:pStyle w:val="BodyText"/>
        <w:rPr>
          <w:sz w:val="22"/>
        </w:rPr>
      </w:pPr>
    </w:p>
    <w:p>
      <w:pPr>
        <w:pStyle w:val="BodyText"/>
        <w:spacing w:before="10"/>
        <w:rPr>
          <w:sz w:val="17"/>
        </w:rPr>
      </w:pPr>
    </w:p>
    <w:p>
      <w:pPr>
        <w:pStyle w:val="BodyText"/>
        <w:spacing w:line="360" w:lineRule="auto"/>
        <w:ind w:left="313" w:right="1129"/>
      </w:pPr>
      <w:r>
        <w:rPr/>
        <w:t>Nonetheless, when negative rates are implemented in ways that insulate retail customers, shutting off the cash flow and other channels that mainly affect domestic demand, while allowing wholesale rates to adjust, their main effect is through the exchange rate channel.</w:t>
      </w:r>
    </w:p>
    <w:p>
      <w:pPr>
        <w:pStyle w:val="BodyText"/>
        <w:spacing w:before="1"/>
        <w:rPr>
          <w:sz w:val="30"/>
        </w:rPr>
      </w:pPr>
    </w:p>
    <w:p>
      <w:pPr>
        <w:pStyle w:val="BodyText"/>
        <w:spacing w:line="360" w:lineRule="auto"/>
        <w:ind w:left="313" w:right="1341"/>
      </w:pPr>
      <w:r>
        <w:rPr/>
        <w:t>From an individual country’s perspective this might be an attractive route to boost activity. But for the world as a whole, this export of excess saving and transfer of demand weakness elsewhere is ultimately a zero sum game. Moreover, to the extent it pushes greater savings onto the global markets, global short-term equilibrium rates would fall further, pulling the global economy closer to a liquidity trap. At the global zero bound, there is no free lunch.</w:t>
      </w:r>
      <w:r>
        <w:rPr>
          <w:vertAlign w:val="superscript"/>
        </w:rPr>
        <w:t>8</w:t>
      </w:r>
    </w:p>
    <w:p>
      <w:pPr>
        <w:pStyle w:val="BodyText"/>
        <w:spacing w:before="1"/>
        <w:rPr>
          <w:sz w:val="30"/>
        </w:rPr>
      </w:pPr>
    </w:p>
    <w:p>
      <w:pPr>
        <w:pStyle w:val="BodyText"/>
        <w:spacing w:line="360" w:lineRule="auto"/>
        <w:ind w:left="313" w:right="1596"/>
      </w:pPr>
      <w:r>
        <w:rPr/>
        <w:t>For monetary easing to work at a global level it cannot rely on simply moving scarce demand from one country to another. Instead policy needs to increase primarily domestic demand, with the exchange-rate channel more a side effect that accompanies any monetary policy action.</w:t>
      </w:r>
    </w:p>
    <w:p>
      <w:pPr>
        <w:pStyle w:val="BodyText"/>
      </w:pPr>
    </w:p>
    <w:p>
      <w:pPr>
        <w:pStyle w:val="BodyText"/>
      </w:pPr>
    </w:p>
    <w:p>
      <w:pPr>
        <w:pStyle w:val="BodyText"/>
      </w:pPr>
    </w:p>
    <w:p>
      <w:pPr>
        <w:pStyle w:val="BodyText"/>
      </w:pPr>
    </w:p>
    <w:p>
      <w:pPr>
        <w:pStyle w:val="BodyText"/>
        <w:spacing w:before="3"/>
        <w:rPr>
          <w:sz w:val="17"/>
        </w:rPr>
      </w:pPr>
      <w:r>
        <w:rPr/>
        <w:pict>
          <v:shape style="position:absolute;margin-left:56.664001pt;margin-top:12.137168pt;width:144.050pt;height:.1pt;mso-position-horizontal-relative:page;mso-position-vertical-relative:paragraph;z-index:-251581440;mso-wrap-distance-left:0;mso-wrap-distance-right:0" coordorigin="1133,243" coordsize="2881,0" path="m1133,243l4014,243e" filled="false" stroked="true" strokeweight=".47998pt" strokecolor="#000000">
            <v:path arrowok="t"/>
            <v:stroke dashstyle="solid"/>
            <w10:wrap type="topAndBottom"/>
          </v:shape>
        </w:pict>
      </w:r>
    </w:p>
    <w:p>
      <w:pPr>
        <w:spacing w:line="195" w:lineRule="exact" w:before="30"/>
        <w:ind w:left="313" w:right="0" w:firstLine="0"/>
        <w:jc w:val="left"/>
        <w:rPr>
          <w:sz w:val="16"/>
        </w:rPr>
      </w:pPr>
      <w:r>
        <w:rPr>
          <w:position w:val="8"/>
          <w:sz w:val="10"/>
        </w:rPr>
        <w:t>6 </w:t>
      </w:r>
      <w:r>
        <w:rPr>
          <w:sz w:val="16"/>
        </w:rPr>
        <w:t>Measured at market exchange rates.</w:t>
      </w:r>
    </w:p>
    <w:p>
      <w:pPr>
        <w:spacing w:line="184" w:lineRule="exact" w:before="0"/>
        <w:ind w:left="313" w:right="0" w:firstLine="0"/>
        <w:jc w:val="left"/>
        <w:rPr>
          <w:sz w:val="16"/>
        </w:rPr>
      </w:pPr>
      <w:r>
        <w:rPr>
          <w:position w:val="8"/>
          <w:sz w:val="10"/>
        </w:rPr>
        <w:t>7 </w:t>
      </w:r>
      <w:r>
        <w:rPr>
          <w:sz w:val="16"/>
        </w:rPr>
        <w:t>In some cases household borrowing rates have actually risen.</w:t>
      </w:r>
    </w:p>
    <w:p>
      <w:pPr>
        <w:spacing w:line="184" w:lineRule="exact" w:before="15"/>
        <w:ind w:left="313" w:right="1129" w:firstLine="0"/>
        <w:jc w:val="left"/>
        <w:rPr>
          <w:sz w:val="16"/>
        </w:rPr>
      </w:pPr>
      <w:r>
        <w:rPr>
          <w:position w:val="8"/>
          <w:sz w:val="10"/>
        </w:rPr>
        <w:t>8 </w:t>
      </w:r>
      <w:r>
        <w:rPr>
          <w:sz w:val="16"/>
        </w:rPr>
        <w:t>Svensson (2003), “Escaping from a Liquidity Trap and Deflation: The Foolproof Way and Others”, </w:t>
      </w:r>
      <w:r>
        <w:rPr>
          <w:i/>
          <w:sz w:val="16"/>
        </w:rPr>
        <w:t>Journal of Economic Perspectives</w:t>
      </w:r>
      <w:r>
        <w:rPr>
          <w:sz w:val="16"/>
        </w:rPr>
        <w:t>, makes the case that exchange rate intervention can help fight deflation in a small open economy.</w:t>
      </w:r>
    </w:p>
    <w:p>
      <w:pPr>
        <w:spacing w:after="0" w:line="184" w:lineRule="exact"/>
        <w:jc w:val="left"/>
        <w:rPr>
          <w:sz w:val="16"/>
        </w:rPr>
        <w:sectPr>
          <w:pgSz w:w="11910" w:h="16840"/>
          <w:pgMar w:header="0" w:footer="1338" w:top="1520" w:bottom="1520" w:left="820" w:right="0"/>
        </w:sectPr>
      </w:pPr>
    </w:p>
    <w:p>
      <w:pPr>
        <w:pStyle w:val="BodyText"/>
        <w:spacing w:line="360" w:lineRule="auto" w:before="79"/>
        <w:ind w:left="313" w:right="1129"/>
      </w:pPr>
      <w:r>
        <w:rPr/>
        <w:t>In any given country, a monetary expansion aimed at boosting domestic demand will tend to reduce effective interest rates</w:t>
      </w:r>
      <w:r>
        <w:rPr>
          <w:vertAlign w:val="superscript"/>
        </w:rPr>
        <w:t>9</w:t>
      </w:r>
      <w:r>
        <w:rPr>
          <w:vertAlign w:val="baseline"/>
        </w:rPr>
        <w:t> relative to their equilibrium level, generating an excess of domestic investment over domestic saving that must be met with a capital inflow from abroad.</w:t>
      </w:r>
    </w:p>
    <w:p>
      <w:pPr>
        <w:pStyle w:val="BodyText"/>
        <w:rPr>
          <w:sz w:val="30"/>
        </w:rPr>
      </w:pPr>
    </w:p>
    <w:p>
      <w:pPr>
        <w:pStyle w:val="BodyText"/>
        <w:spacing w:line="355" w:lineRule="auto"/>
        <w:ind w:left="313" w:right="1208"/>
      </w:pPr>
      <w:r>
        <w:rPr/>
        <w:t>But viewed from overseas, the corresponding capital outflow will tend to raise the short-term equilibrium rate (</w:t>
      </w:r>
      <w:r>
        <w:rPr>
          <w:b/>
        </w:rPr>
        <w:t>Chart 12</w:t>
      </w:r>
      <w:r>
        <w:rPr/>
        <w:t>), giving conventional monetary policy overseas more traction.</w:t>
      </w:r>
    </w:p>
    <w:p>
      <w:pPr>
        <w:pStyle w:val="BodyText"/>
        <w:spacing w:before="9"/>
        <w:rPr>
          <w:sz w:val="30"/>
        </w:rPr>
      </w:pPr>
    </w:p>
    <w:p>
      <w:pPr>
        <w:pStyle w:val="BodyText"/>
        <w:ind w:left="313"/>
      </w:pPr>
      <w:r>
        <w:rPr/>
        <w:t>In this way, the rising tide of global demand would raise all boats.</w:t>
      </w:r>
    </w:p>
    <w:p>
      <w:pPr>
        <w:pStyle w:val="BodyText"/>
        <w:rPr>
          <w:sz w:val="22"/>
        </w:rPr>
      </w:pPr>
    </w:p>
    <w:p>
      <w:pPr>
        <w:pStyle w:val="BodyText"/>
        <w:rPr>
          <w:sz w:val="22"/>
        </w:rPr>
      </w:pPr>
    </w:p>
    <w:p>
      <w:pPr>
        <w:pStyle w:val="BodyText"/>
        <w:spacing w:before="8"/>
        <w:rPr>
          <w:sz w:val="25"/>
        </w:rPr>
      </w:pPr>
    </w:p>
    <w:p>
      <w:pPr>
        <w:pStyle w:val="Heading1"/>
      </w:pPr>
      <w:r>
        <w:rPr/>
        <w:t>Chart 12: Smaller domestic current account (CA) surplus lifts all boats</w:t>
      </w:r>
    </w:p>
    <w:p>
      <w:pPr>
        <w:pStyle w:val="BodyText"/>
        <w:spacing w:before="4"/>
        <w:rPr>
          <w:b/>
          <w:sz w:val="18"/>
        </w:rPr>
      </w:pPr>
      <w:r>
        <w:rPr/>
        <w:drawing>
          <wp:anchor distT="0" distB="0" distL="0" distR="0" allowOverlap="1" layoutInCell="1" locked="0" behindDoc="0" simplePos="0" relativeHeight="76">
            <wp:simplePos x="0" y="0"/>
            <wp:positionH relativeFrom="page">
              <wp:posOffset>735805</wp:posOffset>
            </wp:positionH>
            <wp:positionV relativeFrom="paragraph">
              <wp:posOffset>159332</wp:posOffset>
            </wp:positionV>
            <wp:extent cx="4624647" cy="4100512"/>
            <wp:effectExtent l="0" t="0" r="0" b="0"/>
            <wp:wrapTopAndBottom/>
            <wp:docPr id="7" name="image14.png"/>
            <wp:cNvGraphicFramePr>
              <a:graphicFrameLocks noChangeAspect="1"/>
            </wp:cNvGraphicFramePr>
            <a:graphic>
              <a:graphicData uri="http://schemas.openxmlformats.org/drawingml/2006/picture">
                <pic:pic>
                  <pic:nvPicPr>
                    <pic:cNvPr id="8" name="image14.png"/>
                    <pic:cNvPicPr/>
                  </pic:nvPicPr>
                  <pic:blipFill>
                    <a:blip r:embed="rId25" cstate="print"/>
                    <a:stretch>
                      <a:fillRect/>
                    </a:stretch>
                  </pic:blipFill>
                  <pic:spPr>
                    <a:xfrm>
                      <a:off x="0" y="0"/>
                      <a:ext cx="4624647" cy="4100512"/>
                    </a:xfrm>
                    <a:prstGeom prst="rect">
                      <a:avLst/>
                    </a:prstGeom>
                  </pic:spPr>
                </pic:pic>
              </a:graphicData>
            </a:graphic>
          </wp:anchor>
        </w:drawing>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
        <w:rPr>
          <w:b/>
          <w:sz w:val="29"/>
        </w:rPr>
      </w:pPr>
      <w:r>
        <w:rPr/>
        <w:pict>
          <v:shape style="position:absolute;margin-left:56.664001pt;margin-top:19.289452pt;width:144.050pt;height:.1pt;mso-position-horizontal-relative:page;mso-position-vertical-relative:paragraph;z-index:-251579392;mso-wrap-distance-left:0;mso-wrap-distance-right:0" coordorigin="1133,386" coordsize="2881,0" path="m1133,386l4014,386e" filled="false" stroked="true" strokeweight=".48004pt" strokecolor="#000000">
            <v:path arrowok="t"/>
            <v:stroke dashstyle="solid"/>
            <w10:wrap type="topAndBottom"/>
          </v:shape>
        </w:pict>
      </w:r>
    </w:p>
    <w:p>
      <w:pPr>
        <w:spacing w:before="29"/>
        <w:ind w:left="313" w:right="0" w:firstLine="0"/>
        <w:jc w:val="left"/>
        <w:rPr>
          <w:sz w:val="16"/>
        </w:rPr>
      </w:pPr>
      <w:r>
        <w:rPr>
          <w:position w:val="8"/>
          <w:sz w:val="10"/>
        </w:rPr>
        <w:t>9 </w:t>
      </w:r>
      <w:r>
        <w:rPr>
          <w:sz w:val="16"/>
        </w:rPr>
        <w:t>That is, interest rates adjusted for the effects of any quantitative or credit easing.</w:t>
      </w:r>
    </w:p>
    <w:p>
      <w:pPr>
        <w:spacing w:after="0"/>
        <w:jc w:val="left"/>
        <w:rPr>
          <w:sz w:val="16"/>
        </w:rPr>
        <w:sectPr>
          <w:footerReference w:type="default" r:id="rId24"/>
          <w:pgSz w:w="11910" w:h="16840"/>
          <w:pgMar w:footer="1338" w:header="0" w:top="1520" w:bottom="1520" w:left="820" w:right="0"/>
          <w:pgNumType w:start="15"/>
        </w:sectPr>
      </w:pPr>
    </w:p>
    <w:p>
      <w:pPr>
        <w:pStyle w:val="Heading1"/>
        <w:spacing w:before="76"/>
      </w:pPr>
      <w:r>
        <w:rPr/>
        <w:t>Wider policy implications</w:t>
      </w:r>
    </w:p>
    <w:p>
      <w:pPr>
        <w:pStyle w:val="BodyText"/>
        <w:rPr>
          <w:b/>
          <w:sz w:val="22"/>
        </w:rPr>
      </w:pPr>
    </w:p>
    <w:p>
      <w:pPr>
        <w:pStyle w:val="BodyText"/>
        <w:spacing w:before="2"/>
        <w:rPr>
          <w:b/>
          <w:sz w:val="18"/>
        </w:rPr>
      </w:pPr>
    </w:p>
    <w:p>
      <w:pPr>
        <w:pStyle w:val="BodyText"/>
        <w:spacing w:line="360" w:lineRule="auto"/>
        <w:ind w:left="313" w:right="1196"/>
      </w:pPr>
      <w:r>
        <w:rPr/>
        <w:t>Ultimately, for monetary policy at the zero lower bound to bridge to a better equilibrium, it must be reinforced by other policies. That is, the low interest rate environment puts a premium on domestic and international policy coordination. For example, lower interest rates create space for fiscal policy to boost domestic demand directly, should it be necessary, by lowering the financing cost faced by governments.</w:t>
      </w:r>
    </w:p>
    <w:p>
      <w:pPr>
        <w:pStyle w:val="BodyText"/>
        <w:rPr>
          <w:sz w:val="30"/>
        </w:rPr>
      </w:pPr>
    </w:p>
    <w:p>
      <w:pPr>
        <w:pStyle w:val="BodyText"/>
        <w:spacing w:line="357" w:lineRule="auto" w:before="1"/>
        <w:ind w:left="313" w:right="1284"/>
      </w:pPr>
      <w:r>
        <w:rPr/>
        <w:t>And it doesn’t take a genius to recognise that a prolonged period of low interest rates can lead to a build-up of vulnerabilities which could derail an expansion and deepen a subsequent recession.</w:t>
      </w:r>
    </w:p>
    <w:p>
      <w:pPr>
        <w:pStyle w:val="BodyText"/>
        <w:spacing w:before="3"/>
        <w:rPr>
          <w:sz w:val="30"/>
        </w:rPr>
      </w:pPr>
    </w:p>
    <w:p>
      <w:pPr>
        <w:pStyle w:val="BodyText"/>
        <w:spacing w:line="360" w:lineRule="auto" w:before="1"/>
        <w:ind w:left="313" w:right="1129"/>
      </w:pPr>
      <w:r>
        <w:rPr/>
        <w:t>This means macroprudential policy has an increasingly important role. Rightly, the Chinese G20 Presidency has called for G20 members to learn from each other’s experience of macroprudential management.</w:t>
      </w:r>
    </w:p>
    <w:p>
      <w:pPr>
        <w:pStyle w:val="BodyText"/>
        <w:spacing w:before="11"/>
        <w:rPr>
          <w:sz w:val="29"/>
        </w:rPr>
      </w:pPr>
    </w:p>
    <w:p>
      <w:pPr>
        <w:pStyle w:val="BodyText"/>
        <w:spacing w:line="360" w:lineRule="auto"/>
        <w:ind w:left="313" w:right="1430"/>
      </w:pPr>
      <w:r>
        <w:rPr/>
        <w:t>The IMF, FSB and BIS will therefore report to G20 Leaders ahead of the Hangzhou Summit regarding processes to analyse systemic risks; toolkits to address vulnerabilities; and mechanisms for domestic and international coordination.</w:t>
      </w:r>
    </w:p>
    <w:p>
      <w:pPr>
        <w:pStyle w:val="BodyText"/>
        <w:rPr>
          <w:sz w:val="30"/>
        </w:rPr>
      </w:pPr>
    </w:p>
    <w:p>
      <w:pPr>
        <w:pStyle w:val="BodyText"/>
        <w:spacing w:line="360" w:lineRule="auto"/>
        <w:ind w:left="313" w:right="1012"/>
      </w:pPr>
      <w:r>
        <w:rPr/>
        <w:t>In an increasingly integrated global financial system, this work can help identify areas where we need to work together to keep our systems resilient. It is clear, for example, that strong links exists between asset management in advanced economies and the debt markets relied upon by emerging market corporates.</w:t>
      </w:r>
    </w:p>
    <w:p>
      <w:pPr>
        <w:pStyle w:val="BodyText"/>
        <w:rPr>
          <w:sz w:val="30"/>
        </w:rPr>
      </w:pPr>
    </w:p>
    <w:p>
      <w:pPr>
        <w:pStyle w:val="BodyText"/>
        <w:spacing w:line="360" w:lineRule="auto"/>
        <w:ind w:left="313" w:right="1012"/>
      </w:pPr>
      <w:r>
        <w:rPr/>
        <w:t>Where appropriate, the FSB will make policy recommendations regarding structural vulnerabilities associated with asset management activities for public consultation before the Hangzhou Summit. And reinforced by recent experience, the FSB’s second annual report on the effects of reforms will include a comprehensive review of the extent, drivers and likely persistence of any reduction in market liquidity.</w:t>
      </w:r>
    </w:p>
    <w:p>
      <w:pPr>
        <w:pStyle w:val="BodyText"/>
        <w:spacing w:before="10"/>
        <w:rPr>
          <w:sz w:val="29"/>
        </w:rPr>
      </w:pPr>
    </w:p>
    <w:p>
      <w:pPr>
        <w:pStyle w:val="Heading1"/>
        <w:spacing w:before="1"/>
      </w:pPr>
      <w:r>
        <w:rPr/>
        <w:t>Whither the G20 Plan for Strong, Sustainable, Balanced Growth?</w:t>
      </w:r>
    </w:p>
    <w:p>
      <w:pPr>
        <w:pStyle w:val="BodyText"/>
        <w:rPr>
          <w:b/>
          <w:sz w:val="22"/>
        </w:rPr>
      </w:pPr>
    </w:p>
    <w:p>
      <w:pPr>
        <w:pStyle w:val="BodyText"/>
        <w:spacing w:before="1"/>
        <w:rPr>
          <w:b/>
          <w:sz w:val="18"/>
        </w:rPr>
      </w:pPr>
    </w:p>
    <w:p>
      <w:pPr>
        <w:pStyle w:val="BodyText"/>
        <w:spacing w:line="362" w:lineRule="auto"/>
        <w:ind w:left="313" w:right="1451"/>
      </w:pPr>
      <w:r>
        <w:rPr/>
        <w:t>Most fundamentally, the G20 needs to use the time purchased by monetary policy to develop a coherent and urgent approach to supply-side policies.</w:t>
      </w:r>
    </w:p>
    <w:p>
      <w:pPr>
        <w:pStyle w:val="BodyText"/>
        <w:spacing w:line="362" w:lineRule="auto" w:before="196"/>
        <w:ind w:left="313" w:right="1439"/>
        <w:jc w:val="both"/>
      </w:pPr>
      <w:r>
        <w:rPr/>
        <w:t>Gradualism in structural reforms may be promoting disinflationary expectations, while sapping the political process of its mandate. The weakness of investment not only holds back the supply side but also weighs on the equilibrium interest rate and further burdens monetary policy.</w:t>
      </w:r>
    </w:p>
    <w:p>
      <w:pPr>
        <w:pStyle w:val="BodyText"/>
        <w:spacing w:line="360" w:lineRule="auto" w:before="195"/>
        <w:ind w:left="313" w:right="1470"/>
        <w:jc w:val="both"/>
      </w:pPr>
      <w:r>
        <w:rPr/>
        <w:t>At the Brisbane summit in 2014, the G20 leaders agreed an ambitious goal to lift the level of G20 GDP by at least two per cent by 2018.</w:t>
      </w:r>
    </w:p>
    <w:p>
      <w:pPr>
        <w:spacing w:before="198"/>
        <w:ind w:left="313" w:right="0" w:firstLine="0"/>
        <w:jc w:val="left"/>
        <w:rPr>
          <w:sz w:val="20"/>
        </w:rPr>
      </w:pPr>
      <w:r>
        <w:rPr>
          <w:sz w:val="20"/>
        </w:rPr>
        <w:t>But only eighteen months on, the </w:t>
      </w:r>
      <w:r>
        <w:rPr>
          <w:i/>
          <w:sz w:val="20"/>
        </w:rPr>
        <w:t>2 in 5 commitments </w:t>
      </w:r>
      <w:r>
        <w:rPr>
          <w:sz w:val="20"/>
        </w:rPr>
        <w:t>are starting to look more like the </w:t>
      </w:r>
      <w:r>
        <w:rPr>
          <w:i/>
          <w:sz w:val="20"/>
        </w:rPr>
        <w:t>5/2 diet</w:t>
      </w:r>
      <w:r>
        <w:rPr>
          <w:sz w:val="20"/>
        </w:rPr>
        <w:t>.</w:t>
      </w:r>
    </w:p>
    <w:p>
      <w:pPr>
        <w:spacing w:after="0"/>
        <w:jc w:val="left"/>
        <w:rPr>
          <w:sz w:val="20"/>
        </w:rPr>
        <w:sectPr>
          <w:pgSz w:w="11910" w:h="16840"/>
          <w:pgMar w:header="0" w:footer="1338" w:top="1520" w:bottom="1520" w:left="820" w:right="0"/>
        </w:sectPr>
      </w:pPr>
    </w:p>
    <w:p>
      <w:pPr>
        <w:pStyle w:val="BodyText"/>
        <w:spacing w:line="360" w:lineRule="auto" w:before="79"/>
        <w:ind w:left="313" w:right="1340"/>
      </w:pPr>
      <w:r>
        <w:rPr/>
        <w:t>Less than half of the measures have been implemented, and only around one third of the promised impact on global GDP has been delivered. Moreover, whilst implementation has lagged, the need to boost growth has increased in size and urgency. The Bank of England projects the level of global GDP in 2018 to be over 3% below what the IMF expected at the time of the Brisbane summit.</w:t>
      </w:r>
    </w:p>
    <w:p>
      <w:pPr>
        <w:pStyle w:val="BodyText"/>
        <w:spacing w:before="4"/>
        <w:rPr>
          <w:sz w:val="17"/>
        </w:rPr>
      </w:pPr>
    </w:p>
    <w:p>
      <w:pPr>
        <w:pStyle w:val="BodyText"/>
        <w:spacing w:line="360" w:lineRule="auto"/>
        <w:ind w:left="313" w:right="1129"/>
      </w:pPr>
      <w:r>
        <w:rPr/>
        <w:t>We need to live up to China’s G20 priorities. Structural reforms with a long-term focus but a short-term implementation horizon. Determined reform of the global architecture for sustainable capital flows. The development of our essential macroprudential frameworks and the implementation of our financial reform commitments to address new vulnerabilities.</w:t>
      </w:r>
    </w:p>
    <w:p>
      <w:pPr>
        <w:pStyle w:val="BodyText"/>
        <w:spacing w:before="6"/>
        <w:rPr>
          <w:sz w:val="17"/>
        </w:rPr>
      </w:pPr>
    </w:p>
    <w:p>
      <w:pPr>
        <w:pStyle w:val="BodyText"/>
        <w:ind w:left="313"/>
      </w:pPr>
      <w:r>
        <w:rPr/>
        <w:t>These will allow monetary policies to fully bridge to a better future.</w:t>
      </w:r>
    </w:p>
    <w:p>
      <w:pPr>
        <w:pStyle w:val="BodyText"/>
        <w:rPr>
          <w:sz w:val="22"/>
        </w:rPr>
      </w:pPr>
    </w:p>
    <w:p>
      <w:pPr>
        <w:pStyle w:val="Heading1"/>
        <w:spacing w:before="167"/>
      </w:pPr>
      <w:r>
        <w:rPr/>
        <w:t>Conclusion</w:t>
      </w:r>
    </w:p>
    <w:p>
      <w:pPr>
        <w:pStyle w:val="BodyText"/>
        <w:spacing w:before="4"/>
        <w:rPr>
          <w:b/>
          <w:sz w:val="30"/>
        </w:rPr>
      </w:pPr>
    </w:p>
    <w:p>
      <w:pPr>
        <w:pStyle w:val="BodyText"/>
        <w:spacing w:line="360" w:lineRule="auto"/>
        <w:ind w:left="313" w:right="1129"/>
      </w:pPr>
      <w:r>
        <w:rPr/>
        <w:t>That future needs the arms of macro policy to operate in close concert, domestically and internationally. Demand stimulus alone will not sustainably reflate the global economy. Moreover, sustained low rates could strain the capacities of macroprudential policies.</w:t>
      </w:r>
    </w:p>
    <w:p>
      <w:pPr>
        <w:pStyle w:val="BodyText"/>
        <w:rPr>
          <w:sz w:val="30"/>
        </w:rPr>
      </w:pPr>
    </w:p>
    <w:p>
      <w:pPr>
        <w:pStyle w:val="BodyText"/>
        <w:spacing w:line="357" w:lineRule="auto" w:before="1"/>
        <w:ind w:left="313" w:right="1129"/>
      </w:pPr>
      <w:r>
        <w:rPr/>
        <w:t>At their roots, fiscal, monetary, financial and structural policies are deeply complementary, operating through many of the same channels.</w:t>
      </w:r>
    </w:p>
    <w:p>
      <w:pPr>
        <w:pStyle w:val="BodyText"/>
        <w:spacing w:before="3"/>
        <w:rPr>
          <w:sz w:val="30"/>
        </w:rPr>
      </w:pPr>
    </w:p>
    <w:p>
      <w:pPr>
        <w:pStyle w:val="BodyText"/>
        <w:spacing w:line="360" w:lineRule="auto" w:before="1"/>
        <w:ind w:left="313" w:right="1318"/>
      </w:pPr>
      <w:r>
        <w:rPr/>
        <w:t>A stronger financial system can better channel savings to investment, building demand in the short run and productivity in the long run.</w:t>
      </w:r>
    </w:p>
    <w:p>
      <w:pPr>
        <w:pStyle w:val="BodyText"/>
        <w:spacing w:before="11"/>
        <w:rPr>
          <w:sz w:val="29"/>
        </w:rPr>
      </w:pPr>
    </w:p>
    <w:p>
      <w:pPr>
        <w:pStyle w:val="BodyText"/>
        <w:spacing w:line="360" w:lineRule="auto"/>
        <w:ind w:left="313" w:right="1129"/>
      </w:pPr>
      <w:r>
        <w:rPr/>
        <w:t>Monetary stimulus is more effective if, in a deflationary environment, other policies can also give households and firms the confidence that global reflation is in prospect.</w:t>
      </w:r>
    </w:p>
    <w:p>
      <w:pPr>
        <w:pStyle w:val="BodyText"/>
        <w:spacing w:before="11"/>
        <w:rPr>
          <w:sz w:val="29"/>
        </w:rPr>
      </w:pPr>
    </w:p>
    <w:p>
      <w:pPr>
        <w:pStyle w:val="BodyText"/>
        <w:spacing w:line="360" w:lineRule="auto"/>
        <w:ind w:left="313" w:right="1129"/>
      </w:pPr>
      <w:r>
        <w:rPr/>
        <w:t>And structural reforms can boost long-run wealth allowing monetary policy to bring forward spending</w:t>
      </w:r>
      <w:r>
        <w:rPr>
          <w:spacing w:val="-33"/>
        </w:rPr>
        <w:t> </w:t>
      </w:r>
      <w:r>
        <w:rPr/>
        <w:t>from future incomes that are real and not</w:t>
      </w:r>
      <w:r>
        <w:rPr>
          <w:spacing w:val="1"/>
        </w:rPr>
        <w:t> </w:t>
      </w:r>
      <w:r>
        <w:rPr/>
        <w:t>ephemeral.</w:t>
      </w:r>
    </w:p>
    <w:p>
      <w:pPr>
        <w:pStyle w:val="BodyText"/>
        <w:spacing w:before="11"/>
        <w:rPr>
          <w:sz w:val="29"/>
        </w:rPr>
      </w:pPr>
    </w:p>
    <w:p>
      <w:pPr>
        <w:pStyle w:val="BodyText"/>
        <w:spacing w:line="722" w:lineRule="auto"/>
        <w:ind w:left="313" w:right="4437"/>
      </w:pPr>
      <w:r>
        <w:rPr/>
        <w:t>All must recognise the imperative of avoiding the global liquidity</w:t>
      </w:r>
      <w:r>
        <w:rPr>
          <w:spacing w:val="-22"/>
        </w:rPr>
        <w:t> </w:t>
      </w:r>
      <w:r>
        <w:rPr/>
        <w:t>trap. Not to beggar-thyself via beggar-thy-neighbour.</w:t>
      </w:r>
    </w:p>
    <w:p>
      <w:pPr>
        <w:pStyle w:val="BodyText"/>
        <w:spacing w:line="225" w:lineRule="exact"/>
        <w:ind w:left="313"/>
      </w:pPr>
      <w:r>
        <w:rPr/>
        <w:t>Not to obsess over process at the expense of productivity.</w:t>
      </w:r>
    </w:p>
    <w:p>
      <w:pPr>
        <w:pStyle w:val="BodyText"/>
        <w:rPr>
          <w:sz w:val="22"/>
        </w:rPr>
      </w:pPr>
    </w:p>
    <w:p>
      <w:pPr>
        <w:pStyle w:val="BodyText"/>
        <w:spacing w:before="2"/>
        <w:rPr>
          <w:sz w:val="18"/>
        </w:rPr>
      </w:pPr>
    </w:p>
    <w:p>
      <w:pPr>
        <w:pStyle w:val="BodyText"/>
        <w:spacing w:line="360" w:lineRule="auto"/>
        <w:ind w:left="313" w:right="1129"/>
      </w:pPr>
      <w:r>
        <w:rPr/>
        <w:t>But by building resilient domestic demand and sustainable cross border capital flows, we in the G20 can redeem an unforgiving world.</w:t>
      </w:r>
    </w:p>
    <w:p>
      <w:pPr>
        <w:spacing w:after="0" w:line="360" w:lineRule="auto"/>
        <w:sectPr>
          <w:pgSz w:w="11910" w:h="16840"/>
          <w:pgMar w:header="0" w:footer="1338" w:top="1520" w:bottom="1520" w:left="820" w:right="0"/>
        </w:sectPr>
      </w:pPr>
    </w:p>
    <w:p>
      <w:pPr>
        <w:pStyle w:val="Heading1"/>
        <w:spacing w:before="76"/>
        <w:ind w:left="4808" w:right="5630"/>
        <w:jc w:val="center"/>
      </w:pPr>
      <w:r>
        <w:rPr/>
        <w:t>Annex</w:t>
      </w:r>
    </w:p>
    <w:p>
      <w:pPr>
        <w:pStyle w:val="BodyText"/>
        <w:rPr>
          <w:b/>
          <w:sz w:val="22"/>
        </w:rPr>
      </w:pPr>
    </w:p>
    <w:p>
      <w:pPr>
        <w:pStyle w:val="BodyText"/>
        <w:spacing w:before="6"/>
        <w:rPr>
          <w:b/>
          <w:sz w:val="17"/>
        </w:rPr>
      </w:pPr>
    </w:p>
    <w:p>
      <w:pPr>
        <w:spacing w:before="0"/>
        <w:ind w:left="313" w:right="0" w:firstLine="0"/>
        <w:jc w:val="left"/>
        <w:rPr>
          <w:b/>
          <w:sz w:val="20"/>
        </w:rPr>
      </w:pPr>
      <w:r>
        <w:rPr>
          <w:b/>
          <w:sz w:val="20"/>
        </w:rPr>
        <w:t>Chart A1: Secular drivers of lower real rates – quantification</w:t>
      </w:r>
    </w:p>
    <w:p>
      <w:pPr>
        <w:pStyle w:val="BodyText"/>
        <w:spacing w:before="3"/>
        <w:rPr>
          <w:b/>
          <w:sz w:val="16"/>
        </w:rPr>
      </w:pPr>
      <w:r>
        <w:rPr/>
        <w:drawing>
          <wp:anchor distT="0" distB="0" distL="0" distR="0" allowOverlap="1" layoutInCell="1" locked="0" behindDoc="0" simplePos="0" relativeHeight="78">
            <wp:simplePos x="0" y="0"/>
            <wp:positionH relativeFrom="page">
              <wp:posOffset>778887</wp:posOffset>
            </wp:positionH>
            <wp:positionV relativeFrom="paragraph">
              <wp:posOffset>143775</wp:posOffset>
            </wp:positionV>
            <wp:extent cx="5944707" cy="2862453"/>
            <wp:effectExtent l="0" t="0" r="0" b="0"/>
            <wp:wrapTopAndBottom/>
            <wp:docPr id="9" name="image15.jpeg"/>
            <wp:cNvGraphicFramePr>
              <a:graphicFrameLocks noChangeAspect="1"/>
            </wp:cNvGraphicFramePr>
            <a:graphic>
              <a:graphicData uri="http://schemas.openxmlformats.org/drawingml/2006/picture">
                <pic:pic>
                  <pic:nvPicPr>
                    <pic:cNvPr id="10" name="image15.jpeg"/>
                    <pic:cNvPicPr/>
                  </pic:nvPicPr>
                  <pic:blipFill>
                    <a:blip r:embed="rId26" cstate="print"/>
                    <a:stretch>
                      <a:fillRect/>
                    </a:stretch>
                  </pic:blipFill>
                  <pic:spPr>
                    <a:xfrm>
                      <a:off x="0" y="0"/>
                      <a:ext cx="5944707" cy="2862453"/>
                    </a:xfrm>
                    <a:prstGeom prst="rect">
                      <a:avLst/>
                    </a:prstGeom>
                  </pic:spPr>
                </pic:pic>
              </a:graphicData>
            </a:graphic>
          </wp:anchor>
        </w:drawing>
      </w:r>
    </w:p>
    <w:p>
      <w:pPr>
        <w:pStyle w:val="BodyText"/>
        <w:rPr>
          <w:b/>
          <w:sz w:val="22"/>
        </w:rPr>
      </w:pPr>
    </w:p>
    <w:p>
      <w:pPr>
        <w:pStyle w:val="BodyText"/>
        <w:spacing w:before="4"/>
        <w:rPr>
          <w:b/>
          <w:sz w:val="31"/>
        </w:rPr>
      </w:pPr>
    </w:p>
    <w:p>
      <w:pPr>
        <w:pStyle w:val="BodyText"/>
        <w:ind w:left="313"/>
      </w:pPr>
      <w:r>
        <w:rPr/>
        <w:t>Source: Taken from Rachel and Smith (</w:t>
      </w:r>
      <w:r>
        <w:rPr>
          <w:i/>
        </w:rPr>
        <w:t>ibid</w:t>
      </w:r>
      <w:r>
        <w:rPr/>
        <w:t>.).</w:t>
      </w:r>
    </w:p>
    <w:sectPr>
      <w:pgSz w:w="11910" w:h="16840"/>
      <w:pgMar w:header="0" w:footer="1338" w:top="1520" w:bottom="1520" w:left="8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0365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26929pt;width:6.55pt;height:3.1pt;mso-position-horizontal-relative:page;mso-position-vertical-relative:page;z-index:-253035520"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99451pt;width:466.9pt;height:13.15pt;mso-position-horizontal-relative:page;mso-position-vertical-relative:page;z-index:-25303449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0334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303244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466.9pt;height:13.15pt;mso-position-horizontal-relative:page;mso-position-vertical-relative:page;z-index:-25303142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030400"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0293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02835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302732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026304" type="#_x0000_t202" filled="false" stroked="false">
          <v:textbox inset="0,0,0,0">
            <w:txbxContent>
              <w:p>
                <w:pPr>
                  <w:pStyle w:val="BodyText"/>
                  <w:spacing w:before="12"/>
                  <w:ind w:left="20"/>
                </w:pPr>
                <w:r>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0252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02425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43.400002pt;margin-top:771.999451pt;width:466.9pt;height:13.15pt;mso-position-horizontal-relative:page;mso-position-vertical-relative:page;z-index:-25302323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022208" type="#_x0000_t202" filled="false" stroked="false">
          <v:textbox inset="0,0,0,0">
            <w:txbxContent>
              <w:p>
                <w:pPr>
                  <w:pStyle w:val="BodyText"/>
                  <w:spacing w:before="12"/>
                  <w:ind w:left="20"/>
                </w:pPr>
                <w:r>
                  <w:rPr/>
                  <w:t>15</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33" w:hanging="360"/>
      </w:pPr>
      <w:rPr>
        <w:rFonts w:hint="default" w:ascii="Calibri" w:hAnsi="Calibri" w:eastAsia="Calibri" w:cs="Calibri"/>
        <w:w w:val="99"/>
        <w:sz w:val="20"/>
        <w:szCs w:val="20"/>
        <w:lang w:val="en-gb" w:eastAsia="en-gb" w:bidi="en-gb"/>
      </w:rPr>
    </w:lvl>
    <w:lvl w:ilvl="1">
      <w:start w:val="0"/>
      <w:numFmt w:val="bullet"/>
      <w:lvlText w:val="•"/>
      <w:lvlJc w:val="left"/>
      <w:pPr>
        <w:ind w:left="2044" w:hanging="360"/>
      </w:pPr>
      <w:rPr>
        <w:rFonts w:hint="default"/>
        <w:lang w:val="en-gb" w:eastAsia="en-gb" w:bidi="en-gb"/>
      </w:rPr>
    </w:lvl>
    <w:lvl w:ilvl="2">
      <w:start w:val="0"/>
      <w:numFmt w:val="bullet"/>
      <w:lvlText w:val="•"/>
      <w:lvlJc w:val="left"/>
      <w:pPr>
        <w:ind w:left="3049" w:hanging="360"/>
      </w:pPr>
      <w:rPr>
        <w:rFonts w:hint="default"/>
        <w:lang w:val="en-gb" w:eastAsia="en-gb" w:bidi="en-gb"/>
      </w:rPr>
    </w:lvl>
    <w:lvl w:ilvl="3">
      <w:start w:val="0"/>
      <w:numFmt w:val="bullet"/>
      <w:lvlText w:val="•"/>
      <w:lvlJc w:val="left"/>
      <w:pPr>
        <w:ind w:left="4053" w:hanging="360"/>
      </w:pPr>
      <w:rPr>
        <w:rFonts w:hint="default"/>
        <w:lang w:val="en-gb" w:eastAsia="en-gb" w:bidi="en-gb"/>
      </w:rPr>
    </w:lvl>
    <w:lvl w:ilvl="4">
      <w:start w:val="0"/>
      <w:numFmt w:val="bullet"/>
      <w:lvlText w:val="•"/>
      <w:lvlJc w:val="left"/>
      <w:pPr>
        <w:ind w:left="5058" w:hanging="360"/>
      </w:pPr>
      <w:rPr>
        <w:rFonts w:hint="default"/>
        <w:lang w:val="en-gb" w:eastAsia="en-gb" w:bidi="en-gb"/>
      </w:rPr>
    </w:lvl>
    <w:lvl w:ilvl="5">
      <w:start w:val="0"/>
      <w:numFmt w:val="bullet"/>
      <w:lvlText w:val="•"/>
      <w:lvlJc w:val="left"/>
      <w:pPr>
        <w:ind w:left="6063" w:hanging="360"/>
      </w:pPr>
      <w:rPr>
        <w:rFonts w:hint="default"/>
        <w:lang w:val="en-gb" w:eastAsia="en-gb" w:bidi="en-gb"/>
      </w:rPr>
    </w:lvl>
    <w:lvl w:ilvl="6">
      <w:start w:val="0"/>
      <w:numFmt w:val="bullet"/>
      <w:lvlText w:val="•"/>
      <w:lvlJc w:val="left"/>
      <w:pPr>
        <w:ind w:left="7067" w:hanging="360"/>
      </w:pPr>
      <w:rPr>
        <w:rFonts w:hint="default"/>
        <w:lang w:val="en-gb" w:eastAsia="en-gb" w:bidi="en-gb"/>
      </w:rPr>
    </w:lvl>
    <w:lvl w:ilvl="7">
      <w:start w:val="0"/>
      <w:numFmt w:val="bullet"/>
      <w:lvlText w:val="•"/>
      <w:lvlJc w:val="left"/>
      <w:pPr>
        <w:ind w:left="8072" w:hanging="360"/>
      </w:pPr>
      <w:rPr>
        <w:rFonts w:hint="default"/>
        <w:lang w:val="en-gb" w:eastAsia="en-gb" w:bidi="en-gb"/>
      </w:rPr>
    </w:lvl>
    <w:lvl w:ilvl="8">
      <w:start w:val="0"/>
      <w:numFmt w:val="bullet"/>
      <w:lvlText w:val="•"/>
      <w:lvlJc w:val="left"/>
      <w:pPr>
        <w:ind w:left="9077"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31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033" w:hanging="361"/>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hyperlink" Target="http://www.bankofengland.co.uk/publications/Documents/fsr/2015/fsrsupp.pdf" TargetMode="External"/><Relationship Id="rId19" Type="http://schemas.openxmlformats.org/officeDocument/2006/relationships/footer" Target="footer3.xml"/><Relationship Id="rId20" Type="http://schemas.openxmlformats.org/officeDocument/2006/relationships/image" Target="media/image12.png"/><Relationship Id="rId21" Type="http://schemas.openxmlformats.org/officeDocument/2006/relationships/hyperlink" Target="http://www.bankofengland.co.uk/research/Documents/workingpapers/2014/wp518.pdf" TargetMode="External"/><Relationship Id="rId22" Type="http://schemas.openxmlformats.org/officeDocument/2006/relationships/hyperlink" Target="http://www.newyorkfed.org/research/data_indicators/term_premia.html" TargetMode="External"/><Relationship Id="rId23" Type="http://schemas.openxmlformats.org/officeDocument/2006/relationships/image" Target="media/image13.png"/><Relationship Id="rId24" Type="http://schemas.openxmlformats.org/officeDocument/2006/relationships/footer" Target="footer4.xml"/><Relationship Id="rId25" Type="http://schemas.openxmlformats.org/officeDocument/2006/relationships/image" Target="media/image14.png"/><Relationship Id="rId26" Type="http://schemas.openxmlformats.org/officeDocument/2006/relationships/image" Target="media/image15.jpeg"/><Relationship Id="rId2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Mark Carney at the 8th Annual Institute of International Finance G20 conference, Shanghai</dc:title>
  <dcterms:created xsi:type="dcterms:W3CDTF">2020-06-02T18:18:20Z</dcterms:created>
  <dcterms:modified xsi:type="dcterms:W3CDTF">2020-06-02T18:18:20Z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2016-02-25T00:00:00Z</vt:filetime>
  </property>
  <property fmtid="{D5CDD505-2E9C-101B-9397-08002B2CF9AE}" pid="3" name="LastSaved">
    <vt:filetime>2020-06-02T00:00:00Z</vt:filetime>
  </property>
</Properties>
</file>